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DBE565" w14:textId="6FA5760F" w:rsidR="000F6148" w:rsidRPr="00B81300" w:rsidRDefault="00E64F0A">
      <w:pPr>
        <w:rPr>
          <w:color w:val="3C3C3B"/>
          <w:highlight w:val="yellow"/>
        </w:rPr>
      </w:pPr>
      <w:bookmarkStart w:id="0" w:name="_GoBack"/>
      <w:bookmarkEnd w:id="0"/>
      <w:r w:rsidRPr="00B81300">
        <w:rPr>
          <w:noProof/>
          <w:highlight w:val="yellow"/>
        </w:rPr>
        <w:drawing>
          <wp:anchor distT="0" distB="0" distL="114300" distR="114300" simplePos="0" relativeHeight="251658255" behindDoc="1" locked="0" layoutInCell="1" allowOverlap="1" wp14:anchorId="520B68BF" wp14:editId="387FEFCC">
            <wp:simplePos x="0" y="0"/>
            <wp:positionH relativeFrom="column">
              <wp:posOffset>-896758</wp:posOffset>
            </wp:positionH>
            <wp:positionV relativeFrom="paragraph">
              <wp:posOffset>-1606192</wp:posOffset>
            </wp:positionV>
            <wp:extent cx="7677150" cy="10858500"/>
            <wp:effectExtent l="0" t="0" r="0" b="0"/>
            <wp:wrapNone/>
            <wp:docPr id="6" name="Picture 5" descr="Úvodná-st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vodná-stran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77150" cy="1085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FC424A" w14:textId="77777777" w:rsidR="000F6148" w:rsidRPr="00B81300" w:rsidRDefault="000F6148">
      <w:pPr>
        <w:rPr>
          <w:color w:val="3C3C3B"/>
          <w:highlight w:val="yellow"/>
        </w:rPr>
      </w:pPr>
    </w:p>
    <w:p w14:paraId="3687C841" w14:textId="6D68092F" w:rsidR="000F6148" w:rsidRPr="00B81300" w:rsidRDefault="000F6148">
      <w:pPr>
        <w:rPr>
          <w:color w:val="3C3C3B"/>
          <w:highlight w:val="yellow"/>
        </w:rPr>
      </w:pPr>
    </w:p>
    <w:p w14:paraId="121A485F" w14:textId="77777777" w:rsidR="000F6148" w:rsidRPr="00B81300" w:rsidRDefault="000F6148">
      <w:pPr>
        <w:rPr>
          <w:color w:val="3C3C3B"/>
          <w:highlight w:val="yellow"/>
        </w:rPr>
      </w:pPr>
    </w:p>
    <w:p w14:paraId="1557276D" w14:textId="00E45852" w:rsidR="000F6148" w:rsidRPr="00B81300" w:rsidRDefault="000F6148">
      <w:pPr>
        <w:rPr>
          <w:color w:val="3C3C3B"/>
          <w:highlight w:val="yellow"/>
        </w:rPr>
      </w:pPr>
    </w:p>
    <w:p w14:paraId="4B903BF1" w14:textId="77777777" w:rsidR="000F6148" w:rsidRPr="00B81300" w:rsidRDefault="000F6148">
      <w:pPr>
        <w:rPr>
          <w:color w:val="3C3C3B"/>
          <w:highlight w:val="yellow"/>
        </w:rPr>
      </w:pPr>
    </w:p>
    <w:p w14:paraId="775860FE" w14:textId="32EEF074" w:rsidR="000F6148" w:rsidRPr="00B81300" w:rsidRDefault="000F6148">
      <w:pPr>
        <w:rPr>
          <w:color w:val="3C3C3B"/>
          <w:highlight w:val="yellow"/>
        </w:rPr>
      </w:pPr>
    </w:p>
    <w:p w14:paraId="148DE550" w14:textId="77777777" w:rsidR="000F6148" w:rsidRPr="00B81300" w:rsidRDefault="000F6148">
      <w:pPr>
        <w:rPr>
          <w:color w:val="3C3C3B"/>
          <w:highlight w:val="yellow"/>
        </w:rPr>
      </w:pPr>
    </w:p>
    <w:p w14:paraId="22A2FD44" w14:textId="77777777" w:rsidR="000F6148" w:rsidRPr="00B81300" w:rsidRDefault="000F6148">
      <w:pPr>
        <w:rPr>
          <w:color w:val="3C3C3B"/>
          <w:highlight w:val="yellow"/>
        </w:rPr>
      </w:pPr>
    </w:p>
    <w:p w14:paraId="61DACCF4" w14:textId="77777777" w:rsidR="000F6148" w:rsidRPr="00B81300" w:rsidRDefault="000F6148">
      <w:pPr>
        <w:rPr>
          <w:color w:val="3C3C3B"/>
          <w:highlight w:val="yellow"/>
        </w:rPr>
      </w:pPr>
    </w:p>
    <w:p w14:paraId="21F58FC6" w14:textId="77777777" w:rsidR="000F6148" w:rsidRPr="00B81300" w:rsidRDefault="000F6148">
      <w:pPr>
        <w:rPr>
          <w:color w:val="3C3C3B"/>
          <w:highlight w:val="yellow"/>
        </w:rPr>
      </w:pPr>
    </w:p>
    <w:p w14:paraId="64995E51" w14:textId="77777777" w:rsidR="000F6148" w:rsidRPr="00B81300" w:rsidRDefault="000F6148">
      <w:pPr>
        <w:rPr>
          <w:color w:val="3C3C3B"/>
          <w:highlight w:val="yellow"/>
        </w:rPr>
      </w:pPr>
      <w:r w:rsidRPr="00B81300">
        <w:rPr>
          <w:color w:val="3C3C3B"/>
          <w:highlight w:val="yellow"/>
        </w:rPr>
        <w:t xml:space="preserve"> </w:t>
      </w:r>
    </w:p>
    <w:p w14:paraId="6AC43CE3" w14:textId="77777777" w:rsidR="000F6148" w:rsidRPr="00B81300" w:rsidRDefault="000F6148">
      <w:pPr>
        <w:rPr>
          <w:color w:val="3C3C3B"/>
          <w:highlight w:val="yellow"/>
        </w:rPr>
      </w:pPr>
    </w:p>
    <w:p w14:paraId="0560CD26" w14:textId="77777777" w:rsidR="000F6148" w:rsidRPr="00B81300" w:rsidRDefault="000F6148">
      <w:pPr>
        <w:rPr>
          <w:color w:val="3C3C3B"/>
          <w:highlight w:val="yellow"/>
        </w:rPr>
      </w:pPr>
    </w:p>
    <w:p w14:paraId="6DAAE7DE" w14:textId="77777777" w:rsidR="000F6148" w:rsidRPr="00B81300" w:rsidRDefault="000F6148">
      <w:pPr>
        <w:rPr>
          <w:color w:val="3C3C3B"/>
          <w:highlight w:val="yellow"/>
        </w:rPr>
      </w:pPr>
    </w:p>
    <w:p w14:paraId="508E3146" w14:textId="77777777" w:rsidR="000F6148" w:rsidRPr="00B81300" w:rsidRDefault="000F6148">
      <w:pPr>
        <w:rPr>
          <w:color w:val="3C3C3B"/>
          <w:highlight w:val="yellow"/>
        </w:rPr>
      </w:pPr>
    </w:p>
    <w:p w14:paraId="7A052D68" w14:textId="77777777" w:rsidR="000F6148" w:rsidRPr="00B81300" w:rsidRDefault="000F6148">
      <w:pPr>
        <w:rPr>
          <w:color w:val="3C3C3B"/>
          <w:highlight w:val="yellow"/>
        </w:rPr>
      </w:pPr>
    </w:p>
    <w:p w14:paraId="33ABECF6" w14:textId="77777777" w:rsidR="000F6148" w:rsidRPr="00B81300" w:rsidRDefault="000F6148">
      <w:pPr>
        <w:rPr>
          <w:color w:val="3C3C3B"/>
          <w:highlight w:val="yellow"/>
        </w:rPr>
      </w:pPr>
    </w:p>
    <w:p w14:paraId="65AE6EB5" w14:textId="77777777" w:rsidR="000F6148" w:rsidRPr="00B81300" w:rsidRDefault="000F6148">
      <w:pPr>
        <w:rPr>
          <w:color w:val="3C3C3B"/>
          <w:highlight w:val="yellow"/>
        </w:rPr>
      </w:pPr>
    </w:p>
    <w:p w14:paraId="6FDA11AF" w14:textId="77777777" w:rsidR="000F6148" w:rsidRPr="00B81300" w:rsidRDefault="000F6148">
      <w:pPr>
        <w:rPr>
          <w:color w:val="3C3C3B"/>
          <w:highlight w:val="yellow"/>
        </w:rPr>
      </w:pPr>
    </w:p>
    <w:p w14:paraId="1BE5510D" w14:textId="77777777" w:rsidR="000F6148" w:rsidRPr="00B81300" w:rsidRDefault="000F6148">
      <w:pPr>
        <w:rPr>
          <w:color w:val="3C3C3B"/>
          <w:highlight w:val="yellow"/>
        </w:rPr>
      </w:pPr>
    </w:p>
    <w:p w14:paraId="4763178B" w14:textId="77777777" w:rsidR="000F6148" w:rsidRPr="00B81300" w:rsidRDefault="000F6148">
      <w:pPr>
        <w:rPr>
          <w:color w:val="3C3C3B"/>
          <w:highlight w:val="yellow"/>
        </w:rPr>
      </w:pPr>
    </w:p>
    <w:p w14:paraId="3F8B15B3" w14:textId="77777777" w:rsidR="000F6148" w:rsidRPr="00B81300" w:rsidRDefault="000F6148">
      <w:pPr>
        <w:rPr>
          <w:color w:val="3C3C3B"/>
          <w:highlight w:val="yellow"/>
        </w:rPr>
      </w:pPr>
    </w:p>
    <w:p w14:paraId="55CC4493" w14:textId="77777777" w:rsidR="000F6148" w:rsidRPr="00B81300" w:rsidRDefault="000F6148">
      <w:pPr>
        <w:rPr>
          <w:color w:val="3C3C3B"/>
          <w:highlight w:val="yellow"/>
        </w:rPr>
      </w:pPr>
    </w:p>
    <w:p w14:paraId="186F9F5C" w14:textId="77777777" w:rsidR="000F6148" w:rsidRPr="00B81300" w:rsidRDefault="000F6148">
      <w:pPr>
        <w:rPr>
          <w:color w:val="3C3C3B"/>
        </w:rPr>
      </w:pPr>
      <w:r w:rsidRPr="00B81300">
        <w:rPr>
          <w:color w:val="3C3C3B"/>
        </w:rPr>
        <w:tab/>
      </w:r>
      <w:r w:rsidRPr="00B81300">
        <w:rPr>
          <w:color w:val="3C3C3B"/>
        </w:rPr>
        <w:tab/>
      </w:r>
      <w:r w:rsidRPr="00B81300">
        <w:rPr>
          <w:color w:val="3C3C3B"/>
        </w:rPr>
        <w:tab/>
      </w:r>
      <w:r w:rsidRPr="00B81300">
        <w:rPr>
          <w:color w:val="3C3C3B"/>
        </w:rPr>
        <w:tab/>
      </w:r>
      <w:r w:rsidRPr="00B81300">
        <w:rPr>
          <w:color w:val="3C3C3B"/>
        </w:rPr>
        <w:tab/>
      </w:r>
      <w:r w:rsidRPr="00B81300">
        <w:rPr>
          <w:color w:val="3C3C3B"/>
        </w:rPr>
        <w:tab/>
      </w:r>
      <w:r w:rsidRPr="00B81300">
        <w:rPr>
          <w:color w:val="3C3C3B"/>
        </w:rPr>
        <w:tab/>
      </w:r>
      <w:r w:rsidRPr="00B81300">
        <w:rPr>
          <w:color w:val="3C3C3B"/>
        </w:rPr>
        <w:tab/>
      </w:r>
    </w:p>
    <w:p w14:paraId="4AE2B39F" w14:textId="77777777" w:rsidR="006E6762" w:rsidRPr="00B81300" w:rsidRDefault="006E6762" w:rsidP="004E2797">
      <w:pPr>
        <w:ind w:left="2835"/>
        <w:rPr>
          <w:b/>
          <w:color w:val="59595B"/>
          <w:sz w:val="38"/>
          <w:szCs w:val="38"/>
          <w:highlight w:val="yellow"/>
        </w:rPr>
      </w:pPr>
    </w:p>
    <w:p w14:paraId="592943CF" w14:textId="77777777" w:rsidR="006E6762" w:rsidRPr="00B81300" w:rsidRDefault="006E6762" w:rsidP="004E2797">
      <w:pPr>
        <w:ind w:left="2835"/>
        <w:rPr>
          <w:b/>
          <w:color w:val="59595B"/>
          <w:sz w:val="38"/>
          <w:szCs w:val="38"/>
          <w:highlight w:val="yellow"/>
        </w:rPr>
      </w:pPr>
    </w:p>
    <w:p w14:paraId="0D414BBD" w14:textId="7976D9DF" w:rsidR="000F6148" w:rsidRPr="00817EDD" w:rsidRDefault="00DC465B" w:rsidP="004E2797">
      <w:pPr>
        <w:ind w:left="2835"/>
        <w:rPr>
          <w:b/>
          <w:color w:val="59595B"/>
          <w:sz w:val="38"/>
          <w:szCs w:val="38"/>
        </w:rPr>
      </w:pPr>
      <w:r w:rsidRPr="00817EDD">
        <w:rPr>
          <w:b/>
          <w:color w:val="59595B"/>
          <w:sz w:val="38"/>
          <w:szCs w:val="38"/>
        </w:rPr>
        <w:t>Správa o hodnotení plnenia pravidiel rozpočtovej zodpovednosti a</w:t>
      </w:r>
      <w:r w:rsidR="00954AF5" w:rsidRPr="00817EDD">
        <w:rPr>
          <w:b/>
          <w:color w:val="59595B"/>
          <w:sz w:val="38"/>
          <w:szCs w:val="38"/>
        </w:rPr>
        <w:t xml:space="preserve"> pravidiel rozpočtovej </w:t>
      </w:r>
      <w:r w:rsidRPr="00817EDD">
        <w:rPr>
          <w:b/>
          <w:color w:val="59595B"/>
          <w:sz w:val="38"/>
          <w:szCs w:val="38"/>
        </w:rPr>
        <w:t>transparentnosti</w:t>
      </w:r>
      <w:r w:rsidR="005717CB" w:rsidRPr="00817EDD">
        <w:rPr>
          <w:b/>
          <w:color w:val="59595B"/>
          <w:sz w:val="38"/>
          <w:szCs w:val="38"/>
        </w:rPr>
        <w:t xml:space="preserve"> za rok 201</w:t>
      </w:r>
      <w:r w:rsidR="004A1AA0" w:rsidRPr="00817EDD">
        <w:rPr>
          <w:b/>
          <w:color w:val="59595B"/>
          <w:sz w:val="38"/>
          <w:szCs w:val="38"/>
        </w:rPr>
        <w:t>9</w:t>
      </w:r>
    </w:p>
    <w:p w14:paraId="1D0357CC" w14:textId="77777777" w:rsidR="000F6148" w:rsidRPr="00817EDD" w:rsidRDefault="000F6148" w:rsidP="000F6148">
      <w:pPr>
        <w:ind w:left="2835"/>
        <w:rPr>
          <w:b/>
          <w:color w:val="59595B"/>
          <w:sz w:val="36"/>
        </w:rPr>
      </w:pPr>
    </w:p>
    <w:p w14:paraId="244BE130" w14:textId="7A270EF6" w:rsidR="000F6148" w:rsidRPr="00817EDD" w:rsidRDefault="003778CD" w:rsidP="000F6148">
      <w:pPr>
        <w:ind w:left="2835"/>
        <w:rPr>
          <w:color w:val="59595B"/>
          <w:szCs w:val="22"/>
        </w:rPr>
      </w:pPr>
      <w:r w:rsidRPr="00817EDD">
        <w:rPr>
          <w:color w:val="59595B"/>
          <w:szCs w:val="22"/>
        </w:rPr>
        <w:t>august</w:t>
      </w:r>
      <w:r w:rsidR="00DC465B" w:rsidRPr="00817EDD">
        <w:rPr>
          <w:color w:val="59595B"/>
          <w:szCs w:val="22"/>
        </w:rPr>
        <w:t xml:space="preserve"> 20</w:t>
      </w:r>
      <w:r w:rsidR="004A1AA0" w:rsidRPr="00817EDD">
        <w:rPr>
          <w:color w:val="59595B"/>
          <w:szCs w:val="22"/>
        </w:rPr>
        <w:t>20</w:t>
      </w:r>
    </w:p>
    <w:p w14:paraId="0E0AAB22" w14:textId="77777777" w:rsidR="000F6148" w:rsidRPr="00817EDD" w:rsidRDefault="000F6148" w:rsidP="000F6148">
      <w:pPr>
        <w:ind w:left="2835"/>
        <w:rPr>
          <w:color w:val="59595B"/>
        </w:rPr>
      </w:pPr>
    </w:p>
    <w:p w14:paraId="4A53EFC6" w14:textId="77777777" w:rsidR="000F6148" w:rsidRPr="00B81300" w:rsidRDefault="000F6148" w:rsidP="000F6148">
      <w:pPr>
        <w:ind w:left="2835"/>
        <w:rPr>
          <w:color w:val="59595B"/>
          <w:highlight w:val="yellow"/>
        </w:rPr>
      </w:pPr>
    </w:p>
    <w:p w14:paraId="11225028" w14:textId="77777777" w:rsidR="000F6148" w:rsidRPr="00B81300" w:rsidRDefault="000F6148" w:rsidP="000F6148">
      <w:pPr>
        <w:ind w:left="2835"/>
        <w:rPr>
          <w:color w:val="59595B"/>
          <w:highlight w:val="yellow"/>
        </w:rPr>
      </w:pPr>
    </w:p>
    <w:p w14:paraId="6C69BE1C" w14:textId="77777777" w:rsidR="000F6148" w:rsidRPr="00B81300" w:rsidRDefault="000F6148" w:rsidP="000F6148">
      <w:pPr>
        <w:ind w:left="5670"/>
        <w:rPr>
          <w:color w:val="59595B"/>
          <w:highlight w:val="yellow"/>
        </w:rPr>
      </w:pPr>
    </w:p>
    <w:p w14:paraId="40F9B59F" w14:textId="77777777" w:rsidR="00756910" w:rsidRPr="00B81300" w:rsidRDefault="00756910" w:rsidP="00756910">
      <w:pPr>
        <w:ind w:left="5670"/>
        <w:rPr>
          <w:color w:val="59595B"/>
          <w:highlight w:val="yellow"/>
        </w:rPr>
      </w:pPr>
    </w:p>
    <w:p w14:paraId="2FAF1F20" w14:textId="77777777" w:rsidR="000F6148" w:rsidRPr="00B81300" w:rsidRDefault="000F6148" w:rsidP="000F6148">
      <w:pPr>
        <w:ind w:left="5670"/>
        <w:rPr>
          <w:color w:val="59595B"/>
          <w:highlight w:val="yellow"/>
        </w:rPr>
      </w:pPr>
    </w:p>
    <w:p w14:paraId="6C49D821" w14:textId="77777777" w:rsidR="000F6148" w:rsidRPr="00B81300" w:rsidRDefault="000F6148" w:rsidP="000F6148">
      <w:pPr>
        <w:ind w:left="5670"/>
        <w:rPr>
          <w:color w:val="59595B"/>
          <w:highlight w:val="yellow"/>
        </w:rPr>
      </w:pPr>
    </w:p>
    <w:p w14:paraId="484EC125" w14:textId="77777777" w:rsidR="000F6148" w:rsidRPr="00B81300" w:rsidRDefault="000F6148" w:rsidP="000F6148">
      <w:pPr>
        <w:ind w:left="5670"/>
        <w:rPr>
          <w:color w:val="59595B"/>
          <w:highlight w:val="yellow"/>
        </w:rPr>
      </w:pPr>
    </w:p>
    <w:p w14:paraId="105471B9" w14:textId="77777777" w:rsidR="000F6148" w:rsidRPr="00B81300" w:rsidRDefault="000F6148" w:rsidP="000F6148">
      <w:pPr>
        <w:ind w:left="5670"/>
        <w:rPr>
          <w:color w:val="59595B"/>
          <w:highlight w:val="yellow"/>
        </w:rPr>
      </w:pPr>
    </w:p>
    <w:p w14:paraId="129B926A" w14:textId="77777777" w:rsidR="000F6148" w:rsidRPr="00B81300" w:rsidRDefault="000F6148" w:rsidP="000F6148">
      <w:pPr>
        <w:ind w:left="5670"/>
        <w:rPr>
          <w:color w:val="59595B"/>
          <w:highlight w:val="yellow"/>
        </w:rPr>
      </w:pPr>
    </w:p>
    <w:p w14:paraId="754C9591" w14:textId="77777777" w:rsidR="000F6148" w:rsidRPr="00B81300" w:rsidRDefault="000F6148" w:rsidP="000F6148">
      <w:pPr>
        <w:ind w:left="5670"/>
        <w:rPr>
          <w:color w:val="59595B"/>
          <w:highlight w:val="yellow"/>
        </w:rPr>
      </w:pPr>
    </w:p>
    <w:p w14:paraId="1612CA33" w14:textId="77777777" w:rsidR="000F6148" w:rsidRPr="00B81300" w:rsidRDefault="000F6148" w:rsidP="000F6148">
      <w:pPr>
        <w:ind w:left="5670"/>
        <w:rPr>
          <w:color w:val="59595B"/>
          <w:highlight w:val="yellow"/>
        </w:rPr>
      </w:pPr>
    </w:p>
    <w:p w14:paraId="69E3B701" w14:textId="77777777" w:rsidR="000F6148" w:rsidRPr="00B81300" w:rsidRDefault="000F6148" w:rsidP="000F6148">
      <w:pPr>
        <w:ind w:left="5670"/>
        <w:rPr>
          <w:color w:val="59595B"/>
          <w:highlight w:val="yellow"/>
        </w:rPr>
      </w:pPr>
    </w:p>
    <w:p w14:paraId="5FF08F35" w14:textId="77777777" w:rsidR="000F6148" w:rsidRPr="00B81300" w:rsidRDefault="000F6148" w:rsidP="000F6148">
      <w:pPr>
        <w:ind w:left="5670"/>
        <w:rPr>
          <w:color w:val="59595B"/>
          <w:highlight w:val="yellow"/>
        </w:rPr>
      </w:pPr>
    </w:p>
    <w:p w14:paraId="05263F43" w14:textId="77777777" w:rsidR="00A72C1C" w:rsidRPr="00B81300" w:rsidRDefault="00A72C1C">
      <w:pPr>
        <w:rPr>
          <w:b/>
          <w:color w:val="58595B"/>
          <w:sz w:val="28"/>
          <w:szCs w:val="28"/>
          <w:highlight w:val="yellow"/>
        </w:rPr>
      </w:pPr>
    </w:p>
    <w:p w14:paraId="1DB92490" w14:textId="77777777" w:rsidR="00A72C1C" w:rsidRPr="00B81300" w:rsidRDefault="00A72C1C">
      <w:pPr>
        <w:rPr>
          <w:b/>
          <w:color w:val="58595B"/>
          <w:sz w:val="28"/>
          <w:szCs w:val="28"/>
          <w:highlight w:val="yellow"/>
        </w:rPr>
      </w:pPr>
    </w:p>
    <w:p w14:paraId="62BC63BB" w14:textId="77777777" w:rsidR="00A72C1C" w:rsidRPr="00B81300" w:rsidRDefault="00A72C1C">
      <w:pPr>
        <w:rPr>
          <w:b/>
          <w:color w:val="58595B"/>
          <w:sz w:val="28"/>
          <w:szCs w:val="28"/>
          <w:highlight w:val="yellow"/>
        </w:rPr>
      </w:pPr>
    </w:p>
    <w:p w14:paraId="704AD858" w14:textId="77777777" w:rsidR="00A72C1C" w:rsidRPr="00B81300" w:rsidRDefault="00A72C1C">
      <w:pPr>
        <w:rPr>
          <w:b/>
          <w:color w:val="58595B"/>
          <w:sz w:val="28"/>
          <w:szCs w:val="28"/>
          <w:highlight w:val="yellow"/>
        </w:rPr>
      </w:pPr>
    </w:p>
    <w:p w14:paraId="025A98E4" w14:textId="77777777" w:rsidR="00A72C1C" w:rsidRPr="00B81300" w:rsidRDefault="00A72C1C">
      <w:pPr>
        <w:rPr>
          <w:b/>
          <w:color w:val="58595B"/>
          <w:sz w:val="28"/>
          <w:szCs w:val="28"/>
          <w:highlight w:val="yellow"/>
        </w:rPr>
      </w:pPr>
    </w:p>
    <w:p w14:paraId="68A80C1D" w14:textId="77777777" w:rsidR="00A72C1C" w:rsidRPr="00B81300" w:rsidRDefault="00A72C1C">
      <w:pPr>
        <w:rPr>
          <w:b/>
          <w:color w:val="58595B"/>
          <w:sz w:val="28"/>
          <w:szCs w:val="28"/>
          <w:highlight w:val="yellow"/>
        </w:rPr>
      </w:pPr>
    </w:p>
    <w:p w14:paraId="11E5919A" w14:textId="77777777" w:rsidR="00A72C1C" w:rsidRPr="00B81300" w:rsidRDefault="00A72C1C">
      <w:pPr>
        <w:rPr>
          <w:b/>
          <w:color w:val="58595B"/>
          <w:sz w:val="28"/>
          <w:szCs w:val="28"/>
          <w:highlight w:val="yellow"/>
        </w:rPr>
      </w:pPr>
    </w:p>
    <w:p w14:paraId="2F0F7BFD" w14:textId="77777777" w:rsidR="00A72C1C" w:rsidRPr="00B81300" w:rsidRDefault="00A72C1C">
      <w:pPr>
        <w:rPr>
          <w:b/>
          <w:color w:val="58595B"/>
          <w:sz w:val="28"/>
          <w:szCs w:val="28"/>
          <w:highlight w:val="yellow"/>
        </w:rPr>
      </w:pPr>
    </w:p>
    <w:p w14:paraId="001477D9" w14:textId="77777777" w:rsidR="00A72C1C" w:rsidRPr="00B81300" w:rsidRDefault="00A72C1C">
      <w:pPr>
        <w:rPr>
          <w:b/>
          <w:color w:val="58595B"/>
          <w:sz w:val="28"/>
          <w:szCs w:val="28"/>
          <w:highlight w:val="yellow"/>
        </w:rPr>
      </w:pPr>
    </w:p>
    <w:p w14:paraId="2C4678A1" w14:textId="77777777" w:rsidR="00A72C1C" w:rsidRPr="00B81300" w:rsidRDefault="00A72C1C">
      <w:pPr>
        <w:rPr>
          <w:b/>
          <w:color w:val="58595B"/>
          <w:sz w:val="28"/>
          <w:szCs w:val="28"/>
          <w:highlight w:val="yellow"/>
        </w:rPr>
      </w:pPr>
    </w:p>
    <w:p w14:paraId="268E8631" w14:textId="77777777" w:rsidR="00A72C1C" w:rsidRPr="00B81300" w:rsidRDefault="00A72C1C">
      <w:pPr>
        <w:rPr>
          <w:b/>
          <w:color w:val="58595B"/>
          <w:sz w:val="28"/>
          <w:szCs w:val="28"/>
          <w:highlight w:val="yellow"/>
        </w:rPr>
      </w:pPr>
    </w:p>
    <w:p w14:paraId="44BED4C6" w14:textId="77777777" w:rsidR="00A72C1C" w:rsidRPr="00B81300" w:rsidRDefault="00A72C1C">
      <w:pPr>
        <w:rPr>
          <w:b/>
          <w:color w:val="58595B"/>
          <w:sz w:val="28"/>
          <w:szCs w:val="28"/>
          <w:highlight w:val="yellow"/>
        </w:rPr>
      </w:pPr>
    </w:p>
    <w:p w14:paraId="67F59B00" w14:textId="77777777" w:rsidR="00A72C1C" w:rsidRPr="00B81300" w:rsidRDefault="00A72C1C">
      <w:pPr>
        <w:rPr>
          <w:b/>
          <w:color w:val="58595B"/>
          <w:sz w:val="28"/>
          <w:szCs w:val="28"/>
          <w:highlight w:val="yellow"/>
        </w:rPr>
      </w:pPr>
    </w:p>
    <w:p w14:paraId="20E84FB8" w14:textId="77777777" w:rsidR="00A72C1C" w:rsidRPr="00817EDD" w:rsidRDefault="00A72C1C">
      <w:pPr>
        <w:rPr>
          <w:b/>
          <w:color w:val="58595B"/>
          <w:sz w:val="28"/>
          <w:szCs w:val="28"/>
        </w:rPr>
      </w:pPr>
    </w:p>
    <w:p w14:paraId="16FB8FD0" w14:textId="2178C10D" w:rsidR="0092795D" w:rsidRPr="00817EDD" w:rsidRDefault="0092795D" w:rsidP="0092795D">
      <w:pPr>
        <w:rPr>
          <w:color w:val="00B0F0"/>
          <w:sz w:val="20"/>
        </w:rPr>
      </w:pPr>
      <w:r w:rsidRPr="00817EDD">
        <w:rPr>
          <w:rFonts w:ascii="Symbol" w:eastAsia="Symbol" w:hAnsi="Symbol" w:cs="Symbol"/>
          <w:color w:val="00B0F0"/>
          <w:sz w:val="20"/>
        </w:rPr>
        <w:t>Ó</w:t>
      </w:r>
      <w:r w:rsidRPr="00817EDD">
        <w:rPr>
          <w:color w:val="00B0F0"/>
          <w:sz w:val="20"/>
        </w:rPr>
        <w:t xml:space="preserve"> </w:t>
      </w:r>
      <w:r w:rsidRPr="00817EDD">
        <w:rPr>
          <w:b/>
          <w:color w:val="00B0F0"/>
          <w:sz w:val="20"/>
        </w:rPr>
        <w:t>Kancelária Rady pre rozpočtovú zodpovednosť, 20</w:t>
      </w:r>
      <w:r w:rsidR="00817EDD" w:rsidRPr="00817EDD">
        <w:rPr>
          <w:b/>
          <w:color w:val="00B0F0"/>
          <w:sz w:val="20"/>
        </w:rPr>
        <w:t>20</w:t>
      </w:r>
    </w:p>
    <w:p w14:paraId="4BC8DDE0" w14:textId="77777777" w:rsidR="0092795D" w:rsidRPr="00817EDD" w:rsidRDefault="0092795D" w:rsidP="0092795D">
      <w:pPr>
        <w:pStyle w:val="Default"/>
        <w:jc w:val="both"/>
        <w:rPr>
          <w:color w:val="3C3C3B"/>
          <w:sz w:val="20"/>
          <w:szCs w:val="20"/>
        </w:rPr>
      </w:pPr>
    </w:p>
    <w:p w14:paraId="73F4C6DE" w14:textId="77777777" w:rsidR="0092795D" w:rsidRPr="00817EDD" w:rsidRDefault="0092795D" w:rsidP="0092795D">
      <w:pPr>
        <w:rPr>
          <w:sz w:val="20"/>
        </w:rPr>
      </w:pPr>
      <w:r w:rsidRPr="00817EDD">
        <w:rPr>
          <w:sz w:val="20"/>
        </w:rPr>
        <w:t xml:space="preserve">Táto správa prezentuje oficiálne stanoviská Rady pre rozpočtovú zodpovednosť v súlade s jej mandátom stanoveným v zákone č. 493/2011 Z.z. o rozpočtovej zodpovednosti. </w:t>
      </w:r>
    </w:p>
    <w:p w14:paraId="107E3374" w14:textId="77777777" w:rsidR="0092795D" w:rsidRPr="00817EDD" w:rsidRDefault="0092795D" w:rsidP="0092795D">
      <w:pPr>
        <w:rPr>
          <w:sz w:val="20"/>
        </w:rPr>
      </w:pPr>
    </w:p>
    <w:p w14:paraId="5488A5E8" w14:textId="77777777" w:rsidR="0092795D" w:rsidRPr="00817EDD" w:rsidRDefault="0092795D" w:rsidP="0092795D">
      <w:pPr>
        <w:rPr>
          <w:sz w:val="20"/>
        </w:rPr>
      </w:pPr>
      <w:r w:rsidRPr="00817EDD">
        <w:rPr>
          <w:sz w:val="20"/>
        </w:rPr>
        <w:t xml:space="preserve">Táto publikácia je dostupná na internetovej stránke RRZ (http://www.rozpoctovarada.sk). </w:t>
      </w:r>
    </w:p>
    <w:p w14:paraId="19519B09" w14:textId="77777777" w:rsidR="0092795D" w:rsidRPr="00817EDD" w:rsidRDefault="0092795D" w:rsidP="0092795D">
      <w:pPr>
        <w:pStyle w:val="Default"/>
        <w:jc w:val="both"/>
        <w:rPr>
          <w:color w:val="3C3C3B"/>
          <w:sz w:val="20"/>
          <w:szCs w:val="20"/>
        </w:rPr>
      </w:pPr>
    </w:p>
    <w:p w14:paraId="6AB5755E" w14:textId="77777777" w:rsidR="0092795D" w:rsidRPr="00817EDD" w:rsidRDefault="0092795D" w:rsidP="0092795D">
      <w:pPr>
        <w:pStyle w:val="Default"/>
        <w:jc w:val="both"/>
        <w:rPr>
          <w:b/>
          <w:color w:val="3C3C3B"/>
          <w:sz w:val="20"/>
          <w:szCs w:val="20"/>
        </w:rPr>
      </w:pPr>
    </w:p>
    <w:p w14:paraId="4E6493D4" w14:textId="77777777" w:rsidR="0092795D" w:rsidRPr="00817EDD" w:rsidRDefault="0092795D" w:rsidP="0092795D">
      <w:pPr>
        <w:pStyle w:val="Default"/>
        <w:jc w:val="both"/>
        <w:rPr>
          <w:color w:val="3C3C3B"/>
          <w:sz w:val="20"/>
          <w:szCs w:val="20"/>
        </w:rPr>
      </w:pPr>
      <w:r w:rsidRPr="00817EDD">
        <w:rPr>
          <w:rFonts w:cs="Times New Roman"/>
          <w:b/>
          <w:color w:val="3C3C3B"/>
          <w:sz w:val="20"/>
          <w:szCs w:val="20"/>
          <w:lang w:eastAsia="sk-SK"/>
        </w:rPr>
        <w:t>Copyright</w:t>
      </w:r>
      <w:r w:rsidRPr="00817EDD">
        <w:rPr>
          <w:b/>
          <w:color w:val="3C3C3B"/>
          <w:sz w:val="20"/>
          <w:szCs w:val="20"/>
        </w:rPr>
        <w:t xml:space="preserve"> </w:t>
      </w:r>
      <w:r w:rsidRPr="00817EDD">
        <w:rPr>
          <w:color w:val="3C3C3B"/>
          <w:sz w:val="20"/>
          <w:szCs w:val="20"/>
        </w:rPr>
        <w:t>©</w:t>
      </w:r>
    </w:p>
    <w:p w14:paraId="03880F73" w14:textId="2E08630B" w:rsidR="0092795D" w:rsidRPr="00817EDD" w:rsidRDefault="0092795D" w:rsidP="00BB48C3">
      <w:pPr>
        <w:jc w:val="both"/>
        <w:rPr>
          <w:sz w:val="20"/>
        </w:rPr>
      </w:pPr>
      <w:r w:rsidRPr="00817EDD">
        <w:rPr>
          <w:sz w:val="20"/>
        </w:rPr>
        <w:t>Kancelária Rady pre rozpočtovú zodpovednosť rešpektuje všetky práva tretích strán, najmä práva chránené autorským právom (informácie alebo údaje, štylistika a znenie textov do tej miery</w:t>
      </w:r>
      <w:r w:rsidR="00765CFB" w:rsidRPr="00817EDD">
        <w:rPr>
          <w:sz w:val="20"/>
        </w:rPr>
        <w:t>,</w:t>
      </w:r>
      <w:r w:rsidRPr="00817EDD">
        <w:rPr>
          <w:sz w:val="20"/>
        </w:rPr>
        <w:t xml:space="preserve"> ak majú individuálny charakter). Publikácie Kancelárie RRZ s odkazom na autorské práva (©Kancelária Rady pre rozpočtovú zodpovednosť, Kancelária RRZ, Secretariat of the Council for Budget Responsibility/Secretariat of the CBR, Slovakia/year, alebo podobne) smú byť použité (reprodukované, odkaz na internete, a pod.) len za podmienky, že bude správne uvedený zdroj. Všeobecné informácie a</w:t>
      </w:r>
      <w:r w:rsidR="008A68BA" w:rsidRPr="00817EDD">
        <w:rPr>
          <w:sz w:val="20"/>
        </w:rPr>
        <w:t> </w:t>
      </w:r>
      <w:r w:rsidRPr="00817EDD">
        <w:rPr>
          <w:sz w:val="20"/>
        </w:rPr>
        <w:t xml:space="preserve">údaje publikované bez odkazu na autorské práva smú byť publikované bez uvedenia zdroja. Pokiaľ sú informácie a údaje jednoznačne získané zo zdrojov tretích strán, používateľ takýchto informácií a údajov je povinný rešpektovať existujúce práva, prípadne je povinný si získať povolenie na použitie samostatne. </w:t>
      </w:r>
    </w:p>
    <w:p w14:paraId="15C563AE" w14:textId="77777777" w:rsidR="0092795D" w:rsidRPr="00817EDD" w:rsidRDefault="0092795D" w:rsidP="0092795D">
      <w:pPr>
        <w:pStyle w:val="Default"/>
        <w:jc w:val="both"/>
        <w:rPr>
          <w:b/>
          <w:color w:val="3C3C3B"/>
          <w:sz w:val="20"/>
          <w:szCs w:val="20"/>
        </w:rPr>
      </w:pPr>
    </w:p>
    <w:p w14:paraId="508DC6D4" w14:textId="77777777" w:rsidR="0092795D" w:rsidRPr="00817EDD" w:rsidRDefault="0092795D" w:rsidP="0092795D">
      <w:pPr>
        <w:autoSpaceDE w:val="0"/>
        <w:autoSpaceDN w:val="0"/>
        <w:adjustRightInd w:val="0"/>
        <w:rPr>
          <w:sz w:val="20"/>
        </w:rPr>
      </w:pPr>
    </w:p>
    <w:p w14:paraId="6A118AD4" w14:textId="77777777" w:rsidR="0092795D" w:rsidRPr="00817EDD" w:rsidRDefault="0092795D" w:rsidP="0092795D">
      <w:pPr>
        <w:autoSpaceDE w:val="0"/>
        <w:autoSpaceDN w:val="0"/>
        <w:adjustRightInd w:val="0"/>
        <w:rPr>
          <w:sz w:val="20"/>
        </w:rPr>
      </w:pPr>
    </w:p>
    <w:p w14:paraId="3E07E2B9" w14:textId="77777777" w:rsidR="0092795D" w:rsidRPr="00817EDD" w:rsidRDefault="0092795D" w:rsidP="0092795D">
      <w:pPr>
        <w:autoSpaceDE w:val="0"/>
        <w:autoSpaceDN w:val="0"/>
        <w:adjustRightInd w:val="0"/>
        <w:rPr>
          <w:sz w:val="20"/>
        </w:rPr>
      </w:pPr>
    </w:p>
    <w:p w14:paraId="484684F5" w14:textId="386C84B7" w:rsidR="00A72C1C" w:rsidRPr="00B81300" w:rsidRDefault="0092795D">
      <w:pPr>
        <w:rPr>
          <w:b/>
          <w:color w:val="58595B"/>
          <w:sz w:val="28"/>
          <w:szCs w:val="28"/>
          <w:highlight w:val="yellow"/>
        </w:rPr>
      </w:pPr>
      <w:r w:rsidRPr="00817EDD">
        <w:rPr>
          <w:sz w:val="20"/>
        </w:rPr>
        <w:t xml:space="preserve">Pripomienky alebo komentáre k správe sú vítané na e-mailovej adrese </w:t>
      </w:r>
      <w:hyperlink r:id="rId12" w:history="1">
        <w:r w:rsidRPr="00817EDD">
          <w:rPr>
            <w:rStyle w:val="Hyperlink"/>
            <w:color w:val="00B0F0"/>
            <w:sz w:val="20"/>
          </w:rPr>
          <w:t>sekretariat@rrz.sk</w:t>
        </w:r>
      </w:hyperlink>
      <w:r w:rsidRPr="00817EDD">
        <w:rPr>
          <w:color w:val="00B0F0"/>
          <w:sz w:val="20"/>
        </w:rPr>
        <w:t>.</w:t>
      </w:r>
      <w:r w:rsidR="00A72C1C" w:rsidRPr="00B81300">
        <w:rPr>
          <w:b/>
          <w:color w:val="58595B"/>
          <w:sz w:val="28"/>
          <w:szCs w:val="28"/>
          <w:highlight w:val="yellow"/>
        </w:rPr>
        <w:br w:type="page"/>
      </w:r>
    </w:p>
    <w:p w14:paraId="120948C0" w14:textId="08E6FE44" w:rsidR="0053156D" w:rsidRPr="00380FA7" w:rsidRDefault="0053156D">
      <w:bookmarkStart w:id="1" w:name="_Toc352676695"/>
      <w:bookmarkStart w:id="2" w:name="_Toc352676946"/>
      <w:bookmarkStart w:id="3" w:name="_Toc352678364"/>
      <w:bookmarkStart w:id="4" w:name="_Toc352747054"/>
      <w:bookmarkStart w:id="5" w:name="_Toc359425138"/>
      <w:bookmarkStart w:id="6" w:name="_Toc359427364"/>
      <w:bookmarkStart w:id="7" w:name="_Toc359589063"/>
      <w:r w:rsidRPr="00380FA7">
        <w:rPr>
          <w:b/>
          <w:color w:val="59595B"/>
          <w:sz w:val="32"/>
          <w:szCs w:val="32"/>
        </w:rPr>
        <w:lastRenderedPageBreak/>
        <w:t>Obsah</w:t>
      </w:r>
      <w:bookmarkEnd w:id="1"/>
      <w:bookmarkEnd w:id="2"/>
      <w:bookmarkEnd w:id="3"/>
      <w:bookmarkEnd w:id="4"/>
    </w:p>
    <w:p w14:paraId="5DE6F039" w14:textId="77777777" w:rsidR="0053156D" w:rsidRPr="00B81300" w:rsidRDefault="0053156D">
      <w:pPr>
        <w:rPr>
          <w:highlight w:val="yellow"/>
        </w:rPr>
      </w:pPr>
    </w:p>
    <w:bookmarkEnd w:id="5"/>
    <w:bookmarkEnd w:id="6"/>
    <w:bookmarkEnd w:id="7"/>
    <w:p w14:paraId="744B2F49" w14:textId="38101DE7" w:rsidR="00A3122C" w:rsidRDefault="008B45D9">
      <w:pPr>
        <w:pStyle w:val="TOC1"/>
        <w:tabs>
          <w:tab w:val="right" w:leader="underscore" w:pos="9060"/>
        </w:tabs>
        <w:rPr>
          <w:rFonts w:asciiTheme="minorHAnsi" w:eastAsiaTheme="minorEastAsia" w:hAnsiTheme="minorHAnsi" w:cstheme="minorBidi"/>
          <w:b w:val="0"/>
          <w:noProof/>
          <w:szCs w:val="22"/>
          <w:lang w:val="en-US" w:eastAsia="en-US"/>
        </w:rPr>
      </w:pPr>
      <w:r w:rsidRPr="00B81300">
        <w:rPr>
          <w:highlight w:val="yellow"/>
        </w:rPr>
        <w:fldChar w:fldCharType="begin"/>
      </w:r>
      <w:r w:rsidRPr="00B81300">
        <w:rPr>
          <w:highlight w:val="yellow"/>
        </w:rPr>
        <w:instrText xml:space="preserve"> TOC \o "1-2" \h \z \u </w:instrText>
      </w:r>
      <w:r w:rsidRPr="00B81300">
        <w:rPr>
          <w:highlight w:val="yellow"/>
        </w:rPr>
        <w:fldChar w:fldCharType="separate"/>
      </w:r>
      <w:hyperlink w:anchor="_Toc49506873" w:history="1">
        <w:r w:rsidR="00A3122C" w:rsidRPr="00C35631">
          <w:rPr>
            <w:rStyle w:val="Hyperlink"/>
            <w:rFonts w:eastAsia="Calibri"/>
            <w:noProof/>
          </w:rPr>
          <w:t>Zhrnutie</w:t>
        </w:r>
        <w:r w:rsidR="00A3122C">
          <w:rPr>
            <w:noProof/>
            <w:webHidden/>
          </w:rPr>
          <w:tab/>
        </w:r>
        <w:r w:rsidR="00A3122C">
          <w:rPr>
            <w:noProof/>
            <w:webHidden/>
          </w:rPr>
          <w:fldChar w:fldCharType="begin"/>
        </w:r>
        <w:r w:rsidR="00A3122C">
          <w:rPr>
            <w:noProof/>
            <w:webHidden/>
          </w:rPr>
          <w:instrText xml:space="preserve"> PAGEREF _Toc49506873 \h </w:instrText>
        </w:r>
        <w:r w:rsidR="00A3122C">
          <w:rPr>
            <w:noProof/>
            <w:webHidden/>
          </w:rPr>
        </w:r>
        <w:r w:rsidR="00A3122C">
          <w:rPr>
            <w:noProof/>
            <w:webHidden/>
          </w:rPr>
          <w:fldChar w:fldCharType="separate"/>
        </w:r>
        <w:r w:rsidR="00A3122C">
          <w:rPr>
            <w:noProof/>
            <w:webHidden/>
          </w:rPr>
          <w:t>5</w:t>
        </w:r>
        <w:r w:rsidR="00A3122C">
          <w:rPr>
            <w:noProof/>
            <w:webHidden/>
          </w:rPr>
          <w:fldChar w:fldCharType="end"/>
        </w:r>
      </w:hyperlink>
    </w:p>
    <w:p w14:paraId="0361EADA" w14:textId="31904B1C" w:rsidR="00A3122C" w:rsidRDefault="008A30C7">
      <w:pPr>
        <w:pStyle w:val="TOC1"/>
        <w:tabs>
          <w:tab w:val="left" w:pos="440"/>
          <w:tab w:val="right" w:leader="underscore" w:pos="9060"/>
        </w:tabs>
        <w:rPr>
          <w:rFonts w:asciiTheme="minorHAnsi" w:eastAsiaTheme="minorEastAsia" w:hAnsiTheme="minorHAnsi" w:cstheme="minorBidi"/>
          <w:b w:val="0"/>
          <w:noProof/>
          <w:szCs w:val="22"/>
          <w:lang w:val="en-US" w:eastAsia="en-US"/>
        </w:rPr>
      </w:pPr>
      <w:hyperlink w:anchor="_Toc49506874" w:history="1">
        <w:r w:rsidR="00A3122C" w:rsidRPr="00C35631">
          <w:rPr>
            <w:rStyle w:val="Hyperlink"/>
            <w:rFonts w:eastAsia="Calibri"/>
            <w:noProof/>
          </w:rPr>
          <w:t>1</w:t>
        </w:r>
        <w:r w:rsidR="00A3122C">
          <w:rPr>
            <w:rFonts w:asciiTheme="minorHAnsi" w:eastAsiaTheme="minorEastAsia" w:hAnsiTheme="minorHAnsi" w:cstheme="minorBidi"/>
            <w:b w:val="0"/>
            <w:noProof/>
            <w:szCs w:val="22"/>
            <w:lang w:val="en-US" w:eastAsia="en-US"/>
          </w:rPr>
          <w:tab/>
        </w:r>
        <w:r w:rsidR="00A3122C" w:rsidRPr="00C35631">
          <w:rPr>
            <w:rStyle w:val="Hyperlink"/>
            <w:rFonts w:eastAsia="Calibri"/>
            <w:noProof/>
          </w:rPr>
          <w:t>Prehľad rozpočtových pravidiel týkajúcich sa Slovenska</w:t>
        </w:r>
        <w:r w:rsidR="00A3122C">
          <w:rPr>
            <w:noProof/>
            <w:webHidden/>
          </w:rPr>
          <w:tab/>
        </w:r>
        <w:r w:rsidR="00A3122C">
          <w:rPr>
            <w:noProof/>
            <w:webHidden/>
          </w:rPr>
          <w:fldChar w:fldCharType="begin"/>
        </w:r>
        <w:r w:rsidR="00A3122C">
          <w:rPr>
            <w:noProof/>
            <w:webHidden/>
          </w:rPr>
          <w:instrText xml:space="preserve"> PAGEREF _Toc49506874 \h </w:instrText>
        </w:r>
        <w:r w:rsidR="00A3122C">
          <w:rPr>
            <w:noProof/>
            <w:webHidden/>
          </w:rPr>
        </w:r>
        <w:r w:rsidR="00A3122C">
          <w:rPr>
            <w:noProof/>
            <w:webHidden/>
          </w:rPr>
          <w:fldChar w:fldCharType="separate"/>
        </w:r>
        <w:r w:rsidR="00A3122C">
          <w:rPr>
            <w:noProof/>
            <w:webHidden/>
          </w:rPr>
          <w:t>14</w:t>
        </w:r>
        <w:r w:rsidR="00A3122C">
          <w:rPr>
            <w:noProof/>
            <w:webHidden/>
          </w:rPr>
          <w:fldChar w:fldCharType="end"/>
        </w:r>
      </w:hyperlink>
    </w:p>
    <w:p w14:paraId="5E7B4CE3" w14:textId="6733B0B2" w:rsidR="00A3122C" w:rsidRDefault="008A30C7">
      <w:pPr>
        <w:pStyle w:val="TOC1"/>
        <w:tabs>
          <w:tab w:val="left" w:pos="440"/>
          <w:tab w:val="right" w:leader="underscore" w:pos="9060"/>
        </w:tabs>
        <w:rPr>
          <w:rFonts w:asciiTheme="minorHAnsi" w:eastAsiaTheme="minorEastAsia" w:hAnsiTheme="minorHAnsi" w:cstheme="minorBidi"/>
          <w:b w:val="0"/>
          <w:noProof/>
          <w:szCs w:val="22"/>
          <w:lang w:val="en-US" w:eastAsia="en-US"/>
        </w:rPr>
      </w:pPr>
      <w:hyperlink w:anchor="_Toc49506875" w:history="1">
        <w:r w:rsidR="00A3122C" w:rsidRPr="00C35631">
          <w:rPr>
            <w:rStyle w:val="Hyperlink"/>
            <w:rFonts w:eastAsia="Calibri"/>
            <w:noProof/>
          </w:rPr>
          <w:t>2</w:t>
        </w:r>
        <w:r w:rsidR="00A3122C">
          <w:rPr>
            <w:rFonts w:asciiTheme="minorHAnsi" w:eastAsiaTheme="minorEastAsia" w:hAnsiTheme="minorHAnsi" w:cstheme="minorBidi"/>
            <w:b w:val="0"/>
            <w:noProof/>
            <w:szCs w:val="22"/>
            <w:lang w:val="en-US" w:eastAsia="en-US"/>
          </w:rPr>
          <w:tab/>
        </w:r>
        <w:r w:rsidR="00A3122C" w:rsidRPr="00C35631">
          <w:rPr>
            <w:rStyle w:val="Hyperlink"/>
            <w:rFonts w:eastAsia="Calibri"/>
            <w:noProof/>
          </w:rPr>
          <w:t>Plnenie pravidiel rozpočtovej zodpovednosti</w:t>
        </w:r>
        <w:r w:rsidR="00A3122C">
          <w:rPr>
            <w:noProof/>
            <w:webHidden/>
          </w:rPr>
          <w:tab/>
        </w:r>
        <w:r w:rsidR="00A3122C">
          <w:rPr>
            <w:noProof/>
            <w:webHidden/>
          </w:rPr>
          <w:fldChar w:fldCharType="begin"/>
        </w:r>
        <w:r w:rsidR="00A3122C">
          <w:rPr>
            <w:noProof/>
            <w:webHidden/>
          </w:rPr>
          <w:instrText xml:space="preserve"> PAGEREF _Toc49506875 \h </w:instrText>
        </w:r>
        <w:r w:rsidR="00A3122C">
          <w:rPr>
            <w:noProof/>
            <w:webHidden/>
          </w:rPr>
        </w:r>
        <w:r w:rsidR="00A3122C">
          <w:rPr>
            <w:noProof/>
            <w:webHidden/>
          </w:rPr>
          <w:fldChar w:fldCharType="separate"/>
        </w:r>
        <w:r w:rsidR="00A3122C">
          <w:rPr>
            <w:noProof/>
            <w:webHidden/>
          </w:rPr>
          <w:t>16</w:t>
        </w:r>
        <w:r w:rsidR="00A3122C">
          <w:rPr>
            <w:noProof/>
            <w:webHidden/>
          </w:rPr>
          <w:fldChar w:fldCharType="end"/>
        </w:r>
      </w:hyperlink>
    </w:p>
    <w:p w14:paraId="3B419A4D" w14:textId="0F06A4BE" w:rsidR="00A3122C" w:rsidRDefault="008A30C7">
      <w:pPr>
        <w:pStyle w:val="TOC2"/>
        <w:rPr>
          <w:rFonts w:asciiTheme="minorHAnsi" w:eastAsiaTheme="minorEastAsia" w:hAnsiTheme="minorHAnsi" w:cstheme="minorBidi"/>
          <w:noProof/>
          <w:szCs w:val="22"/>
          <w:lang w:val="en-US" w:eastAsia="en-US"/>
        </w:rPr>
      </w:pPr>
      <w:hyperlink w:anchor="_Toc49506876" w:history="1">
        <w:r w:rsidR="00A3122C" w:rsidRPr="00C35631">
          <w:rPr>
            <w:rStyle w:val="Hyperlink"/>
            <w:rFonts w:eastAsia="Calibri"/>
            <w:noProof/>
          </w:rPr>
          <w:t>2.1</w:t>
        </w:r>
        <w:r w:rsidR="00A3122C">
          <w:rPr>
            <w:rFonts w:asciiTheme="minorHAnsi" w:eastAsiaTheme="minorEastAsia" w:hAnsiTheme="minorHAnsi" w:cstheme="minorBidi"/>
            <w:noProof/>
            <w:szCs w:val="22"/>
            <w:lang w:val="en-US" w:eastAsia="en-US"/>
          </w:rPr>
          <w:tab/>
        </w:r>
        <w:r w:rsidR="00A3122C" w:rsidRPr="00C35631">
          <w:rPr>
            <w:rStyle w:val="Hyperlink"/>
            <w:rFonts w:eastAsia="Calibri"/>
            <w:noProof/>
          </w:rPr>
          <w:t>Limit dlhu verejnej správy</w:t>
        </w:r>
        <w:r w:rsidR="00A3122C">
          <w:rPr>
            <w:noProof/>
            <w:webHidden/>
          </w:rPr>
          <w:tab/>
        </w:r>
        <w:r w:rsidR="00A3122C">
          <w:rPr>
            <w:noProof/>
            <w:webHidden/>
          </w:rPr>
          <w:fldChar w:fldCharType="begin"/>
        </w:r>
        <w:r w:rsidR="00A3122C">
          <w:rPr>
            <w:noProof/>
            <w:webHidden/>
          </w:rPr>
          <w:instrText xml:space="preserve"> PAGEREF _Toc49506876 \h </w:instrText>
        </w:r>
        <w:r w:rsidR="00A3122C">
          <w:rPr>
            <w:noProof/>
            <w:webHidden/>
          </w:rPr>
        </w:r>
        <w:r w:rsidR="00A3122C">
          <w:rPr>
            <w:noProof/>
            <w:webHidden/>
          </w:rPr>
          <w:fldChar w:fldCharType="separate"/>
        </w:r>
        <w:r w:rsidR="00A3122C">
          <w:rPr>
            <w:noProof/>
            <w:webHidden/>
          </w:rPr>
          <w:t>16</w:t>
        </w:r>
        <w:r w:rsidR="00A3122C">
          <w:rPr>
            <w:noProof/>
            <w:webHidden/>
          </w:rPr>
          <w:fldChar w:fldCharType="end"/>
        </w:r>
      </w:hyperlink>
    </w:p>
    <w:p w14:paraId="5EC93CC9" w14:textId="488B81CA" w:rsidR="00A3122C" w:rsidRDefault="008A30C7">
      <w:pPr>
        <w:pStyle w:val="TOC2"/>
        <w:rPr>
          <w:rFonts w:asciiTheme="minorHAnsi" w:eastAsiaTheme="minorEastAsia" w:hAnsiTheme="minorHAnsi" w:cstheme="minorBidi"/>
          <w:noProof/>
          <w:szCs w:val="22"/>
          <w:lang w:val="en-US" w:eastAsia="en-US"/>
        </w:rPr>
      </w:pPr>
      <w:hyperlink w:anchor="_Toc49506877" w:history="1">
        <w:r w:rsidR="00A3122C" w:rsidRPr="00C35631">
          <w:rPr>
            <w:rStyle w:val="Hyperlink"/>
            <w:rFonts w:eastAsia="Calibri"/>
            <w:noProof/>
          </w:rPr>
          <w:t>2.2</w:t>
        </w:r>
        <w:r w:rsidR="00A3122C">
          <w:rPr>
            <w:rFonts w:asciiTheme="minorHAnsi" w:eastAsiaTheme="minorEastAsia" w:hAnsiTheme="minorHAnsi" w:cstheme="minorBidi"/>
            <w:noProof/>
            <w:szCs w:val="22"/>
            <w:lang w:val="en-US" w:eastAsia="en-US"/>
          </w:rPr>
          <w:tab/>
        </w:r>
        <w:r w:rsidR="00A3122C" w:rsidRPr="00C35631">
          <w:rPr>
            <w:rStyle w:val="Hyperlink"/>
            <w:rFonts w:eastAsia="Calibri"/>
            <w:noProof/>
          </w:rPr>
          <w:t>Osobitné ustanovenia pre územnú samosprávu</w:t>
        </w:r>
        <w:r w:rsidR="00A3122C">
          <w:rPr>
            <w:noProof/>
            <w:webHidden/>
          </w:rPr>
          <w:tab/>
        </w:r>
        <w:r w:rsidR="00A3122C">
          <w:rPr>
            <w:noProof/>
            <w:webHidden/>
          </w:rPr>
          <w:fldChar w:fldCharType="begin"/>
        </w:r>
        <w:r w:rsidR="00A3122C">
          <w:rPr>
            <w:noProof/>
            <w:webHidden/>
          </w:rPr>
          <w:instrText xml:space="preserve"> PAGEREF _Toc49506877 \h </w:instrText>
        </w:r>
        <w:r w:rsidR="00A3122C">
          <w:rPr>
            <w:noProof/>
            <w:webHidden/>
          </w:rPr>
        </w:r>
        <w:r w:rsidR="00A3122C">
          <w:rPr>
            <w:noProof/>
            <w:webHidden/>
          </w:rPr>
          <w:fldChar w:fldCharType="separate"/>
        </w:r>
        <w:r w:rsidR="00A3122C">
          <w:rPr>
            <w:noProof/>
            <w:webHidden/>
          </w:rPr>
          <w:t>20</w:t>
        </w:r>
        <w:r w:rsidR="00A3122C">
          <w:rPr>
            <w:noProof/>
            <w:webHidden/>
          </w:rPr>
          <w:fldChar w:fldCharType="end"/>
        </w:r>
      </w:hyperlink>
    </w:p>
    <w:p w14:paraId="692DC96D" w14:textId="6CFC2F78" w:rsidR="00A3122C" w:rsidRDefault="008A30C7">
      <w:pPr>
        <w:pStyle w:val="TOC2"/>
        <w:rPr>
          <w:rFonts w:asciiTheme="minorHAnsi" w:eastAsiaTheme="minorEastAsia" w:hAnsiTheme="minorHAnsi" w:cstheme="minorBidi"/>
          <w:noProof/>
          <w:szCs w:val="22"/>
          <w:lang w:val="en-US" w:eastAsia="en-US"/>
        </w:rPr>
      </w:pPr>
      <w:hyperlink w:anchor="_Toc49506878" w:history="1">
        <w:r w:rsidR="00A3122C" w:rsidRPr="00C35631">
          <w:rPr>
            <w:rStyle w:val="Hyperlink"/>
            <w:rFonts w:eastAsia="Calibri"/>
            <w:noProof/>
          </w:rPr>
          <w:t>2.3</w:t>
        </w:r>
        <w:r w:rsidR="00A3122C">
          <w:rPr>
            <w:rFonts w:asciiTheme="minorHAnsi" w:eastAsiaTheme="minorEastAsia" w:hAnsiTheme="minorHAnsi" w:cstheme="minorBidi"/>
            <w:noProof/>
            <w:szCs w:val="22"/>
            <w:lang w:val="en-US" w:eastAsia="en-US"/>
          </w:rPr>
          <w:tab/>
        </w:r>
        <w:r w:rsidR="00A3122C" w:rsidRPr="00C35631">
          <w:rPr>
            <w:rStyle w:val="Hyperlink"/>
            <w:rFonts w:eastAsia="Calibri"/>
            <w:noProof/>
          </w:rPr>
          <w:t>Ukazovateľ dlhodobej udržateľnosti a limit verejných výdavkov</w:t>
        </w:r>
        <w:r w:rsidR="00A3122C">
          <w:rPr>
            <w:noProof/>
            <w:webHidden/>
          </w:rPr>
          <w:tab/>
        </w:r>
        <w:r w:rsidR="00A3122C">
          <w:rPr>
            <w:noProof/>
            <w:webHidden/>
          </w:rPr>
          <w:fldChar w:fldCharType="begin"/>
        </w:r>
        <w:r w:rsidR="00A3122C">
          <w:rPr>
            <w:noProof/>
            <w:webHidden/>
          </w:rPr>
          <w:instrText xml:space="preserve"> PAGEREF _Toc49506878 \h </w:instrText>
        </w:r>
        <w:r w:rsidR="00A3122C">
          <w:rPr>
            <w:noProof/>
            <w:webHidden/>
          </w:rPr>
        </w:r>
        <w:r w:rsidR="00A3122C">
          <w:rPr>
            <w:noProof/>
            <w:webHidden/>
          </w:rPr>
          <w:fldChar w:fldCharType="separate"/>
        </w:r>
        <w:r w:rsidR="00A3122C">
          <w:rPr>
            <w:noProof/>
            <w:webHidden/>
          </w:rPr>
          <w:t>27</w:t>
        </w:r>
        <w:r w:rsidR="00A3122C">
          <w:rPr>
            <w:noProof/>
            <w:webHidden/>
          </w:rPr>
          <w:fldChar w:fldCharType="end"/>
        </w:r>
      </w:hyperlink>
    </w:p>
    <w:p w14:paraId="1C9555B5" w14:textId="7BFA54CA" w:rsidR="00A3122C" w:rsidRDefault="008A30C7">
      <w:pPr>
        <w:pStyle w:val="TOC2"/>
        <w:rPr>
          <w:rFonts w:asciiTheme="minorHAnsi" w:eastAsiaTheme="minorEastAsia" w:hAnsiTheme="minorHAnsi" w:cstheme="minorBidi"/>
          <w:noProof/>
          <w:szCs w:val="22"/>
          <w:lang w:val="en-US" w:eastAsia="en-US"/>
        </w:rPr>
      </w:pPr>
      <w:hyperlink w:anchor="_Toc49506879" w:history="1">
        <w:r w:rsidR="00A3122C" w:rsidRPr="00C35631">
          <w:rPr>
            <w:rStyle w:val="Hyperlink"/>
            <w:rFonts w:eastAsia="Calibri"/>
            <w:noProof/>
          </w:rPr>
          <w:t>2.4</w:t>
        </w:r>
        <w:r w:rsidR="00A3122C">
          <w:rPr>
            <w:rFonts w:asciiTheme="minorHAnsi" w:eastAsiaTheme="minorEastAsia" w:hAnsiTheme="minorHAnsi" w:cstheme="minorBidi"/>
            <w:noProof/>
            <w:szCs w:val="22"/>
            <w:lang w:val="en-US" w:eastAsia="en-US"/>
          </w:rPr>
          <w:tab/>
        </w:r>
        <w:r w:rsidR="00A3122C" w:rsidRPr="00C35631">
          <w:rPr>
            <w:rStyle w:val="Hyperlink"/>
            <w:rFonts w:eastAsia="Calibri"/>
            <w:noProof/>
          </w:rPr>
          <w:t>Odporúčania RRZ na posilnenie rozpočtovej zodpovednosti</w:t>
        </w:r>
        <w:r w:rsidR="00A3122C">
          <w:rPr>
            <w:noProof/>
            <w:webHidden/>
          </w:rPr>
          <w:tab/>
        </w:r>
        <w:r w:rsidR="00A3122C">
          <w:rPr>
            <w:noProof/>
            <w:webHidden/>
          </w:rPr>
          <w:fldChar w:fldCharType="begin"/>
        </w:r>
        <w:r w:rsidR="00A3122C">
          <w:rPr>
            <w:noProof/>
            <w:webHidden/>
          </w:rPr>
          <w:instrText xml:space="preserve"> PAGEREF _Toc49506879 \h </w:instrText>
        </w:r>
        <w:r w:rsidR="00A3122C">
          <w:rPr>
            <w:noProof/>
            <w:webHidden/>
          </w:rPr>
        </w:r>
        <w:r w:rsidR="00A3122C">
          <w:rPr>
            <w:noProof/>
            <w:webHidden/>
          </w:rPr>
          <w:fldChar w:fldCharType="separate"/>
        </w:r>
        <w:r w:rsidR="00A3122C">
          <w:rPr>
            <w:noProof/>
            <w:webHidden/>
          </w:rPr>
          <w:t>29</w:t>
        </w:r>
        <w:r w:rsidR="00A3122C">
          <w:rPr>
            <w:noProof/>
            <w:webHidden/>
          </w:rPr>
          <w:fldChar w:fldCharType="end"/>
        </w:r>
      </w:hyperlink>
    </w:p>
    <w:p w14:paraId="2805C4F1" w14:textId="1FE6F9CC" w:rsidR="00A3122C" w:rsidRDefault="008A30C7">
      <w:pPr>
        <w:pStyle w:val="TOC1"/>
        <w:tabs>
          <w:tab w:val="left" w:pos="440"/>
          <w:tab w:val="right" w:leader="underscore" w:pos="9060"/>
        </w:tabs>
        <w:rPr>
          <w:rFonts w:asciiTheme="minorHAnsi" w:eastAsiaTheme="minorEastAsia" w:hAnsiTheme="minorHAnsi" w:cstheme="minorBidi"/>
          <w:b w:val="0"/>
          <w:noProof/>
          <w:szCs w:val="22"/>
          <w:lang w:val="en-US" w:eastAsia="en-US"/>
        </w:rPr>
      </w:pPr>
      <w:hyperlink w:anchor="_Toc49506880" w:history="1">
        <w:r w:rsidR="00A3122C" w:rsidRPr="00C35631">
          <w:rPr>
            <w:rStyle w:val="Hyperlink"/>
            <w:rFonts w:eastAsia="Calibri"/>
            <w:noProof/>
          </w:rPr>
          <w:t>3</w:t>
        </w:r>
        <w:r w:rsidR="00A3122C">
          <w:rPr>
            <w:rFonts w:asciiTheme="minorHAnsi" w:eastAsiaTheme="minorEastAsia" w:hAnsiTheme="minorHAnsi" w:cstheme="minorBidi"/>
            <w:b w:val="0"/>
            <w:noProof/>
            <w:szCs w:val="22"/>
            <w:lang w:val="en-US" w:eastAsia="en-US"/>
          </w:rPr>
          <w:tab/>
        </w:r>
        <w:r w:rsidR="00A3122C" w:rsidRPr="00C35631">
          <w:rPr>
            <w:rStyle w:val="Hyperlink"/>
            <w:rFonts w:eastAsia="Calibri"/>
            <w:noProof/>
          </w:rPr>
          <w:t>Plnenie pravidiel rozpočtovej transparentnosti</w:t>
        </w:r>
        <w:r w:rsidR="00A3122C">
          <w:rPr>
            <w:noProof/>
            <w:webHidden/>
          </w:rPr>
          <w:tab/>
        </w:r>
        <w:r w:rsidR="00A3122C">
          <w:rPr>
            <w:noProof/>
            <w:webHidden/>
          </w:rPr>
          <w:fldChar w:fldCharType="begin"/>
        </w:r>
        <w:r w:rsidR="00A3122C">
          <w:rPr>
            <w:noProof/>
            <w:webHidden/>
          </w:rPr>
          <w:instrText xml:space="preserve"> PAGEREF _Toc49506880 \h </w:instrText>
        </w:r>
        <w:r w:rsidR="00A3122C">
          <w:rPr>
            <w:noProof/>
            <w:webHidden/>
          </w:rPr>
        </w:r>
        <w:r w:rsidR="00A3122C">
          <w:rPr>
            <w:noProof/>
            <w:webHidden/>
          </w:rPr>
          <w:fldChar w:fldCharType="separate"/>
        </w:r>
        <w:r w:rsidR="00A3122C">
          <w:rPr>
            <w:noProof/>
            <w:webHidden/>
          </w:rPr>
          <w:t>31</w:t>
        </w:r>
        <w:r w:rsidR="00A3122C">
          <w:rPr>
            <w:noProof/>
            <w:webHidden/>
          </w:rPr>
          <w:fldChar w:fldCharType="end"/>
        </w:r>
      </w:hyperlink>
    </w:p>
    <w:p w14:paraId="00611045" w14:textId="6E030A44" w:rsidR="00A3122C" w:rsidRDefault="008A30C7">
      <w:pPr>
        <w:pStyle w:val="TOC2"/>
        <w:rPr>
          <w:rFonts w:asciiTheme="minorHAnsi" w:eastAsiaTheme="minorEastAsia" w:hAnsiTheme="minorHAnsi" w:cstheme="minorBidi"/>
          <w:noProof/>
          <w:szCs w:val="22"/>
          <w:lang w:val="en-US" w:eastAsia="en-US"/>
        </w:rPr>
      </w:pPr>
      <w:hyperlink w:anchor="_Toc49506881" w:history="1">
        <w:r w:rsidR="00A3122C" w:rsidRPr="00C35631">
          <w:rPr>
            <w:rStyle w:val="Hyperlink"/>
            <w:rFonts w:eastAsia="Calibri"/>
            <w:noProof/>
          </w:rPr>
          <w:t>3.1</w:t>
        </w:r>
        <w:r w:rsidR="00A3122C">
          <w:rPr>
            <w:rFonts w:asciiTheme="minorHAnsi" w:eastAsiaTheme="minorEastAsia" w:hAnsiTheme="minorHAnsi" w:cstheme="minorBidi"/>
            <w:noProof/>
            <w:szCs w:val="22"/>
            <w:lang w:val="en-US" w:eastAsia="en-US"/>
          </w:rPr>
          <w:tab/>
        </w:r>
        <w:r w:rsidR="00A3122C" w:rsidRPr="00C35631">
          <w:rPr>
            <w:rStyle w:val="Hyperlink"/>
            <w:rFonts w:eastAsia="Calibri"/>
            <w:noProof/>
          </w:rPr>
          <w:t>Výbory</w:t>
        </w:r>
        <w:r w:rsidR="00A3122C">
          <w:rPr>
            <w:noProof/>
            <w:webHidden/>
          </w:rPr>
          <w:tab/>
        </w:r>
        <w:r w:rsidR="00A3122C">
          <w:rPr>
            <w:noProof/>
            <w:webHidden/>
          </w:rPr>
          <w:fldChar w:fldCharType="begin"/>
        </w:r>
        <w:r w:rsidR="00A3122C">
          <w:rPr>
            <w:noProof/>
            <w:webHidden/>
          </w:rPr>
          <w:instrText xml:space="preserve"> PAGEREF _Toc49506881 \h </w:instrText>
        </w:r>
        <w:r w:rsidR="00A3122C">
          <w:rPr>
            <w:noProof/>
            <w:webHidden/>
          </w:rPr>
        </w:r>
        <w:r w:rsidR="00A3122C">
          <w:rPr>
            <w:noProof/>
            <w:webHidden/>
          </w:rPr>
          <w:fldChar w:fldCharType="separate"/>
        </w:r>
        <w:r w:rsidR="00A3122C">
          <w:rPr>
            <w:noProof/>
            <w:webHidden/>
          </w:rPr>
          <w:t>31</w:t>
        </w:r>
        <w:r w:rsidR="00A3122C">
          <w:rPr>
            <w:noProof/>
            <w:webHidden/>
          </w:rPr>
          <w:fldChar w:fldCharType="end"/>
        </w:r>
      </w:hyperlink>
    </w:p>
    <w:p w14:paraId="26B9DBD1" w14:textId="2016A53D" w:rsidR="00A3122C" w:rsidRDefault="008A30C7">
      <w:pPr>
        <w:pStyle w:val="TOC2"/>
        <w:rPr>
          <w:rFonts w:asciiTheme="minorHAnsi" w:eastAsiaTheme="minorEastAsia" w:hAnsiTheme="minorHAnsi" w:cstheme="minorBidi"/>
          <w:noProof/>
          <w:szCs w:val="22"/>
          <w:lang w:val="en-US" w:eastAsia="en-US"/>
        </w:rPr>
      </w:pPr>
      <w:hyperlink w:anchor="_Toc49506882" w:history="1">
        <w:r w:rsidR="00A3122C" w:rsidRPr="00C35631">
          <w:rPr>
            <w:rStyle w:val="Hyperlink"/>
            <w:rFonts w:eastAsia="Calibri"/>
            <w:noProof/>
          </w:rPr>
          <w:t>3.2</w:t>
        </w:r>
        <w:r w:rsidR="00A3122C">
          <w:rPr>
            <w:rFonts w:asciiTheme="minorHAnsi" w:eastAsiaTheme="minorEastAsia" w:hAnsiTheme="minorHAnsi" w:cstheme="minorBidi"/>
            <w:noProof/>
            <w:szCs w:val="22"/>
            <w:lang w:val="en-US" w:eastAsia="en-US"/>
          </w:rPr>
          <w:tab/>
        </w:r>
        <w:r w:rsidR="00A3122C" w:rsidRPr="00C35631">
          <w:rPr>
            <w:rStyle w:val="Hyperlink"/>
            <w:rFonts w:eastAsia="Calibri"/>
            <w:noProof/>
          </w:rPr>
          <w:t>Zverejňovanie údajov</w:t>
        </w:r>
        <w:r w:rsidR="00A3122C">
          <w:rPr>
            <w:noProof/>
            <w:webHidden/>
          </w:rPr>
          <w:tab/>
        </w:r>
        <w:r w:rsidR="00A3122C">
          <w:rPr>
            <w:noProof/>
            <w:webHidden/>
          </w:rPr>
          <w:fldChar w:fldCharType="begin"/>
        </w:r>
        <w:r w:rsidR="00A3122C">
          <w:rPr>
            <w:noProof/>
            <w:webHidden/>
          </w:rPr>
          <w:instrText xml:space="preserve"> PAGEREF _Toc49506882 \h </w:instrText>
        </w:r>
        <w:r w:rsidR="00A3122C">
          <w:rPr>
            <w:noProof/>
            <w:webHidden/>
          </w:rPr>
        </w:r>
        <w:r w:rsidR="00A3122C">
          <w:rPr>
            <w:noProof/>
            <w:webHidden/>
          </w:rPr>
          <w:fldChar w:fldCharType="separate"/>
        </w:r>
        <w:r w:rsidR="00A3122C">
          <w:rPr>
            <w:noProof/>
            <w:webHidden/>
          </w:rPr>
          <w:t>34</w:t>
        </w:r>
        <w:r w:rsidR="00A3122C">
          <w:rPr>
            <w:noProof/>
            <w:webHidden/>
          </w:rPr>
          <w:fldChar w:fldCharType="end"/>
        </w:r>
      </w:hyperlink>
    </w:p>
    <w:p w14:paraId="4332B5F9" w14:textId="665BFEC8" w:rsidR="00A3122C" w:rsidRDefault="008A30C7">
      <w:pPr>
        <w:pStyle w:val="TOC2"/>
        <w:rPr>
          <w:rFonts w:asciiTheme="minorHAnsi" w:eastAsiaTheme="minorEastAsia" w:hAnsiTheme="minorHAnsi" w:cstheme="minorBidi"/>
          <w:noProof/>
          <w:szCs w:val="22"/>
          <w:lang w:val="en-US" w:eastAsia="en-US"/>
        </w:rPr>
      </w:pPr>
      <w:hyperlink w:anchor="_Toc49506883" w:history="1">
        <w:r w:rsidR="00A3122C" w:rsidRPr="00C35631">
          <w:rPr>
            <w:rStyle w:val="Hyperlink"/>
            <w:rFonts w:eastAsia="Calibri"/>
            <w:noProof/>
          </w:rPr>
          <w:t>3.3</w:t>
        </w:r>
        <w:r w:rsidR="00A3122C">
          <w:rPr>
            <w:rFonts w:asciiTheme="minorHAnsi" w:eastAsiaTheme="minorEastAsia" w:hAnsiTheme="minorHAnsi" w:cstheme="minorBidi"/>
            <w:noProof/>
            <w:szCs w:val="22"/>
            <w:lang w:val="en-US" w:eastAsia="en-US"/>
          </w:rPr>
          <w:tab/>
        </w:r>
        <w:r w:rsidR="00A3122C" w:rsidRPr="00C35631">
          <w:rPr>
            <w:rStyle w:val="Hyperlink"/>
            <w:rFonts w:eastAsia="Calibri"/>
            <w:noProof/>
          </w:rPr>
          <w:t>Odporúčania RRZ na zlepšenie rozpočtovej transparentnosti</w:t>
        </w:r>
        <w:r w:rsidR="00A3122C">
          <w:rPr>
            <w:noProof/>
            <w:webHidden/>
          </w:rPr>
          <w:tab/>
        </w:r>
        <w:r w:rsidR="00A3122C">
          <w:rPr>
            <w:noProof/>
            <w:webHidden/>
          </w:rPr>
          <w:fldChar w:fldCharType="begin"/>
        </w:r>
        <w:r w:rsidR="00A3122C">
          <w:rPr>
            <w:noProof/>
            <w:webHidden/>
          </w:rPr>
          <w:instrText xml:space="preserve"> PAGEREF _Toc49506883 \h </w:instrText>
        </w:r>
        <w:r w:rsidR="00A3122C">
          <w:rPr>
            <w:noProof/>
            <w:webHidden/>
          </w:rPr>
        </w:r>
        <w:r w:rsidR="00A3122C">
          <w:rPr>
            <w:noProof/>
            <w:webHidden/>
          </w:rPr>
          <w:fldChar w:fldCharType="separate"/>
        </w:r>
        <w:r w:rsidR="00A3122C">
          <w:rPr>
            <w:noProof/>
            <w:webHidden/>
          </w:rPr>
          <w:t>43</w:t>
        </w:r>
        <w:r w:rsidR="00A3122C">
          <w:rPr>
            <w:noProof/>
            <w:webHidden/>
          </w:rPr>
          <w:fldChar w:fldCharType="end"/>
        </w:r>
      </w:hyperlink>
    </w:p>
    <w:p w14:paraId="0B7BD98B" w14:textId="12200818" w:rsidR="00A3122C" w:rsidRDefault="008A30C7">
      <w:pPr>
        <w:pStyle w:val="TOC1"/>
        <w:tabs>
          <w:tab w:val="right" w:leader="underscore" w:pos="9060"/>
        </w:tabs>
        <w:rPr>
          <w:rFonts w:asciiTheme="minorHAnsi" w:eastAsiaTheme="minorEastAsia" w:hAnsiTheme="minorHAnsi" w:cstheme="minorBidi"/>
          <w:b w:val="0"/>
          <w:noProof/>
          <w:szCs w:val="22"/>
          <w:lang w:val="en-US" w:eastAsia="en-US"/>
        </w:rPr>
      </w:pPr>
      <w:hyperlink w:anchor="_Toc49506884" w:history="1">
        <w:r w:rsidR="00A3122C" w:rsidRPr="00C35631">
          <w:rPr>
            <w:rStyle w:val="Hyperlink"/>
            <w:rFonts w:eastAsia="Calibri"/>
            <w:noProof/>
          </w:rPr>
          <w:t>Referencie</w:t>
        </w:r>
        <w:r w:rsidR="00A3122C">
          <w:rPr>
            <w:noProof/>
            <w:webHidden/>
          </w:rPr>
          <w:tab/>
        </w:r>
        <w:r w:rsidR="00A3122C">
          <w:rPr>
            <w:noProof/>
            <w:webHidden/>
          </w:rPr>
          <w:fldChar w:fldCharType="begin"/>
        </w:r>
        <w:r w:rsidR="00A3122C">
          <w:rPr>
            <w:noProof/>
            <w:webHidden/>
          </w:rPr>
          <w:instrText xml:space="preserve"> PAGEREF _Toc49506884 \h </w:instrText>
        </w:r>
        <w:r w:rsidR="00A3122C">
          <w:rPr>
            <w:noProof/>
            <w:webHidden/>
          </w:rPr>
        </w:r>
        <w:r w:rsidR="00A3122C">
          <w:rPr>
            <w:noProof/>
            <w:webHidden/>
          </w:rPr>
          <w:fldChar w:fldCharType="separate"/>
        </w:r>
        <w:r w:rsidR="00A3122C">
          <w:rPr>
            <w:noProof/>
            <w:webHidden/>
          </w:rPr>
          <w:t>45</w:t>
        </w:r>
        <w:r w:rsidR="00A3122C">
          <w:rPr>
            <w:noProof/>
            <w:webHidden/>
          </w:rPr>
          <w:fldChar w:fldCharType="end"/>
        </w:r>
      </w:hyperlink>
    </w:p>
    <w:p w14:paraId="295552EF" w14:textId="33E8577C" w:rsidR="00A3122C" w:rsidRDefault="008A30C7">
      <w:pPr>
        <w:pStyle w:val="TOC1"/>
        <w:tabs>
          <w:tab w:val="right" w:leader="underscore" w:pos="9060"/>
        </w:tabs>
        <w:rPr>
          <w:rFonts w:asciiTheme="minorHAnsi" w:eastAsiaTheme="minorEastAsia" w:hAnsiTheme="minorHAnsi" w:cstheme="minorBidi"/>
          <w:b w:val="0"/>
          <w:noProof/>
          <w:szCs w:val="22"/>
          <w:lang w:val="en-US" w:eastAsia="en-US"/>
        </w:rPr>
      </w:pPr>
      <w:hyperlink w:anchor="_Toc49506885" w:history="1">
        <w:r w:rsidR="00A3122C" w:rsidRPr="00C35631">
          <w:rPr>
            <w:rStyle w:val="Hyperlink"/>
            <w:rFonts w:eastAsia="Calibri"/>
            <w:noProof/>
          </w:rPr>
          <w:t>Príloha 1 – Prehľad plnenia pravidiel rozpočtovej zodpovednosti a transparentnosti</w:t>
        </w:r>
        <w:r w:rsidR="00A3122C">
          <w:rPr>
            <w:noProof/>
            <w:webHidden/>
          </w:rPr>
          <w:tab/>
        </w:r>
        <w:r w:rsidR="00A3122C">
          <w:rPr>
            <w:noProof/>
            <w:webHidden/>
          </w:rPr>
          <w:fldChar w:fldCharType="begin"/>
        </w:r>
        <w:r w:rsidR="00A3122C">
          <w:rPr>
            <w:noProof/>
            <w:webHidden/>
          </w:rPr>
          <w:instrText xml:space="preserve"> PAGEREF _Toc49506885 \h </w:instrText>
        </w:r>
        <w:r w:rsidR="00A3122C">
          <w:rPr>
            <w:noProof/>
            <w:webHidden/>
          </w:rPr>
        </w:r>
        <w:r w:rsidR="00A3122C">
          <w:rPr>
            <w:noProof/>
            <w:webHidden/>
          </w:rPr>
          <w:fldChar w:fldCharType="separate"/>
        </w:r>
        <w:r w:rsidR="00A3122C">
          <w:rPr>
            <w:noProof/>
            <w:webHidden/>
          </w:rPr>
          <w:t>47</w:t>
        </w:r>
        <w:r w:rsidR="00A3122C">
          <w:rPr>
            <w:noProof/>
            <w:webHidden/>
          </w:rPr>
          <w:fldChar w:fldCharType="end"/>
        </w:r>
      </w:hyperlink>
    </w:p>
    <w:p w14:paraId="495B5F75" w14:textId="1139D323" w:rsidR="00A3122C" w:rsidRDefault="008A30C7">
      <w:pPr>
        <w:pStyle w:val="TOC1"/>
        <w:tabs>
          <w:tab w:val="right" w:leader="underscore" w:pos="9060"/>
        </w:tabs>
        <w:rPr>
          <w:rFonts w:asciiTheme="minorHAnsi" w:eastAsiaTheme="minorEastAsia" w:hAnsiTheme="minorHAnsi" w:cstheme="minorBidi"/>
          <w:b w:val="0"/>
          <w:noProof/>
          <w:szCs w:val="22"/>
          <w:lang w:val="en-US" w:eastAsia="en-US"/>
        </w:rPr>
      </w:pPr>
      <w:hyperlink w:anchor="_Toc49506886" w:history="1">
        <w:r w:rsidR="00A3122C" w:rsidRPr="00C35631">
          <w:rPr>
            <w:rStyle w:val="Hyperlink"/>
            <w:rFonts w:eastAsia="Calibri"/>
            <w:noProof/>
          </w:rPr>
          <w:t>Príloha 2 – Prehľad plnenia odporúčaní RRZ</w:t>
        </w:r>
        <w:r w:rsidR="00A3122C">
          <w:rPr>
            <w:noProof/>
            <w:webHidden/>
          </w:rPr>
          <w:tab/>
        </w:r>
        <w:r w:rsidR="00A3122C">
          <w:rPr>
            <w:noProof/>
            <w:webHidden/>
          </w:rPr>
          <w:fldChar w:fldCharType="begin"/>
        </w:r>
        <w:r w:rsidR="00A3122C">
          <w:rPr>
            <w:noProof/>
            <w:webHidden/>
          </w:rPr>
          <w:instrText xml:space="preserve"> PAGEREF _Toc49506886 \h </w:instrText>
        </w:r>
        <w:r w:rsidR="00A3122C">
          <w:rPr>
            <w:noProof/>
            <w:webHidden/>
          </w:rPr>
        </w:r>
        <w:r w:rsidR="00A3122C">
          <w:rPr>
            <w:noProof/>
            <w:webHidden/>
          </w:rPr>
          <w:fldChar w:fldCharType="separate"/>
        </w:r>
        <w:r w:rsidR="00A3122C">
          <w:rPr>
            <w:noProof/>
            <w:webHidden/>
          </w:rPr>
          <w:t>50</w:t>
        </w:r>
        <w:r w:rsidR="00A3122C">
          <w:rPr>
            <w:noProof/>
            <w:webHidden/>
          </w:rPr>
          <w:fldChar w:fldCharType="end"/>
        </w:r>
      </w:hyperlink>
    </w:p>
    <w:p w14:paraId="5169F407" w14:textId="0A1C1727" w:rsidR="00A3122C" w:rsidRDefault="008A30C7">
      <w:pPr>
        <w:pStyle w:val="TOC1"/>
        <w:tabs>
          <w:tab w:val="right" w:leader="underscore" w:pos="9060"/>
        </w:tabs>
        <w:rPr>
          <w:rFonts w:asciiTheme="minorHAnsi" w:eastAsiaTheme="minorEastAsia" w:hAnsiTheme="minorHAnsi" w:cstheme="minorBidi"/>
          <w:b w:val="0"/>
          <w:noProof/>
          <w:szCs w:val="22"/>
          <w:lang w:val="en-US" w:eastAsia="en-US"/>
        </w:rPr>
      </w:pPr>
      <w:hyperlink w:anchor="_Toc49506887" w:history="1">
        <w:r w:rsidR="00A3122C" w:rsidRPr="00C35631">
          <w:rPr>
            <w:rStyle w:val="Hyperlink"/>
            <w:rFonts w:eastAsia="Calibri"/>
            <w:noProof/>
          </w:rPr>
          <w:t>Príloha 3 – Vývoj dlhu v rokoch 2012 až 2023</w:t>
        </w:r>
        <w:r w:rsidR="00A3122C">
          <w:rPr>
            <w:noProof/>
            <w:webHidden/>
          </w:rPr>
          <w:tab/>
        </w:r>
        <w:r w:rsidR="00A3122C">
          <w:rPr>
            <w:noProof/>
            <w:webHidden/>
          </w:rPr>
          <w:fldChar w:fldCharType="begin"/>
        </w:r>
        <w:r w:rsidR="00A3122C">
          <w:rPr>
            <w:noProof/>
            <w:webHidden/>
          </w:rPr>
          <w:instrText xml:space="preserve"> PAGEREF _Toc49506887 \h </w:instrText>
        </w:r>
        <w:r w:rsidR="00A3122C">
          <w:rPr>
            <w:noProof/>
            <w:webHidden/>
          </w:rPr>
        </w:r>
        <w:r w:rsidR="00A3122C">
          <w:rPr>
            <w:noProof/>
            <w:webHidden/>
          </w:rPr>
          <w:fldChar w:fldCharType="separate"/>
        </w:r>
        <w:r w:rsidR="00A3122C">
          <w:rPr>
            <w:noProof/>
            <w:webHidden/>
          </w:rPr>
          <w:t>52</w:t>
        </w:r>
        <w:r w:rsidR="00A3122C">
          <w:rPr>
            <w:noProof/>
            <w:webHidden/>
          </w:rPr>
          <w:fldChar w:fldCharType="end"/>
        </w:r>
      </w:hyperlink>
    </w:p>
    <w:p w14:paraId="68C3994A" w14:textId="6561A59C" w:rsidR="00A3122C" w:rsidRDefault="008A30C7">
      <w:pPr>
        <w:pStyle w:val="TOC1"/>
        <w:tabs>
          <w:tab w:val="right" w:leader="underscore" w:pos="9060"/>
        </w:tabs>
        <w:rPr>
          <w:rFonts w:asciiTheme="minorHAnsi" w:eastAsiaTheme="minorEastAsia" w:hAnsiTheme="minorHAnsi" w:cstheme="minorBidi"/>
          <w:b w:val="0"/>
          <w:noProof/>
          <w:szCs w:val="22"/>
          <w:lang w:val="en-US" w:eastAsia="en-US"/>
        </w:rPr>
      </w:pPr>
      <w:hyperlink w:anchor="_Toc49506888" w:history="1">
        <w:r w:rsidR="00A3122C" w:rsidRPr="00C35631">
          <w:rPr>
            <w:rStyle w:val="Hyperlink"/>
            <w:rFonts w:eastAsia="Calibri"/>
            <w:noProof/>
          </w:rPr>
          <w:t>Príloha 4 – Prehľad zmien v prognózach hrubého dlhu VS</w:t>
        </w:r>
        <w:r w:rsidR="00A3122C">
          <w:rPr>
            <w:noProof/>
            <w:webHidden/>
          </w:rPr>
          <w:tab/>
        </w:r>
        <w:r w:rsidR="00A3122C">
          <w:rPr>
            <w:noProof/>
            <w:webHidden/>
          </w:rPr>
          <w:fldChar w:fldCharType="begin"/>
        </w:r>
        <w:r w:rsidR="00A3122C">
          <w:rPr>
            <w:noProof/>
            <w:webHidden/>
          </w:rPr>
          <w:instrText xml:space="preserve"> PAGEREF _Toc49506888 \h </w:instrText>
        </w:r>
        <w:r w:rsidR="00A3122C">
          <w:rPr>
            <w:noProof/>
            <w:webHidden/>
          </w:rPr>
        </w:r>
        <w:r w:rsidR="00A3122C">
          <w:rPr>
            <w:noProof/>
            <w:webHidden/>
          </w:rPr>
          <w:fldChar w:fldCharType="separate"/>
        </w:r>
        <w:r w:rsidR="00A3122C">
          <w:rPr>
            <w:noProof/>
            <w:webHidden/>
          </w:rPr>
          <w:t>57</w:t>
        </w:r>
        <w:r w:rsidR="00A3122C">
          <w:rPr>
            <w:noProof/>
            <w:webHidden/>
          </w:rPr>
          <w:fldChar w:fldCharType="end"/>
        </w:r>
      </w:hyperlink>
    </w:p>
    <w:p w14:paraId="32DCA98A" w14:textId="19774A46" w:rsidR="00A3122C" w:rsidRDefault="008A30C7">
      <w:pPr>
        <w:pStyle w:val="TOC1"/>
        <w:tabs>
          <w:tab w:val="right" w:leader="underscore" w:pos="9060"/>
        </w:tabs>
        <w:rPr>
          <w:rFonts w:asciiTheme="minorHAnsi" w:eastAsiaTheme="minorEastAsia" w:hAnsiTheme="minorHAnsi" w:cstheme="minorBidi"/>
          <w:b w:val="0"/>
          <w:noProof/>
          <w:szCs w:val="22"/>
          <w:lang w:val="en-US" w:eastAsia="en-US"/>
        </w:rPr>
      </w:pPr>
      <w:hyperlink w:anchor="_Toc49506889" w:history="1">
        <w:r w:rsidR="00A3122C" w:rsidRPr="00C35631">
          <w:rPr>
            <w:rStyle w:val="Hyperlink"/>
            <w:rFonts w:eastAsia="Calibri"/>
            <w:noProof/>
          </w:rPr>
          <w:t>Príloha 5 – Odpovede k finančnému krytiu dodatočných úloh samosprávy</w:t>
        </w:r>
        <w:r w:rsidR="00A3122C">
          <w:rPr>
            <w:noProof/>
            <w:webHidden/>
          </w:rPr>
          <w:tab/>
        </w:r>
        <w:r w:rsidR="00A3122C">
          <w:rPr>
            <w:noProof/>
            <w:webHidden/>
          </w:rPr>
          <w:fldChar w:fldCharType="begin"/>
        </w:r>
        <w:r w:rsidR="00A3122C">
          <w:rPr>
            <w:noProof/>
            <w:webHidden/>
          </w:rPr>
          <w:instrText xml:space="preserve"> PAGEREF _Toc49506889 \h </w:instrText>
        </w:r>
        <w:r w:rsidR="00A3122C">
          <w:rPr>
            <w:noProof/>
            <w:webHidden/>
          </w:rPr>
        </w:r>
        <w:r w:rsidR="00A3122C">
          <w:rPr>
            <w:noProof/>
            <w:webHidden/>
          </w:rPr>
          <w:fldChar w:fldCharType="separate"/>
        </w:r>
        <w:r w:rsidR="00A3122C">
          <w:rPr>
            <w:noProof/>
            <w:webHidden/>
          </w:rPr>
          <w:t>58</w:t>
        </w:r>
        <w:r w:rsidR="00A3122C">
          <w:rPr>
            <w:noProof/>
            <w:webHidden/>
          </w:rPr>
          <w:fldChar w:fldCharType="end"/>
        </w:r>
      </w:hyperlink>
    </w:p>
    <w:p w14:paraId="5660DE0F" w14:textId="0BAD2E5D" w:rsidR="00A3122C" w:rsidRDefault="008A30C7">
      <w:pPr>
        <w:pStyle w:val="TOC1"/>
        <w:tabs>
          <w:tab w:val="right" w:leader="underscore" w:pos="9060"/>
        </w:tabs>
        <w:rPr>
          <w:rFonts w:asciiTheme="minorHAnsi" w:eastAsiaTheme="minorEastAsia" w:hAnsiTheme="minorHAnsi" w:cstheme="minorBidi"/>
          <w:b w:val="0"/>
          <w:noProof/>
          <w:szCs w:val="22"/>
          <w:lang w:val="en-US" w:eastAsia="en-US"/>
        </w:rPr>
      </w:pPr>
      <w:hyperlink w:anchor="_Toc49506890" w:history="1">
        <w:r w:rsidR="00A3122C" w:rsidRPr="00C35631">
          <w:rPr>
            <w:rStyle w:val="Hyperlink"/>
            <w:rFonts w:eastAsia="Calibri"/>
            <w:noProof/>
          </w:rPr>
          <w:t>Príloha 6 – Informácia o plnení numerických fiškálnych pravidiel samosprávou</w:t>
        </w:r>
        <w:r w:rsidR="00A3122C">
          <w:rPr>
            <w:noProof/>
            <w:webHidden/>
          </w:rPr>
          <w:tab/>
        </w:r>
        <w:r w:rsidR="00A3122C">
          <w:rPr>
            <w:noProof/>
            <w:webHidden/>
          </w:rPr>
          <w:fldChar w:fldCharType="begin"/>
        </w:r>
        <w:r w:rsidR="00A3122C">
          <w:rPr>
            <w:noProof/>
            <w:webHidden/>
          </w:rPr>
          <w:instrText xml:space="preserve"> PAGEREF _Toc49506890 \h </w:instrText>
        </w:r>
        <w:r w:rsidR="00A3122C">
          <w:rPr>
            <w:noProof/>
            <w:webHidden/>
          </w:rPr>
        </w:r>
        <w:r w:rsidR="00A3122C">
          <w:rPr>
            <w:noProof/>
            <w:webHidden/>
          </w:rPr>
          <w:fldChar w:fldCharType="separate"/>
        </w:r>
        <w:r w:rsidR="00A3122C">
          <w:rPr>
            <w:noProof/>
            <w:webHidden/>
          </w:rPr>
          <w:t>72</w:t>
        </w:r>
        <w:r w:rsidR="00A3122C">
          <w:rPr>
            <w:noProof/>
            <w:webHidden/>
          </w:rPr>
          <w:fldChar w:fldCharType="end"/>
        </w:r>
      </w:hyperlink>
    </w:p>
    <w:p w14:paraId="6113DFF6" w14:textId="5D33D7DD" w:rsidR="0053156D" w:rsidRPr="00B81300" w:rsidRDefault="008B45D9">
      <w:pPr>
        <w:rPr>
          <w:highlight w:val="yellow"/>
        </w:rPr>
      </w:pPr>
      <w:r w:rsidRPr="00B81300">
        <w:rPr>
          <w:highlight w:val="yellow"/>
        </w:rPr>
        <w:fldChar w:fldCharType="end"/>
      </w:r>
    </w:p>
    <w:p w14:paraId="69E17D23" w14:textId="77777777" w:rsidR="007B69A6" w:rsidRPr="00B81300" w:rsidRDefault="007B69A6">
      <w:pPr>
        <w:rPr>
          <w:highlight w:val="yellow"/>
        </w:rPr>
      </w:pPr>
    </w:p>
    <w:p w14:paraId="0D762E4B" w14:textId="77777777" w:rsidR="005F7CE1" w:rsidRPr="00B81300" w:rsidRDefault="005F7CE1">
      <w:pPr>
        <w:rPr>
          <w:b/>
          <w:color w:val="59595B"/>
          <w:sz w:val="32"/>
          <w:szCs w:val="32"/>
          <w:highlight w:val="yellow"/>
        </w:rPr>
      </w:pPr>
      <w:r w:rsidRPr="00B81300">
        <w:rPr>
          <w:b/>
          <w:color w:val="59595B"/>
          <w:sz w:val="32"/>
          <w:szCs w:val="32"/>
          <w:highlight w:val="yellow"/>
        </w:rPr>
        <w:br w:type="page"/>
      </w:r>
    </w:p>
    <w:p w14:paraId="5283C36C" w14:textId="55C9C382" w:rsidR="0053156D" w:rsidRPr="00380FA7" w:rsidRDefault="0053156D" w:rsidP="0053156D">
      <w:r w:rsidRPr="00380FA7">
        <w:rPr>
          <w:b/>
          <w:color w:val="59595B"/>
          <w:sz w:val="32"/>
          <w:szCs w:val="32"/>
        </w:rPr>
        <w:lastRenderedPageBreak/>
        <w:t>Zoznam boxov, tabuliek</w:t>
      </w:r>
      <w:r w:rsidR="005276C6" w:rsidRPr="00380FA7">
        <w:rPr>
          <w:b/>
          <w:color w:val="59595B"/>
          <w:sz w:val="32"/>
          <w:szCs w:val="32"/>
        </w:rPr>
        <w:t>, schém</w:t>
      </w:r>
      <w:r w:rsidRPr="00380FA7">
        <w:rPr>
          <w:b/>
          <w:color w:val="59595B"/>
          <w:sz w:val="32"/>
          <w:szCs w:val="32"/>
        </w:rPr>
        <w:t xml:space="preserve"> a grafov</w:t>
      </w:r>
    </w:p>
    <w:p w14:paraId="3CDB86C3" w14:textId="6142F73E" w:rsidR="005276C6" w:rsidRPr="00CA7056" w:rsidRDefault="005276C6" w:rsidP="005276C6"/>
    <w:p w14:paraId="08FF14DA" w14:textId="7D063FFE" w:rsidR="00A3122C" w:rsidRDefault="005276C6">
      <w:pPr>
        <w:pStyle w:val="TableofFigures"/>
        <w:tabs>
          <w:tab w:val="right" w:leader="underscore" w:pos="9060"/>
        </w:tabs>
        <w:rPr>
          <w:rFonts w:asciiTheme="minorHAnsi" w:eastAsiaTheme="minorEastAsia" w:hAnsiTheme="minorHAnsi" w:cstheme="minorBidi"/>
          <w:noProof/>
          <w:szCs w:val="22"/>
          <w:lang w:val="en-US" w:eastAsia="en-US"/>
        </w:rPr>
      </w:pPr>
      <w:r w:rsidRPr="00CA7056">
        <w:rPr>
          <w:color w:val="58595B"/>
        </w:rPr>
        <w:fldChar w:fldCharType="begin"/>
      </w:r>
      <w:r w:rsidRPr="00CA7056">
        <w:rPr>
          <w:color w:val="58595B"/>
        </w:rPr>
        <w:instrText xml:space="preserve"> TOC \h \z \t "box" \c </w:instrText>
      </w:r>
      <w:r w:rsidRPr="00CA7056">
        <w:rPr>
          <w:color w:val="58595B"/>
        </w:rPr>
        <w:fldChar w:fldCharType="separate"/>
      </w:r>
      <w:hyperlink w:anchor="_Toc49506891" w:history="1">
        <w:r w:rsidR="00A3122C" w:rsidRPr="00903ED9">
          <w:rPr>
            <w:rStyle w:val="Hyperlink"/>
            <w:noProof/>
          </w:rPr>
          <w:t>Box 1: Prehľad legislatívnych zmien v rozpočtových pravidlách v priebehu roku 2020</w:t>
        </w:r>
        <w:r w:rsidR="00A3122C">
          <w:rPr>
            <w:noProof/>
            <w:webHidden/>
          </w:rPr>
          <w:tab/>
        </w:r>
        <w:r w:rsidR="00A3122C">
          <w:rPr>
            <w:noProof/>
            <w:webHidden/>
          </w:rPr>
          <w:fldChar w:fldCharType="begin"/>
        </w:r>
        <w:r w:rsidR="00A3122C">
          <w:rPr>
            <w:noProof/>
            <w:webHidden/>
          </w:rPr>
          <w:instrText xml:space="preserve"> PAGEREF _Toc49506891 \h </w:instrText>
        </w:r>
        <w:r w:rsidR="00A3122C">
          <w:rPr>
            <w:noProof/>
            <w:webHidden/>
          </w:rPr>
        </w:r>
        <w:r w:rsidR="00A3122C">
          <w:rPr>
            <w:noProof/>
            <w:webHidden/>
          </w:rPr>
          <w:fldChar w:fldCharType="separate"/>
        </w:r>
        <w:r w:rsidR="00A3122C">
          <w:rPr>
            <w:noProof/>
            <w:webHidden/>
          </w:rPr>
          <w:t>15</w:t>
        </w:r>
        <w:r w:rsidR="00A3122C">
          <w:rPr>
            <w:noProof/>
            <w:webHidden/>
          </w:rPr>
          <w:fldChar w:fldCharType="end"/>
        </w:r>
      </w:hyperlink>
    </w:p>
    <w:p w14:paraId="3CCFB1CF" w14:textId="6E3ADCEB"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892" w:history="1">
        <w:r w:rsidR="00A3122C" w:rsidRPr="00903ED9">
          <w:rPr>
            <w:rStyle w:val="Hyperlink"/>
            <w:noProof/>
          </w:rPr>
          <w:t>Box 2: Očakávaný vývoj dlhu do roku 2023</w:t>
        </w:r>
        <w:r w:rsidR="00A3122C">
          <w:rPr>
            <w:noProof/>
            <w:webHidden/>
          </w:rPr>
          <w:tab/>
        </w:r>
        <w:r w:rsidR="00A3122C">
          <w:rPr>
            <w:noProof/>
            <w:webHidden/>
          </w:rPr>
          <w:fldChar w:fldCharType="begin"/>
        </w:r>
        <w:r w:rsidR="00A3122C">
          <w:rPr>
            <w:noProof/>
            <w:webHidden/>
          </w:rPr>
          <w:instrText xml:space="preserve"> PAGEREF _Toc49506892 \h </w:instrText>
        </w:r>
        <w:r w:rsidR="00A3122C">
          <w:rPr>
            <w:noProof/>
            <w:webHidden/>
          </w:rPr>
        </w:r>
        <w:r w:rsidR="00A3122C">
          <w:rPr>
            <w:noProof/>
            <w:webHidden/>
          </w:rPr>
          <w:fldChar w:fldCharType="separate"/>
        </w:r>
        <w:r w:rsidR="00A3122C">
          <w:rPr>
            <w:noProof/>
            <w:webHidden/>
          </w:rPr>
          <w:t>20</w:t>
        </w:r>
        <w:r w:rsidR="00A3122C">
          <w:rPr>
            <w:noProof/>
            <w:webHidden/>
          </w:rPr>
          <w:fldChar w:fldCharType="end"/>
        </w:r>
      </w:hyperlink>
    </w:p>
    <w:p w14:paraId="06E51809" w14:textId="2FCEF022"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893" w:history="1">
        <w:r w:rsidR="00A3122C" w:rsidRPr="00903ED9">
          <w:rPr>
            <w:rStyle w:val="Hyperlink"/>
            <w:noProof/>
          </w:rPr>
          <w:t>Box 3: Poskytovanie návratných finančných výpomocí samosprávam</w:t>
        </w:r>
        <w:r w:rsidR="00A3122C">
          <w:rPr>
            <w:noProof/>
            <w:webHidden/>
          </w:rPr>
          <w:tab/>
        </w:r>
        <w:r w:rsidR="00A3122C">
          <w:rPr>
            <w:noProof/>
            <w:webHidden/>
          </w:rPr>
          <w:fldChar w:fldCharType="begin"/>
        </w:r>
        <w:r w:rsidR="00A3122C">
          <w:rPr>
            <w:noProof/>
            <w:webHidden/>
          </w:rPr>
          <w:instrText xml:space="preserve"> PAGEREF _Toc49506893 \h </w:instrText>
        </w:r>
        <w:r w:rsidR="00A3122C">
          <w:rPr>
            <w:noProof/>
            <w:webHidden/>
          </w:rPr>
        </w:r>
        <w:r w:rsidR="00A3122C">
          <w:rPr>
            <w:noProof/>
            <w:webHidden/>
          </w:rPr>
          <w:fldChar w:fldCharType="separate"/>
        </w:r>
        <w:r w:rsidR="00A3122C">
          <w:rPr>
            <w:noProof/>
            <w:webHidden/>
          </w:rPr>
          <w:t>21</w:t>
        </w:r>
        <w:r w:rsidR="00A3122C">
          <w:rPr>
            <w:noProof/>
            <w:webHidden/>
          </w:rPr>
          <w:fldChar w:fldCharType="end"/>
        </w:r>
      </w:hyperlink>
    </w:p>
    <w:p w14:paraId="1DD7CFD6" w14:textId="58132C0F"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894" w:history="1">
        <w:r w:rsidR="00A3122C" w:rsidRPr="00903ED9">
          <w:rPr>
            <w:rStyle w:val="Hyperlink"/>
            <w:noProof/>
          </w:rPr>
          <w:t>Box 4: Vybrané opatrenia ovplyvňujúce hospodárenie samospráv</w:t>
        </w:r>
        <w:r w:rsidR="00A3122C">
          <w:rPr>
            <w:noProof/>
            <w:webHidden/>
          </w:rPr>
          <w:tab/>
        </w:r>
        <w:r w:rsidR="00A3122C">
          <w:rPr>
            <w:noProof/>
            <w:webHidden/>
          </w:rPr>
          <w:fldChar w:fldCharType="begin"/>
        </w:r>
        <w:r w:rsidR="00A3122C">
          <w:rPr>
            <w:noProof/>
            <w:webHidden/>
          </w:rPr>
          <w:instrText xml:space="preserve"> PAGEREF _Toc49506894 \h </w:instrText>
        </w:r>
        <w:r w:rsidR="00A3122C">
          <w:rPr>
            <w:noProof/>
            <w:webHidden/>
          </w:rPr>
        </w:r>
        <w:r w:rsidR="00A3122C">
          <w:rPr>
            <w:noProof/>
            <w:webHidden/>
          </w:rPr>
          <w:fldChar w:fldCharType="separate"/>
        </w:r>
        <w:r w:rsidR="00A3122C">
          <w:rPr>
            <w:noProof/>
            <w:webHidden/>
          </w:rPr>
          <w:t>24</w:t>
        </w:r>
        <w:r w:rsidR="00A3122C">
          <w:rPr>
            <w:noProof/>
            <w:webHidden/>
          </w:rPr>
          <w:fldChar w:fldCharType="end"/>
        </w:r>
      </w:hyperlink>
    </w:p>
    <w:p w14:paraId="7B4D11EA" w14:textId="27ED9CCA"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895" w:history="1">
        <w:r w:rsidR="00A3122C" w:rsidRPr="00903ED9">
          <w:rPr>
            <w:rStyle w:val="Hyperlink"/>
            <w:noProof/>
          </w:rPr>
          <w:t xml:space="preserve">Box </w:t>
        </w:r>
        <w:r w:rsidR="00A3122C" w:rsidRPr="00903ED9">
          <w:rPr>
            <w:rStyle w:val="Hyperlink"/>
            <w:rFonts w:eastAsia="Cambria"/>
            <w:bCs/>
            <w:noProof/>
          </w:rPr>
          <w:t xml:space="preserve">5: </w:t>
        </w:r>
        <w:r w:rsidR="00A3122C" w:rsidRPr="00903ED9">
          <w:rPr>
            <w:rStyle w:val="Hyperlink"/>
            <w:rFonts w:eastAsia="Cambria"/>
            <w:noProof/>
          </w:rPr>
          <w:t>Vývoj zavádzania výdavkových limitov</w:t>
        </w:r>
        <w:r w:rsidR="00A3122C">
          <w:rPr>
            <w:noProof/>
            <w:webHidden/>
          </w:rPr>
          <w:tab/>
        </w:r>
        <w:r w:rsidR="00A3122C">
          <w:rPr>
            <w:noProof/>
            <w:webHidden/>
          </w:rPr>
          <w:fldChar w:fldCharType="begin"/>
        </w:r>
        <w:r w:rsidR="00A3122C">
          <w:rPr>
            <w:noProof/>
            <w:webHidden/>
          </w:rPr>
          <w:instrText xml:space="preserve"> PAGEREF _Toc49506895 \h </w:instrText>
        </w:r>
        <w:r w:rsidR="00A3122C">
          <w:rPr>
            <w:noProof/>
            <w:webHidden/>
          </w:rPr>
        </w:r>
        <w:r w:rsidR="00A3122C">
          <w:rPr>
            <w:noProof/>
            <w:webHidden/>
          </w:rPr>
          <w:fldChar w:fldCharType="separate"/>
        </w:r>
        <w:r w:rsidR="00A3122C">
          <w:rPr>
            <w:noProof/>
            <w:webHidden/>
          </w:rPr>
          <w:t>29</w:t>
        </w:r>
        <w:r w:rsidR="00A3122C">
          <w:rPr>
            <w:noProof/>
            <w:webHidden/>
          </w:rPr>
          <w:fldChar w:fldCharType="end"/>
        </w:r>
      </w:hyperlink>
    </w:p>
    <w:p w14:paraId="56B541A8" w14:textId="2E31B398"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896" w:history="1">
        <w:r w:rsidR="00A3122C" w:rsidRPr="00903ED9">
          <w:rPr>
            <w:rStyle w:val="Hyperlink"/>
            <w:noProof/>
          </w:rPr>
          <w:t>B</w:t>
        </w:r>
        <w:r w:rsidR="00A3122C" w:rsidRPr="00903ED9">
          <w:rPr>
            <w:rStyle w:val="Hyperlink"/>
            <w:rFonts w:eastAsia="Cambria"/>
            <w:bCs/>
            <w:noProof/>
          </w:rPr>
          <w:t>ox 6: Riziká v príjmoch verejnej správy</w:t>
        </w:r>
        <w:r w:rsidR="00A3122C">
          <w:rPr>
            <w:noProof/>
            <w:webHidden/>
          </w:rPr>
          <w:tab/>
        </w:r>
        <w:r w:rsidR="00A3122C">
          <w:rPr>
            <w:noProof/>
            <w:webHidden/>
          </w:rPr>
          <w:fldChar w:fldCharType="begin"/>
        </w:r>
        <w:r w:rsidR="00A3122C">
          <w:rPr>
            <w:noProof/>
            <w:webHidden/>
          </w:rPr>
          <w:instrText xml:space="preserve"> PAGEREF _Toc49506896 \h </w:instrText>
        </w:r>
        <w:r w:rsidR="00A3122C">
          <w:rPr>
            <w:noProof/>
            <w:webHidden/>
          </w:rPr>
        </w:r>
        <w:r w:rsidR="00A3122C">
          <w:rPr>
            <w:noProof/>
            <w:webHidden/>
          </w:rPr>
          <w:fldChar w:fldCharType="separate"/>
        </w:r>
        <w:r w:rsidR="00A3122C">
          <w:rPr>
            <w:noProof/>
            <w:webHidden/>
          </w:rPr>
          <w:t>32</w:t>
        </w:r>
        <w:r w:rsidR="00A3122C">
          <w:rPr>
            <w:noProof/>
            <w:webHidden/>
          </w:rPr>
          <w:fldChar w:fldCharType="end"/>
        </w:r>
      </w:hyperlink>
    </w:p>
    <w:p w14:paraId="02A4A96B" w14:textId="5EC23536"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897" w:history="1">
        <w:r w:rsidR="00A3122C" w:rsidRPr="00903ED9">
          <w:rPr>
            <w:rStyle w:val="Hyperlink"/>
            <w:noProof/>
          </w:rPr>
          <w:t>Box 7: Obsah dokumentov popisujúcich rozpočet verejnej správy</w:t>
        </w:r>
        <w:r w:rsidR="00A3122C">
          <w:rPr>
            <w:noProof/>
            <w:webHidden/>
          </w:rPr>
          <w:tab/>
        </w:r>
        <w:r w:rsidR="00A3122C">
          <w:rPr>
            <w:noProof/>
            <w:webHidden/>
          </w:rPr>
          <w:fldChar w:fldCharType="begin"/>
        </w:r>
        <w:r w:rsidR="00A3122C">
          <w:rPr>
            <w:noProof/>
            <w:webHidden/>
          </w:rPr>
          <w:instrText xml:space="preserve"> PAGEREF _Toc49506897 \h </w:instrText>
        </w:r>
        <w:r w:rsidR="00A3122C">
          <w:rPr>
            <w:noProof/>
            <w:webHidden/>
          </w:rPr>
        </w:r>
        <w:r w:rsidR="00A3122C">
          <w:rPr>
            <w:noProof/>
            <w:webHidden/>
          </w:rPr>
          <w:fldChar w:fldCharType="separate"/>
        </w:r>
        <w:r w:rsidR="00A3122C">
          <w:rPr>
            <w:noProof/>
            <w:webHidden/>
          </w:rPr>
          <w:t>35</w:t>
        </w:r>
        <w:r w:rsidR="00A3122C">
          <w:rPr>
            <w:noProof/>
            <w:webHidden/>
          </w:rPr>
          <w:fldChar w:fldCharType="end"/>
        </w:r>
      </w:hyperlink>
    </w:p>
    <w:p w14:paraId="02042A1E" w14:textId="09D12648"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898" w:history="1">
        <w:r w:rsidR="00A3122C" w:rsidRPr="00903ED9">
          <w:rPr>
            <w:rStyle w:val="Hyperlink"/>
            <w:noProof/>
          </w:rPr>
          <w:t>Box 8: Obsah Súhrnnej výročnej správy Slovenskej republiky za rok 2018</w:t>
        </w:r>
        <w:r w:rsidR="00A3122C">
          <w:rPr>
            <w:noProof/>
            <w:webHidden/>
          </w:rPr>
          <w:tab/>
        </w:r>
        <w:r w:rsidR="00A3122C">
          <w:rPr>
            <w:noProof/>
            <w:webHidden/>
          </w:rPr>
          <w:fldChar w:fldCharType="begin"/>
        </w:r>
        <w:r w:rsidR="00A3122C">
          <w:rPr>
            <w:noProof/>
            <w:webHidden/>
          </w:rPr>
          <w:instrText xml:space="preserve"> PAGEREF _Toc49506898 \h </w:instrText>
        </w:r>
        <w:r w:rsidR="00A3122C">
          <w:rPr>
            <w:noProof/>
            <w:webHidden/>
          </w:rPr>
        </w:r>
        <w:r w:rsidR="00A3122C">
          <w:rPr>
            <w:noProof/>
            <w:webHidden/>
          </w:rPr>
          <w:fldChar w:fldCharType="separate"/>
        </w:r>
        <w:r w:rsidR="00A3122C">
          <w:rPr>
            <w:noProof/>
            <w:webHidden/>
          </w:rPr>
          <w:t>41</w:t>
        </w:r>
        <w:r w:rsidR="00A3122C">
          <w:rPr>
            <w:noProof/>
            <w:webHidden/>
          </w:rPr>
          <w:fldChar w:fldCharType="end"/>
        </w:r>
      </w:hyperlink>
    </w:p>
    <w:p w14:paraId="74D075DF" w14:textId="45739603"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899" w:history="1">
        <w:r w:rsidR="00A3122C" w:rsidRPr="00903ED9">
          <w:rPr>
            <w:rStyle w:val="Hyperlink"/>
            <w:noProof/>
          </w:rPr>
          <w:t>Box 9: Vývoj dlhu očisteného o jednorazové vplyvy</w:t>
        </w:r>
        <w:r w:rsidR="00A3122C">
          <w:rPr>
            <w:noProof/>
            <w:webHidden/>
          </w:rPr>
          <w:tab/>
        </w:r>
        <w:r w:rsidR="00A3122C">
          <w:rPr>
            <w:noProof/>
            <w:webHidden/>
          </w:rPr>
          <w:fldChar w:fldCharType="begin"/>
        </w:r>
        <w:r w:rsidR="00A3122C">
          <w:rPr>
            <w:noProof/>
            <w:webHidden/>
          </w:rPr>
          <w:instrText xml:space="preserve"> PAGEREF _Toc49506899 \h </w:instrText>
        </w:r>
        <w:r w:rsidR="00A3122C">
          <w:rPr>
            <w:noProof/>
            <w:webHidden/>
          </w:rPr>
        </w:r>
        <w:r w:rsidR="00A3122C">
          <w:rPr>
            <w:noProof/>
            <w:webHidden/>
          </w:rPr>
          <w:fldChar w:fldCharType="separate"/>
        </w:r>
        <w:r w:rsidR="00A3122C">
          <w:rPr>
            <w:noProof/>
            <w:webHidden/>
          </w:rPr>
          <w:t>55</w:t>
        </w:r>
        <w:r w:rsidR="00A3122C">
          <w:rPr>
            <w:noProof/>
            <w:webHidden/>
          </w:rPr>
          <w:fldChar w:fldCharType="end"/>
        </w:r>
      </w:hyperlink>
    </w:p>
    <w:p w14:paraId="56635F86" w14:textId="7C46ECF5" w:rsidR="005276C6" w:rsidRPr="00B81300" w:rsidRDefault="005276C6">
      <w:pPr>
        <w:rPr>
          <w:highlight w:val="yellow"/>
        </w:rPr>
      </w:pPr>
      <w:r w:rsidRPr="00CA7056">
        <w:rPr>
          <w:color w:val="58595B"/>
        </w:rPr>
        <w:fldChar w:fldCharType="end"/>
      </w:r>
    </w:p>
    <w:p w14:paraId="586B277E" w14:textId="445E9458" w:rsidR="00A3122C" w:rsidRDefault="0053156D">
      <w:pPr>
        <w:pStyle w:val="TableofFigures"/>
        <w:tabs>
          <w:tab w:val="right" w:leader="underscore" w:pos="9060"/>
        </w:tabs>
        <w:rPr>
          <w:rFonts w:asciiTheme="minorHAnsi" w:eastAsiaTheme="minorEastAsia" w:hAnsiTheme="minorHAnsi" w:cstheme="minorBidi"/>
          <w:noProof/>
          <w:szCs w:val="22"/>
          <w:lang w:val="en-US" w:eastAsia="en-US"/>
        </w:rPr>
      </w:pPr>
      <w:r w:rsidRPr="00B81300">
        <w:rPr>
          <w:color w:val="58595B"/>
          <w:highlight w:val="yellow"/>
        </w:rPr>
        <w:fldChar w:fldCharType="begin"/>
      </w:r>
      <w:r w:rsidRPr="00B81300">
        <w:rPr>
          <w:color w:val="58595B"/>
          <w:highlight w:val="yellow"/>
        </w:rPr>
        <w:instrText xml:space="preserve"> TOC \h \z \t "tab" \c </w:instrText>
      </w:r>
      <w:r w:rsidRPr="00B81300">
        <w:rPr>
          <w:color w:val="58595B"/>
          <w:highlight w:val="yellow"/>
        </w:rPr>
        <w:fldChar w:fldCharType="separate"/>
      </w:r>
      <w:hyperlink w:anchor="_Toc49506900" w:history="1">
        <w:r w:rsidR="00A3122C" w:rsidRPr="00A76587">
          <w:rPr>
            <w:rStyle w:val="Hyperlink"/>
            <w:noProof/>
          </w:rPr>
          <w:t>Tab 1: Pokuty uložené obciam za rok 2018</w:t>
        </w:r>
        <w:r w:rsidR="00A3122C">
          <w:rPr>
            <w:noProof/>
            <w:webHidden/>
          </w:rPr>
          <w:tab/>
        </w:r>
        <w:r w:rsidR="00A3122C">
          <w:rPr>
            <w:noProof/>
            <w:webHidden/>
          </w:rPr>
          <w:fldChar w:fldCharType="begin"/>
        </w:r>
        <w:r w:rsidR="00A3122C">
          <w:rPr>
            <w:noProof/>
            <w:webHidden/>
          </w:rPr>
          <w:instrText xml:space="preserve"> PAGEREF _Toc49506900 \h </w:instrText>
        </w:r>
        <w:r w:rsidR="00A3122C">
          <w:rPr>
            <w:noProof/>
            <w:webHidden/>
          </w:rPr>
        </w:r>
        <w:r w:rsidR="00A3122C">
          <w:rPr>
            <w:noProof/>
            <w:webHidden/>
          </w:rPr>
          <w:fldChar w:fldCharType="separate"/>
        </w:r>
        <w:r w:rsidR="00A3122C">
          <w:rPr>
            <w:noProof/>
            <w:webHidden/>
          </w:rPr>
          <w:t>25</w:t>
        </w:r>
        <w:r w:rsidR="00A3122C">
          <w:rPr>
            <w:noProof/>
            <w:webHidden/>
          </w:rPr>
          <w:fldChar w:fldCharType="end"/>
        </w:r>
      </w:hyperlink>
    </w:p>
    <w:p w14:paraId="21D6FBBF" w14:textId="467B5C4C"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01" w:history="1">
        <w:r w:rsidR="00A3122C" w:rsidRPr="00A76587">
          <w:rPr>
            <w:rStyle w:val="Hyperlink"/>
            <w:noProof/>
          </w:rPr>
          <w:t>Tab 2: Vypracovanie makroekonomických a daňových prognóz výbormi v roku 2019</w:t>
        </w:r>
        <w:r w:rsidR="00A3122C">
          <w:rPr>
            <w:noProof/>
            <w:webHidden/>
          </w:rPr>
          <w:tab/>
        </w:r>
        <w:r w:rsidR="00A3122C">
          <w:rPr>
            <w:noProof/>
            <w:webHidden/>
          </w:rPr>
          <w:fldChar w:fldCharType="begin"/>
        </w:r>
        <w:r w:rsidR="00A3122C">
          <w:rPr>
            <w:noProof/>
            <w:webHidden/>
          </w:rPr>
          <w:instrText xml:space="preserve"> PAGEREF _Toc49506901 \h </w:instrText>
        </w:r>
        <w:r w:rsidR="00A3122C">
          <w:rPr>
            <w:noProof/>
            <w:webHidden/>
          </w:rPr>
        </w:r>
        <w:r w:rsidR="00A3122C">
          <w:rPr>
            <w:noProof/>
            <w:webHidden/>
          </w:rPr>
          <w:fldChar w:fldCharType="separate"/>
        </w:r>
        <w:r w:rsidR="00A3122C">
          <w:rPr>
            <w:noProof/>
            <w:webHidden/>
          </w:rPr>
          <w:t>31</w:t>
        </w:r>
        <w:r w:rsidR="00A3122C">
          <w:rPr>
            <w:noProof/>
            <w:webHidden/>
          </w:rPr>
          <w:fldChar w:fldCharType="end"/>
        </w:r>
      </w:hyperlink>
    </w:p>
    <w:p w14:paraId="4F84823D" w14:textId="344F5C15"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02" w:history="1">
        <w:r w:rsidR="00A3122C" w:rsidRPr="00A76587">
          <w:rPr>
            <w:rStyle w:val="Hyperlink"/>
            <w:noProof/>
          </w:rPr>
          <w:t>Tab 3: Plnenie pravidiel rozpočtovej zodpovednosti</w:t>
        </w:r>
        <w:r w:rsidR="00A3122C">
          <w:rPr>
            <w:noProof/>
            <w:webHidden/>
          </w:rPr>
          <w:tab/>
        </w:r>
        <w:r w:rsidR="00A3122C">
          <w:rPr>
            <w:noProof/>
            <w:webHidden/>
          </w:rPr>
          <w:fldChar w:fldCharType="begin"/>
        </w:r>
        <w:r w:rsidR="00A3122C">
          <w:rPr>
            <w:noProof/>
            <w:webHidden/>
          </w:rPr>
          <w:instrText xml:space="preserve"> PAGEREF _Toc49506902 \h </w:instrText>
        </w:r>
        <w:r w:rsidR="00A3122C">
          <w:rPr>
            <w:noProof/>
            <w:webHidden/>
          </w:rPr>
        </w:r>
        <w:r w:rsidR="00A3122C">
          <w:rPr>
            <w:noProof/>
            <w:webHidden/>
          </w:rPr>
          <w:fldChar w:fldCharType="separate"/>
        </w:r>
        <w:r w:rsidR="00A3122C">
          <w:rPr>
            <w:noProof/>
            <w:webHidden/>
          </w:rPr>
          <w:t>47</w:t>
        </w:r>
        <w:r w:rsidR="00A3122C">
          <w:rPr>
            <w:noProof/>
            <w:webHidden/>
          </w:rPr>
          <w:fldChar w:fldCharType="end"/>
        </w:r>
      </w:hyperlink>
    </w:p>
    <w:p w14:paraId="29852C50" w14:textId="4CD2ED8C"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03" w:history="1">
        <w:r w:rsidR="00A3122C" w:rsidRPr="00A76587">
          <w:rPr>
            <w:rStyle w:val="Hyperlink"/>
            <w:noProof/>
          </w:rPr>
          <w:t>Tab 4: Plnenie pravidiel rozpočtovej transparentnosti</w:t>
        </w:r>
        <w:r w:rsidR="00A3122C">
          <w:rPr>
            <w:noProof/>
            <w:webHidden/>
          </w:rPr>
          <w:tab/>
        </w:r>
        <w:r w:rsidR="00A3122C">
          <w:rPr>
            <w:noProof/>
            <w:webHidden/>
          </w:rPr>
          <w:fldChar w:fldCharType="begin"/>
        </w:r>
        <w:r w:rsidR="00A3122C">
          <w:rPr>
            <w:noProof/>
            <w:webHidden/>
          </w:rPr>
          <w:instrText xml:space="preserve"> PAGEREF _Toc49506903 \h </w:instrText>
        </w:r>
        <w:r w:rsidR="00A3122C">
          <w:rPr>
            <w:noProof/>
            <w:webHidden/>
          </w:rPr>
        </w:r>
        <w:r w:rsidR="00A3122C">
          <w:rPr>
            <w:noProof/>
            <w:webHidden/>
          </w:rPr>
          <w:fldChar w:fldCharType="separate"/>
        </w:r>
        <w:r w:rsidR="00A3122C">
          <w:rPr>
            <w:noProof/>
            <w:webHidden/>
          </w:rPr>
          <w:t>48</w:t>
        </w:r>
        <w:r w:rsidR="00A3122C">
          <w:rPr>
            <w:noProof/>
            <w:webHidden/>
          </w:rPr>
          <w:fldChar w:fldCharType="end"/>
        </w:r>
      </w:hyperlink>
    </w:p>
    <w:p w14:paraId="7501BDD8" w14:textId="2BF7837D"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04" w:history="1">
        <w:r w:rsidR="00A3122C" w:rsidRPr="00A76587">
          <w:rPr>
            <w:rStyle w:val="Hyperlink"/>
            <w:noProof/>
          </w:rPr>
          <w:t>Tab 5: Vyhodnotenie plnenia odporúčaní RRZ z augusta 2019</w:t>
        </w:r>
        <w:r w:rsidR="00A3122C">
          <w:rPr>
            <w:noProof/>
            <w:webHidden/>
          </w:rPr>
          <w:tab/>
        </w:r>
        <w:r w:rsidR="00A3122C">
          <w:rPr>
            <w:noProof/>
            <w:webHidden/>
          </w:rPr>
          <w:fldChar w:fldCharType="begin"/>
        </w:r>
        <w:r w:rsidR="00A3122C">
          <w:rPr>
            <w:noProof/>
            <w:webHidden/>
          </w:rPr>
          <w:instrText xml:space="preserve"> PAGEREF _Toc49506904 \h </w:instrText>
        </w:r>
        <w:r w:rsidR="00A3122C">
          <w:rPr>
            <w:noProof/>
            <w:webHidden/>
          </w:rPr>
        </w:r>
        <w:r w:rsidR="00A3122C">
          <w:rPr>
            <w:noProof/>
            <w:webHidden/>
          </w:rPr>
          <w:fldChar w:fldCharType="separate"/>
        </w:r>
        <w:r w:rsidR="00A3122C">
          <w:rPr>
            <w:noProof/>
            <w:webHidden/>
          </w:rPr>
          <w:t>50</w:t>
        </w:r>
        <w:r w:rsidR="00A3122C">
          <w:rPr>
            <w:noProof/>
            <w:webHidden/>
          </w:rPr>
          <w:fldChar w:fldCharType="end"/>
        </w:r>
      </w:hyperlink>
    </w:p>
    <w:p w14:paraId="5EDCFDEE" w14:textId="291D3AAC"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05" w:history="1">
        <w:r w:rsidR="00A3122C" w:rsidRPr="00A76587">
          <w:rPr>
            <w:rStyle w:val="Hyperlink"/>
            <w:noProof/>
          </w:rPr>
          <w:t>Tab 6: Vývoj dlhu medzi rokmi 2013 až 2023</w:t>
        </w:r>
        <w:r w:rsidR="00A3122C">
          <w:rPr>
            <w:noProof/>
            <w:webHidden/>
          </w:rPr>
          <w:tab/>
        </w:r>
        <w:r w:rsidR="00A3122C">
          <w:rPr>
            <w:noProof/>
            <w:webHidden/>
          </w:rPr>
          <w:fldChar w:fldCharType="begin"/>
        </w:r>
        <w:r w:rsidR="00A3122C">
          <w:rPr>
            <w:noProof/>
            <w:webHidden/>
          </w:rPr>
          <w:instrText xml:space="preserve"> PAGEREF _Toc49506905 \h </w:instrText>
        </w:r>
        <w:r w:rsidR="00A3122C">
          <w:rPr>
            <w:noProof/>
            <w:webHidden/>
          </w:rPr>
        </w:r>
        <w:r w:rsidR="00A3122C">
          <w:rPr>
            <w:noProof/>
            <w:webHidden/>
          </w:rPr>
          <w:fldChar w:fldCharType="separate"/>
        </w:r>
        <w:r w:rsidR="00A3122C">
          <w:rPr>
            <w:noProof/>
            <w:webHidden/>
          </w:rPr>
          <w:t>52</w:t>
        </w:r>
        <w:r w:rsidR="00A3122C">
          <w:rPr>
            <w:noProof/>
            <w:webHidden/>
          </w:rPr>
          <w:fldChar w:fldCharType="end"/>
        </w:r>
      </w:hyperlink>
    </w:p>
    <w:p w14:paraId="5F06740B" w14:textId="39BE16E1"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06" w:history="1">
        <w:r w:rsidR="00A3122C" w:rsidRPr="00A76587">
          <w:rPr>
            <w:rStyle w:val="Hyperlink"/>
            <w:noProof/>
          </w:rPr>
          <w:t>Tab 7: Jednorazové vplyvy na dlh</w:t>
        </w:r>
        <w:r w:rsidR="00A3122C">
          <w:rPr>
            <w:noProof/>
            <w:webHidden/>
          </w:rPr>
          <w:tab/>
        </w:r>
        <w:r w:rsidR="00A3122C">
          <w:rPr>
            <w:noProof/>
            <w:webHidden/>
          </w:rPr>
          <w:fldChar w:fldCharType="begin"/>
        </w:r>
        <w:r w:rsidR="00A3122C">
          <w:rPr>
            <w:noProof/>
            <w:webHidden/>
          </w:rPr>
          <w:instrText xml:space="preserve"> PAGEREF _Toc49506906 \h </w:instrText>
        </w:r>
        <w:r w:rsidR="00A3122C">
          <w:rPr>
            <w:noProof/>
            <w:webHidden/>
          </w:rPr>
        </w:r>
        <w:r w:rsidR="00A3122C">
          <w:rPr>
            <w:noProof/>
            <w:webHidden/>
          </w:rPr>
          <w:fldChar w:fldCharType="separate"/>
        </w:r>
        <w:r w:rsidR="00A3122C">
          <w:rPr>
            <w:noProof/>
            <w:webHidden/>
          </w:rPr>
          <w:t>54</w:t>
        </w:r>
        <w:r w:rsidR="00A3122C">
          <w:rPr>
            <w:noProof/>
            <w:webHidden/>
          </w:rPr>
          <w:fldChar w:fldCharType="end"/>
        </w:r>
      </w:hyperlink>
    </w:p>
    <w:p w14:paraId="159EA902" w14:textId="64CC2602"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07" w:history="1">
        <w:r w:rsidR="00A3122C" w:rsidRPr="00A76587">
          <w:rPr>
            <w:rStyle w:val="Hyperlink"/>
            <w:noProof/>
          </w:rPr>
          <w:t>Tab 8: Prehľad vývoja dlhu do roku 2023</w:t>
        </w:r>
        <w:r w:rsidR="00A3122C">
          <w:rPr>
            <w:noProof/>
            <w:webHidden/>
          </w:rPr>
          <w:tab/>
        </w:r>
        <w:r w:rsidR="00A3122C">
          <w:rPr>
            <w:noProof/>
            <w:webHidden/>
          </w:rPr>
          <w:fldChar w:fldCharType="begin"/>
        </w:r>
        <w:r w:rsidR="00A3122C">
          <w:rPr>
            <w:noProof/>
            <w:webHidden/>
          </w:rPr>
          <w:instrText xml:space="preserve"> PAGEREF _Toc49506907 \h </w:instrText>
        </w:r>
        <w:r w:rsidR="00A3122C">
          <w:rPr>
            <w:noProof/>
            <w:webHidden/>
          </w:rPr>
        </w:r>
        <w:r w:rsidR="00A3122C">
          <w:rPr>
            <w:noProof/>
            <w:webHidden/>
          </w:rPr>
          <w:fldChar w:fldCharType="separate"/>
        </w:r>
        <w:r w:rsidR="00A3122C">
          <w:rPr>
            <w:noProof/>
            <w:webHidden/>
          </w:rPr>
          <w:t>55</w:t>
        </w:r>
        <w:r w:rsidR="00A3122C">
          <w:rPr>
            <w:noProof/>
            <w:webHidden/>
          </w:rPr>
          <w:fldChar w:fldCharType="end"/>
        </w:r>
      </w:hyperlink>
    </w:p>
    <w:p w14:paraId="02C6717F" w14:textId="3B6B74DE"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08" w:history="1">
        <w:r w:rsidR="00A3122C" w:rsidRPr="00A76587">
          <w:rPr>
            <w:rStyle w:val="Hyperlink"/>
            <w:noProof/>
          </w:rPr>
          <w:t>Tab 9: Vyhodnotenie pravidiel pre VÚC</w:t>
        </w:r>
        <w:r w:rsidR="00A3122C">
          <w:rPr>
            <w:noProof/>
            <w:webHidden/>
          </w:rPr>
          <w:tab/>
        </w:r>
        <w:r w:rsidR="00A3122C">
          <w:rPr>
            <w:noProof/>
            <w:webHidden/>
          </w:rPr>
          <w:fldChar w:fldCharType="begin"/>
        </w:r>
        <w:r w:rsidR="00A3122C">
          <w:rPr>
            <w:noProof/>
            <w:webHidden/>
          </w:rPr>
          <w:instrText xml:space="preserve"> PAGEREF _Toc49506908 \h </w:instrText>
        </w:r>
        <w:r w:rsidR="00A3122C">
          <w:rPr>
            <w:noProof/>
            <w:webHidden/>
          </w:rPr>
        </w:r>
        <w:r w:rsidR="00A3122C">
          <w:rPr>
            <w:noProof/>
            <w:webHidden/>
          </w:rPr>
          <w:fldChar w:fldCharType="separate"/>
        </w:r>
        <w:r w:rsidR="00A3122C">
          <w:rPr>
            <w:noProof/>
            <w:webHidden/>
          </w:rPr>
          <w:t>73</w:t>
        </w:r>
        <w:r w:rsidR="00A3122C">
          <w:rPr>
            <w:noProof/>
            <w:webHidden/>
          </w:rPr>
          <w:fldChar w:fldCharType="end"/>
        </w:r>
      </w:hyperlink>
    </w:p>
    <w:p w14:paraId="11FCB85B" w14:textId="5679BDD9"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09" w:history="1">
        <w:r w:rsidR="00A3122C" w:rsidRPr="00A76587">
          <w:rPr>
            <w:rStyle w:val="Hyperlink"/>
            <w:noProof/>
          </w:rPr>
          <w:t>Tab 10: Vyhodnotenie pravidla o výške dlhu obcí</w:t>
        </w:r>
        <w:r w:rsidR="00A3122C">
          <w:rPr>
            <w:noProof/>
            <w:webHidden/>
          </w:rPr>
          <w:tab/>
        </w:r>
        <w:r w:rsidR="00A3122C">
          <w:rPr>
            <w:noProof/>
            <w:webHidden/>
          </w:rPr>
          <w:fldChar w:fldCharType="begin"/>
        </w:r>
        <w:r w:rsidR="00A3122C">
          <w:rPr>
            <w:noProof/>
            <w:webHidden/>
          </w:rPr>
          <w:instrText xml:space="preserve"> PAGEREF _Toc49506909 \h </w:instrText>
        </w:r>
        <w:r w:rsidR="00A3122C">
          <w:rPr>
            <w:noProof/>
            <w:webHidden/>
          </w:rPr>
        </w:r>
        <w:r w:rsidR="00A3122C">
          <w:rPr>
            <w:noProof/>
            <w:webHidden/>
          </w:rPr>
          <w:fldChar w:fldCharType="separate"/>
        </w:r>
        <w:r w:rsidR="00A3122C">
          <w:rPr>
            <w:noProof/>
            <w:webHidden/>
          </w:rPr>
          <w:t>75</w:t>
        </w:r>
        <w:r w:rsidR="00A3122C">
          <w:rPr>
            <w:noProof/>
            <w:webHidden/>
          </w:rPr>
          <w:fldChar w:fldCharType="end"/>
        </w:r>
      </w:hyperlink>
    </w:p>
    <w:p w14:paraId="0F6B1E28" w14:textId="27393CC6" w:rsidR="00064D28" w:rsidRPr="00B81300" w:rsidRDefault="0053156D" w:rsidP="0003467A">
      <w:pPr>
        <w:rPr>
          <w:highlight w:val="yellow"/>
        </w:rPr>
      </w:pPr>
      <w:r w:rsidRPr="00B81300">
        <w:rPr>
          <w:color w:val="58595B"/>
          <w:highlight w:val="yellow"/>
        </w:rPr>
        <w:fldChar w:fldCharType="end"/>
      </w:r>
    </w:p>
    <w:p w14:paraId="4A480EFB" w14:textId="2E85DB58" w:rsidR="00A3122C" w:rsidRDefault="003165EE">
      <w:pPr>
        <w:pStyle w:val="TableofFigures"/>
        <w:tabs>
          <w:tab w:val="right" w:leader="underscore" w:pos="9060"/>
        </w:tabs>
        <w:rPr>
          <w:rFonts w:asciiTheme="minorHAnsi" w:eastAsiaTheme="minorEastAsia" w:hAnsiTheme="minorHAnsi" w:cstheme="minorBidi"/>
          <w:noProof/>
          <w:szCs w:val="22"/>
          <w:lang w:val="en-US" w:eastAsia="en-US"/>
        </w:rPr>
      </w:pPr>
      <w:r w:rsidRPr="00B81300">
        <w:rPr>
          <w:highlight w:val="yellow"/>
        </w:rPr>
        <w:fldChar w:fldCharType="begin"/>
      </w:r>
      <w:r w:rsidRPr="00B81300">
        <w:rPr>
          <w:highlight w:val="yellow"/>
        </w:rPr>
        <w:instrText xml:space="preserve"> TOC \h \z \t "schéma" \c </w:instrText>
      </w:r>
      <w:r w:rsidRPr="00B81300">
        <w:rPr>
          <w:highlight w:val="yellow"/>
        </w:rPr>
        <w:fldChar w:fldCharType="separate"/>
      </w:r>
      <w:hyperlink w:anchor="_Toc49506910" w:history="1">
        <w:r w:rsidR="00A3122C" w:rsidRPr="008D3E9F">
          <w:rPr>
            <w:rStyle w:val="Hyperlink"/>
            <w:noProof/>
          </w:rPr>
          <w:t>Schéma 1: Prehľad rozpočtových pravidiel týkajúcich sa SR</w:t>
        </w:r>
        <w:r w:rsidR="00A3122C">
          <w:rPr>
            <w:noProof/>
            <w:webHidden/>
          </w:rPr>
          <w:tab/>
        </w:r>
        <w:r w:rsidR="00A3122C">
          <w:rPr>
            <w:noProof/>
            <w:webHidden/>
          </w:rPr>
          <w:fldChar w:fldCharType="begin"/>
        </w:r>
        <w:r w:rsidR="00A3122C">
          <w:rPr>
            <w:noProof/>
            <w:webHidden/>
          </w:rPr>
          <w:instrText xml:space="preserve"> PAGEREF _Toc49506910 \h </w:instrText>
        </w:r>
        <w:r w:rsidR="00A3122C">
          <w:rPr>
            <w:noProof/>
            <w:webHidden/>
          </w:rPr>
        </w:r>
        <w:r w:rsidR="00A3122C">
          <w:rPr>
            <w:noProof/>
            <w:webHidden/>
          </w:rPr>
          <w:fldChar w:fldCharType="separate"/>
        </w:r>
        <w:r w:rsidR="00A3122C">
          <w:rPr>
            <w:noProof/>
            <w:webHidden/>
          </w:rPr>
          <w:t>14</w:t>
        </w:r>
        <w:r w:rsidR="00A3122C">
          <w:rPr>
            <w:noProof/>
            <w:webHidden/>
          </w:rPr>
          <w:fldChar w:fldCharType="end"/>
        </w:r>
      </w:hyperlink>
    </w:p>
    <w:p w14:paraId="49738814" w14:textId="2DDBE20D"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11" w:history="1">
        <w:r w:rsidR="00A3122C" w:rsidRPr="008D3E9F">
          <w:rPr>
            <w:rStyle w:val="Hyperlink"/>
            <w:noProof/>
          </w:rPr>
          <w:t>Schéma 2: Vývoj zavádzania výdavkových limitov</w:t>
        </w:r>
        <w:r w:rsidR="00A3122C">
          <w:rPr>
            <w:noProof/>
            <w:webHidden/>
          </w:rPr>
          <w:tab/>
        </w:r>
        <w:r w:rsidR="00A3122C">
          <w:rPr>
            <w:noProof/>
            <w:webHidden/>
          </w:rPr>
          <w:fldChar w:fldCharType="begin"/>
        </w:r>
        <w:r w:rsidR="00A3122C">
          <w:rPr>
            <w:noProof/>
            <w:webHidden/>
          </w:rPr>
          <w:instrText xml:space="preserve"> PAGEREF _Toc49506911 \h </w:instrText>
        </w:r>
        <w:r w:rsidR="00A3122C">
          <w:rPr>
            <w:noProof/>
            <w:webHidden/>
          </w:rPr>
        </w:r>
        <w:r w:rsidR="00A3122C">
          <w:rPr>
            <w:noProof/>
            <w:webHidden/>
          </w:rPr>
          <w:fldChar w:fldCharType="separate"/>
        </w:r>
        <w:r w:rsidR="00A3122C">
          <w:rPr>
            <w:noProof/>
            <w:webHidden/>
          </w:rPr>
          <w:t>29</w:t>
        </w:r>
        <w:r w:rsidR="00A3122C">
          <w:rPr>
            <w:noProof/>
            <w:webHidden/>
          </w:rPr>
          <w:fldChar w:fldCharType="end"/>
        </w:r>
      </w:hyperlink>
    </w:p>
    <w:p w14:paraId="70383962" w14:textId="32921C4B"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12" w:history="1">
        <w:r w:rsidR="00A3122C" w:rsidRPr="008D3E9F">
          <w:rPr>
            <w:rStyle w:val="Hyperlink"/>
            <w:rFonts w:eastAsiaTheme="minorHAnsi"/>
            <w:noProof/>
          </w:rPr>
          <w:t>Schéma 3: Prognóza dlhu v jednotlivých fázach rozpočtového procesu</w:t>
        </w:r>
        <w:r w:rsidR="00A3122C">
          <w:rPr>
            <w:noProof/>
            <w:webHidden/>
          </w:rPr>
          <w:tab/>
        </w:r>
        <w:r w:rsidR="00A3122C">
          <w:rPr>
            <w:noProof/>
            <w:webHidden/>
          </w:rPr>
          <w:fldChar w:fldCharType="begin"/>
        </w:r>
        <w:r w:rsidR="00A3122C">
          <w:rPr>
            <w:noProof/>
            <w:webHidden/>
          </w:rPr>
          <w:instrText xml:space="preserve"> PAGEREF _Toc49506912 \h </w:instrText>
        </w:r>
        <w:r w:rsidR="00A3122C">
          <w:rPr>
            <w:noProof/>
            <w:webHidden/>
          </w:rPr>
        </w:r>
        <w:r w:rsidR="00A3122C">
          <w:rPr>
            <w:noProof/>
            <w:webHidden/>
          </w:rPr>
          <w:fldChar w:fldCharType="separate"/>
        </w:r>
        <w:r w:rsidR="00A3122C">
          <w:rPr>
            <w:noProof/>
            <w:webHidden/>
          </w:rPr>
          <w:t>57</w:t>
        </w:r>
        <w:r w:rsidR="00A3122C">
          <w:rPr>
            <w:noProof/>
            <w:webHidden/>
          </w:rPr>
          <w:fldChar w:fldCharType="end"/>
        </w:r>
      </w:hyperlink>
    </w:p>
    <w:p w14:paraId="7CE6DF75" w14:textId="37FE67CD" w:rsidR="0003467A" w:rsidRPr="00B81300" w:rsidRDefault="003165EE" w:rsidP="0003467A">
      <w:pPr>
        <w:rPr>
          <w:highlight w:val="yellow"/>
        </w:rPr>
      </w:pPr>
      <w:r w:rsidRPr="00B81300">
        <w:rPr>
          <w:highlight w:val="yellow"/>
        </w:rPr>
        <w:fldChar w:fldCharType="end"/>
      </w:r>
    </w:p>
    <w:p w14:paraId="5B76F591" w14:textId="5FB012D3" w:rsidR="00A3122C" w:rsidRDefault="005276C6">
      <w:pPr>
        <w:pStyle w:val="TableofFigures"/>
        <w:tabs>
          <w:tab w:val="right" w:leader="underscore" w:pos="9060"/>
        </w:tabs>
        <w:rPr>
          <w:rFonts w:asciiTheme="minorHAnsi" w:eastAsiaTheme="minorEastAsia" w:hAnsiTheme="minorHAnsi" w:cstheme="minorBidi"/>
          <w:noProof/>
          <w:szCs w:val="22"/>
          <w:lang w:val="en-US" w:eastAsia="en-US"/>
        </w:rPr>
      </w:pPr>
      <w:r w:rsidRPr="00B81300">
        <w:rPr>
          <w:color w:val="58595B"/>
          <w:highlight w:val="yellow"/>
        </w:rPr>
        <w:fldChar w:fldCharType="begin"/>
      </w:r>
      <w:r w:rsidRPr="00B81300">
        <w:rPr>
          <w:color w:val="58595B"/>
          <w:highlight w:val="yellow"/>
        </w:rPr>
        <w:instrText xml:space="preserve"> TOC \h \z \t "graf" \c </w:instrText>
      </w:r>
      <w:r w:rsidRPr="00B81300">
        <w:rPr>
          <w:color w:val="58595B"/>
          <w:highlight w:val="yellow"/>
        </w:rPr>
        <w:fldChar w:fldCharType="separate"/>
      </w:r>
      <w:hyperlink w:anchor="_Toc49506913" w:history="1">
        <w:r w:rsidR="00A3122C" w:rsidRPr="004A4663">
          <w:rPr>
            <w:rStyle w:val="Hyperlink"/>
            <w:noProof/>
          </w:rPr>
          <w:t>Graf 1: Vývoj hrubého dlhu od roku 2011</w:t>
        </w:r>
        <w:r w:rsidR="00A3122C">
          <w:rPr>
            <w:noProof/>
            <w:webHidden/>
          </w:rPr>
          <w:tab/>
        </w:r>
        <w:r w:rsidR="00A3122C">
          <w:rPr>
            <w:noProof/>
            <w:webHidden/>
          </w:rPr>
          <w:fldChar w:fldCharType="begin"/>
        </w:r>
        <w:r w:rsidR="00A3122C">
          <w:rPr>
            <w:noProof/>
            <w:webHidden/>
          </w:rPr>
          <w:instrText xml:space="preserve"> PAGEREF _Toc49506913 \h </w:instrText>
        </w:r>
        <w:r w:rsidR="00A3122C">
          <w:rPr>
            <w:noProof/>
            <w:webHidden/>
          </w:rPr>
        </w:r>
        <w:r w:rsidR="00A3122C">
          <w:rPr>
            <w:noProof/>
            <w:webHidden/>
          </w:rPr>
          <w:fldChar w:fldCharType="separate"/>
        </w:r>
        <w:r w:rsidR="00A3122C">
          <w:rPr>
            <w:noProof/>
            <w:webHidden/>
          </w:rPr>
          <w:t>12</w:t>
        </w:r>
        <w:r w:rsidR="00A3122C">
          <w:rPr>
            <w:noProof/>
            <w:webHidden/>
          </w:rPr>
          <w:fldChar w:fldCharType="end"/>
        </w:r>
      </w:hyperlink>
    </w:p>
    <w:p w14:paraId="7DB7AF83" w14:textId="04E42617"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14" w:history="1">
        <w:r w:rsidR="00A3122C" w:rsidRPr="004A4663">
          <w:rPr>
            <w:rStyle w:val="Hyperlink"/>
            <w:noProof/>
          </w:rPr>
          <w:t>Graf 2: Zmena dlhu bez jednorazových vplyvov</w:t>
        </w:r>
        <w:r w:rsidR="00A3122C">
          <w:rPr>
            <w:noProof/>
            <w:webHidden/>
          </w:rPr>
          <w:tab/>
        </w:r>
        <w:r w:rsidR="00A3122C">
          <w:rPr>
            <w:noProof/>
            <w:webHidden/>
          </w:rPr>
          <w:fldChar w:fldCharType="begin"/>
        </w:r>
        <w:r w:rsidR="00A3122C">
          <w:rPr>
            <w:noProof/>
            <w:webHidden/>
          </w:rPr>
          <w:instrText xml:space="preserve"> PAGEREF _Toc49506914 \h </w:instrText>
        </w:r>
        <w:r w:rsidR="00A3122C">
          <w:rPr>
            <w:noProof/>
            <w:webHidden/>
          </w:rPr>
        </w:r>
        <w:r w:rsidR="00A3122C">
          <w:rPr>
            <w:noProof/>
            <w:webHidden/>
          </w:rPr>
          <w:fldChar w:fldCharType="separate"/>
        </w:r>
        <w:r w:rsidR="00A3122C">
          <w:rPr>
            <w:noProof/>
            <w:webHidden/>
          </w:rPr>
          <w:t>12</w:t>
        </w:r>
        <w:r w:rsidR="00A3122C">
          <w:rPr>
            <w:noProof/>
            <w:webHidden/>
          </w:rPr>
          <w:fldChar w:fldCharType="end"/>
        </w:r>
      </w:hyperlink>
    </w:p>
    <w:p w14:paraId="0AD52DC1" w14:textId="62263F1E"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15" w:history="1">
        <w:r w:rsidR="00A3122C" w:rsidRPr="004A4663">
          <w:rPr>
            <w:rStyle w:val="Hyperlink"/>
            <w:noProof/>
          </w:rPr>
          <w:t>Graf 3: Príspevky k zmene dlhu v rokoch 2012-20</w:t>
        </w:r>
        <w:r w:rsidR="00B90E06">
          <w:rPr>
            <w:rStyle w:val="Hyperlink"/>
            <w:noProof/>
          </w:rPr>
          <w:t>19</w:t>
        </w:r>
        <w:r w:rsidR="00A3122C">
          <w:rPr>
            <w:noProof/>
            <w:webHidden/>
          </w:rPr>
          <w:tab/>
        </w:r>
        <w:r w:rsidR="00A3122C">
          <w:rPr>
            <w:noProof/>
            <w:webHidden/>
          </w:rPr>
          <w:fldChar w:fldCharType="begin"/>
        </w:r>
        <w:r w:rsidR="00A3122C">
          <w:rPr>
            <w:noProof/>
            <w:webHidden/>
          </w:rPr>
          <w:instrText xml:space="preserve"> PAGEREF _Toc49506915 \h </w:instrText>
        </w:r>
        <w:r w:rsidR="00A3122C">
          <w:rPr>
            <w:noProof/>
            <w:webHidden/>
          </w:rPr>
        </w:r>
        <w:r w:rsidR="00A3122C">
          <w:rPr>
            <w:noProof/>
            <w:webHidden/>
          </w:rPr>
          <w:fldChar w:fldCharType="separate"/>
        </w:r>
        <w:r w:rsidR="00A3122C">
          <w:rPr>
            <w:noProof/>
            <w:webHidden/>
          </w:rPr>
          <w:t>12</w:t>
        </w:r>
        <w:r w:rsidR="00A3122C">
          <w:rPr>
            <w:noProof/>
            <w:webHidden/>
          </w:rPr>
          <w:fldChar w:fldCharType="end"/>
        </w:r>
      </w:hyperlink>
    </w:p>
    <w:p w14:paraId="2F48EDA7" w14:textId="36BF6CBE"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16" w:history="1">
        <w:r w:rsidR="00A3122C" w:rsidRPr="004A4663">
          <w:rPr>
            <w:rStyle w:val="Hyperlink"/>
            <w:noProof/>
          </w:rPr>
          <w:t>Graf 4: Vývoj dlhu a hranice stanovené zákonom o rozpočtovej zodpovednosti</w:t>
        </w:r>
        <w:r w:rsidR="00A3122C">
          <w:rPr>
            <w:noProof/>
            <w:webHidden/>
          </w:rPr>
          <w:tab/>
        </w:r>
        <w:r w:rsidR="00A3122C">
          <w:rPr>
            <w:noProof/>
            <w:webHidden/>
          </w:rPr>
          <w:fldChar w:fldCharType="begin"/>
        </w:r>
        <w:r w:rsidR="00A3122C">
          <w:rPr>
            <w:noProof/>
            <w:webHidden/>
          </w:rPr>
          <w:instrText xml:space="preserve"> PAGEREF _Toc49506916 \h </w:instrText>
        </w:r>
        <w:r w:rsidR="00A3122C">
          <w:rPr>
            <w:noProof/>
            <w:webHidden/>
          </w:rPr>
        </w:r>
        <w:r w:rsidR="00A3122C">
          <w:rPr>
            <w:noProof/>
            <w:webHidden/>
          </w:rPr>
          <w:fldChar w:fldCharType="separate"/>
        </w:r>
        <w:r w:rsidR="00A3122C">
          <w:rPr>
            <w:noProof/>
            <w:webHidden/>
          </w:rPr>
          <w:t>17</w:t>
        </w:r>
        <w:r w:rsidR="00A3122C">
          <w:rPr>
            <w:noProof/>
            <w:webHidden/>
          </w:rPr>
          <w:fldChar w:fldCharType="end"/>
        </w:r>
      </w:hyperlink>
    </w:p>
    <w:p w14:paraId="1BD1DD69" w14:textId="751A558D"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17" w:history="1">
        <w:r w:rsidR="00A3122C" w:rsidRPr="004A4663">
          <w:rPr>
            <w:rStyle w:val="Hyperlink"/>
            <w:noProof/>
          </w:rPr>
          <w:t>Graf 5: Medziročná zmena dlhu z pohľadu čistého bohatstva</w:t>
        </w:r>
        <w:r w:rsidR="00A3122C">
          <w:rPr>
            <w:noProof/>
            <w:webHidden/>
          </w:rPr>
          <w:tab/>
        </w:r>
        <w:r w:rsidR="00A3122C">
          <w:rPr>
            <w:noProof/>
            <w:webHidden/>
          </w:rPr>
          <w:fldChar w:fldCharType="begin"/>
        </w:r>
        <w:r w:rsidR="00A3122C">
          <w:rPr>
            <w:noProof/>
            <w:webHidden/>
          </w:rPr>
          <w:instrText xml:space="preserve"> PAGEREF _Toc49506917 \h </w:instrText>
        </w:r>
        <w:r w:rsidR="00A3122C">
          <w:rPr>
            <w:noProof/>
            <w:webHidden/>
          </w:rPr>
        </w:r>
        <w:r w:rsidR="00A3122C">
          <w:rPr>
            <w:noProof/>
            <w:webHidden/>
          </w:rPr>
          <w:fldChar w:fldCharType="separate"/>
        </w:r>
        <w:r w:rsidR="00A3122C">
          <w:rPr>
            <w:noProof/>
            <w:webHidden/>
          </w:rPr>
          <w:t>18</w:t>
        </w:r>
        <w:r w:rsidR="00A3122C">
          <w:rPr>
            <w:noProof/>
            <w:webHidden/>
          </w:rPr>
          <w:fldChar w:fldCharType="end"/>
        </w:r>
      </w:hyperlink>
    </w:p>
    <w:p w14:paraId="5D27D265" w14:textId="21FA3F4E"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18" w:history="1">
        <w:r w:rsidR="00A3122C" w:rsidRPr="004A4663">
          <w:rPr>
            <w:rStyle w:val="Hyperlink"/>
            <w:noProof/>
          </w:rPr>
          <w:t>Graf 6: Príspevky vybraných faktorov k zmene dlhu v rokoch 2012-2019</w:t>
        </w:r>
        <w:r w:rsidR="00A3122C">
          <w:rPr>
            <w:noProof/>
            <w:webHidden/>
          </w:rPr>
          <w:tab/>
        </w:r>
        <w:r w:rsidR="00A3122C">
          <w:rPr>
            <w:noProof/>
            <w:webHidden/>
          </w:rPr>
          <w:fldChar w:fldCharType="begin"/>
        </w:r>
        <w:r w:rsidR="00A3122C">
          <w:rPr>
            <w:noProof/>
            <w:webHidden/>
          </w:rPr>
          <w:instrText xml:space="preserve"> PAGEREF _Toc49506918 \h </w:instrText>
        </w:r>
        <w:r w:rsidR="00A3122C">
          <w:rPr>
            <w:noProof/>
            <w:webHidden/>
          </w:rPr>
        </w:r>
        <w:r w:rsidR="00A3122C">
          <w:rPr>
            <w:noProof/>
            <w:webHidden/>
          </w:rPr>
          <w:fldChar w:fldCharType="separate"/>
        </w:r>
        <w:r w:rsidR="00A3122C">
          <w:rPr>
            <w:noProof/>
            <w:webHidden/>
          </w:rPr>
          <w:t>18</w:t>
        </w:r>
        <w:r w:rsidR="00A3122C">
          <w:rPr>
            <w:noProof/>
            <w:webHidden/>
          </w:rPr>
          <w:fldChar w:fldCharType="end"/>
        </w:r>
      </w:hyperlink>
    </w:p>
    <w:p w14:paraId="5BBF50F2" w14:textId="6F99DC34"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19" w:history="1">
        <w:r w:rsidR="00A3122C" w:rsidRPr="004A4663">
          <w:rPr>
            <w:rStyle w:val="Hyperlink"/>
            <w:noProof/>
          </w:rPr>
          <w:t>Graf 7: Saldo verejnej správy pri využití neočakávaných vplyvov na jeho zlepšenie</w:t>
        </w:r>
        <w:r w:rsidR="00A3122C">
          <w:rPr>
            <w:noProof/>
            <w:webHidden/>
          </w:rPr>
          <w:tab/>
        </w:r>
        <w:r w:rsidR="00A3122C">
          <w:rPr>
            <w:noProof/>
            <w:webHidden/>
          </w:rPr>
          <w:fldChar w:fldCharType="begin"/>
        </w:r>
        <w:r w:rsidR="00A3122C">
          <w:rPr>
            <w:noProof/>
            <w:webHidden/>
          </w:rPr>
          <w:instrText xml:space="preserve"> PAGEREF _Toc49506919 \h </w:instrText>
        </w:r>
        <w:r w:rsidR="00A3122C">
          <w:rPr>
            <w:noProof/>
            <w:webHidden/>
          </w:rPr>
        </w:r>
        <w:r w:rsidR="00A3122C">
          <w:rPr>
            <w:noProof/>
            <w:webHidden/>
          </w:rPr>
          <w:fldChar w:fldCharType="separate"/>
        </w:r>
        <w:r w:rsidR="00A3122C">
          <w:rPr>
            <w:noProof/>
            <w:webHidden/>
          </w:rPr>
          <w:t>19</w:t>
        </w:r>
        <w:r w:rsidR="00A3122C">
          <w:rPr>
            <w:noProof/>
            <w:webHidden/>
          </w:rPr>
          <w:fldChar w:fldCharType="end"/>
        </w:r>
      </w:hyperlink>
    </w:p>
    <w:p w14:paraId="55912F1A" w14:textId="7A3D2917"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0" w:history="1">
        <w:r w:rsidR="00A3122C" w:rsidRPr="004A4663">
          <w:rPr>
            <w:rStyle w:val="Hyperlink"/>
            <w:noProof/>
          </w:rPr>
          <w:t>Graf 8: Hrubý dlh pri využití neočakávaných vplyvov na jeho zlepšenie</w:t>
        </w:r>
        <w:r w:rsidR="00A3122C">
          <w:rPr>
            <w:noProof/>
            <w:webHidden/>
          </w:rPr>
          <w:tab/>
        </w:r>
        <w:r w:rsidR="00A3122C">
          <w:rPr>
            <w:noProof/>
            <w:webHidden/>
          </w:rPr>
          <w:fldChar w:fldCharType="begin"/>
        </w:r>
        <w:r w:rsidR="00A3122C">
          <w:rPr>
            <w:noProof/>
            <w:webHidden/>
          </w:rPr>
          <w:instrText xml:space="preserve"> PAGEREF _Toc49506920 \h </w:instrText>
        </w:r>
        <w:r w:rsidR="00A3122C">
          <w:rPr>
            <w:noProof/>
            <w:webHidden/>
          </w:rPr>
        </w:r>
        <w:r w:rsidR="00A3122C">
          <w:rPr>
            <w:noProof/>
            <w:webHidden/>
          </w:rPr>
          <w:fldChar w:fldCharType="separate"/>
        </w:r>
        <w:r w:rsidR="00A3122C">
          <w:rPr>
            <w:noProof/>
            <w:webHidden/>
          </w:rPr>
          <w:t>19</w:t>
        </w:r>
        <w:r w:rsidR="00A3122C">
          <w:rPr>
            <w:noProof/>
            <w:webHidden/>
          </w:rPr>
          <w:fldChar w:fldCharType="end"/>
        </w:r>
      </w:hyperlink>
    </w:p>
    <w:p w14:paraId="3DC8D475" w14:textId="43CC9AAF"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1" w:history="1">
        <w:r w:rsidR="00A3122C" w:rsidRPr="004A4663">
          <w:rPr>
            <w:rStyle w:val="Hyperlink"/>
            <w:noProof/>
          </w:rPr>
          <w:t>Graf 9: Obce nespĺňajúce limity § 17 zákona č. 583/2004 za rok 2019</w:t>
        </w:r>
        <w:r w:rsidR="00A3122C">
          <w:rPr>
            <w:noProof/>
            <w:webHidden/>
          </w:rPr>
          <w:tab/>
        </w:r>
        <w:r w:rsidR="00A3122C">
          <w:rPr>
            <w:noProof/>
            <w:webHidden/>
          </w:rPr>
          <w:fldChar w:fldCharType="begin"/>
        </w:r>
        <w:r w:rsidR="00A3122C">
          <w:rPr>
            <w:noProof/>
            <w:webHidden/>
          </w:rPr>
          <w:instrText xml:space="preserve"> PAGEREF _Toc49506921 \h </w:instrText>
        </w:r>
        <w:r w:rsidR="00A3122C">
          <w:rPr>
            <w:noProof/>
            <w:webHidden/>
          </w:rPr>
        </w:r>
        <w:r w:rsidR="00A3122C">
          <w:rPr>
            <w:noProof/>
            <w:webHidden/>
          </w:rPr>
          <w:fldChar w:fldCharType="separate"/>
        </w:r>
        <w:r w:rsidR="00A3122C">
          <w:rPr>
            <w:noProof/>
            <w:webHidden/>
          </w:rPr>
          <w:t>27</w:t>
        </w:r>
        <w:r w:rsidR="00A3122C">
          <w:rPr>
            <w:noProof/>
            <w:webHidden/>
          </w:rPr>
          <w:fldChar w:fldCharType="end"/>
        </w:r>
      </w:hyperlink>
    </w:p>
    <w:p w14:paraId="5C8B6871" w14:textId="7F33D56D"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2" w:history="1">
        <w:r w:rsidR="00A3122C" w:rsidRPr="004A4663">
          <w:rPr>
            <w:rStyle w:val="Hyperlink"/>
            <w:noProof/>
          </w:rPr>
          <w:t>Graf 10: Podiely zložiek príjmov verejnej správy</w:t>
        </w:r>
        <w:r w:rsidR="00A3122C">
          <w:rPr>
            <w:noProof/>
            <w:webHidden/>
          </w:rPr>
          <w:tab/>
        </w:r>
        <w:r w:rsidR="00A3122C">
          <w:rPr>
            <w:noProof/>
            <w:webHidden/>
          </w:rPr>
          <w:fldChar w:fldCharType="begin"/>
        </w:r>
        <w:r w:rsidR="00A3122C">
          <w:rPr>
            <w:noProof/>
            <w:webHidden/>
          </w:rPr>
          <w:instrText xml:space="preserve"> PAGEREF _Toc49506922 \h </w:instrText>
        </w:r>
        <w:r w:rsidR="00A3122C">
          <w:rPr>
            <w:noProof/>
            <w:webHidden/>
          </w:rPr>
        </w:r>
        <w:r w:rsidR="00A3122C">
          <w:rPr>
            <w:noProof/>
            <w:webHidden/>
          </w:rPr>
          <w:fldChar w:fldCharType="separate"/>
        </w:r>
        <w:r w:rsidR="00A3122C">
          <w:rPr>
            <w:noProof/>
            <w:webHidden/>
          </w:rPr>
          <w:t>32</w:t>
        </w:r>
        <w:r w:rsidR="00A3122C">
          <w:rPr>
            <w:noProof/>
            <w:webHidden/>
          </w:rPr>
          <w:fldChar w:fldCharType="end"/>
        </w:r>
      </w:hyperlink>
    </w:p>
    <w:p w14:paraId="6B328C04" w14:textId="66C12D87"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3" w:history="1">
        <w:r w:rsidR="00A3122C" w:rsidRPr="004A4663">
          <w:rPr>
            <w:rStyle w:val="Hyperlink"/>
            <w:noProof/>
          </w:rPr>
          <w:t>Graf 11: Podiely zložiek daňových príjmov v roku 2019</w:t>
        </w:r>
        <w:r w:rsidR="00A3122C">
          <w:rPr>
            <w:noProof/>
            <w:webHidden/>
          </w:rPr>
          <w:tab/>
        </w:r>
        <w:r w:rsidR="00A3122C">
          <w:rPr>
            <w:noProof/>
            <w:webHidden/>
          </w:rPr>
          <w:fldChar w:fldCharType="begin"/>
        </w:r>
        <w:r w:rsidR="00A3122C">
          <w:rPr>
            <w:noProof/>
            <w:webHidden/>
          </w:rPr>
          <w:instrText xml:space="preserve"> PAGEREF _Toc49506923 \h </w:instrText>
        </w:r>
        <w:r w:rsidR="00A3122C">
          <w:rPr>
            <w:noProof/>
            <w:webHidden/>
          </w:rPr>
        </w:r>
        <w:r w:rsidR="00A3122C">
          <w:rPr>
            <w:noProof/>
            <w:webHidden/>
          </w:rPr>
          <w:fldChar w:fldCharType="separate"/>
        </w:r>
        <w:r w:rsidR="00A3122C">
          <w:rPr>
            <w:noProof/>
            <w:webHidden/>
          </w:rPr>
          <w:t>32</w:t>
        </w:r>
        <w:r w:rsidR="00A3122C">
          <w:rPr>
            <w:noProof/>
            <w:webHidden/>
          </w:rPr>
          <w:fldChar w:fldCharType="end"/>
        </w:r>
      </w:hyperlink>
    </w:p>
    <w:p w14:paraId="0D3274E9" w14:textId="444079CB"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4" w:history="1">
        <w:r w:rsidR="00A3122C" w:rsidRPr="004A4663">
          <w:rPr>
            <w:rStyle w:val="Hyperlink"/>
            <w:noProof/>
          </w:rPr>
          <w:t>Graf 12: Vývoj vybraných príjmov v rokoch 2015-2019</w:t>
        </w:r>
        <w:r w:rsidR="00A3122C">
          <w:rPr>
            <w:noProof/>
            <w:webHidden/>
          </w:rPr>
          <w:tab/>
        </w:r>
        <w:r w:rsidR="00A3122C">
          <w:rPr>
            <w:noProof/>
            <w:webHidden/>
          </w:rPr>
          <w:fldChar w:fldCharType="begin"/>
        </w:r>
        <w:r w:rsidR="00A3122C">
          <w:rPr>
            <w:noProof/>
            <w:webHidden/>
          </w:rPr>
          <w:instrText xml:space="preserve"> PAGEREF _Toc49506924 \h </w:instrText>
        </w:r>
        <w:r w:rsidR="00A3122C">
          <w:rPr>
            <w:noProof/>
            <w:webHidden/>
          </w:rPr>
        </w:r>
        <w:r w:rsidR="00A3122C">
          <w:rPr>
            <w:noProof/>
            <w:webHidden/>
          </w:rPr>
          <w:fldChar w:fldCharType="separate"/>
        </w:r>
        <w:r w:rsidR="00A3122C">
          <w:rPr>
            <w:noProof/>
            <w:webHidden/>
          </w:rPr>
          <w:t>32</w:t>
        </w:r>
        <w:r w:rsidR="00A3122C">
          <w:rPr>
            <w:noProof/>
            <w:webHidden/>
          </w:rPr>
          <w:fldChar w:fldCharType="end"/>
        </w:r>
      </w:hyperlink>
    </w:p>
    <w:p w14:paraId="63BBC112" w14:textId="688050F0"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5" w:history="1">
        <w:r w:rsidR="00A3122C" w:rsidRPr="004A4663">
          <w:rPr>
            <w:rStyle w:val="Hyperlink"/>
            <w:rFonts w:eastAsiaTheme="minorHAnsi"/>
            <w:noProof/>
          </w:rPr>
          <w:t>Graf 13: Rozpočtované rezervy a ich podiel na celkových výdavkoch štátneho rozpočtu</w:t>
        </w:r>
        <w:r w:rsidR="00A3122C">
          <w:rPr>
            <w:noProof/>
            <w:webHidden/>
          </w:rPr>
          <w:tab/>
        </w:r>
        <w:r w:rsidR="00A3122C">
          <w:rPr>
            <w:noProof/>
            <w:webHidden/>
          </w:rPr>
          <w:fldChar w:fldCharType="begin"/>
        </w:r>
        <w:r w:rsidR="00A3122C">
          <w:rPr>
            <w:noProof/>
            <w:webHidden/>
          </w:rPr>
          <w:instrText xml:space="preserve"> PAGEREF _Toc49506925 \h </w:instrText>
        </w:r>
        <w:r w:rsidR="00A3122C">
          <w:rPr>
            <w:noProof/>
            <w:webHidden/>
          </w:rPr>
        </w:r>
        <w:r w:rsidR="00A3122C">
          <w:rPr>
            <w:noProof/>
            <w:webHidden/>
          </w:rPr>
          <w:fldChar w:fldCharType="separate"/>
        </w:r>
        <w:r w:rsidR="00A3122C">
          <w:rPr>
            <w:noProof/>
            <w:webHidden/>
          </w:rPr>
          <w:t>39</w:t>
        </w:r>
        <w:r w:rsidR="00A3122C">
          <w:rPr>
            <w:noProof/>
            <w:webHidden/>
          </w:rPr>
          <w:fldChar w:fldCharType="end"/>
        </w:r>
      </w:hyperlink>
    </w:p>
    <w:p w14:paraId="34EAB2BF" w14:textId="56EE59C3"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6" w:history="1">
        <w:r w:rsidR="00A3122C" w:rsidRPr="004A4663">
          <w:rPr>
            <w:rStyle w:val="Hyperlink"/>
            <w:rFonts w:eastAsiaTheme="minorHAnsi"/>
            <w:noProof/>
          </w:rPr>
          <w:t>Graf 14: Rezervy štátneho rozpočtu</w:t>
        </w:r>
        <w:r w:rsidR="00A3122C">
          <w:rPr>
            <w:noProof/>
            <w:webHidden/>
          </w:rPr>
          <w:tab/>
        </w:r>
        <w:r w:rsidR="00A3122C">
          <w:rPr>
            <w:noProof/>
            <w:webHidden/>
          </w:rPr>
          <w:fldChar w:fldCharType="begin"/>
        </w:r>
        <w:r w:rsidR="00A3122C">
          <w:rPr>
            <w:noProof/>
            <w:webHidden/>
          </w:rPr>
          <w:instrText xml:space="preserve"> PAGEREF _Toc49506926 \h </w:instrText>
        </w:r>
        <w:r w:rsidR="00A3122C">
          <w:rPr>
            <w:noProof/>
            <w:webHidden/>
          </w:rPr>
        </w:r>
        <w:r w:rsidR="00A3122C">
          <w:rPr>
            <w:noProof/>
            <w:webHidden/>
          </w:rPr>
          <w:fldChar w:fldCharType="separate"/>
        </w:r>
        <w:r w:rsidR="00A3122C">
          <w:rPr>
            <w:noProof/>
            <w:webHidden/>
          </w:rPr>
          <w:t>39</w:t>
        </w:r>
        <w:r w:rsidR="00A3122C">
          <w:rPr>
            <w:noProof/>
            <w:webHidden/>
          </w:rPr>
          <w:fldChar w:fldCharType="end"/>
        </w:r>
      </w:hyperlink>
    </w:p>
    <w:p w14:paraId="2AD80FBF" w14:textId="1D86894F"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7" w:history="1">
        <w:r w:rsidR="00A3122C" w:rsidRPr="004A4663">
          <w:rPr>
            <w:rStyle w:val="Hyperlink"/>
            <w:rFonts w:eastAsiaTheme="minorHAnsi"/>
            <w:noProof/>
          </w:rPr>
          <w:t>Graf 15: Kapitálové výdavky ŠR presunuté do ďalších rokov</w:t>
        </w:r>
        <w:r w:rsidR="00A3122C">
          <w:rPr>
            <w:noProof/>
            <w:webHidden/>
          </w:rPr>
          <w:tab/>
        </w:r>
        <w:r w:rsidR="00A3122C">
          <w:rPr>
            <w:noProof/>
            <w:webHidden/>
          </w:rPr>
          <w:fldChar w:fldCharType="begin"/>
        </w:r>
        <w:r w:rsidR="00A3122C">
          <w:rPr>
            <w:noProof/>
            <w:webHidden/>
          </w:rPr>
          <w:instrText xml:space="preserve"> PAGEREF _Toc49506927 \h </w:instrText>
        </w:r>
        <w:r w:rsidR="00A3122C">
          <w:rPr>
            <w:noProof/>
            <w:webHidden/>
          </w:rPr>
        </w:r>
        <w:r w:rsidR="00A3122C">
          <w:rPr>
            <w:noProof/>
            <w:webHidden/>
          </w:rPr>
          <w:fldChar w:fldCharType="separate"/>
        </w:r>
        <w:r w:rsidR="00A3122C">
          <w:rPr>
            <w:noProof/>
            <w:webHidden/>
          </w:rPr>
          <w:t>40</w:t>
        </w:r>
        <w:r w:rsidR="00A3122C">
          <w:rPr>
            <w:noProof/>
            <w:webHidden/>
          </w:rPr>
          <w:fldChar w:fldCharType="end"/>
        </w:r>
      </w:hyperlink>
    </w:p>
    <w:p w14:paraId="3DE0DB5E" w14:textId="21C7E60A"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8" w:history="1">
        <w:r w:rsidR="00A3122C" w:rsidRPr="004A4663">
          <w:rPr>
            <w:rStyle w:val="Hyperlink"/>
            <w:noProof/>
          </w:rPr>
          <w:t>Graf 16: Vývoj hrubého dlhu verejnej správy v rokoch 2010-2023</w:t>
        </w:r>
        <w:r w:rsidR="00A3122C">
          <w:rPr>
            <w:noProof/>
            <w:webHidden/>
          </w:rPr>
          <w:tab/>
        </w:r>
        <w:r w:rsidR="00A3122C">
          <w:rPr>
            <w:noProof/>
            <w:webHidden/>
          </w:rPr>
          <w:fldChar w:fldCharType="begin"/>
        </w:r>
        <w:r w:rsidR="00A3122C">
          <w:rPr>
            <w:noProof/>
            <w:webHidden/>
          </w:rPr>
          <w:instrText xml:space="preserve"> PAGEREF _Toc49506928 \h </w:instrText>
        </w:r>
        <w:r w:rsidR="00A3122C">
          <w:rPr>
            <w:noProof/>
            <w:webHidden/>
          </w:rPr>
        </w:r>
        <w:r w:rsidR="00A3122C">
          <w:rPr>
            <w:noProof/>
            <w:webHidden/>
          </w:rPr>
          <w:fldChar w:fldCharType="separate"/>
        </w:r>
        <w:r w:rsidR="00A3122C">
          <w:rPr>
            <w:noProof/>
            <w:webHidden/>
          </w:rPr>
          <w:t>56</w:t>
        </w:r>
        <w:r w:rsidR="00A3122C">
          <w:rPr>
            <w:noProof/>
            <w:webHidden/>
          </w:rPr>
          <w:fldChar w:fldCharType="end"/>
        </w:r>
      </w:hyperlink>
    </w:p>
    <w:p w14:paraId="764C7BD6" w14:textId="03FDF340"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29" w:history="1">
        <w:r w:rsidR="00A3122C" w:rsidRPr="004A4663">
          <w:rPr>
            <w:rStyle w:val="Hyperlink"/>
            <w:noProof/>
          </w:rPr>
          <w:t>Graf 17: Vývoj čistého dlhu verejnej správy v rokoch 2010-2023</w:t>
        </w:r>
        <w:r w:rsidR="00A3122C">
          <w:rPr>
            <w:noProof/>
            <w:webHidden/>
          </w:rPr>
          <w:tab/>
        </w:r>
        <w:r w:rsidR="00A3122C">
          <w:rPr>
            <w:noProof/>
            <w:webHidden/>
          </w:rPr>
          <w:fldChar w:fldCharType="begin"/>
        </w:r>
        <w:r w:rsidR="00A3122C">
          <w:rPr>
            <w:noProof/>
            <w:webHidden/>
          </w:rPr>
          <w:instrText xml:space="preserve"> PAGEREF _Toc49506929 \h </w:instrText>
        </w:r>
        <w:r w:rsidR="00A3122C">
          <w:rPr>
            <w:noProof/>
            <w:webHidden/>
          </w:rPr>
        </w:r>
        <w:r w:rsidR="00A3122C">
          <w:rPr>
            <w:noProof/>
            <w:webHidden/>
          </w:rPr>
          <w:fldChar w:fldCharType="separate"/>
        </w:r>
        <w:r w:rsidR="00A3122C">
          <w:rPr>
            <w:noProof/>
            <w:webHidden/>
          </w:rPr>
          <w:t>56</w:t>
        </w:r>
        <w:r w:rsidR="00A3122C">
          <w:rPr>
            <w:noProof/>
            <w:webHidden/>
          </w:rPr>
          <w:fldChar w:fldCharType="end"/>
        </w:r>
      </w:hyperlink>
    </w:p>
    <w:p w14:paraId="6F37C703" w14:textId="4DBB0DD7"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30" w:history="1">
        <w:r w:rsidR="00A3122C" w:rsidRPr="004A4663">
          <w:rPr>
            <w:rStyle w:val="Hyperlink"/>
            <w:noProof/>
          </w:rPr>
          <w:t>Graf 18: Počty obcí podľa pomeru ich dlhu k príjmom</w:t>
        </w:r>
        <w:r w:rsidR="00A3122C">
          <w:rPr>
            <w:noProof/>
            <w:webHidden/>
          </w:rPr>
          <w:tab/>
        </w:r>
        <w:r w:rsidR="00A3122C">
          <w:rPr>
            <w:noProof/>
            <w:webHidden/>
          </w:rPr>
          <w:fldChar w:fldCharType="begin"/>
        </w:r>
        <w:r w:rsidR="00A3122C">
          <w:rPr>
            <w:noProof/>
            <w:webHidden/>
          </w:rPr>
          <w:instrText xml:space="preserve"> PAGEREF _Toc49506930 \h </w:instrText>
        </w:r>
        <w:r w:rsidR="00A3122C">
          <w:rPr>
            <w:noProof/>
            <w:webHidden/>
          </w:rPr>
        </w:r>
        <w:r w:rsidR="00A3122C">
          <w:rPr>
            <w:noProof/>
            <w:webHidden/>
          </w:rPr>
          <w:fldChar w:fldCharType="separate"/>
        </w:r>
        <w:r w:rsidR="00A3122C">
          <w:rPr>
            <w:noProof/>
            <w:webHidden/>
          </w:rPr>
          <w:t>74</w:t>
        </w:r>
        <w:r w:rsidR="00A3122C">
          <w:rPr>
            <w:noProof/>
            <w:webHidden/>
          </w:rPr>
          <w:fldChar w:fldCharType="end"/>
        </w:r>
      </w:hyperlink>
    </w:p>
    <w:p w14:paraId="49DAAB1C" w14:textId="4109D273" w:rsidR="00A3122C" w:rsidRDefault="008A30C7">
      <w:pPr>
        <w:pStyle w:val="TableofFigures"/>
        <w:tabs>
          <w:tab w:val="right" w:leader="underscore" w:pos="9060"/>
        </w:tabs>
        <w:rPr>
          <w:rFonts w:asciiTheme="minorHAnsi" w:eastAsiaTheme="minorEastAsia" w:hAnsiTheme="minorHAnsi" w:cstheme="minorBidi"/>
          <w:noProof/>
          <w:szCs w:val="22"/>
          <w:lang w:val="en-US" w:eastAsia="en-US"/>
        </w:rPr>
      </w:pPr>
      <w:hyperlink w:anchor="_Toc49506931" w:history="1">
        <w:r w:rsidR="00A3122C" w:rsidRPr="004A4663">
          <w:rPr>
            <w:rStyle w:val="Hyperlink"/>
            <w:noProof/>
          </w:rPr>
          <w:t>Graf 19: Podiely jednotlivých dlhových pásiem na celkovom dlhu</w:t>
        </w:r>
        <w:r w:rsidR="00A3122C">
          <w:rPr>
            <w:noProof/>
            <w:webHidden/>
          </w:rPr>
          <w:tab/>
        </w:r>
        <w:r w:rsidR="00A3122C">
          <w:rPr>
            <w:noProof/>
            <w:webHidden/>
          </w:rPr>
          <w:fldChar w:fldCharType="begin"/>
        </w:r>
        <w:r w:rsidR="00A3122C">
          <w:rPr>
            <w:noProof/>
            <w:webHidden/>
          </w:rPr>
          <w:instrText xml:space="preserve"> PAGEREF _Toc49506931 \h </w:instrText>
        </w:r>
        <w:r w:rsidR="00A3122C">
          <w:rPr>
            <w:noProof/>
            <w:webHidden/>
          </w:rPr>
        </w:r>
        <w:r w:rsidR="00A3122C">
          <w:rPr>
            <w:noProof/>
            <w:webHidden/>
          </w:rPr>
          <w:fldChar w:fldCharType="separate"/>
        </w:r>
        <w:r w:rsidR="00A3122C">
          <w:rPr>
            <w:noProof/>
            <w:webHidden/>
          </w:rPr>
          <w:t>74</w:t>
        </w:r>
        <w:r w:rsidR="00A3122C">
          <w:rPr>
            <w:noProof/>
            <w:webHidden/>
          </w:rPr>
          <w:fldChar w:fldCharType="end"/>
        </w:r>
      </w:hyperlink>
    </w:p>
    <w:p w14:paraId="7630AEC3" w14:textId="64E33619" w:rsidR="006D0FD1" w:rsidRPr="00B81300" w:rsidRDefault="005276C6">
      <w:pPr>
        <w:rPr>
          <w:color w:val="58595B"/>
          <w:highlight w:val="yellow"/>
        </w:rPr>
      </w:pPr>
      <w:r w:rsidRPr="00B81300">
        <w:rPr>
          <w:color w:val="58595B"/>
          <w:highlight w:val="yellow"/>
        </w:rPr>
        <w:fldChar w:fldCharType="end"/>
      </w:r>
      <w:r w:rsidR="00DC465B" w:rsidRPr="00B81300">
        <w:rPr>
          <w:color w:val="58595B"/>
          <w:highlight w:val="yellow"/>
        </w:rPr>
        <w:br w:type="page"/>
      </w:r>
    </w:p>
    <w:p w14:paraId="41C5B4A2" w14:textId="0068A98C" w:rsidR="004E165B" w:rsidRPr="000F7F54" w:rsidRDefault="00DC465B" w:rsidP="0064380C">
      <w:pPr>
        <w:pStyle w:val="Heading1"/>
        <w:spacing w:before="0" w:after="0"/>
        <w:rPr>
          <w:color w:val="58595B"/>
          <w:sz w:val="28"/>
          <w:szCs w:val="28"/>
        </w:rPr>
      </w:pPr>
      <w:bookmarkStart w:id="8" w:name="_Toc358299495"/>
      <w:bookmarkStart w:id="9" w:name="_Toc358301404"/>
      <w:bookmarkStart w:id="10" w:name="_Toc358360144"/>
      <w:bookmarkStart w:id="11" w:name="_Toc358367057"/>
      <w:bookmarkStart w:id="12" w:name="_Toc358367234"/>
      <w:bookmarkStart w:id="13" w:name="_Toc358367699"/>
      <w:bookmarkStart w:id="14" w:name="_Toc358381260"/>
      <w:bookmarkStart w:id="15" w:name="_Toc358385606"/>
      <w:bookmarkStart w:id="16" w:name="_Toc358641573"/>
      <w:bookmarkStart w:id="17" w:name="_Toc396319171"/>
      <w:bookmarkStart w:id="18" w:name="_Toc428351742"/>
      <w:bookmarkStart w:id="19" w:name="_Toc459208013"/>
      <w:bookmarkStart w:id="20" w:name="_Toc459275431"/>
      <w:bookmarkStart w:id="21" w:name="_Toc489954235"/>
      <w:bookmarkStart w:id="22" w:name="_Toc490143809"/>
      <w:bookmarkStart w:id="23" w:name="_Toc490642154"/>
      <w:bookmarkStart w:id="24" w:name="_Toc521678157"/>
      <w:bookmarkStart w:id="25" w:name="_Toc521679439"/>
      <w:bookmarkStart w:id="26" w:name="_Toc523390329"/>
      <w:bookmarkStart w:id="27" w:name="_Toc523390275"/>
      <w:bookmarkStart w:id="28" w:name="_Toc523391000"/>
      <w:bookmarkStart w:id="29" w:name="_Toc523391581"/>
      <w:bookmarkStart w:id="30" w:name="_Toc523392880"/>
      <w:bookmarkStart w:id="31" w:name="_Toc49506873"/>
      <w:r w:rsidRPr="000F7F54">
        <w:lastRenderedPageBreak/>
        <w:t>Zhrnutie</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58AF91E0" w14:textId="77777777" w:rsidR="004E165B" w:rsidRPr="000F7F54" w:rsidRDefault="004E165B" w:rsidP="004E165B">
      <w:pPr>
        <w:rPr>
          <w:color w:val="58595B"/>
          <w:sz w:val="14"/>
          <w:szCs w:val="24"/>
        </w:rPr>
      </w:pPr>
    </w:p>
    <w:p w14:paraId="6A8E0512" w14:textId="5CDD0ADD" w:rsidR="004E165B" w:rsidRPr="00B81300" w:rsidRDefault="004E165B" w:rsidP="00BD2715">
      <w:pPr>
        <w:jc w:val="both"/>
        <w:rPr>
          <w:szCs w:val="22"/>
          <w:highlight w:val="yellow"/>
        </w:rPr>
      </w:pPr>
      <w:r w:rsidRPr="000F7F54">
        <w:rPr>
          <w:szCs w:val="22"/>
        </w:rPr>
        <w:t>Správa o hodnotení plnenia pravidiel rozpočtovej zodpovednosti a transparentnosti každoročne do 31. augusta posudzuje plnenie pravidiel vyplývajúcich z ústavného zákona o rozpočtovej zodpovednosti</w:t>
      </w:r>
      <w:r w:rsidRPr="000F7F54">
        <w:rPr>
          <w:rStyle w:val="FootnoteReference"/>
          <w:szCs w:val="22"/>
        </w:rPr>
        <w:footnoteReference w:id="2"/>
      </w:r>
      <w:r w:rsidRPr="000F7F54">
        <w:rPr>
          <w:szCs w:val="22"/>
        </w:rPr>
        <w:t xml:space="preserve"> za predchádzajúci rok. Okrem hodnotenia najdôležitejšieho pravidla – ústavného limitu na dlh, prináša pohľad na ďalšie zákonom stanovené povinnosti, najmä v oblasti </w:t>
      </w:r>
      <w:r w:rsidRPr="000F7F54" w:rsidDel="00BA5AD9">
        <w:rPr>
          <w:szCs w:val="22"/>
        </w:rPr>
        <w:t xml:space="preserve">poskytovania </w:t>
      </w:r>
      <w:r w:rsidRPr="000F7F54">
        <w:rPr>
          <w:szCs w:val="22"/>
        </w:rPr>
        <w:t>a zverejňovania údajov, dlhu samospráv a financovania ich kompetencií.</w:t>
      </w:r>
      <w:r w:rsidR="001F0C84" w:rsidRPr="00B81300">
        <w:rPr>
          <w:szCs w:val="22"/>
          <w:highlight w:val="yellow"/>
        </w:rPr>
        <w:t xml:space="preserve"> </w:t>
      </w:r>
    </w:p>
    <w:p w14:paraId="65657CD9" w14:textId="77777777" w:rsidR="004E165B" w:rsidRPr="00B81300" w:rsidRDefault="004E165B" w:rsidP="00BD2715">
      <w:pPr>
        <w:jc w:val="both"/>
        <w:rPr>
          <w:szCs w:val="22"/>
          <w:highlight w:val="yellow"/>
        </w:rPr>
      </w:pPr>
    </w:p>
    <w:p w14:paraId="01736D99" w14:textId="77777777" w:rsidR="006C2442" w:rsidRPr="00E54DC2" w:rsidRDefault="006C2442" w:rsidP="00BD2715">
      <w:pPr>
        <w:jc w:val="both"/>
        <w:rPr>
          <w:b/>
          <w:szCs w:val="22"/>
        </w:rPr>
      </w:pPr>
      <w:r w:rsidRPr="00E54DC2">
        <w:rPr>
          <w:b/>
          <w:szCs w:val="22"/>
        </w:rPr>
        <w:t>Pravidlá rozpočtovej zodpovednosti</w:t>
      </w:r>
    </w:p>
    <w:p w14:paraId="6799CAC2" w14:textId="77777777" w:rsidR="000C2D9D" w:rsidRPr="00B81300" w:rsidRDefault="000C2D9D" w:rsidP="000C2D9D">
      <w:pPr>
        <w:jc w:val="both"/>
        <w:rPr>
          <w:b/>
          <w:szCs w:val="22"/>
          <w:highlight w:val="yellow"/>
        </w:rPr>
      </w:pPr>
    </w:p>
    <w:p w14:paraId="3AD942B4" w14:textId="590C2B6F" w:rsidR="005B2845" w:rsidRPr="00C47F47" w:rsidRDefault="00ED0F62" w:rsidP="000C2D9D">
      <w:pPr>
        <w:jc w:val="both"/>
        <w:rPr>
          <w:i/>
          <w:iCs/>
          <w:szCs w:val="22"/>
        </w:rPr>
      </w:pPr>
      <w:r>
        <w:rPr>
          <w:i/>
          <w:iCs/>
          <w:szCs w:val="22"/>
        </w:rPr>
        <w:t>L</w:t>
      </w:r>
      <w:r w:rsidR="005B2845" w:rsidRPr="00C47F47">
        <w:rPr>
          <w:i/>
          <w:iCs/>
          <w:szCs w:val="22"/>
        </w:rPr>
        <w:t>imit dlh</w:t>
      </w:r>
      <w:r>
        <w:rPr>
          <w:i/>
          <w:iCs/>
          <w:szCs w:val="22"/>
        </w:rPr>
        <w:t>u verejnej správy</w:t>
      </w:r>
    </w:p>
    <w:p w14:paraId="04D013DF" w14:textId="77777777" w:rsidR="005B2845" w:rsidRDefault="005B2845" w:rsidP="000C2D9D">
      <w:pPr>
        <w:jc w:val="both"/>
        <w:rPr>
          <w:szCs w:val="22"/>
        </w:rPr>
      </w:pPr>
    </w:p>
    <w:p w14:paraId="616D3F7C" w14:textId="73B3FEAF" w:rsidR="000C2D9D" w:rsidRPr="00E26B98" w:rsidRDefault="007761A7" w:rsidP="000C2D9D">
      <w:pPr>
        <w:jc w:val="both"/>
      </w:pPr>
      <w:r w:rsidRPr="58121FD1">
        <w:t>V</w:t>
      </w:r>
      <w:r w:rsidR="000C2D9D" w:rsidRPr="58121FD1">
        <w:t> roku 201</w:t>
      </w:r>
      <w:r w:rsidR="00CD52B3" w:rsidRPr="58121FD1">
        <w:t>9</w:t>
      </w:r>
      <w:r w:rsidR="000C2D9D" w:rsidRPr="58121FD1">
        <w:t xml:space="preserve"> pokračoval pokles pomeru hrubého dlhu verejnej správy k HDP. V apríli 20</w:t>
      </w:r>
      <w:r w:rsidR="00303703" w:rsidRPr="58121FD1">
        <w:t>20</w:t>
      </w:r>
      <w:r w:rsidR="000C2D9D" w:rsidRPr="00E26B98">
        <w:rPr>
          <w:szCs w:val="22"/>
        </w:rPr>
        <w:t xml:space="preserve"> </w:t>
      </w:r>
      <w:r w:rsidR="000C2D9D" w:rsidRPr="58121FD1">
        <w:t>Eurostat zverejnil údaje o hrubom dlhu ku koncu roka 201</w:t>
      </w:r>
      <w:r w:rsidR="00E26B98" w:rsidRPr="58121FD1">
        <w:t>9</w:t>
      </w:r>
      <w:r w:rsidR="000C2D9D" w:rsidRPr="00E26B98">
        <w:rPr>
          <w:szCs w:val="22"/>
        </w:rPr>
        <w:t xml:space="preserve"> </w:t>
      </w:r>
      <w:r w:rsidR="00407784">
        <w:t xml:space="preserve">veľmi </w:t>
      </w:r>
      <w:r w:rsidR="00A52D7D" w:rsidRPr="58121FD1">
        <w:t>tesne pod</w:t>
      </w:r>
      <w:r w:rsidR="000C2D9D" w:rsidRPr="58121FD1">
        <w:t xml:space="preserve"> úrov</w:t>
      </w:r>
      <w:r w:rsidR="00A52D7D" w:rsidRPr="58121FD1">
        <w:t>ňou</w:t>
      </w:r>
      <w:r w:rsidR="000C2D9D" w:rsidRPr="58121FD1">
        <w:t xml:space="preserve"> 48,</w:t>
      </w:r>
      <w:r w:rsidR="00E26B98" w:rsidRPr="58121FD1">
        <w:t>0</w:t>
      </w:r>
      <w:r w:rsidR="000C2D9D" w:rsidRPr="58121FD1">
        <w:t> % HDP</w:t>
      </w:r>
      <w:r w:rsidR="00872959" w:rsidRPr="58121FD1">
        <w:rPr>
          <w:rStyle w:val="FootnoteReference"/>
        </w:rPr>
        <w:footnoteReference w:id="3"/>
      </w:r>
      <w:r w:rsidR="000C2D9D" w:rsidRPr="58121FD1">
        <w:t xml:space="preserve">, čo znamená, že </w:t>
      </w:r>
      <w:r w:rsidR="000C2D9D" w:rsidRPr="58121FD1">
        <w:rPr>
          <w:b/>
          <w:bCs/>
        </w:rPr>
        <w:t xml:space="preserve">dlh klesol pod sankčné pásma ústavného zákona </w:t>
      </w:r>
      <w:r w:rsidR="000C2D9D" w:rsidRPr="58121FD1">
        <w:t>(graf 1)</w:t>
      </w:r>
      <w:r w:rsidR="000C2D9D" w:rsidRPr="00E26B98">
        <w:rPr>
          <w:szCs w:val="22"/>
        </w:rPr>
        <w:t xml:space="preserve">. </w:t>
      </w:r>
      <w:r w:rsidR="003C7F77">
        <w:t>K</w:t>
      </w:r>
      <w:r w:rsidR="001F6293">
        <w:t> </w:t>
      </w:r>
      <w:r w:rsidR="003C7F77">
        <w:t xml:space="preserve">definitívnemu potvrdeniu podielu dlhu na HDP dôjde v jesennej notifikácii v októbri 2020, pričom vzhľadom na jeho blízkosť k hranici sankčných pásiem je riziko prípadnej zmeny </w:t>
      </w:r>
      <w:r w:rsidR="7A0D9011">
        <w:t>pásma</w:t>
      </w:r>
      <w:r w:rsidR="6FF191EE">
        <w:t xml:space="preserve"> </w:t>
      </w:r>
      <w:r w:rsidR="003C7F77">
        <w:t xml:space="preserve">hodnotenia vysoké. </w:t>
      </w:r>
    </w:p>
    <w:p w14:paraId="0528F456" w14:textId="77777777" w:rsidR="00E63C27" w:rsidRPr="00B81300" w:rsidRDefault="00E63C27" w:rsidP="00E63C27">
      <w:pPr>
        <w:jc w:val="both"/>
        <w:rPr>
          <w:szCs w:val="22"/>
          <w:highlight w:val="yellow"/>
        </w:rPr>
      </w:pPr>
    </w:p>
    <w:p w14:paraId="514B1CB9" w14:textId="0AAD7DFA" w:rsidR="00145C8B" w:rsidRPr="00302C9C" w:rsidRDefault="004A21DA" w:rsidP="008E1B98">
      <w:pPr>
        <w:jc w:val="both"/>
        <w:rPr>
          <w:szCs w:val="22"/>
        </w:rPr>
      </w:pPr>
      <w:r w:rsidRPr="004A79A6">
        <w:rPr>
          <w:bCs/>
          <w:szCs w:val="22"/>
        </w:rPr>
        <w:t xml:space="preserve">K zníženiu úrovne dlhu mimo sankčných pásiem prišlo po </w:t>
      </w:r>
      <w:r w:rsidR="00671A75" w:rsidRPr="004A79A6">
        <w:rPr>
          <w:bCs/>
          <w:szCs w:val="22"/>
        </w:rPr>
        <w:t>siedm</w:t>
      </w:r>
      <w:r w:rsidRPr="004A79A6">
        <w:rPr>
          <w:bCs/>
          <w:szCs w:val="22"/>
        </w:rPr>
        <w:t>ich rokoch od ich prvého prekročenia v roku 2012</w:t>
      </w:r>
      <w:r w:rsidR="00144125" w:rsidRPr="004A79A6">
        <w:rPr>
          <w:bCs/>
          <w:szCs w:val="22"/>
        </w:rPr>
        <w:t>,</w:t>
      </w:r>
      <w:r w:rsidR="00144125" w:rsidRPr="006A557E">
        <w:rPr>
          <w:szCs w:val="22"/>
        </w:rPr>
        <w:t xml:space="preserve"> kedy dlh dosiahol </w:t>
      </w:r>
      <w:r w:rsidR="00A033D7" w:rsidRPr="006A557E">
        <w:rPr>
          <w:szCs w:val="22"/>
        </w:rPr>
        <w:t>výšku</w:t>
      </w:r>
      <w:r w:rsidR="00144125" w:rsidRPr="006A557E">
        <w:rPr>
          <w:szCs w:val="22"/>
        </w:rPr>
        <w:t xml:space="preserve"> 5</w:t>
      </w:r>
      <w:r w:rsidR="00000B63" w:rsidRPr="006A557E">
        <w:rPr>
          <w:szCs w:val="22"/>
        </w:rPr>
        <w:t>1</w:t>
      </w:r>
      <w:r w:rsidR="00144125" w:rsidRPr="00FC24FC">
        <w:rPr>
          <w:szCs w:val="22"/>
        </w:rPr>
        <w:t>,</w:t>
      </w:r>
      <w:r w:rsidR="00000B63" w:rsidRPr="00FC24FC">
        <w:rPr>
          <w:szCs w:val="22"/>
        </w:rPr>
        <w:t>8</w:t>
      </w:r>
      <w:r w:rsidR="00144125" w:rsidRPr="00FC24FC">
        <w:rPr>
          <w:szCs w:val="22"/>
        </w:rPr>
        <w:t xml:space="preserve"> % HDP</w:t>
      </w:r>
      <w:r w:rsidRPr="00FC24FC">
        <w:rPr>
          <w:b/>
          <w:szCs w:val="22"/>
        </w:rPr>
        <w:t>.</w:t>
      </w:r>
      <w:r w:rsidRPr="00FC24FC" w:rsidDel="004A21DA">
        <w:rPr>
          <w:b/>
          <w:szCs w:val="22"/>
        </w:rPr>
        <w:t xml:space="preserve"> </w:t>
      </w:r>
      <w:r w:rsidR="00A033D7" w:rsidRPr="00FC24FC">
        <w:rPr>
          <w:szCs w:val="22"/>
        </w:rPr>
        <w:t>V porovnaní s touto úrovňou bol dlh v pomere na HDP v roku 201</w:t>
      </w:r>
      <w:r w:rsidR="00000B63" w:rsidRPr="00FC24FC">
        <w:rPr>
          <w:szCs w:val="22"/>
        </w:rPr>
        <w:t>9</w:t>
      </w:r>
      <w:r w:rsidR="00A033D7" w:rsidRPr="00FC24FC">
        <w:rPr>
          <w:szCs w:val="22"/>
        </w:rPr>
        <w:t xml:space="preserve"> nižší o 3,</w:t>
      </w:r>
      <w:r w:rsidR="005D19BF" w:rsidRPr="00FC24FC">
        <w:rPr>
          <w:szCs w:val="22"/>
        </w:rPr>
        <w:t>8</w:t>
      </w:r>
      <w:r w:rsidR="00A033D7" w:rsidRPr="00FC24FC">
        <w:rPr>
          <w:szCs w:val="22"/>
        </w:rPr>
        <w:t xml:space="preserve"> p.b.</w:t>
      </w:r>
      <w:r w:rsidR="00407784">
        <w:rPr>
          <w:szCs w:val="22"/>
        </w:rPr>
        <w:t xml:space="preserve"> Ústavný zákon o rozpočtovej zodpovednosti predpokladá, že vláda prijme </w:t>
      </w:r>
      <w:r w:rsidR="00407784" w:rsidRPr="00407784">
        <w:rPr>
          <w:szCs w:val="22"/>
        </w:rPr>
        <w:t>dostatočné</w:t>
      </w:r>
      <w:r w:rsidR="00407784">
        <w:rPr>
          <w:rStyle w:val="FootnoteReference"/>
          <w:b/>
          <w:szCs w:val="22"/>
        </w:rPr>
        <w:footnoteReference w:id="4"/>
      </w:r>
      <w:r w:rsidR="00407784" w:rsidRPr="00407784">
        <w:rPr>
          <w:szCs w:val="22"/>
        </w:rPr>
        <w:t xml:space="preserve"> opatrenia na to, aby dlh v čo najkratšom čase klesol pod sankčné pásma tzv. dlhovej brzdy</w:t>
      </w:r>
      <w:r w:rsidR="00407784">
        <w:rPr>
          <w:szCs w:val="22"/>
        </w:rPr>
        <w:t xml:space="preserve">. </w:t>
      </w:r>
      <w:r w:rsidR="00265AE8" w:rsidRPr="004A79A6">
        <w:rPr>
          <w:b/>
          <w:bCs/>
          <w:szCs w:val="22"/>
        </w:rPr>
        <w:t>Podľa RRZ</w:t>
      </w:r>
      <w:r w:rsidR="0069472B" w:rsidRPr="004A79A6">
        <w:rPr>
          <w:b/>
          <w:bCs/>
          <w:szCs w:val="22"/>
        </w:rPr>
        <w:t xml:space="preserve"> existuje niekoľko</w:t>
      </w:r>
      <w:r w:rsidR="00E24238" w:rsidRPr="004A79A6">
        <w:rPr>
          <w:b/>
          <w:bCs/>
          <w:szCs w:val="22"/>
        </w:rPr>
        <w:t xml:space="preserve"> </w:t>
      </w:r>
      <w:r w:rsidR="00CA4437" w:rsidRPr="004A79A6">
        <w:rPr>
          <w:b/>
          <w:bCs/>
          <w:szCs w:val="22"/>
        </w:rPr>
        <w:t>dôvodov, na základe ktorých je možné kon</w:t>
      </w:r>
      <w:r w:rsidR="00E24238" w:rsidRPr="004A79A6">
        <w:rPr>
          <w:b/>
          <w:bCs/>
          <w:szCs w:val="22"/>
        </w:rPr>
        <w:t xml:space="preserve">štatovať, </w:t>
      </w:r>
      <w:r w:rsidR="00436B71">
        <w:rPr>
          <w:b/>
          <w:bCs/>
          <w:szCs w:val="22"/>
        </w:rPr>
        <w:t xml:space="preserve">že </w:t>
      </w:r>
      <w:r w:rsidR="00407784">
        <w:rPr>
          <w:b/>
          <w:bCs/>
          <w:szCs w:val="22"/>
        </w:rPr>
        <w:t xml:space="preserve">opatrenia prijaté </w:t>
      </w:r>
      <w:r w:rsidR="00522C9D">
        <w:rPr>
          <w:b/>
          <w:bCs/>
          <w:szCs w:val="22"/>
        </w:rPr>
        <w:t>do roku</w:t>
      </w:r>
      <w:r w:rsidR="00407784">
        <w:rPr>
          <w:b/>
          <w:bCs/>
          <w:szCs w:val="22"/>
        </w:rPr>
        <w:t xml:space="preserve"> 2019 neviedli k dostatočne rýchlemu zníženiu podielu dlhu na HDP</w:t>
      </w:r>
      <w:r w:rsidR="00145C8B" w:rsidRPr="00302C9C">
        <w:rPr>
          <w:szCs w:val="22"/>
        </w:rPr>
        <w:t>:</w:t>
      </w:r>
    </w:p>
    <w:p w14:paraId="2421327F" w14:textId="77777777" w:rsidR="00091AB4" w:rsidRPr="00302C9C" w:rsidRDefault="00091AB4" w:rsidP="008E1B98">
      <w:pPr>
        <w:jc w:val="both"/>
        <w:rPr>
          <w:szCs w:val="22"/>
        </w:rPr>
      </w:pPr>
    </w:p>
    <w:p w14:paraId="52D4B465" w14:textId="28D6FEBD" w:rsidR="008E1B98" w:rsidRPr="00345119" w:rsidRDefault="0038482C" w:rsidP="004A79A6">
      <w:pPr>
        <w:pStyle w:val="ListParagraph"/>
        <w:numPr>
          <w:ilvl w:val="0"/>
          <w:numId w:val="48"/>
        </w:numPr>
        <w:spacing w:after="0" w:line="240" w:lineRule="auto"/>
        <w:ind w:left="714" w:hanging="357"/>
        <w:jc w:val="both"/>
      </w:pPr>
      <w:r w:rsidRPr="00C47F47">
        <w:rPr>
          <w:rFonts w:ascii="Constantia" w:hAnsi="Constantia"/>
        </w:rPr>
        <w:t>Na p</w:t>
      </w:r>
      <w:r w:rsidR="00477BDC" w:rsidRPr="008D1519">
        <w:rPr>
          <w:rFonts w:ascii="Constantia" w:hAnsi="Constantia"/>
        </w:rPr>
        <w:t xml:space="preserve">okles </w:t>
      </w:r>
      <w:r w:rsidR="000F02EC" w:rsidRPr="008D1519">
        <w:rPr>
          <w:rFonts w:ascii="Constantia" w:hAnsi="Constantia"/>
        </w:rPr>
        <w:t>podielu dlhu</w:t>
      </w:r>
      <w:r w:rsidR="00EB1439" w:rsidRPr="008D1519">
        <w:rPr>
          <w:rFonts w:ascii="Constantia" w:hAnsi="Constantia"/>
        </w:rPr>
        <w:t xml:space="preserve"> na HDP</w:t>
      </w:r>
      <w:r w:rsidRPr="00345119">
        <w:rPr>
          <w:rFonts w:ascii="Constantia" w:hAnsi="Constantia"/>
        </w:rPr>
        <w:t xml:space="preserve"> </w:t>
      </w:r>
      <w:r w:rsidRPr="00C47F47">
        <w:rPr>
          <w:rFonts w:ascii="Constantia" w:hAnsi="Constantia"/>
        </w:rPr>
        <w:t>mali najmä v rokoch 2013 až 2016 podstatný vplyv</w:t>
      </w:r>
      <w:r w:rsidR="00EB1439" w:rsidRPr="008D1519">
        <w:rPr>
          <w:rFonts w:ascii="Constantia" w:hAnsi="Constantia"/>
        </w:rPr>
        <w:t xml:space="preserve"> </w:t>
      </w:r>
      <w:r w:rsidR="008D1519" w:rsidRPr="00C47F47">
        <w:rPr>
          <w:rFonts w:ascii="Constantia" w:hAnsi="Constantia"/>
        </w:rPr>
        <w:t>jednorazové opatrenia vlády</w:t>
      </w:r>
      <w:r w:rsidR="00522C9D">
        <w:rPr>
          <w:rFonts w:ascii="Constantia" w:hAnsi="Constantia"/>
        </w:rPr>
        <w:t xml:space="preserve"> s celkovým príspevkom 4,8 % HDP</w:t>
      </w:r>
      <w:r w:rsidR="008D1519" w:rsidRPr="00C47F47">
        <w:rPr>
          <w:rFonts w:ascii="Constantia" w:hAnsi="Constantia"/>
        </w:rPr>
        <w:t xml:space="preserve">. </w:t>
      </w:r>
      <w:r w:rsidR="008D1519" w:rsidRPr="008D1519">
        <w:rPr>
          <w:rFonts w:ascii="Constantia" w:hAnsi="Constantia"/>
        </w:rPr>
        <w:t>Hospodárenie vlády bez jednorazových opatrení prispelo k nárastu dlhu</w:t>
      </w:r>
      <w:r w:rsidR="008D1519" w:rsidRPr="00C42B15">
        <w:rPr>
          <w:rFonts w:ascii="Constantia" w:hAnsi="Constantia"/>
        </w:rPr>
        <w:t xml:space="preserve"> </w:t>
      </w:r>
      <w:r w:rsidR="008D1519" w:rsidRPr="00522C9D">
        <w:rPr>
          <w:rFonts w:ascii="Constantia" w:hAnsi="Constantia"/>
        </w:rPr>
        <w:t>o 2,9 % HDP</w:t>
      </w:r>
      <w:r w:rsidR="00522C9D">
        <w:rPr>
          <w:rStyle w:val="FootnoteReference"/>
          <w:rFonts w:ascii="Constantia" w:hAnsi="Constantia"/>
        </w:rPr>
        <w:footnoteReference w:id="5"/>
      </w:r>
      <w:r w:rsidR="008D1519" w:rsidRPr="00522C9D">
        <w:rPr>
          <w:rFonts w:ascii="Constantia" w:hAnsi="Constantia"/>
        </w:rPr>
        <w:t>.</w:t>
      </w:r>
    </w:p>
    <w:p w14:paraId="5E7974FD" w14:textId="201E093E" w:rsidR="00522C9D" w:rsidRPr="00522C9D" w:rsidRDefault="00522C9D" w:rsidP="004A79A6">
      <w:pPr>
        <w:pStyle w:val="ListParagraph"/>
        <w:numPr>
          <w:ilvl w:val="0"/>
          <w:numId w:val="48"/>
        </w:numPr>
        <w:spacing w:after="0" w:line="240" w:lineRule="auto"/>
        <w:ind w:left="714" w:hanging="357"/>
        <w:jc w:val="both"/>
      </w:pPr>
      <w:r>
        <w:rPr>
          <w:rFonts w:ascii="Constantia" w:hAnsi="Constantia"/>
        </w:rPr>
        <w:t xml:space="preserve">K poklesu dlhu mimo hranice sankčných pásiem </w:t>
      </w:r>
      <w:r w:rsidR="0021097E">
        <w:rPr>
          <w:rFonts w:ascii="Constantia" w:hAnsi="Constantia"/>
        </w:rPr>
        <w:t>v roku 2019</w:t>
      </w:r>
      <w:r>
        <w:rPr>
          <w:rFonts w:ascii="Constantia" w:hAnsi="Constantia"/>
        </w:rPr>
        <w:t xml:space="preserve"> prispelo najmä zníženie hotovostnej rezervy štátu v priebehu roku 2019 (v pomere k HDP bola hotovostná rezerva najnižšia od roku 2015)</w:t>
      </w:r>
      <w:r>
        <w:rPr>
          <w:rStyle w:val="FootnoteReference"/>
          <w:rFonts w:ascii="Constantia" w:hAnsi="Constantia"/>
        </w:rPr>
        <w:footnoteReference w:id="6"/>
      </w:r>
      <w:r w:rsidR="0021097E">
        <w:rPr>
          <w:rFonts w:ascii="Constantia" w:hAnsi="Constantia"/>
        </w:rPr>
        <w:t xml:space="preserve">, </w:t>
      </w:r>
      <w:r w:rsidR="00186F2E">
        <w:rPr>
          <w:rFonts w:ascii="Constantia" w:hAnsi="Constantia"/>
        </w:rPr>
        <w:t>č</w:t>
      </w:r>
      <w:r w:rsidR="00D134A1">
        <w:rPr>
          <w:rFonts w:ascii="Constantia" w:hAnsi="Constantia"/>
        </w:rPr>
        <w:t>ím sa toto pravidlo splnilo</w:t>
      </w:r>
      <w:r w:rsidR="00160DD1">
        <w:rPr>
          <w:rFonts w:ascii="Constantia" w:hAnsi="Constantia"/>
        </w:rPr>
        <w:t xml:space="preserve"> skôr formálne. </w:t>
      </w:r>
      <w:r w:rsidR="001B18F7">
        <w:rPr>
          <w:rFonts w:ascii="Constantia" w:hAnsi="Constantia"/>
        </w:rPr>
        <w:t xml:space="preserve">Neprimerané znižovanie hotovostnej rezervy zvyšuje riziká </w:t>
      </w:r>
      <w:r w:rsidR="00484FE7">
        <w:rPr>
          <w:rFonts w:ascii="Constantia" w:hAnsi="Constantia"/>
        </w:rPr>
        <w:t xml:space="preserve">pre financovanie </w:t>
      </w:r>
      <w:r w:rsidR="009714A9">
        <w:rPr>
          <w:rFonts w:ascii="Constantia" w:hAnsi="Constantia"/>
        </w:rPr>
        <w:t>potrieb</w:t>
      </w:r>
      <w:r w:rsidR="00484FE7">
        <w:rPr>
          <w:rFonts w:ascii="Constantia" w:hAnsi="Constantia"/>
        </w:rPr>
        <w:t xml:space="preserve"> štátu, čo sa </w:t>
      </w:r>
      <w:r w:rsidR="00484FE7">
        <w:rPr>
          <w:rFonts w:ascii="Constantia" w:hAnsi="Constantia"/>
        </w:rPr>
        <w:lastRenderedPageBreak/>
        <w:t>prejavilo</w:t>
      </w:r>
      <w:r w:rsidR="00D52944">
        <w:rPr>
          <w:rFonts w:ascii="Constantia" w:hAnsi="Constantia"/>
        </w:rPr>
        <w:t xml:space="preserve"> aj počas </w:t>
      </w:r>
      <w:r w:rsidR="009714A9">
        <w:rPr>
          <w:rFonts w:ascii="Constantia" w:hAnsi="Constantia"/>
        </w:rPr>
        <w:t>prepuknutia pandémie koronavírusu a s ňou súvisiacej zníženej likvidity na finančných trhoch.</w:t>
      </w:r>
    </w:p>
    <w:p w14:paraId="376CAF55" w14:textId="21517B14" w:rsidR="00605933" w:rsidRPr="004A79A6" w:rsidRDefault="0023024F" w:rsidP="004A79A6">
      <w:pPr>
        <w:pStyle w:val="ListParagraph"/>
        <w:numPr>
          <w:ilvl w:val="0"/>
          <w:numId w:val="48"/>
        </w:numPr>
        <w:spacing w:after="0" w:line="240" w:lineRule="auto"/>
        <w:ind w:left="714" w:hanging="357"/>
        <w:jc w:val="both"/>
        <w:rPr>
          <w:rFonts w:ascii="Constantia" w:hAnsi="Constantia"/>
        </w:rPr>
      </w:pPr>
      <w:r w:rsidRPr="004A79A6">
        <w:rPr>
          <w:rFonts w:ascii="Constantia" w:hAnsi="Constantia"/>
        </w:rPr>
        <w:t>Vlád</w:t>
      </w:r>
      <w:r w:rsidR="000B2E86" w:rsidRPr="004A79A6">
        <w:rPr>
          <w:rFonts w:ascii="Constantia" w:hAnsi="Constantia"/>
        </w:rPr>
        <w:t>a opakovane</w:t>
      </w:r>
      <w:r w:rsidR="001B128A" w:rsidRPr="004A79A6">
        <w:rPr>
          <w:rFonts w:ascii="Constantia" w:hAnsi="Constantia"/>
        </w:rPr>
        <w:t xml:space="preserve"> posúva</w:t>
      </w:r>
      <w:r w:rsidR="00C50DA0" w:rsidRPr="008F1898">
        <w:rPr>
          <w:rFonts w:ascii="Constantia" w:hAnsi="Constantia"/>
        </w:rPr>
        <w:t>la</w:t>
      </w:r>
      <w:r w:rsidR="001B128A" w:rsidRPr="004A79A6">
        <w:rPr>
          <w:rFonts w:ascii="Constantia" w:hAnsi="Constantia"/>
        </w:rPr>
        <w:t xml:space="preserve"> </w:t>
      </w:r>
      <w:r w:rsidR="00D45B8F">
        <w:rPr>
          <w:rFonts w:ascii="Constantia" w:hAnsi="Constantia"/>
        </w:rPr>
        <w:t xml:space="preserve">dosiahnutie vyrovnaného rozpočtu a </w:t>
      </w:r>
      <w:r w:rsidR="001B128A" w:rsidRPr="004A79A6">
        <w:rPr>
          <w:rFonts w:ascii="Constantia" w:hAnsi="Constantia"/>
        </w:rPr>
        <w:t>splnenie</w:t>
      </w:r>
      <w:r w:rsidR="00D60AF4" w:rsidRPr="004A79A6">
        <w:rPr>
          <w:rFonts w:ascii="Constantia" w:hAnsi="Constantia"/>
        </w:rPr>
        <w:t xml:space="preserve"> strednodobého rozpočtového cieľa</w:t>
      </w:r>
      <w:r w:rsidR="007A006A" w:rsidRPr="004A79A6">
        <w:rPr>
          <w:rFonts w:ascii="Constantia" w:hAnsi="Constantia"/>
        </w:rPr>
        <w:t xml:space="preserve"> v podobe </w:t>
      </w:r>
      <w:r w:rsidR="00D45B8F">
        <w:rPr>
          <w:rFonts w:ascii="Constantia" w:hAnsi="Constantia"/>
        </w:rPr>
        <w:t>štrukturálneho deficitu najviac 0,5</w:t>
      </w:r>
      <w:r w:rsidR="00C64FDE">
        <w:rPr>
          <w:rFonts w:ascii="Constantia" w:hAnsi="Constantia"/>
        </w:rPr>
        <w:t> </w:t>
      </w:r>
      <w:r w:rsidR="00D45B8F">
        <w:rPr>
          <w:rFonts w:ascii="Constantia" w:hAnsi="Constantia"/>
        </w:rPr>
        <w:t>% HDP</w:t>
      </w:r>
      <w:r w:rsidR="00DD4B21" w:rsidRPr="004A79A6">
        <w:rPr>
          <w:rFonts w:ascii="Constantia" w:hAnsi="Constantia"/>
        </w:rPr>
        <w:t xml:space="preserve">, </w:t>
      </w:r>
      <w:r w:rsidR="004E7003" w:rsidRPr="004A79A6">
        <w:rPr>
          <w:rFonts w:ascii="Constantia" w:hAnsi="Constantia"/>
        </w:rPr>
        <w:t xml:space="preserve">pôvodný termín </w:t>
      </w:r>
      <w:r w:rsidR="00FE487E" w:rsidRPr="004A79A6">
        <w:rPr>
          <w:rFonts w:ascii="Constantia" w:hAnsi="Constantia"/>
        </w:rPr>
        <w:t xml:space="preserve">pre rok 2017 bol posunutý na rok 2019. </w:t>
      </w:r>
      <w:r w:rsidR="009F3B96" w:rsidRPr="008F1898">
        <w:rPr>
          <w:rFonts w:ascii="Constantia" w:hAnsi="Constantia"/>
        </w:rPr>
        <w:t xml:space="preserve">Vyrovnaný rozpočet nebol </w:t>
      </w:r>
      <w:r w:rsidR="006F32A0" w:rsidRPr="008F1898">
        <w:rPr>
          <w:rFonts w:ascii="Constantia" w:hAnsi="Constantia"/>
        </w:rPr>
        <w:t>dosiahnutý</w:t>
      </w:r>
      <w:r w:rsidR="009F3B96" w:rsidRPr="008F1898">
        <w:rPr>
          <w:rFonts w:ascii="Constantia" w:hAnsi="Constantia"/>
        </w:rPr>
        <w:t xml:space="preserve"> ani v roku 2019</w:t>
      </w:r>
      <w:r w:rsidR="006F32A0" w:rsidRPr="008F1898">
        <w:rPr>
          <w:rFonts w:ascii="Constantia" w:hAnsi="Constantia"/>
        </w:rPr>
        <w:t xml:space="preserve">, </w:t>
      </w:r>
      <w:r w:rsidR="00916E5C">
        <w:rPr>
          <w:rFonts w:ascii="Constantia" w:hAnsi="Constantia"/>
        </w:rPr>
        <w:t xml:space="preserve">deficit </w:t>
      </w:r>
      <w:r w:rsidR="0098223A">
        <w:rPr>
          <w:rFonts w:ascii="Constantia" w:hAnsi="Constantia"/>
        </w:rPr>
        <w:t>dosiahol úroveň 1,3</w:t>
      </w:r>
      <w:r w:rsidR="00C64FDE">
        <w:rPr>
          <w:rFonts w:ascii="Constantia" w:hAnsi="Constantia"/>
        </w:rPr>
        <w:t> </w:t>
      </w:r>
      <w:r w:rsidR="0098223A">
        <w:rPr>
          <w:rFonts w:ascii="Constantia" w:hAnsi="Constantia"/>
        </w:rPr>
        <w:t xml:space="preserve">% HDP a </w:t>
      </w:r>
      <w:r w:rsidR="0074580E" w:rsidRPr="004A79A6">
        <w:rPr>
          <w:rFonts w:ascii="Constantia" w:hAnsi="Constantia"/>
        </w:rPr>
        <w:t xml:space="preserve">štrukturálny deficit </w:t>
      </w:r>
      <w:r w:rsidR="00605933" w:rsidRPr="004A79A6">
        <w:rPr>
          <w:rFonts w:ascii="Constantia" w:hAnsi="Constantia"/>
        </w:rPr>
        <w:t xml:space="preserve">dosiahol úroveň </w:t>
      </w:r>
      <w:r w:rsidR="0074580E" w:rsidRPr="004A79A6">
        <w:rPr>
          <w:rFonts w:ascii="Constantia" w:hAnsi="Constantia"/>
        </w:rPr>
        <w:t>2,1</w:t>
      </w:r>
      <w:r w:rsidR="00605933" w:rsidRPr="004A79A6">
        <w:rPr>
          <w:rFonts w:ascii="Constantia" w:hAnsi="Constantia"/>
        </w:rPr>
        <w:t xml:space="preserve"> %</w:t>
      </w:r>
      <w:r w:rsidR="000F02EC">
        <w:rPr>
          <w:rFonts w:ascii="Constantia" w:hAnsi="Constantia"/>
        </w:rPr>
        <w:t xml:space="preserve"> HDP</w:t>
      </w:r>
      <w:r w:rsidR="0098223A">
        <w:rPr>
          <w:rFonts w:ascii="Constantia" w:hAnsi="Constantia"/>
        </w:rPr>
        <w:t>. V</w:t>
      </w:r>
      <w:r w:rsidR="000F02EC" w:rsidRPr="001D0AD8">
        <w:rPr>
          <w:rFonts w:ascii="Constantia" w:hAnsi="Constantia"/>
        </w:rPr>
        <w:t>láda</w:t>
      </w:r>
      <w:r w:rsidR="000F02EC" w:rsidRPr="000F02EC">
        <w:rPr>
          <w:rFonts w:ascii="Constantia" w:hAnsi="Constantia"/>
        </w:rPr>
        <w:t xml:space="preserve"> </w:t>
      </w:r>
      <w:r w:rsidR="002D194A" w:rsidRPr="004A79A6">
        <w:rPr>
          <w:rFonts w:ascii="Constantia" w:hAnsi="Constantia"/>
        </w:rPr>
        <w:t>sa od</w:t>
      </w:r>
      <w:r w:rsidR="00503965">
        <w:rPr>
          <w:rFonts w:ascii="Constantia" w:hAnsi="Constantia"/>
        </w:rPr>
        <w:t xml:space="preserve"> týchto svojich </w:t>
      </w:r>
      <w:r w:rsidR="002D194A" w:rsidRPr="004A79A6">
        <w:rPr>
          <w:rFonts w:ascii="Constantia" w:hAnsi="Constantia"/>
        </w:rPr>
        <w:t>cieľ</w:t>
      </w:r>
      <w:r w:rsidR="00503965">
        <w:rPr>
          <w:rFonts w:ascii="Constantia" w:hAnsi="Constantia"/>
        </w:rPr>
        <w:t>ov</w:t>
      </w:r>
      <w:r w:rsidR="00D4174B" w:rsidRPr="004A79A6">
        <w:rPr>
          <w:rFonts w:ascii="Constantia" w:hAnsi="Constantia"/>
        </w:rPr>
        <w:t xml:space="preserve"> </w:t>
      </w:r>
      <w:r w:rsidR="000F02EC" w:rsidRPr="003C6778">
        <w:rPr>
          <w:rFonts w:ascii="Constantia" w:hAnsi="Constantia"/>
        </w:rPr>
        <w:t xml:space="preserve">výrazne </w:t>
      </w:r>
      <w:r w:rsidR="002D194A" w:rsidRPr="004A79A6">
        <w:rPr>
          <w:rFonts w:ascii="Constantia" w:hAnsi="Constantia"/>
        </w:rPr>
        <w:t>odchýlil</w:t>
      </w:r>
      <w:r w:rsidR="00083370" w:rsidRPr="004A79A6">
        <w:rPr>
          <w:rFonts w:ascii="Constantia" w:hAnsi="Constantia"/>
        </w:rPr>
        <w:t>a</w:t>
      </w:r>
      <w:r w:rsidR="009C20D3">
        <w:rPr>
          <w:rStyle w:val="FootnoteReference"/>
          <w:rFonts w:ascii="Constantia" w:hAnsi="Constantia"/>
        </w:rPr>
        <w:footnoteReference w:id="7"/>
      </w:r>
      <w:r w:rsidR="00503965">
        <w:rPr>
          <w:rFonts w:ascii="Constantia" w:hAnsi="Constantia"/>
        </w:rPr>
        <w:t>, pričom</w:t>
      </w:r>
      <w:r w:rsidR="00E57F7A">
        <w:rPr>
          <w:rFonts w:ascii="Constantia" w:hAnsi="Constantia"/>
        </w:rPr>
        <w:t xml:space="preserve"> v porovnaní s rokom 2018 sa odchýlka ešte prehĺbila</w:t>
      </w:r>
      <w:r w:rsidR="00605933" w:rsidRPr="004A79A6">
        <w:rPr>
          <w:rFonts w:ascii="Constantia" w:hAnsi="Constantia"/>
        </w:rPr>
        <w:t>.</w:t>
      </w:r>
      <w:r w:rsidR="00552296" w:rsidRPr="008F1898">
        <w:rPr>
          <w:rFonts w:ascii="Constantia" w:hAnsi="Constantia"/>
        </w:rPr>
        <w:t xml:space="preserve"> </w:t>
      </w:r>
    </w:p>
    <w:p w14:paraId="36600615" w14:textId="54A319E5" w:rsidR="00302C9C" w:rsidRDefault="006F32A0">
      <w:pPr>
        <w:pStyle w:val="ListParagraph"/>
        <w:numPr>
          <w:ilvl w:val="0"/>
          <w:numId w:val="48"/>
        </w:numPr>
        <w:spacing w:after="0" w:line="240" w:lineRule="auto"/>
        <w:ind w:left="714" w:hanging="357"/>
        <w:jc w:val="both"/>
        <w:rPr>
          <w:rFonts w:ascii="Constantia" w:hAnsi="Constantia"/>
        </w:rPr>
      </w:pPr>
      <w:r w:rsidRPr="008F1898">
        <w:rPr>
          <w:rFonts w:ascii="Constantia" w:hAnsi="Constantia"/>
        </w:rPr>
        <w:t>Nedodržanie</w:t>
      </w:r>
      <w:r w:rsidR="008E754F" w:rsidRPr="004A79A6">
        <w:rPr>
          <w:rFonts w:ascii="Constantia" w:hAnsi="Constantia"/>
        </w:rPr>
        <w:t xml:space="preserve"> vlastných </w:t>
      </w:r>
      <w:r w:rsidR="000F0BFA">
        <w:rPr>
          <w:rFonts w:ascii="Constantia" w:hAnsi="Constantia"/>
        </w:rPr>
        <w:t xml:space="preserve">rozpočtových </w:t>
      </w:r>
      <w:r w:rsidR="008E754F" w:rsidRPr="004A79A6">
        <w:rPr>
          <w:rFonts w:ascii="Constantia" w:hAnsi="Constantia"/>
        </w:rPr>
        <w:t>cieľov</w:t>
      </w:r>
      <w:r w:rsidR="00281C66" w:rsidRPr="008F1898">
        <w:rPr>
          <w:rFonts w:ascii="Constantia" w:hAnsi="Constantia"/>
        </w:rPr>
        <w:t xml:space="preserve"> </w:t>
      </w:r>
      <w:r w:rsidR="00EA5F9E" w:rsidRPr="008F1898">
        <w:rPr>
          <w:rFonts w:ascii="Constantia" w:hAnsi="Constantia"/>
        </w:rPr>
        <w:t>bez toho, aby</w:t>
      </w:r>
      <w:r w:rsidR="00D86235" w:rsidRPr="008F1898">
        <w:rPr>
          <w:rFonts w:ascii="Constantia" w:hAnsi="Constantia"/>
        </w:rPr>
        <w:t xml:space="preserve"> sa objavili nové negatívne skutočnosti</w:t>
      </w:r>
      <w:r w:rsidR="008E754F" w:rsidRPr="004A79A6">
        <w:rPr>
          <w:rFonts w:ascii="Constantia" w:hAnsi="Constantia"/>
        </w:rPr>
        <w:t xml:space="preserve"> </w:t>
      </w:r>
      <w:r w:rsidR="004E6CBA" w:rsidRPr="004A79A6">
        <w:rPr>
          <w:rFonts w:ascii="Constantia" w:hAnsi="Constantia"/>
        </w:rPr>
        <w:t xml:space="preserve">a zároveň </w:t>
      </w:r>
      <w:r w:rsidR="00847EF3" w:rsidRPr="004A79A6">
        <w:rPr>
          <w:rFonts w:ascii="Constantia" w:hAnsi="Constantia"/>
        </w:rPr>
        <w:t xml:space="preserve">nevyužívanie </w:t>
      </w:r>
      <w:r w:rsidR="0023024F" w:rsidRPr="004A79A6">
        <w:rPr>
          <w:rFonts w:ascii="Constantia" w:hAnsi="Constantia"/>
        </w:rPr>
        <w:t>pozitívn</w:t>
      </w:r>
      <w:r w:rsidR="00401BEE" w:rsidRPr="004A79A6">
        <w:rPr>
          <w:rFonts w:ascii="Constantia" w:hAnsi="Constantia"/>
        </w:rPr>
        <w:t xml:space="preserve">ejšieho ako v rozpočte uvažovaného </w:t>
      </w:r>
      <w:r w:rsidR="0048534B" w:rsidRPr="004A79A6">
        <w:rPr>
          <w:rFonts w:ascii="Constantia" w:hAnsi="Constantia"/>
        </w:rPr>
        <w:t>ekonomick</w:t>
      </w:r>
      <w:r w:rsidR="000F02EC">
        <w:rPr>
          <w:rFonts w:ascii="Constantia" w:hAnsi="Constantia"/>
        </w:rPr>
        <w:t>ého</w:t>
      </w:r>
      <w:r w:rsidR="0023024F" w:rsidRPr="004A79A6">
        <w:rPr>
          <w:rFonts w:ascii="Constantia" w:hAnsi="Constantia"/>
        </w:rPr>
        <w:t xml:space="preserve"> vývoj</w:t>
      </w:r>
      <w:r w:rsidR="000F02EC">
        <w:rPr>
          <w:rFonts w:ascii="Constantia" w:hAnsi="Constantia"/>
        </w:rPr>
        <w:t>a</w:t>
      </w:r>
      <w:r w:rsidR="0078200E" w:rsidRPr="004A79A6">
        <w:rPr>
          <w:rFonts w:ascii="Constantia" w:hAnsi="Constantia"/>
        </w:rPr>
        <w:t xml:space="preserve"> </w:t>
      </w:r>
      <w:r w:rsidR="0032078D" w:rsidRPr="004A79A6">
        <w:rPr>
          <w:rFonts w:ascii="Constantia" w:hAnsi="Constantia"/>
        </w:rPr>
        <w:t xml:space="preserve">v posledných </w:t>
      </w:r>
      <w:r w:rsidR="005D5D8D" w:rsidRPr="004A79A6">
        <w:rPr>
          <w:rFonts w:ascii="Constantia" w:hAnsi="Constantia"/>
        </w:rPr>
        <w:t>rokoch</w:t>
      </w:r>
      <w:r w:rsidR="00847EF3" w:rsidRPr="004A79A6">
        <w:rPr>
          <w:rFonts w:ascii="Constantia" w:hAnsi="Constantia"/>
        </w:rPr>
        <w:t xml:space="preserve"> </w:t>
      </w:r>
      <w:r w:rsidR="0078200E" w:rsidRPr="004A79A6">
        <w:rPr>
          <w:rFonts w:ascii="Constantia" w:hAnsi="Constantia"/>
        </w:rPr>
        <w:t>na</w:t>
      </w:r>
      <w:r w:rsidR="00401BEE" w:rsidRPr="004A79A6">
        <w:rPr>
          <w:rFonts w:ascii="Constantia" w:hAnsi="Constantia"/>
        </w:rPr>
        <w:t xml:space="preserve"> zrýchlenie</w:t>
      </w:r>
      <w:r w:rsidR="00933137" w:rsidRPr="004A79A6">
        <w:rPr>
          <w:rFonts w:ascii="Constantia" w:hAnsi="Constantia"/>
        </w:rPr>
        <w:t xml:space="preserve"> </w:t>
      </w:r>
      <w:r w:rsidR="0078200E" w:rsidRPr="004A79A6">
        <w:rPr>
          <w:rFonts w:ascii="Constantia" w:hAnsi="Constantia"/>
        </w:rPr>
        <w:t>znižovani</w:t>
      </w:r>
      <w:r w:rsidR="00921A0C" w:rsidRPr="008F1898">
        <w:rPr>
          <w:rFonts w:ascii="Constantia" w:hAnsi="Constantia"/>
        </w:rPr>
        <w:t>a</w:t>
      </w:r>
      <w:r w:rsidR="0078200E" w:rsidRPr="004A79A6">
        <w:rPr>
          <w:rFonts w:ascii="Constantia" w:hAnsi="Constantia"/>
        </w:rPr>
        <w:t xml:space="preserve"> deficitu</w:t>
      </w:r>
      <w:r w:rsidR="00B11EA3" w:rsidRPr="004A79A6">
        <w:rPr>
          <w:rFonts w:ascii="Constantia" w:hAnsi="Constantia"/>
        </w:rPr>
        <w:t xml:space="preserve"> a</w:t>
      </w:r>
      <w:r w:rsidR="00933137" w:rsidRPr="004A79A6">
        <w:rPr>
          <w:rFonts w:ascii="Constantia" w:hAnsi="Constantia"/>
        </w:rPr>
        <w:t> </w:t>
      </w:r>
      <w:r w:rsidR="00B11EA3" w:rsidRPr="004A79A6">
        <w:rPr>
          <w:rFonts w:ascii="Constantia" w:hAnsi="Constantia"/>
        </w:rPr>
        <w:t>dlhu</w:t>
      </w:r>
      <w:r w:rsidR="00933137" w:rsidRPr="004A79A6">
        <w:rPr>
          <w:rFonts w:ascii="Constantia" w:hAnsi="Constantia"/>
        </w:rPr>
        <w:t xml:space="preserve"> v porovnaní s vládnymi cieľmi</w:t>
      </w:r>
      <w:r w:rsidR="005B3893" w:rsidRPr="004A79A6">
        <w:rPr>
          <w:rFonts w:ascii="Constantia" w:hAnsi="Constantia"/>
        </w:rPr>
        <w:t xml:space="preserve"> spôsobilo, že </w:t>
      </w:r>
      <w:r w:rsidR="00123CAB" w:rsidRPr="004A79A6">
        <w:rPr>
          <w:rFonts w:ascii="Constantia" w:hAnsi="Constantia"/>
        </w:rPr>
        <w:t xml:space="preserve">hrubý dlh ku konca roka 2019 je </w:t>
      </w:r>
      <w:r w:rsidRPr="008F1898">
        <w:rPr>
          <w:rFonts w:ascii="Constantia" w:hAnsi="Constantia"/>
        </w:rPr>
        <w:t>približne</w:t>
      </w:r>
      <w:r w:rsidR="00123CAB" w:rsidRPr="004A79A6">
        <w:rPr>
          <w:rFonts w:ascii="Constantia" w:hAnsi="Constantia"/>
        </w:rPr>
        <w:t xml:space="preserve"> o</w:t>
      </w:r>
      <w:r w:rsidR="000F02EC">
        <w:rPr>
          <w:rFonts w:ascii="Constantia" w:hAnsi="Constantia"/>
        </w:rPr>
        <w:t> </w:t>
      </w:r>
      <w:r w:rsidR="00123CAB" w:rsidRPr="004A79A6">
        <w:rPr>
          <w:rFonts w:ascii="Constantia" w:hAnsi="Constantia"/>
        </w:rPr>
        <w:t>10</w:t>
      </w:r>
      <w:r w:rsidR="000F02EC">
        <w:rPr>
          <w:rFonts w:ascii="Constantia" w:hAnsi="Constantia"/>
        </w:rPr>
        <w:t> </w:t>
      </w:r>
      <w:r w:rsidR="00123CAB" w:rsidRPr="004A79A6">
        <w:rPr>
          <w:rFonts w:ascii="Constantia" w:hAnsi="Constantia"/>
        </w:rPr>
        <w:t xml:space="preserve">% HDP vyšší ako by </w:t>
      </w:r>
      <w:r w:rsidR="00A67F92" w:rsidRPr="004A79A6">
        <w:rPr>
          <w:rFonts w:ascii="Constantia" w:hAnsi="Constantia"/>
        </w:rPr>
        <w:t>bol, ak by vláda zohľadnila tento vývoj</w:t>
      </w:r>
      <w:r w:rsidR="00FE1B7D" w:rsidRPr="004A79A6">
        <w:rPr>
          <w:rFonts w:ascii="Constantia" w:hAnsi="Constantia"/>
        </w:rPr>
        <w:t xml:space="preserve"> </w:t>
      </w:r>
      <w:r w:rsidR="00735683" w:rsidRPr="008F1898">
        <w:rPr>
          <w:rFonts w:ascii="Constantia" w:hAnsi="Constantia"/>
        </w:rPr>
        <w:t xml:space="preserve">pri riadení </w:t>
      </w:r>
      <w:r w:rsidR="00FE1B7D" w:rsidRPr="004A79A6">
        <w:rPr>
          <w:rFonts w:ascii="Constantia" w:hAnsi="Constantia"/>
        </w:rPr>
        <w:t>rozpočt</w:t>
      </w:r>
      <w:r w:rsidR="00735683" w:rsidRPr="008F1898">
        <w:rPr>
          <w:rFonts w:ascii="Constantia" w:hAnsi="Constantia"/>
        </w:rPr>
        <w:t>u</w:t>
      </w:r>
      <w:r w:rsidR="00FE1B7D" w:rsidRPr="004A79A6">
        <w:rPr>
          <w:rFonts w:ascii="Constantia" w:hAnsi="Constantia"/>
        </w:rPr>
        <w:t>.</w:t>
      </w:r>
      <w:r w:rsidR="00302C9C" w:rsidRPr="004A79A6">
        <w:rPr>
          <w:rFonts w:ascii="Constantia" w:hAnsi="Constantia"/>
        </w:rPr>
        <w:t xml:space="preserve"> </w:t>
      </w:r>
    </w:p>
    <w:p w14:paraId="7E2DD314" w14:textId="0567014D" w:rsidR="0080594C" w:rsidRPr="004A79A6" w:rsidRDefault="0080594C" w:rsidP="004A79A6">
      <w:pPr>
        <w:pStyle w:val="ListParagraph"/>
        <w:numPr>
          <w:ilvl w:val="0"/>
          <w:numId w:val="48"/>
        </w:numPr>
        <w:spacing w:after="0" w:line="240" w:lineRule="auto"/>
        <w:ind w:left="714" w:hanging="357"/>
        <w:jc w:val="both"/>
        <w:rPr>
          <w:rFonts w:ascii="Constantia" w:hAnsi="Constantia"/>
        </w:rPr>
      </w:pPr>
      <w:r w:rsidRPr="004A79A6">
        <w:rPr>
          <w:rFonts w:ascii="Constantia" w:hAnsi="Constantia"/>
        </w:rPr>
        <w:t>Príprava rozpočtu verejnej správy</w:t>
      </w:r>
      <w:r w:rsidR="0088175F">
        <w:rPr>
          <w:rFonts w:ascii="Constantia" w:hAnsi="Constantia"/>
        </w:rPr>
        <w:t xml:space="preserve"> sa </w:t>
      </w:r>
      <w:r w:rsidR="000F0BFA">
        <w:rPr>
          <w:rFonts w:ascii="Constantia" w:hAnsi="Constantia"/>
        </w:rPr>
        <w:t>každoročne</w:t>
      </w:r>
      <w:r w:rsidRPr="004A79A6">
        <w:rPr>
          <w:rFonts w:ascii="Constantia" w:hAnsi="Constantia"/>
        </w:rPr>
        <w:t xml:space="preserve"> opierala o nerealistické očakávania</w:t>
      </w:r>
      <w:r w:rsidR="0025585B">
        <w:rPr>
          <w:rFonts w:ascii="Constantia" w:hAnsi="Constantia"/>
        </w:rPr>
        <w:t xml:space="preserve"> vo vývoji niektorých príjmov a výdavkov</w:t>
      </w:r>
      <w:r w:rsidR="00436D57">
        <w:rPr>
          <w:rStyle w:val="FootnoteReference"/>
          <w:rFonts w:ascii="Constantia" w:hAnsi="Constantia"/>
        </w:rPr>
        <w:footnoteReference w:id="8"/>
      </w:r>
      <w:r w:rsidRPr="004A79A6">
        <w:rPr>
          <w:rFonts w:ascii="Constantia" w:hAnsi="Constantia"/>
        </w:rPr>
        <w:t xml:space="preserve">, pričom </w:t>
      </w:r>
      <w:r w:rsidR="000F0BFA">
        <w:rPr>
          <w:rFonts w:ascii="Constantia" w:hAnsi="Constantia"/>
        </w:rPr>
        <w:t xml:space="preserve">výška </w:t>
      </w:r>
      <w:r w:rsidRPr="004A79A6">
        <w:rPr>
          <w:rFonts w:ascii="Constantia" w:hAnsi="Constantia"/>
        </w:rPr>
        <w:t>negatívn</w:t>
      </w:r>
      <w:r w:rsidR="000F0BFA">
        <w:rPr>
          <w:rFonts w:ascii="Constantia" w:hAnsi="Constantia"/>
        </w:rPr>
        <w:t>ych</w:t>
      </w:r>
      <w:r w:rsidRPr="004A79A6">
        <w:rPr>
          <w:rFonts w:ascii="Constantia" w:hAnsi="Constantia"/>
        </w:rPr>
        <w:t xml:space="preserve"> riz</w:t>
      </w:r>
      <w:r w:rsidR="000F0BFA">
        <w:rPr>
          <w:rFonts w:ascii="Constantia" w:hAnsi="Constantia"/>
        </w:rPr>
        <w:t>í</w:t>
      </w:r>
      <w:r w:rsidRPr="004A79A6">
        <w:rPr>
          <w:rFonts w:ascii="Constantia" w:hAnsi="Constantia"/>
        </w:rPr>
        <w:t>k</w:t>
      </w:r>
      <w:r w:rsidR="007D5809">
        <w:rPr>
          <w:rFonts w:ascii="Constantia" w:hAnsi="Constantia"/>
        </w:rPr>
        <w:t xml:space="preserve"> v rozpočte na roky 2020 až 202</w:t>
      </w:r>
      <w:r w:rsidR="006E3BCC">
        <w:rPr>
          <w:rFonts w:ascii="Constantia" w:hAnsi="Constantia"/>
        </w:rPr>
        <w:t>2</w:t>
      </w:r>
      <w:r w:rsidR="00436D57">
        <w:rPr>
          <w:rFonts w:ascii="Constantia" w:hAnsi="Constantia"/>
        </w:rPr>
        <w:t xml:space="preserve"> schválenom v decembri 2019</w:t>
      </w:r>
      <w:r w:rsidRPr="004A79A6">
        <w:rPr>
          <w:rFonts w:ascii="Constantia" w:hAnsi="Constantia"/>
        </w:rPr>
        <w:t xml:space="preserve">, ako ich v čase pred schválením rozpočtu identifikovala RRZ, </w:t>
      </w:r>
      <w:r w:rsidR="000F0BFA">
        <w:rPr>
          <w:rFonts w:ascii="Constantia" w:hAnsi="Constantia"/>
        </w:rPr>
        <w:t>bola</w:t>
      </w:r>
      <w:r w:rsidR="000F0BFA" w:rsidRPr="004A79A6">
        <w:rPr>
          <w:rFonts w:ascii="Constantia" w:hAnsi="Constantia"/>
        </w:rPr>
        <w:t xml:space="preserve"> </w:t>
      </w:r>
      <w:r w:rsidRPr="004A79A6">
        <w:rPr>
          <w:rFonts w:ascii="Constantia" w:hAnsi="Constantia"/>
        </w:rPr>
        <w:t>výrazne vyšši</w:t>
      </w:r>
      <w:r w:rsidR="000F0BFA">
        <w:rPr>
          <w:rFonts w:ascii="Constantia" w:hAnsi="Constantia"/>
        </w:rPr>
        <w:t>a</w:t>
      </w:r>
      <w:r w:rsidRPr="004A79A6">
        <w:rPr>
          <w:rFonts w:ascii="Constantia" w:hAnsi="Constantia"/>
        </w:rPr>
        <w:t>, ako tomu bolo v</w:t>
      </w:r>
      <w:r w:rsidR="006972AE">
        <w:rPr>
          <w:rFonts w:ascii="Constantia" w:hAnsi="Constantia"/>
        </w:rPr>
        <w:t> </w:t>
      </w:r>
      <w:r w:rsidRPr="004A79A6">
        <w:rPr>
          <w:rFonts w:ascii="Constantia" w:hAnsi="Constantia"/>
        </w:rPr>
        <w:t>predchádzajúcich rokoch. Schválen</w:t>
      </w:r>
      <w:r w:rsidR="00161528">
        <w:rPr>
          <w:rFonts w:ascii="Constantia" w:hAnsi="Constantia"/>
        </w:rPr>
        <w:t>é</w:t>
      </w:r>
      <w:r w:rsidRPr="004A79A6">
        <w:rPr>
          <w:rFonts w:ascii="Constantia" w:hAnsi="Constantia"/>
        </w:rPr>
        <w:t xml:space="preserve"> rozpočt</w:t>
      </w:r>
      <w:r w:rsidR="00161528">
        <w:rPr>
          <w:rFonts w:ascii="Constantia" w:hAnsi="Constantia"/>
        </w:rPr>
        <w:t>y</w:t>
      </w:r>
      <w:r w:rsidRPr="004A79A6">
        <w:rPr>
          <w:rFonts w:ascii="Constantia" w:hAnsi="Constantia"/>
        </w:rPr>
        <w:t xml:space="preserve"> tak namiesto konsolidácie obsahoval</w:t>
      </w:r>
      <w:r w:rsidR="00161528">
        <w:rPr>
          <w:rFonts w:ascii="Constantia" w:hAnsi="Constantia"/>
        </w:rPr>
        <w:t>i</w:t>
      </w:r>
      <w:r w:rsidRPr="004A79A6">
        <w:rPr>
          <w:rFonts w:ascii="Constantia" w:hAnsi="Constantia"/>
        </w:rPr>
        <w:t xml:space="preserve"> skrytý, ale identifikovaný príspevok pre nárast verejného dlhu.</w:t>
      </w:r>
    </w:p>
    <w:p w14:paraId="141D80DD" w14:textId="0B338680" w:rsidR="00E63C27" w:rsidRPr="004A79A6" w:rsidRDefault="00735683" w:rsidP="004A79A6">
      <w:pPr>
        <w:pStyle w:val="ListParagraph"/>
        <w:numPr>
          <w:ilvl w:val="0"/>
          <w:numId w:val="48"/>
        </w:numPr>
        <w:spacing w:after="0" w:line="240" w:lineRule="auto"/>
        <w:ind w:left="714" w:hanging="357"/>
        <w:jc w:val="both"/>
      </w:pPr>
      <w:r w:rsidRPr="004A79A6">
        <w:rPr>
          <w:rFonts w:ascii="Constantia" w:hAnsi="Constantia"/>
        </w:rPr>
        <w:t>Počas</w:t>
      </w:r>
      <w:r w:rsidR="00DD572D" w:rsidRPr="004A79A6">
        <w:rPr>
          <w:rFonts w:ascii="Constantia" w:hAnsi="Constantia"/>
        </w:rPr>
        <w:t xml:space="preserve"> obdobia</w:t>
      </w:r>
      <w:r w:rsidR="00D764B3" w:rsidRPr="004A79A6">
        <w:rPr>
          <w:rFonts w:ascii="Constantia" w:hAnsi="Constantia"/>
        </w:rPr>
        <w:t>, kedy bol dlh v sankčných pásmach</w:t>
      </w:r>
      <w:r w:rsidR="00D54C8A" w:rsidRPr="004A79A6">
        <w:rPr>
          <w:rFonts w:ascii="Constantia" w:hAnsi="Constantia"/>
        </w:rPr>
        <w:t>,</w:t>
      </w:r>
      <w:r w:rsidR="00D764B3" w:rsidRPr="004A79A6">
        <w:rPr>
          <w:rFonts w:ascii="Constantia" w:hAnsi="Constantia"/>
        </w:rPr>
        <w:t xml:space="preserve"> vláda prijímala </w:t>
      </w:r>
      <w:r w:rsidR="00E957CA" w:rsidRPr="004A79A6">
        <w:rPr>
          <w:rFonts w:ascii="Constantia" w:hAnsi="Constantia"/>
        </w:rPr>
        <w:t xml:space="preserve">nové opatrenia </w:t>
      </w:r>
      <w:r w:rsidR="004C529D" w:rsidRPr="004A79A6">
        <w:rPr>
          <w:rFonts w:ascii="Constantia" w:hAnsi="Constantia"/>
        </w:rPr>
        <w:t>s</w:t>
      </w:r>
      <w:r w:rsidR="006972AE" w:rsidRPr="004A79A6">
        <w:rPr>
          <w:rFonts w:ascii="Constantia" w:hAnsi="Constantia"/>
        </w:rPr>
        <w:t> </w:t>
      </w:r>
      <w:r w:rsidR="004C529D" w:rsidRPr="004A79A6">
        <w:rPr>
          <w:rFonts w:ascii="Constantia" w:hAnsi="Constantia"/>
        </w:rPr>
        <w:t>negatívnym vplyvom na deficit a dlh</w:t>
      </w:r>
      <w:r w:rsidR="00E957CA" w:rsidRPr="004A79A6">
        <w:rPr>
          <w:rFonts w:ascii="Constantia" w:hAnsi="Constantia"/>
        </w:rPr>
        <w:t>, čím</w:t>
      </w:r>
      <w:r w:rsidR="003E2035" w:rsidRPr="004A79A6">
        <w:rPr>
          <w:rFonts w:ascii="Constantia" w:hAnsi="Constantia"/>
        </w:rPr>
        <w:t xml:space="preserve"> zamedzovala rýchlejšiemu poklesu dlhu. Aj keď</w:t>
      </w:r>
      <w:r w:rsidR="00582B36" w:rsidRPr="004A79A6">
        <w:rPr>
          <w:rFonts w:ascii="Constantia" w:hAnsi="Constantia"/>
        </w:rPr>
        <w:t xml:space="preserve"> prijatie opatrení</w:t>
      </w:r>
      <w:r w:rsidR="007A6C1E" w:rsidRPr="004A79A6">
        <w:rPr>
          <w:rFonts w:ascii="Constantia" w:hAnsi="Constantia"/>
        </w:rPr>
        <w:t xml:space="preserve"> napr. v sociálnej oblasti</w:t>
      </w:r>
      <w:r w:rsidR="00FB0C04" w:rsidRPr="004A79A6">
        <w:rPr>
          <w:rFonts w:ascii="Constantia" w:hAnsi="Constantia"/>
        </w:rPr>
        <w:t xml:space="preserve">, alebo </w:t>
      </w:r>
      <w:r w:rsidR="000F02EC" w:rsidRPr="004A79A6">
        <w:rPr>
          <w:rFonts w:ascii="Constantia" w:hAnsi="Constantia"/>
        </w:rPr>
        <w:t xml:space="preserve">zvýšenie </w:t>
      </w:r>
      <w:r w:rsidR="006666FE" w:rsidRPr="004A79A6">
        <w:rPr>
          <w:rFonts w:ascii="Constantia" w:hAnsi="Constantia"/>
        </w:rPr>
        <w:t>iných</w:t>
      </w:r>
      <w:r w:rsidR="00CF70E9" w:rsidRPr="004A79A6">
        <w:rPr>
          <w:rFonts w:ascii="Constantia" w:hAnsi="Constantia"/>
        </w:rPr>
        <w:t xml:space="preserve"> výdavkov je legití</w:t>
      </w:r>
      <w:r w:rsidR="00A1036F" w:rsidRPr="004A79A6">
        <w:rPr>
          <w:rFonts w:ascii="Constantia" w:hAnsi="Constantia"/>
        </w:rPr>
        <w:t xml:space="preserve">mna súčasť </w:t>
      </w:r>
      <w:r w:rsidR="0009253B" w:rsidRPr="004A79A6">
        <w:rPr>
          <w:rFonts w:ascii="Constantia" w:hAnsi="Constantia"/>
        </w:rPr>
        <w:t>práce vlády a</w:t>
      </w:r>
      <w:r w:rsidR="000F0BFA">
        <w:rPr>
          <w:rFonts w:ascii="Constantia" w:hAnsi="Constantia"/>
        </w:rPr>
        <w:t> </w:t>
      </w:r>
      <w:r w:rsidR="0009253B" w:rsidRPr="004A79A6">
        <w:rPr>
          <w:rFonts w:ascii="Constantia" w:hAnsi="Constantia"/>
        </w:rPr>
        <w:t>parlamentu</w:t>
      </w:r>
      <w:r w:rsidR="000F0BFA">
        <w:rPr>
          <w:rFonts w:ascii="Constantia" w:hAnsi="Constantia"/>
        </w:rPr>
        <w:t>,</w:t>
      </w:r>
      <w:r w:rsidR="00592F9D" w:rsidRPr="004A79A6">
        <w:rPr>
          <w:rFonts w:ascii="Constantia" w:hAnsi="Constantia"/>
        </w:rPr>
        <w:t xml:space="preserve"> </w:t>
      </w:r>
      <w:r w:rsidR="0050553E" w:rsidRPr="004A79A6">
        <w:rPr>
          <w:rFonts w:ascii="Constantia" w:hAnsi="Constantia"/>
        </w:rPr>
        <w:t xml:space="preserve">pri ich </w:t>
      </w:r>
      <w:r w:rsidR="00BF3FF8" w:rsidRPr="004A79A6">
        <w:rPr>
          <w:rFonts w:ascii="Constantia" w:hAnsi="Constantia"/>
        </w:rPr>
        <w:t>prijímaní</w:t>
      </w:r>
      <w:r w:rsidR="0050553E" w:rsidRPr="004A79A6">
        <w:rPr>
          <w:rFonts w:ascii="Constantia" w:hAnsi="Constantia"/>
        </w:rPr>
        <w:t xml:space="preserve"> </w:t>
      </w:r>
      <w:r w:rsidR="007260CD" w:rsidRPr="004A79A6">
        <w:rPr>
          <w:rFonts w:ascii="Constantia" w:hAnsi="Constantia"/>
        </w:rPr>
        <w:t>absentovalo</w:t>
      </w:r>
      <w:r w:rsidR="00465DC8" w:rsidRPr="004A79A6">
        <w:rPr>
          <w:rFonts w:ascii="Constantia" w:hAnsi="Constantia"/>
        </w:rPr>
        <w:t xml:space="preserve"> zohľadnenie </w:t>
      </w:r>
      <w:r w:rsidR="007260CD" w:rsidRPr="004A79A6">
        <w:rPr>
          <w:rFonts w:ascii="Constantia" w:hAnsi="Constantia"/>
        </w:rPr>
        <w:t>potreby čo najrýchlejšie znižovať dlh pod sankčné pásma.</w:t>
      </w:r>
    </w:p>
    <w:p w14:paraId="5631A765" w14:textId="77777777" w:rsidR="00D54C8A" w:rsidRPr="004A79A6" w:rsidRDefault="00D54C8A" w:rsidP="0080594C">
      <w:pPr>
        <w:jc w:val="both"/>
        <w:rPr>
          <w:rFonts w:eastAsia="Calibri"/>
          <w:szCs w:val="22"/>
          <w:lang w:eastAsia="en-US"/>
        </w:rPr>
      </w:pPr>
    </w:p>
    <w:p w14:paraId="1AFF356F" w14:textId="39D3D770" w:rsidR="004F0A2E" w:rsidRPr="004A79A6" w:rsidRDefault="0080594C" w:rsidP="0080594C">
      <w:pPr>
        <w:jc w:val="both"/>
        <w:rPr>
          <w:szCs w:val="22"/>
        </w:rPr>
      </w:pPr>
      <w:r w:rsidRPr="0080594C">
        <w:rPr>
          <w:b/>
          <w:bCs/>
        </w:rPr>
        <w:t xml:space="preserve">Nedostatočné znižovanie úrovne dlhu po roku 2012 je potrebné vnímať aj v kontexte </w:t>
      </w:r>
      <w:r w:rsidR="000F0BFA">
        <w:rPr>
          <w:b/>
          <w:bCs/>
        </w:rPr>
        <w:t>pravdepodobného výskytu</w:t>
      </w:r>
      <w:r w:rsidR="000F0BFA" w:rsidRPr="0080594C">
        <w:rPr>
          <w:b/>
          <w:bCs/>
        </w:rPr>
        <w:t xml:space="preserve"> </w:t>
      </w:r>
      <w:r w:rsidRPr="0080594C">
        <w:rPr>
          <w:b/>
          <w:bCs/>
        </w:rPr>
        <w:t xml:space="preserve">ďalších potenciálnych </w:t>
      </w:r>
      <w:r w:rsidR="002B619C" w:rsidRPr="0080594C">
        <w:rPr>
          <w:b/>
          <w:bCs/>
        </w:rPr>
        <w:t xml:space="preserve">kríz a </w:t>
      </w:r>
      <w:r w:rsidRPr="0080594C">
        <w:rPr>
          <w:b/>
          <w:bCs/>
        </w:rPr>
        <w:t>šokov, ktorým bude musieť slovenská ekonomika čeliť.</w:t>
      </w:r>
      <w:r>
        <w:rPr>
          <w:b/>
          <w:bCs/>
        </w:rPr>
        <w:t xml:space="preserve"> </w:t>
      </w:r>
      <w:r w:rsidR="00347C8C" w:rsidRPr="004A79A6">
        <w:rPr>
          <w:szCs w:val="22"/>
        </w:rPr>
        <w:t xml:space="preserve">Vplyvom finančnej krízy </w:t>
      </w:r>
      <w:r w:rsidR="001A0DC8" w:rsidRPr="004A79A6">
        <w:rPr>
          <w:szCs w:val="22"/>
        </w:rPr>
        <w:t>narástol dlh Slovenska o viac ako 20 p.b.</w:t>
      </w:r>
      <w:r w:rsidR="000E6966" w:rsidRPr="004A79A6">
        <w:rPr>
          <w:szCs w:val="22"/>
        </w:rPr>
        <w:t xml:space="preserve">, z úrovne </w:t>
      </w:r>
      <w:r w:rsidR="005D20DE" w:rsidRPr="004A79A6">
        <w:rPr>
          <w:szCs w:val="22"/>
        </w:rPr>
        <w:t>pod 30</w:t>
      </w:r>
      <w:r w:rsidR="00FB1B70">
        <w:rPr>
          <w:szCs w:val="22"/>
        </w:rPr>
        <w:t> </w:t>
      </w:r>
      <w:r w:rsidR="005D20DE" w:rsidRPr="004A79A6">
        <w:rPr>
          <w:szCs w:val="22"/>
        </w:rPr>
        <w:t>%</w:t>
      </w:r>
      <w:r w:rsidR="000F02EC" w:rsidRPr="00C57258">
        <w:t xml:space="preserve"> HDP</w:t>
      </w:r>
      <w:r w:rsidR="005D20DE" w:rsidRPr="004A79A6">
        <w:rPr>
          <w:szCs w:val="22"/>
        </w:rPr>
        <w:t xml:space="preserve"> </w:t>
      </w:r>
      <w:r w:rsidR="001A3A9E" w:rsidRPr="004A79A6">
        <w:rPr>
          <w:szCs w:val="22"/>
        </w:rPr>
        <w:t>v roku 20</w:t>
      </w:r>
      <w:r w:rsidR="00EF32AC" w:rsidRPr="00C57258">
        <w:t>0</w:t>
      </w:r>
      <w:r w:rsidR="001A3A9E" w:rsidRPr="004A79A6">
        <w:rPr>
          <w:szCs w:val="22"/>
        </w:rPr>
        <w:t xml:space="preserve">8 </w:t>
      </w:r>
      <w:r w:rsidR="005D20DE" w:rsidRPr="004A79A6">
        <w:rPr>
          <w:szCs w:val="22"/>
        </w:rPr>
        <w:t>nad hranicu 50</w:t>
      </w:r>
      <w:r w:rsidR="00FB1B70">
        <w:rPr>
          <w:szCs w:val="22"/>
        </w:rPr>
        <w:t> </w:t>
      </w:r>
      <w:r w:rsidR="005D20DE" w:rsidRPr="004A79A6">
        <w:rPr>
          <w:szCs w:val="22"/>
        </w:rPr>
        <w:t>%</w:t>
      </w:r>
      <w:r w:rsidR="000F02EC" w:rsidRPr="00C57258">
        <w:t xml:space="preserve"> HDP</w:t>
      </w:r>
      <w:r w:rsidR="005D20DE" w:rsidRPr="004A79A6">
        <w:rPr>
          <w:szCs w:val="22"/>
        </w:rPr>
        <w:t xml:space="preserve"> </w:t>
      </w:r>
      <w:r w:rsidR="00646A34" w:rsidRPr="004A79A6">
        <w:rPr>
          <w:szCs w:val="22"/>
        </w:rPr>
        <w:t>do roku 20</w:t>
      </w:r>
      <w:r w:rsidR="00932DFD" w:rsidRPr="004A79A6">
        <w:rPr>
          <w:szCs w:val="22"/>
        </w:rPr>
        <w:t xml:space="preserve">12. </w:t>
      </w:r>
      <w:r w:rsidR="00201030" w:rsidRPr="004A79A6">
        <w:rPr>
          <w:szCs w:val="22"/>
        </w:rPr>
        <w:t xml:space="preserve">Počas </w:t>
      </w:r>
      <w:r w:rsidR="0096154E" w:rsidRPr="004A79A6">
        <w:rPr>
          <w:szCs w:val="22"/>
        </w:rPr>
        <w:t>nasledujúcich</w:t>
      </w:r>
      <w:r w:rsidR="00201030" w:rsidRPr="004A79A6">
        <w:rPr>
          <w:szCs w:val="22"/>
        </w:rPr>
        <w:t xml:space="preserve"> rokov </w:t>
      </w:r>
      <w:r w:rsidR="00CA70FC" w:rsidRPr="00C57258">
        <w:t xml:space="preserve">prevažne </w:t>
      </w:r>
      <w:r w:rsidR="00201030" w:rsidRPr="004A79A6">
        <w:rPr>
          <w:szCs w:val="22"/>
        </w:rPr>
        <w:t>priaznivého ekonomického rastu došlo k</w:t>
      </w:r>
      <w:r w:rsidR="00C57258">
        <w:t xml:space="preserve"> jeho </w:t>
      </w:r>
      <w:r w:rsidR="00201030" w:rsidRPr="004A79A6">
        <w:rPr>
          <w:szCs w:val="22"/>
        </w:rPr>
        <w:t>zníženiu len o 3,8 p.b.</w:t>
      </w:r>
      <w:r w:rsidR="00D34758" w:rsidRPr="004A79A6">
        <w:rPr>
          <w:szCs w:val="22"/>
        </w:rPr>
        <w:t xml:space="preserve"> Práve toto obdobie malo byť využité</w:t>
      </w:r>
      <w:r w:rsidR="004945FD" w:rsidRPr="004A79A6">
        <w:rPr>
          <w:szCs w:val="22"/>
        </w:rPr>
        <w:t xml:space="preserve"> na výrazne</w:t>
      </w:r>
      <w:r w:rsidR="000F02EC" w:rsidRPr="00C57258">
        <w:t>jšie</w:t>
      </w:r>
      <w:r w:rsidR="004945FD" w:rsidRPr="004A79A6">
        <w:rPr>
          <w:szCs w:val="22"/>
        </w:rPr>
        <w:t xml:space="preserve"> zníženie dlhu</w:t>
      </w:r>
      <w:r w:rsidR="00045B26" w:rsidRPr="004A79A6">
        <w:rPr>
          <w:szCs w:val="22"/>
        </w:rPr>
        <w:t>, aby</w:t>
      </w:r>
      <w:r w:rsidR="00D3555C" w:rsidRPr="004A79A6">
        <w:rPr>
          <w:szCs w:val="22"/>
        </w:rPr>
        <w:t xml:space="preserve"> v prípade </w:t>
      </w:r>
      <w:r w:rsidR="0096154E" w:rsidRPr="004A79A6">
        <w:rPr>
          <w:szCs w:val="22"/>
        </w:rPr>
        <w:t>ďalšej</w:t>
      </w:r>
      <w:r w:rsidR="00D3555C" w:rsidRPr="004A79A6">
        <w:rPr>
          <w:szCs w:val="22"/>
        </w:rPr>
        <w:t xml:space="preserve"> krízy alebo nečakanej udalosti bol vytvorený priestor na absorbovanie šoku bez toho, aby do</w:t>
      </w:r>
      <w:r w:rsidR="00406034" w:rsidRPr="004A79A6">
        <w:rPr>
          <w:szCs w:val="22"/>
        </w:rPr>
        <w:t>šlo</w:t>
      </w:r>
      <w:r w:rsidR="00CB4CB2" w:rsidRPr="004A79A6">
        <w:rPr>
          <w:szCs w:val="22"/>
        </w:rPr>
        <w:t xml:space="preserve"> k zásadnému vplyvu</w:t>
      </w:r>
      <w:r w:rsidR="0054207F" w:rsidRPr="004A79A6">
        <w:rPr>
          <w:szCs w:val="22"/>
        </w:rPr>
        <w:t xml:space="preserve"> na stabilitu a udržateľnosť verejných </w:t>
      </w:r>
      <w:r w:rsidR="0096154E" w:rsidRPr="004A79A6">
        <w:rPr>
          <w:szCs w:val="22"/>
        </w:rPr>
        <w:t>financií a</w:t>
      </w:r>
      <w:r w:rsidR="004A1C17" w:rsidRPr="004A79A6">
        <w:rPr>
          <w:szCs w:val="22"/>
        </w:rPr>
        <w:t> </w:t>
      </w:r>
      <w:r w:rsidR="0096154E" w:rsidRPr="004A79A6">
        <w:rPr>
          <w:szCs w:val="22"/>
        </w:rPr>
        <w:t>nutnosti</w:t>
      </w:r>
      <w:r w:rsidR="004A1C17" w:rsidRPr="004A79A6">
        <w:rPr>
          <w:szCs w:val="22"/>
        </w:rPr>
        <w:t xml:space="preserve"> </w:t>
      </w:r>
      <w:r w:rsidR="00B178B7" w:rsidRPr="004A79A6">
        <w:rPr>
          <w:szCs w:val="22"/>
        </w:rPr>
        <w:t xml:space="preserve">aktivovať </w:t>
      </w:r>
      <w:r w:rsidR="000F02EC" w:rsidRPr="00C57258">
        <w:t>prísnejšie</w:t>
      </w:r>
      <w:r w:rsidR="00B178B7" w:rsidRPr="004A79A6">
        <w:rPr>
          <w:szCs w:val="22"/>
        </w:rPr>
        <w:t xml:space="preserve"> sankcie d</w:t>
      </w:r>
      <w:r w:rsidR="00511E56" w:rsidRPr="004A79A6">
        <w:rPr>
          <w:szCs w:val="22"/>
        </w:rPr>
        <w:t>lhovej brzdy.</w:t>
      </w:r>
    </w:p>
    <w:p w14:paraId="748AE000" w14:textId="77777777" w:rsidR="004F0A2E" w:rsidRPr="004A79A6" w:rsidRDefault="004F0A2E" w:rsidP="00846337">
      <w:pPr>
        <w:jc w:val="both"/>
        <w:rPr>
          <w:szCs w:val="22"/>
        </w:rPr>
      </w:pPr>
    </w:p>
    <w:p w14:paraId="2D9DD2AA" w14:textId="554627BC" w:rsidR="54A9240F" w:rsidRDefault="00EC01FF" w:rsidP="00846337">
      <w:pPr>
        <w:spacing w:line="257" w:lineRule="auto"/>
        <w:jc w:val="both"/>
      </w:pPr>
      <w:r w:rsidRPr="54A9240F">
        <w:rPr>
          <w:b/>
          <w:bCs/>
        </w:rPr>
        <w:t xml:space="preserve">V roku 2020 sa očakáva prudký nárast dlhu nad úroveň 60 % HDP v dôsledku ekonomického poklesu na Slovensku vplyvom pandémie koronavírusu, pričom dlh sa dostane nad najvyššie sankčné </w:t>
      </w:r>
      <w:r w:rsidR="66BB662E" w:rsidRPr="54A9240F">
        <w:rPr>
          <w:b/>
          <w:bCs/>
        </w:rPr>
        <w:t xml:space="preserve">pásmo </w:t>
      </w:r>
      <w:r w:rsidRPr="54A9240F">
        <w:rPr>
          <w:b/>
          <w:bCs/>
        </w:rPr>
        <w:t>dlhovej brzdy.</w:t>
      </w:r>
      <w:r w:rsidRPr="004A79A6">
        <w:t xml:space="preserve"> Bez prijatia dodatočných opatrení by sa dlh do roku 2023 priblížil podľa RRZ k hranici 70 % HDP.</w:t>
      </w:r>
      <w:r w:rsidR="3970BD6F">
        <w:t xml:space="preserve"> Odhadovaný prudký nárast dlhu oproti roku 2019 potvrdzuje nevyhnutnosť rýchlejšieho znižovania dlhu v dobrých ekonomických časoch.</w:t>
      </w:r>
      <w:r w:rsidR="00846337">
        <w:t xml:space="preserve"> Výnimočná situácia, v ktorej sa verejné financie ocitli, si vyžaduje vyšší </w:t>
      </w:r>
      <w:r w:rsidR="00846337">
        <w:lastRenderedPageBreak/>
        <w:t>stupeň transparentnosti v prístupe k výdavkom. Výdavky, ktoré idú nad rámec riešenia dôsledkov pandémie, by vzhľadom na stav verejných financií mali byť posudzované obozretnejšie.</w:t>
      </w:r>
    </w:p>
    <w:p w14:paraId="74A35427" w14:textId="77777777" w:rsidR="00DD148E" w:rsidRDefault="00DD148E" w:rsidP="00101DC6">
      <w:pPr>
        <w:jc w:val="both"/>
        <w:rPr>
          <w:i/>
          <w:iCs/>
          <w:szCs w:val="22"/>
        </w:rPr>
      </w:pPr>
    </w:p>
    <w:p w14:paraId="18E247F9" w14:textId="1BB11C9C" w:rsidR="00707EF2" w:rsidRDefault="0096729D" w:rsidP="00101DC6">
      <w:pPr>
        <w:jc w:val="both"/>
        <w:rPr>
          <w:i/>
          <w:iCs/>
          <w:szCs w:val="22"/>
        </w:rPr>
      </w:pPr>
      <w:r>
        <w:rPr>
          <w:i/>
          <w:iCs/>
          <w:szCs w:val="22"/>
        </w:rPr>
        <w:t>L</w:t>
      </w:r>
      <w:r w:rsidRPr="0096729D">
        <w:rPr>
          <w:i/>
          <w:iCs/>
          <w:szCs w:val="22"/>
        </w:rPr>
        <w:t>imit verejných výdavkov</w:t>
      </w:r>
    </w:p>
    <w:p w14:paraId="4B00240C" w14:textId="77777777" w:rsidR="0096729D" w:rsidRDefault="0096729D" w:rsidP="00101DC6">
      <w:pPr>
        <w:jc w:val="both"/>
      </w:pPr>
    </w:p>
    <w:p w14:paraId="47A1E84C" w14:textId="1068E76F" w:rsidR="00101DC6" w:rsidRDefault="009B054D" w:rsidP="00101DC6">
      <w:pPr>
        <w:jc w:val="both"/>
        <w:rPr>
          <w:rFonts w:eastAsia="Cambria"/>
          <w:szCs w:val="22"/>
        </w:rPr>
      </w:pPr>
      <w:r>
        <w:t xml:space="preserve">Ústavný limit na dlh </w:t>
      </w:r>
      <w:r w:rsidR="000F02EC">
        <w:t xml:space="preserve">by </w:t>
      </w:r>
      <w:r>
        <w:t>mal slúž</w:t>
      </w:r>
      <w:r w:rsidR="001B0AA2">
        <w:t>iť ako posledný nástroj na</w:t>
      </w:r>
      <w:r w:rsidR="003E6948">
        <w:t xml:space="preserve"> zabezpečenie</w:t>
      </w:r>
      <w:r w:rsidR="00415CB7">
        <w:t xml:space="preserve"> udržateľnej úrovne dlhu</w:t>
      </w:r>
      <w:r w:rsidR="005C741C">
        <w:t xml:space="preserve"> a vláda </w:t>
      </w:r>
      <w:r w:rsidR="000F02EC">
        <w:t>by mala</w:t>
      </w:r>
      <w:r w:rsidR="005C741C">
        <w:t xml:space="preserve"> využiť všetky </w:t>
      </w:r>
      <w:r w:rsidR="00DE3468">
        <w:t xml:space="preserve">možnosti na to, aby </w:t>
      </w:r>
      <w:r w:rsidR="00056BB6">
        <w:t>realizovala hospodársku politiku</w:t>
      </w:r>
      <w:r w:rsidR="00AD54D2">
        <w:t xml:space="preserve">, vrátane proticyklickej politiky </w:t>
      </w:r>
      <w:r w:rsidR="00551D65">
        <w:t>v</w:t>
      </w:r>
      <w:r w:rsidR="00AD54D2">
        <w:t> </w:t>
      </w:r>
      <w:r w:rsidR="00551D65">
        <w:t>rámci</w:t>
      </w:r>
      <w:r w:rsidR="00AD54D2">
        <w:t xml:space="preserve"> </w:t>
      </w:r>
      <w:r w:rsidR="00D54C8A">
        <w:t>tohto limitu</w:t>
      </w:r>
      <w:r w:rsidR="00AD54D2">
        <w:t>.</w:t>
      </w:r>
      <w:r w:rsidR="006D5C13">
        <w:t xml:space="preserve"> </w:t>
      </w:r>
      <w:r w:rsidR="00101DC6" w:rsidRPr="004A79A6">
        <w:rPr>
          <w:b/>
          <w:bCs/>
        </w:rPr>
        <w:t>Ústavný</w:t>
      </w:r>
      <w:r w:rsidR="007F0186" w:rsidRPr="004A79A6">
        <w:rPr>
          <w:b/>
          <w:bCs/>
        </w:rPr>
        <w:t xml:space="preserve"> zákon</w:t>
      </w:r>
      <w:r w:rsidR="0047323D" w:rsidRPr="004A79A6">
        <w:rPr>
          <w:b/>
          <w:bCs/>
        </w:rPr>
        <w:t xml:space="preserve"> ako nevyhnutnú súčasť </w:t>
      </w:r>
      <w:r w:rsidR="00034861" w:rsidRPr="004A79A6">
        <w:rPr>
          <w:b/>
          <w:bCs/>
        </w:rPr>
        <w:t xml:space="preserve">zodpovedného hospodárenia </w:t>
      </w:r>
      <w:r w:rsidR="00101DC6" w:rsidRPr="004A79A6">
        <w:rPr>
          <w:b/>
          <w:bCs/>
        </w:rPr>
        <w:t>predpokladal</w:t>
      </w:r>
      <w:r w:rsidR="00034861" w:rsidRPr="004A79A6">
        <w:rPr>
          <w:b/>
          <w:bCs/>
        </w:rPr>
        <w:t xml:space="preserve"> </w:t>
      </w:r>
      <w:r w:rsidR="00101DC6">
        <w:rPr>
          <w:b/>
          <w:bCs/>
        </w:rPr>
        <w:t xml:space="preserve">okrem limitu na dlh aj </w:t>
      </w:r>
      <w:r w:rsidR="00034861" w:rsidRPr="004A79A6">
        <w:rPr>
          <w:b/>
          <w:bCs/>
        </w:rPr>
        <w:t xml:space="preserve">zavedenie </w:t>
      </w:r>
      <w:r w:rsidR="00BE37E3" w:rsidRPr="004A79A6">
        <w:rPr>
          <w:b/>
          <w:bCs/>
        </w:rPr>
        <w:t>operatívneho nástroja</w:t>
      </w:r>
      <w:r w:rsidR="00CE362D" w:rsidRPr="004A79A6">
        <w:rPr>
          <w:b/>
          <w:bCs/>
        </w:rPr>
        <w:t xml:space="preserve"> </w:t>
      </w:r>
      <w:r w:rsidR="00101DC6" w:rsidRPr="004A79A6">
        <w:rPr>
          <w:b/>
          <w:bCs/>
        </w:rPr>
        <w:t>riadenia rozpočtu – výdavkov</w:t>
      </w:r>
      <w:r w:rsidR="005F4741">
        <w:rPr>
          <w:b/>
          <w:bCs/>
        </w:rPr>
        <w:t>ých</w:t>
      </w:r>
      <w:r w:rsidR="00101DC6" w:rsidRPr="004A79A6">
        <w:rPr>
          <w:b/>
          <w:bCs/>
        </w:rPr>
        <w:t xml:space="preserve"> limit</w:t>
      </w:r>
      <w:r w:rsidR="005F4741">
        <w:rPr>
          <w:b/>
          <w:bCs/>
        </w:rPr>
        <w:t>ov</w:t>
      </w:r>
      <w:r w:rsidR="00101DC6" w:rsidRPr="004A79A6">
        <w:rPr>
          <w:b/>
          <w:bCs/>
        </w:rPr>
        <w:t>.</w:t>
      </w:r>
      <w:r w:rsidR="00101DC6">
        <w:t xml:space="preserve"> V</w:t>
      </w:r>
      <w:r w:rsidR="00101DC6" w:rsidRPr="00101DC6">
        <w:t xml:space="preserve"> čase vysokého ekonomického rastu vedú </w:t>
      </w:r>
      <w:r w:rsidR="00D54C8A">
        <w:t xml:space="preserve">výdavkové limity </w:t>
      </w:r>
      <w:r w:rsidR="00101DC6" w:rsidRPr="00101DC6">
        <w:t>k rýchlejšiemu znižovaniu deficitu rozpočtu a</w:t>
      </w:r>
      <w:r w:rsidR="006972AE">
        <w:t> </w:t>
      </w:r>
      <w:r w:rsidR="00101DC6" w:rsidRPr="00101DC6">
        <w:t xml:space="preserve">naopak v čase ekonomického spomalenia alebo recesie vytvárajú priestor pre fiškálnu expanziu. </w:t>
      </w:r>
      <w:r w:rsidR="00C57258">
        <w:rPr>
          <w:szCs w:val="22"/>
        </w:rPr>
        <w:t>E</w:t>
      </w:r>
      <w:r w:rsidR="00C57258" w:rsidRPr="00160A5B">
        <w:rPr>
          <w:rFonts w:eastAsia="Cambria"/>
          <w:szCs w:val="22"/>
        </w:rPr>
        <w:t>fektívne fungujúce výdavkové limity</w:t>
      </w:r>
      <w:r w:rsidR="00C57258">
        <w:rPr>
          <w:rFonts w:eastAsia="Cambria"/>
          <w:bCs/>
          <w:szCs w:val="22"/>
        </w:rPr>
        <w:t xml:space="preserve"> </w:t>
      </w:r>
      <w:r w:rsidR="00C57258" w:rsidRPr="00160A5B">
        <w:rPr>
          <w:rFonts w:eastAsia="Cambria"/>
          <w:szCs w:val="22"/>
        </w:rPr>
        <w:t xml:space="preserve">mohli prispieť </w:t>
      </w:r>
      <w:r w:rsidR="00C57258">
        <w:rPr>
          <w:rFonts w:eastAsia="Cambria"/>
          <w:szCs w:val="22"/>
        </w:rPr>
        <w:t>aj k</w:t>
      </w:r>
      <w:r w:rsidR="00C57258" w:rsidRPr="00160A5B">
        <w:rPr>
          <w:rFonts w:eastAsia="Cambria"/>
          <w:szCs w:val="22"/>
        </w:rPr>
        <w:t> rýchlejšiemu poklesu dlhu mimo sankčných pásiem v porovnaní s aktuálnym vývojom</w:t>
      </w:r>
      <w:r w:rsidR="00C57258" w:rsidRPr="00160A5B">
        <w:rPr>
          <w:rFonts w:eastAsia="Cambria"/>
        </w:rPr>
        <w:t>.</w:t>
      </w:r>
    </w:p>
    <w:p w14:paraId="694D6ADD" w14:textId="77777777" w:rsidR="00101DC6" w:rsidRDefault="00101DC6" w:rsidP="00101DC6">
      <w:pPr>
        <w:jc w:val="both"/>
        <w:rPr>
          <w:rFonts w:eastAsia="Cambria"/>
          <w:szCs w:val="22"/>
        </w:rPr>
      </w:pPr>
    </w:p>
    <w:p w14:paraId="16BEE11E" w14:textId="7EAFE641" w:rsidR="00AF7518" w:rsidRPr="00EC01FF" w:rsidRDefault="0080594C" w:rsidP="00AF7518">
      <w:pPr>
        <w:jc w:val="both"/>
        <w:rPr>
          <w:rFonts w:eastAsia="Cambria"/>
        </w:rPr>
      </w:pPr>
      <w:r w:rsidRPr="004A79A6">
        <w:rPr>
          <w:b/>
          <w:bCs/>
        </w:rPr>
        <w:t xml:space="preserve">Nadobudnutím účinnosti ústavného zákona sa mali začať bezodkladne vyvíjať kroky smerujúce k implementovaniu výdavkových limitov, vrátane </w:t>
      </w:r>
      <w:r w:rsidR="005F7520">
        <w:rPr>
          <w:b/>
          <w:bCs/>
        </w:rPr>
        <w:t>určenia</w:t>
      </w:r>
      <w:r w:rsidR="005F7520" w:rsidRPr="004A79A6">
        <w:rPr>
          <w:b/>
          <w:bCs/>
        </w:rPr>
        <w:t xml:space="preserve"> </w:t>
      </w:r>
      <w:r w:rsidRPr="004A79A6">
        <w:rPr>
          <w:b/>
          <w:bCs/>
        </w:rPr>
        <w:t>záväzného termínu,</w:t>
      </w:r>
      <w:r w:rsidR="005F2659">
        <w:rPr>
          <w:b/>
          <w:bCs/>
        </w:rPr>
        <w:t xml:space="preserve"> ktorý doteraz nebol stanovený</w:t>
      </w:r>
      <w:r>
        <w:t>.</w:t>
      </w:r>
      <w:r w:rsidR="000E775D">
        <w:t xml:space="preserve"> </w:t>
      </w:r>
      <w:r w:rsidR="004D1A58">
        <w:t>Prvý</w:t>
      </w:r>
      <w:r w:rsidR="009763ED">
        <w:t xml:space="preserve"> krok </w:t>
      </w:r>
      <w:r w:rsidR="00D54C8A">
        <w:t>v</w:t>
      </w:r>
      <w:r w:rsidR="00A705CA">
        <w:t> </w:t>
      </w:r>
      <w:r w:rsidR="009763ED">
        <w:t>diskusii</w:t>
      </w:r>
      <w:r w:rsidR="00A705CA">
        <w:t xml:space="preserve"> o </w:t>
      </w:r>
      <w:r w:rsidR="00365EA4">
        <w:t>zavedení</w:t>
      </w:r>
      <w:r w:rsidR="00A705CA">
        <w:t xml:space="preserve"> výdavkových limitov</w:t>
      </w:r>
      <w:r w:rsidR="00123762">
        <w:t xml:space="preserve"> prišiel </w:t>
      </w:r>
      <w:r w:rsidR="00DC48EA">
        <w:t xml:space="preserve">predstavením analytickej štúdie </w:t>
      </w:r>
      <w:r w:rsidR="00123762">
        <w:t>v roku 2018</w:t>
      </w:r>
      <w:r w:rsidR="00AF7518">
        <w:t>. Vláda v programe stability z apríla 2019</w:t>
      </w:r>
      <w:r w:rsidR="00AF7518" w:rsidRPr="00EC01FF">
        <w:rPr>
          <w:rStyle w:val="FootnoteReference"/>
          <w:bCs/>
          <w:szCs w:val="22"/>
        </w:rPr>
        <w:footnoteReference w:id="9"/>
      </w:r>
      <w:r w:rsidR="00AF7518">
        <w:t xml:space="preserve"> deklarovala zámer pripraviť varianty stanovenia výdavkových limitov do konca minulého volebného obdobia (marca 2020), čo sa jej nepodarilo. </w:t>
      </w:r>
      <w:r w:rsidR="00AF7518" w:rsidRPr="00160A5B">
        <w:t>Pozitívne možno vnímať</w:t>
      </w:r>
      <w:r w:rsidR="00AF7518">
        <w:t xml:space="preserve"> zámer</w:t>
      </w:r>
      <w:r w:rsidR="00AF7518" w:rsidRPr="00160A5B">
        <w:t xml:space="preserve"> </w:t>
      </w:r>
      <w:r w:rsidR="00AF7518">
        <w:t xml:space="preserve">novej </w:t>
      </w:r>
      <w:r w:rsidR="00AF7518" w:rsidRPr="00160A5B">
        <w:t>vlád</w:t>
      </w:r>
      <w:r w:rsidR="00AF7518">
        <w:t>y, ktorá sa</w:t>
      </w:r>
      <w:r w:rsidR="00AF7518" w:rsidRPr="00160A5B">
        <w:t xml:space="preserve"> vo svojom programovom vyhlásení zaviazala zaviesť do praxe výdavkové stropy</w:t>
      </w:r>
      <w:r w:rsidR="00AF7518" w:rsidRPr="00EC01FF">
        <w:rPr>
          <w:rStyle w:val="FootnoteReference"/>
          <w:bCs/>
        </w:rPr>
        <w:footnoteReference w:id="10"/>
      </w:r>
      <w:r w:rsidR="00AF7518" w:rsidRPr="00160A5B">
        <w:t>.</w:t>
      </w:r>
    </w:p>
    <w:p w14:paraId="691FA006" w14:textId="77777777" w:rsidR="005F2659" w:rsidRDefault="005F2659" w:rsidP="00253090">
      <w:pPr>
        <w:jc w:val="both"/>
        <w:rPr>
          <w:szCs w:val="22"/>
        </w:rPr>
      </w:pPr>
    </w:p>
    <w:p w14:paraId="5F988F0E" w14:textId="1F915E8D" w:rsidR="001F4843" w:rsidRDefault="00E956FC" w:rsidP="00253090">
      <w:pPr>
        <w:jc w:val="both"/>
        <w:rPr>
          <w:szCs w:val="22"/>
        </w:rPr>
      </w:pPr>
      <w:r w:rsidRPr="5F551076">
        <w:t xml:space="preserve">Z pohľadu </w:t>
      </w:r>
      <w:r w:rsidR="00EB31E4" w:rsidRPr="5F551076">
        <w:t xml:space="preserve">požiadavky ústavného zákona je však možné konštatovať, že </w:t>
      </w:r>
      <w:r w:rsidR="009746A5" w:rsidRPr="5F551076">
        <w:t>zatiaľ</w:t>
      </w:r>
      <w:r w:rsidR="000D7472" w:rsidRPr="5F551076">
        <w:t xml:space="preserve"> neboli prijaté žiadne</w:t>
      </w:r>
      <w:r w:rsidR="000836D9">
        <w:rPr>
          <w:szCs w:val="22"/>
        </w:rPr>
        <w:t xml:space="preserve"> </w:t>
      </w:r>
      <w:r w:rsidR="00AE15FD" w:rsidRPr="5F551076">
        <w:t>záväzné kroky vlády, ktoré by smerovali k zavedeniu výdavkových limitov</w:t>
      </w:r>
      <w:r w:rsidR="005874F0">
        <w:rPr>
          <w:szCs w:val="22"/>
        </w:rPr>
        <w:t>.</w:t>
      </w:r>
      <w:r w:rsidR="00DC48EA">
        <w:rPr>
          <w:szCs w:val="22"/>
        </w:rPr>
        <w:t xml:space="preserve"> </w:t>
      </w:r>
      <w:r w:rsidR="00C915E9" w:rsidRPr="48538075">
        <w:rPr>
          <w:b/>
        </w:rPr>
        <w:t>Súčasný právny stav</w:t>
      </w:r>
      <w:r w:rsidR="00703497" w:rsidRPr="48538075">
        <w:rPr>
          <w:b/>
        </w:rPr>
        <w:t xml:space="preserve"> absenci</w:t>
      </w:r>
      <w:r w:rsidR="00FF0B99" w:rsidRPr="48538075">
        <w:rPr>
          <w:b/>
        </w:rPr>
        <w:t>e</w:t>
      </w:r>
      <w:r w:rsidR="006116E6" w:rsidRPr="48538075">
        <w:rPr>
          <w:b/>
        </w:rPr>
        <w:t xml:space="preserve"> záväzných</w:t>
      </w:r>
      <w:r w:rsidR="00703497" w:rsidRPr="48538075">
        <w:rPr>
          <w:b/>
        </w:rPr>
        <w:t xml:space="preserve"> limitov výdavkov</w:t>
      </w:r>
      <w:r w:rsidR="006116E6" w:rsidRPr="48538075">
        <w:rPr>
          <w:b/>
        </w:rPr>
        <w:t xml:space="preserve"> verejnej správy</w:t>
      </w:r>
      <w:r w:rsidR="00770741" w:rsidRPr="48538075">
        <w:rPr>
          <w:b/>
        </w:rPr>
        <w:t xml:space="preserve"> </w:t>
      </w:r>
      <w:r w:rsidR="009807BE" w:rsidRPr="48538075">
        <w:rPr>
          <w:b/>
        </w:rPr>
        <w:t>porušuje</w:t>
      </w:r>
      <w:r w:rsidR="005F2659" w:rsidRPr="48538075">
        <w:rPr>
          <w:b/>
        </w:rPr>
        <w:t xml:space="preserve"> ústavný zákon</w:t>
      </w:r>
      <w:r w:rsidR="005B6DD8" w:rsidRPr="5F551076">
        <w:rPr>
          <w:rStyle w:val="FootnoteReference"/>
        </w:rPr>
        <w:footnoteReference w:id="11"/>
      </w:r>
      <w:r w:rsidR="00770741" w:rsidRPr="00A62D03">
        <w:rPr>
          <w:szCs w:val="22"/>
        </w:rPr>
        <w:t xml:space="preserve"> </w:t>
      </w:r>
      <w:r w:rsidR="00770741" w:rsidRPr="48538075">
        <w:rPr>
          <w:b/>
        </w:rPr>
        <w:t>a</w:t>
      </w:r>
      <w:r w:rsidR="006C6FCA" w:rsidRPr="48538075">
        <w:rPr>
          <w:b/>
        </w:rPr>
        <w:t xml:space="preserve"> malo by </w:t>
      </w:r>
      <w:r w:rsidR="00885CDB" w:rsidRPr="48538075">
        <w:rPr>
          <w:b/>
        </w:rPr>
        <w:t xml:space="preserve">byť </w:t>
      </w:r>
      <w:r w:rsidR="00CE2202" w:rsidRPr="48538075">
        <w:rPr>
          <w:b/>
        </w:rPr>
        <w:t>prioritou</w:t>
      </w:r>
      <w:r w:rsidR="004140A7" w:rsidRPr="48538075">
        <w:rPr>
          <w:b/>
        </w:rPr>
        <w:t xml:space="preserve"> súčasnej vlády</w:t>
      </w:r>
      <w:r w:rsidR="00CE2202" w:rsidRPr="48538075">
        <w:rPr>
          <w:b/>
        </w:rPr>
        <w:t xml:space="preserve"> </w:t>
      </w:r>
      <w:r w:rsidR="00770741" w:rsidRPr="48538075">
        <w:rPr>
          <w:b/>
        </w:rPr>
        <w:t>imple</w:t>
      </w:r>
      <w:r w:rsidR="00027581" w:rsidRPr="48538075">
        <w:rPr>
          <w:b/>
        </w:rPr>
        <w:t>me</w:t>
      </w:r>
      <w:r w:rsidR="00264B0C" w:rsidRPr="48538075">
        <w:rPr>
          <w:b/>
        </w:rPr>
        <w:t>nt</w:t>
      </w:r>
      <w:r w:rsidR="000B65E6" w:rsidRPr="48538075">
        <w:rPr>
          <w:b/>
        </w:rPr>
        <w:t xml:space="preserve">ovať </w:t>
      </w:r>
      <w:r w:rsidR="009D5BFB" w:rsidRPr="48538075">
        <w:rPr>
          <w:b/>
        </w:rPr>
        <w:t>záväzn</w:t>
      </w:r>
      <w:r w:rsidR="000B65E6" w:rsidRPr="48538075">
        <w:rPr>
          <w:b/>
        </w:rPr>
        <w:t>é</w:t>
      </w:r>
      <w:r w:rsidR="009D5BFB" w:rsidRPr="48538075">
        <w:rPr>
          <w:b/>
        </w:rPr>
        <w:t xml:space="preserve"> viacročn</w:t>
      </w:r>
      <w:r w:rsidR="000B65E6" w:rsidRPr="48538075">
        <w:rPr>
          <w:b/>
        </w:rPr>
        <w:t>é</w:t>
      </w:r>
      <w:r w:rsidR="009D5BFB" w:rsidRPr="48538075">
        <w:rPr>
          <w:b/>
        </w:rPr>
        <w:t xml:space="preserve"> limit</w:t>
      </w:r>
      <w:r w:rsidR="000B65E6" w:rsidRPr="48538075">
        <w:rPr>
          <w:b/>
        </w:rPr>
        <w:t>y</w:t>
      </w:r>
      <w:r w:rsidR="009D5BFB" w:rsidRPr="48538075">
        <w:rPr>
          <w:b/>
        </w:rPr>
        <w:t xml:space="preserve"> verejných výdavkov</w:t>
      </w:r>
      <w:r w:rsidR="00CE2202" w:rsidRPr="48538075">
        <w:rPr>
          <w:b/>
        </w:rPr>
        <w:t xml:space="preserve"> čo najskôr</w:t>
      </w:r>
      <w:r w:rsidR="009D5BFB" w:rsidRPr="00A62D03">
        <w:rPr>
          <w:szCs w:val="22"/>
        </w:rPr>
        <w:t>.</w:t>
      </w:r>
    </w:p>
    <w:p w14:paraId="6D959827" w14:textId="77777777" w:rsidR="001F4843" w:rsidRDefault="001F4843" w:rsidP="00253090">
      <w:pPr>
        <w:jc w:val="both"/>
        <w:rPr>
          <w:szCs w:val="22"/>
        </w:rPr>
      </w:pPr>
    </w:p>
    <w:p w14:paraId="33FC6DDD" w14:textId="77777777" w:rsidR="001F4843" w:rsidRDefault="001F4843" w:rsidP="00253090">
      <w:pPr>
        <w:jc w:val="both"/>
        <w:rPr>
          <w:szCs w:val="22"/>
        </w:rPr>
      </w:pPr>
    </w:p>
    <w:p w14:paraId="7198115A" w14:textId="261E5076" w:rsidR="001F4843" w:rsidRPr="00C47F47" w:rsidRDefault="00A2642E" w:rsidP="00253090">
      <w:pPr>
        <w:jc w:val="both"/>
        <w:rPr>
          <w:i/>
          <w:iCs/>
          <w:szCs w:val="22"/>
        </w:rPr>
      </w:pPr>
      <w:r w:rsidRPr="00C47F47">
        <w:rPr>
          <w:i/>
          <w:iCs/>
          <w:szCs w:val="22"/>
        </w:rPr>
        <w:t>Osobitné ustanovenia pre územnú samosprávu</w:t>
      </w:r>
      <w:r w:rsidRPr="00C47F47">
        <w:rPr>
          <w:i/>
          <w:iCs/>
          <w:szCs w:val="22"/>
        </w:rPr>
        <w:cr/>
      </w:r>
    </w:p>
    <w:p w14:paraId="164CF94B" w14:textId="77777777" w:rsidR="00E5593A" w:rsidRPr="00314EB1" w:rsidRDefault="00E5593A" w:rsidP="00E5593A">
      <w:pPr>
        <w:jc w:val="both"/>
        <w:rPr>
          <w:szCs w:val="22"/>
        </w:rPr>
      </w:pPr>
      <w:r w:rsidRPr="00314EB1">
        <w:rPr>
          <w:b/>
          <w:szCs w:val="22"/>
        </w:rPr>
        <w:t xml:space="preserve">V prípade pravidiel týkajúcich sa samospráv </w:t>
      </w:r>
      <w:r w:rsidRPr="00314EB1">
        <w:rPr>
          <w:szCs w:val="22"/>
        </w:rPr>
        <w:t>sa sledujú tri oblasti: 1/ či štát finančne kryl straty samospráv; 2/ či došlo k presunutiu nových úloh a kompetencií na samosprávy bez finančného krytia a 3/ výška dlhu samospráv.</w:t>
      </w:r>
    </w:p>
    <w:p w14:paraId="22046EB7" w14:textId="77777777" w:rsidR="00E5593A" w:rsidRPr="00B81300" w:rsidRDefault="00E5593A" w:rsidP="00E5593A">
      <w:pPr>
        <w:jc w:val="both"/>
        <w:rPr>
          <w:szCs w:val="22"/>
          <w:highlight w:val="yellow"/>
        </w:rPr>
      </w:pPr>
    </w:p>
    <w:p w14:paraId="1F182C5D" w14:textId="400EDD05" w:rsidR="00E5593A" w:rsidRPr="00120091" w:rsidRDefault="00E5593A" w:rsidP="00E5593A">
      <w:pPr>
        <w:pStyle w:val="ListParagraph"/>
        <w:numPr>
          <w:ilvl w:val="0"/>
          <w:numId w:val="12"/>
        </w:numPr>
        <w:spacing w:after="0" w:line="240" w:lineRule="auto"/>
        <w:jc w:val="both"/>
        <w:rPr>
          <w:rFonts w:ascii="Constantia" w:hAnsi="Constantia"/>
        </w:rPr>
      </w:pPr>
      <w:r w:rsidRPr="00120091">
        <w:rPr>
          <w:rFonts w:ascii="Constantia" w:hAnsi="Constantia"/>
        </w:rPr>
        <w:lastRenderedPageBreak/>
        <w:t xml:space="preserve">RRZ konštatuje, že </w:t>
      </w:r>
      <w:r w:rsidRPr="00120091">
        <w:rPr>
          <w:rFonts w:ascii="Constantia" w:hAnsi="Constantia"/>
          <w:b/>
        </w:rPr>
        <w:t>štát finančne nekryl straty samospráv</w:t>
      </w:r>
      <w:r w:rsidRPr="00120091">
        <w:rPr>
          <w:rFonts w:ascii="Constantia" w:hAnsi="Constantia"/>
        </w:rPr>
        <w:t xml:space="preserve">. </w:t>
      </w:r>
      <w:r w:rsidR="007E13F7" w:rsidRPr="00120091">
        <w:rPr>
          <w:rFonts w:ascii="Constantia" w:hAnsi="Constantia"/>
        </w:rPr>
        <w:t>Š</w:t>
      </w:r>
      <w:r w:rsidRPr="00120091">
        <w:rPr>
          <w:rFonts w:ascii="Constantia" w:hAnsi="Constantia"/>
        </w:rPr>
        <w:t xml:space="preserve">tát </w:t>
      </w:r>
      <w:r w:rsidR="007E13F7" w:rsidRPr="00120091">
        <w:rPr>
          <w:rFonts w:ascii="Constantia" w:hAnsi="Constantia"/>
        </w:rPr>
        <w:t>však</w:t>
      </w:r>
      <w:r w:rsidRPr="00120091">
        <w:rPr>
          <w:rFonts w:ascii="Constantia" w:hAnsi="Constantia"/>
        </w:rPr>
        <w:t xml:space="preserve"> </w:t>
      </w:r>
      <w:r w:rsidRPr="00120091">
        <w:rPr>
          <w:rFonts w:ascii="Constantia" w:hAnsi="Constantia"/>
          <w:b/>
        </w:rPr>
        <w:t>pokračoval v</w:t>
      </w:r>
      <w:r w:rsidR="00B70BC1">
        <w:rPr>
          <w:rFonts w:ascii="Constantia" w:hAnsi="Constantia"/>
          <w:b/>
        </w:rPr>
        <w:t> </w:t>
      </w:r>
      <w:r w:rsidRPr="00120091">
        <w:rPr>
          <w:rFonts w:ascii="Constantia" w:hAnsi="Constantia"/>
          <w:b/>
        </w:rPr>
        <w:t>zlepšovaní hospodárenia vybraných samospráv</w:t>
      </w:r>
      <w:r w:rsidRPr="00120091">
        <w:rPr>
          <w:rStyle w:val="FootnoteReference"/>
          <w:rFonts w:ascii="Constantia" w:hAnsi="Constantia"/>
          <w:b/>
        </w:rPr>
        <w:footnoteReference w:id="12"/>
      </w:r>
      <w:r w:rsidRPr="00120091">
        <w:rPr>
          <w:rFonts w:ascii="Constantia" w:hAnsi="Constantia"/>
          <w:b/>
        </w:rPr>
        <w:t xml:space="preserve"> poskytovaním úverov za veľmi výhodných podmienok</w:t>
      </w:r>
      <w:r w:rsidRPr="00120091">
        <w:rPr>
          <w:rFonts w:ascii="Constantia" w:hAnsi="Constantia"/>
        </w:rPr>
        <w:t xml:space="preserve"> (neúročené, bez zabezpečenia), </w:t>
      </w:r>
      <w:r w:rsidRPr="00120091">
        <w:rPr>
          <w:rFonts w:ascii="Constantia" w:hAnsi="Constantia"/>
          <w:b/>
        </w:rPr>
        <w:t xml:space="preserve">ako aj odpustením </w:t>
      </w:r>
      <w:r w:rsidRPr="00120091">
        <w:rPr>
          <w:rFonts w:ascii="Constantia" w:hAnsi="Constantia"/>
          <w:b/>
          <w:bCs/>
        </w:rPr>
        <w:t xml:space="preserve">poskytnutých </w:t>
      </w:r>
      <w:r w:rsidRPr="00120091">
        <w:rPr>
          <w:rFonts w:ascii="Constantia" w:hAnsi="Constantia"/>
          <w:b/>
        </w:rPr>
        <w:t>finančných výpomocí</w:t>
      </w:r>
      <w:r w:rsidRPr="00120091">
        <w:rPr>
          <w:rFonts w:ascii="Constantia" w:hAnsi="Constantia"/>
        </w:rPr>
        <w:t xml:space="preserve">. RRZ preto odporúča stanoviť </w:t>
      </w:r>
      <w:r w:rsidR="00B93B09" w:rsidRPr="00120091">
        <w:rPr>
          <w:rFonts w:ascii="Constantia" w:hAnsi="Constantia"/>
        </w:rPr>
        <w:t xml:space="preserve">pravidlá </w:t>
      </w:r>
      <w:r w:rsidRPr="00120091">
        <w:rPr>
          <w:rFonts w:ascii="Constantia" w:hAnsi="Constantia"/>
        </w:rPr>
        <w:t>pre poskytovanie návratných prostriedkov zo štátnych finančných aktív samosprávam, ktoré by zabránili ich selektívnemu zvýhodňovaniu a prípadnému predchádzaniu platobnej neschopnosti.</w:t>
      </w:r>
    </w:p>
    <w:p w14:paraId="07C139B9" w14:textId="77777777" w:rsidR="00E5593A" w:rsidRPr="00120091" w:rsidRDefault="00E5593A" w:rsidP="00C47F47">
      <w:pPr>
        <w:pStyle w:val="ListParagraph"/>
        <w:spacing w:after="0" w:line="240" w:lineRule="auto"/>
        <w:jc w:val="both"/>
        <w:rPr>
          <w:rFonts w:ascii="Constantia" w:hAnsi="Constantia"/>
        </w:rPr>
      </w:pPr>
    </w:p>
    <w:p w14:paraId="2EB6A137" w14:textId="1B4F6343" w:rsidR="00E60D55" w:rsidRPr="00120091" w:rsidRDefault="002F5E09" w:rsidP="00C47F47">
      <w:pPr>
        <w:pStyle w:val="ListParagraph"/>
        <w:numPr>
          <w:ilvl w:val="0"/>
          <w:numId w:val="12"/>
        </w:numPr>
        <w:spacing w:after="0" w:line="240" w:lineRule="auto"/>
        <w:jc w:val="both"/>
        <w:rPr>
          <w:rFonts w:ascii="Constantia" w:hAnsi="Constantia"/>
        </w:rPr>
      </w:pPr>
      <w:r w:rsidRPr="00120091">
        <w:rPr>
          <w:rFonts w:ascii="Constantia" w:hAnsi="Constantia"/>
          <w:b/>
        </w:rPr>
        <w:t xml:space="preserve">Podľa </w:t>
      </w:r>
      <w:r w:rsidR="00E5593A" w:rsidRPr="00120091">
        <w:rPr>
          <w:rFonts w:ascii="Constantia" w:hAnsi="Constantia"/>
          <w:b/>
        </w:rPr>
        <w:t xml:space="preserve">RRZ v priebehu roku 2019 </w:t>
      </w:r>
      <w:r w:rsidR="00331D33" w:rsidRPr="00120091">
        <w:rPr>
          <w:rFonts w:ascii="Constantia" w:hAnsi="Constantia"/>
          <w:b/>
        </w:rPr>
        <w:t xml:space="preserve">nedošlo </w:t>
      </w:r>
      <w:r w:rsidR="00E5593A" w:rsidRPr="00120091">
        <w:rPr>
          <w:rFonts w:ascii="Constantia" w:hAnsi="Constantia"/>
          <w:b/>
        </w:rPr>
        <w:t>k vytvoreniu nových úloh pre</w:t>
      </w:r>
      <w:r w:rsidR="00B70BC1">
        <w:rPr>
          <w:rFonts w:ascii="Constantia" w:hAnsi="Constantia"/>
          <w:b/>
        </w:rPr>
        <w:t> </w:t>
      </w:r>
      <w:r w:rsidR="00E5593A" w:rsidRPr="00120091">
        <w:rPr>
          <w:rFonts w:ascii="Constantia" w:hAnsi="Constantia"/>
          <w:b/>
        </w:rPr>
        <w:t>samosprávu, ktoré by si vyžadovali zabezpečenie ich financovania zo strany štátu</w:t>
      </w:r>
      <w:r w:rsidR="006C1B97" w:rsidRPr="00120091">
        <w:rPr>
          <w:rFonts w:ascii="Constantia" w:hAnsi="Constantia"/>
        </w:rPr>
        <w:footnoteReference w:id="13"/>
      </w:r>
      <w:r w:rsidR="00E5593A" w:rsidRPr="00120091">
        <w:rPr>
          <w:rFonts w:ascii="Constantia" w:hAnsi="Constantia"/>
        </w:rPr>
        <w:t>. Povinnosť zabezpečiť adekvátne finančné zdroje sa podľa ústavného zákona nevzťahuje na zmeny v existujúcich kompetenciách samospráv, ktoré nemajú významné finančné vplyvy</w:t>
      </w:r>
      <w:r w:rsidR="0003394B" w:rsidRPr="00120091">
        <w:rPr>
          <w:rFonts w:ascii="Constantia" w:hAnsi="Constantia"/>
        </w:rPr>
        <w:t xml:space="preserve"> a existujú mechanizmy, </w:t>
      </w:r>
      <w:r w:rsidR="00462F43" w:rsidRPr="00120091">
        <w:rPr>
          <w:rFonts w:ascii="Constantia" w:hAnsi="Constantia"/>
        </w:rPr>
        <w:t>pomocou ktorých</w:t>
      </w:r>
      <w:r w:rsidR="0003394B" w:rsidRPr="00120091">
        <w:rPr>
          <w:rFonts w:ascii="Constantia" w:hAnsi="Constantia"/>
        </w:rPr>
        <w:t xml:space="preserve"> </w:t>
      </w:r>
      <w:r w:rsidR="00B07165" w:rsidRPr="00120091">
        <w:rPr>
          <w:rFonts w:ascii="Constantia" w:hAnsi="Constantia"/>
        </w:rPr>
        <w:t>môže</w:t>
      </w:r>
      <w:r w:rsidR="00462F43" w:rsidRPr="00120091">
        <w:rPr>
          <w:rFonts w:ascii="Constantia" w:hAnsi="Constantia"/>
        </w:rPr>
        <w:t xml:space="preserve"> </w:t>
      </w:r>
      <w:r w:rsidR="00F1748F" w:rsidRPr="00120091">
        <w:rPr>
          <w:rFonts w:ascii="Constantia" w:hAnsi="Constantia"/>
        </w:rPr>
        <w:t>samospráva</w:t>
      </w:r>
      <w:r w:rsidR="0003394B" w:rsidRPr="00120091">
        <w:rPr>
          <w:rFonts w:ascii="Constantia" w:hAnsi="Constantia"/>
        </w:rPr>
        <w:t xml:space="preserve"> </w:t>
      </w:r>
      <w:r w:rsidR="00C14F73" w:rsidRPr="00120091">
        <w:rPr>
          <w:rFonts w:ascii="Constantia" w:hAnsi="Constantia"/>
        </w:rPr>
        <w:t xml:space="preserve">získať zdroje </w:t>
      </w:r>
      <w:r w:rsidR="00EE2D6E" w:rsidRPr="00120091">
        <w:rPr>
          <w:rFonts w:ascii="Constantia" w:hAnsi="Constantia"/>
        </w:rPr>
        <w:t xml:space="preserve">iným </w:t>
      </w:r>
      <w:r w:rsidR="00DB3155" w:rsidRPr="00120091">
        <w:rPr>
          <w:rFonts w:ascii="Constantia" w:hAnsi="Constantia"/>
        </w:rPr>
        <w:t>spôsobom</w:t>
      </w:r>
      <w:r w:rsidR="00EE2D6E" w:rsidRPr="00120091">
        <w:rPr>
          <w:rFonts w:ascii="Constantia" w:hAnsi="Constantia"/>
        </w:rPr>
        <w:t xml:space="preserve"> (napr. zvýšením daní alebo prenesením</w:t>
      </w:r>
      <w:r w:rsidR="005646B8" w:rsidRPr="00120091">
        <w:rPr>
          <w:rFonts w:ascii="Constantia" w:hAnsi="Constantia"/>
        </w:rPr>
        <w:t xml:space="preserve"> </w:t>
      </w:r>
      <w:r w:rsidR="00930B0E" w:rsidRPr="00120091">
        <w:rPr>
          <w:rFonts w:ascii="Constantia" w:hAnsi="Constantia"/>
        </w:rPr>
        <w:t>nákladov</w:t>
      </w:r>
      <w:r w:rsidR="005646B8" w:rsidRPr="00120091">
        <w:rPr>
          <w:rFonts w:ascii="Constantia" w:hAnsi="Constantia"/>
        </w:rPr>
        <w:t xml:space="preserve"> </w:t>
      </w:r>
      <w:r w:rsidR="00C14F73" w:rsidRPr="00120091">
        <w:rPr>
          <w:rFonts w:ascii="Constantia" w:hAnsi="Constantia"/>
        </w:rPr>
        <w:t xml:space="preserve">na </w:t>
      </w:r>
      <w:r w:rsidR="00DB3155" w:rsidRPr="00120091">
        <w:rPr>
          <w:rFonts w:ascii="Constantia" w:hAnsi="Constantia"/>
        </w:rPr>
        <w:t>prijímateľov služieb)</w:t>
      </w:r>
      <w:r w:rsidR="00E5593A" w:rsidRPr="00120091">
        <w:rPr>
          <w:rFonts w:ascii="Constantia" w:hAnsi="Constantia"/>
        </w:rPr>
        <w:t xml:space="preserve">. </w:t>
      </w:r>
    </w:p>
    <w:p w14:paraId="0CF92EFC" w14:textId="77777777" w:rsidR="00E60D55" w:rsidRPr="00120091" w:rsidRDefault="00E60D55" w:rsidP="00C47F47">
      <w:pPr>
        <w:pStyle w:val="ListParagraph"/>
        <w:spacing w:after="0" w:line="240" w:lineRule="auto"/>
        <w:jc w:val="both"/>
        <w:rPr>
          <w:rFonts w:ascii="Constantia" w:hAnsi="Constantia"/>
        </w:rPr>
      </w:pPr>
    </w:p>
    <w:p w14:paraId="1705886E" w14:textId="1DF9DDAD" w:rsidR="00E5593A" w:rsidRPr="00120091" w:rsidRDefault="00CD2A33" w:rsidP="00E5593A">
      <w:pPr>
        <w:ind w:left="709"/>
        <w:jc w:val="both"/>
        <w:rPr>
          <w:szCs w:val="22"/>
        </w:rPr>
      </w:pPr>
      <w:r w:rsidRPr="00120091">
        <w:rPr>
          <w:b/>
        </w:rPr>
        <w:t xml:space="preserve">Súčasné znenie ústavného zákona </w:t>
      </w:r>
      <w:r w:rsidR="00DE6993" w:rsidRPr="00120091">
        <w:rPr>
          <w:b/>
        </w:rPr>
        <w:t>neobsahuje</w:t>
      </w:r>
      <w:r w:rsidRPr="00120091">
        <w:rPr>
          <w:b/>
        </w:rPr>
        <w:t xml:space="preserve"> objektívne kritéri</w:t>
      </w:r>
      <w:r w:rsidR="00BC139B" w:rsidRPr="00120091">
        <w:rPr>
          <w:b/>
        </w:rPr>
        <w:t>á</w:t>
      </w:r>
      <w:r w:rsidRPr="00120091">
        <w:rPr>
          <w:b/>
        </w:rPr>
        <w:t>, ktoré by</w:t>
      </w:r>
      <w:r w:rsidR="00B70BC1">
        <w:rPr>
          <w:b/>
        </w:rPr>
        <w:t> </w:t>
      </w:r>
      <w:r w:rsidRPr="00120091">
        <w:rPr>
          <w:b/>
        </w:rPr>
        <w:t>umožňovali</w:t>
      </w:r>
      <w:r w:rsidR="000B1904" w:rsidRPr="00120091">
        <w:rPr>
          <w:b/>
        </w:rPr>
        <w:t xml:space="preserve"> </w:t>
      </w:r>
      <w:r w:rsidR="00EA6E4E" w:rsidRPr="00120091">
        <w:rPr>
          <w:b/>
        </w:rPr>
        <w:t>RRZ</w:t>
      </w:r>
      <w:r w:rsidR="001B760E" w:rsidRPr="00120091">
        <w:rPr>
          <w:b/>
        </w:rPr>
        <w:t xml:space="preserve"> </w:t>
      </w:r>
      <w:r w:rsidR="00EA6E4E" w:rsidRPr="00120091">
        <w:rPr>
          <w:b/>
        </w:rPr>
        <w:t>jednoznačne</w:t>
      </w:r>
      <w:r w:rsidR="000B1904" w:rsidRPr="00120091">
        <w:rPr>
          <w:b/>
        </w:rPr>
        <w:t xml:space="preserve"> vyhodnotiť súlad s ústavným zákonom</w:t>
      </w:r>
      <w:r w:rsidR="00EA6E4E" w:rsidRPr="00120091">
        <w:rPr>
          <w:b/>
        </w:rPr>
        <w:t xml:space="preserve">. </w:t>
      </w:r>
      <w:r w:rsidR="00C53E69" w:rsidRPr="00120091">
        <w:rPr>
          <w:bCs/>
        </w:rPr>
        <w:t xml:space="preserve">RRZ </w:t>
      </w:r>
      <w:r w:rsidR="005B2C29" w:rsidRPr="00120091">
        <w:rPr>
          <w:bCs/>
        </w:rPr>
        <w:t>okrem iného</w:t>
      </w:r>
      <w:r w:rsidR="00C53E69" w:rsidRPr="00120091">
        <w:rPr>
          <w:bCs/>
        </w:rPr>
        <w:t xml:space="preserve"> považuje za dôležité vyhodnocovať vplyvy opatrení</w:t>
      </w:r>
      <w:r w:rsidR="00D04E47" w:rsidRPr="00120091">
        <w:rPr>
          <w:bCs/>
        </w:rPr>
        <w:t xml:space="preserve"> </w:t>
      </w:r>
      <w:r w:rsidR="00E5593A" w:rsidRPr="00120091">
        <w:rPr>
          <w:bCs/>
        </w:rPr>
        <w:t>v kontexte dlhšieho časového obdobia a tiež toho, ako sa v čase tieto úlohy menia aj vo vzťahu k ich finančným zdrojom</w:t>
      </w:r>
      <w:r w:rsidR="0070399E" w:rsidRPr="00120091">
        <w:rPr>
          <w:rStyle w:val="FootnoteReference"/>
          <w:bCs/>
        </w:rPr>
        <w:footnoteReference w:id="14"/>
      </w:r>
      <w:r w:rsidR="00E5593A" w:rsidRPr="00120091">
        <w:rPr>
          <w:bCs/>
        </w:rPr>
        <w:t>.</w:t>
      </w:r>
      <w:r w:rsidR="00550DD7" w:rsidRPr="00120091">
        <w:rPr>
          <w:b/>
        </w:rPr>
        <w:t xml:space="preserve"> </w:t>
      </w:r>
      <w:r w:rsidR="00550DD7" w:rsidRPr="00120091">
        <w:rPr>
          <w:bCs/>
        </w:rPr>
        <w:t xml:space="preserve">Nevyhnutným predpokladom pre zvýšenie transparentnosti je povinnosť dôsledne vyčísľovať vplyvy </w:t>
      </w:r>
      <w:r w:rsidR="00DB269B" w:rsidRPr="00120091">
        <w:rPr>
          <w:bCs/>
        </w:rPr>
        <w:t xml:space="preserve">nových opatrení </w:t>
      </w:r>
      <w:r w:rsidR="00550DD7" w:rsidRPr="00120091">
        <w:rPr>
          <w:bCs/>
        </w:rPr>
        <w:t xml:space="preserve">na </w:t>
      </w:r>
      <w:r w:rsidR="00DB269B" w:rsidRPr="00120091">
        <w:rPr>
          <w:bCs/>
        </w:rPr>
        <w:t>samosprávy</w:t>
      </w:r>
      <w:r w:rsidR="00550DD7" w:rsidRPr="00120091">
        <w:rPr>
          <w:bCs/>
        </w:rPr>
        <w:t xml:space="preserve"> v rámci dolož</w:t>
      </w:r>
      <w:r w:rsidR="00DB269B" w:rsidRPr="00120091">
        <w:rPr>
          <w:bCs/>
        </w:rPr>
        <w:t>iek</w:t>
      </w:r>
      <w:r w:rsidR="00550DD7" w:rsidRPr="00120091">
        <w:rPr>
          <w:bCs/>
        </w:rPr>
        <w:t xml:space="preserve"> vplyvov spolu s</w:t>
      </w:r>
      <w:r w:rsidR="00DB269B" w:rsidRPr="00120091">
        <w:rPr>
          <w:bCs/>
        </w:rPr>
        <w:t> uvedením informácie, či sa ustanovujú nové úlohy alebo rozširujú existujúce úlohy samospráv.</w:t>
      </w:r>
    </w:p>
    <w:p w14:paraId="4A4F9A5C" w14:textId="77777777" w:rsidR="00E5593A" w:rsidRPr="00120091" w:rsidRDefault="00E5593A" w:rsidP="00E5593A">
      <w:pPr>
        <w:jc w:val="both"/>
      </w:pPr>
    </w:p>
    <w:p w14:paraId="6AE19050" w14:textId="4F9FC5F9" w:rsidR="00E5593A" w:rsidRPr="00120091" w:rsidRDefault="00E5593A" w:rsidP="00E5593A">
      <w:pPr>
        <w:pStyle w:val="ListParagraph"/>
        <w:widowControl w:val="0"/>
        <w:numPr>
          <w:ilvl w:val="0"/>
          <w:numId w:val="12"/>
        </w:numPr>
        <w:spacing w:after="0" w:line="240" w:lineRule="auto"/>
        <w:ind w:left="714" w:hanging="357"/>
        <w:jc w:val="both"/>
        <w:rPr>
          <w:rFonts w:ascii="Constantia" w:hAnsi="Constantia"/>
        </w:rPr>
      </w:pPr>
      <w:r w:rsidRPr="00120091">
        <w:rPr>
          <w:rFonts w:ascii="Constantia" w:hAnsi="Constantia"/>
        </w:rPr>
        <w:t>Samosprávam s nadmerným dlhom</w:t>
      </w:r>
      <w:r w:rsidRPr="00120091">
        <w:rPr>
          <w:rStyle w:val="FootnoteReference"/>
          <w:rFonts w:ascii="Constantia" w:hAnsi="Constantia"/>
        </w:rPr>
        <w:footnoteReference w:id="15"/>
      </w:r>
      <w:r w:rsidRPr="00120091">
        <w:rPr>
          <w:rFonts w:ascii="Constantia" w:hAnsi="Constantia"/>
        </w:rPr>
        <w:t xml:space="preserve"> boli uložené pokuty. </w:t>
      </w:r>
      <w:r w:rsidRPr="00120091">
        <w:rPr>
          <w:rFonts w:ascii="Constantia" w:hAnsi="Constantia"/>
          <w:b/>
        </w:rPr>
        <w:t>Kým všetky VÚC mali dlh za rok 2018 pod stanoveným limitom, zo 65 prvotne identifikovaných obcí bola po zohľadnení zákonných výnimiek a kontrole vykázaných hodnôt právoplatne uložená pokuta jednej obci</w:t>
      </w:r>
      <w:r w:rsidRPr="00120091">
        <w:rPr>
          <w:rFonts w:ascii="Constantia" w:hAnsi="Constantia"/>
        </w:rPr>
        <w:t>. Vysoká chybovosť</w:t>
      </w:r>
      <w:r w:rsidR="00A96536">
        <w:rPr>
          <w:rFonts w:ascii="Constantia" w:hAnsi="Constantia"/>
        </w:rPr>
        <w:t xml:space="preserve"> vykazovania samosprávami</w:t>
      </w:r>
      <w:r w:rsidRPr="00120091">
        <w:rPr>
          <w:rFonts w:ascii="Constantia" w:hAnsi="Constantia"/>
        </w:rPr>
        <w:t xml:space="preserve"> vytvára neistotu ohľadom kvality údajov </w:t>
      </w:r>
      <w:r w:rsidR="00A96536">
        <w:rPr>
          <w:rFonts w:ascii="Constantia" w:hAnsi="Constantia"/>
        </w:rPr>
        <w:t>potrebných</w:t>
      </w:r>
      <w:r w:rsidRPr="00120091">
        <w:rPr>
          <w:rFonts w:ascii="Constantia" w:hAnsi="Constantia"/>
        </w:rPr>
        <w:t xml:space="preserve"> na vyhodnoteni</w:t>
      </w:r>
      <w:r w:rsidR="00A96536">
        <w:rPr>
          <w:rFonts w:ascii="Constantia" w:hAnsi="Constantia"/>
        </w:rPr>
        <w:t>e</w:t>
      </w:r>
      <w:r w:rsidRPr="00120091">
        <w:rPr>
          <w:rFonts w:ascii="Constantia" w:hAnsi="Constantia"/>
        </w:rPr>
        <w:t xml:space="preserve"> dlhového pravidla pri ostatných obciach, ktoré vykázali dlh pod úrovňou 60 % bežných príjmov predchádzajúceho roka. </w:t>
      </w:r>
      <w:r w:rsidRPr="00120091">
        <w:rPr>
          <w:rFonts w:ascii="Constantia" w:hAnsi="Constantia"/>
          <w:b/>
        </w:rPr>
        <w:t>Za rok 2019 hrozí pokuta predbežne 29 obciam, v súčasnosti prebieha overovanie vykázaných hodnôt. Všetky VÚC mali aj za rok 2019 dlh pod zákonom stanoveným limitom</w:t>
      </w:r>
      <w:r w:rsidRPr="00120091">
        <w:rPr>
          <w:rFonts w:ascii="Constantia" w:hAnsi="Constantia"/>
        </w:rPr>
        <w:t>.</w:t>
      </w:r>
    </w:p>
    <w:p w14:paraId="6A6A458C" w14:textId="77777777" w:rsidR="00E5593A" w:rsidRPr="00120091" w:rsidRDefault="00E5593A" w:rsidP="00E5593A">
      <w:pPr>
        <w:widowControl w:val="0"/>
        <w:ind w:left="357"/>
        <w:jc w:val="both"/>
        <w:rPr>
          <w:highlight w:val="yellow"/>
        </w:rPr>
      </w:pPr>
    </w:p>
    <w:p w14:paraId="7CD5192F" w14:textId="09FAE8B3" w:rsidR="001F4843" w:rsidRPr="00120091" w:rsidRDefault="00E5593A" w:rsidP="00C47F47">
      <w:pPr>
        <w:ind w:left="709"/>
        <w:jc w:val="both"/>
        <w:rPr>
          <w:szCs w:val="22"/>
        </w:rPr>
      </w:pPr>
      <w:r w:rsidRPr="00120091">
        <w:lastRenderedPageBreak/>
        <w:t xml:space="preserve">Plnenie dlhového pravidla samospráv s možnosťou uloženia pokuty MF SR prvýkrát posudzovalo za rok 2015, zatiaľ však nezverejnilo ani jedno vyhodnotenie. </w:t>
      </w:r>
      <w:r w:rsidRPr="00120091">
        <w:rPr>
          <w:b/>
        </w:rPr>
        <w:t>RRZ odporúča, aby MF SR transparentne zverejňovalo</w:t>
      </w:r>
      <w:r w:rsidRPr="00120091">
        <w:rPr>
          <w:rStyle w:val="FootnoteReference"/>
          <w:b/>
        </w:rPr>
        <w:footnoteReference w:id="16"/>
      </w:r>
      <w:r w:rsidRPr="00120091">
        <w:rPr>
          <w:b/>
        </w:rPr>
        <w:t xml:space="preserve"> všetky informácie súvisiace s overovaním výšky dlhu samospráv a uložením pokút.</w:t>
      </w:r>
    </w:p>
    <w:p w14:paraId="40D25C96" w14:textId="77777777" w:rsidR="001F4843" w:rsidRPr="00120091" w:rsidRDefault="001F4843" w:rsidP="00253090">
      <w:pPr>
        <w:jc w:val="both"/>
        <w:rPr>
          <w:szCs w:val="22"/>
        </w:rPr>
      </w:pPr>
    </w:p>
    <w:p w14:paraId="019A7CD4" w14:textId="77777777" w:rsidR="00EF66F5" w:rsidRPr="00E54DC2" w:rsidRDefault="00EF66F5" w:rsidP="00EF66F5">
      <w:pPr>
        <w:jc w:val="both"/>
        <w:rPr>
          <w:b/>
          <w:color w:val="000000" w:themeColor="text1"/>
          <w:szCs w:val="22"/>
        </w:rPr>
      </w:pPr>
      <w:r w:rsidRPr="00120091">
        <w:rPr>
          <w:b/>
          <w:color w:val="000000" w:themeColor="text1"/>
          <w:szCs w:val="22"/>
        </w:rPr>
        <w:t>Pravidlá rozpočtovej transparentnosti</w:t>
      </w:r>
    </w:p>
    <w:p w14:paraId="1EB38C70" w14:textId="77777777" w:rsidR="00EF66F5" w:rsidRPr="00E54DC2" w:rsidRDefault="00EF66F5" w:rsidP="00EF66F5">
      <w:pPr>
        <w:jc w:val="both"/>
        <w:rPr>
          <w:b/>
          <w:color w:val="000000" w:themeColor="text1"/>
          <w:szCs w:val="22"/>
        </w:rPr>
      </w:pPr>
    </w:p>
    <w:p w14:paraId="691F59BC" w14:textId="513E2926" w:rsidR="00EF66F5" w:rsidRPr="00517BBE" w:rsidRDefault="00EF66F5" w:rsidP="00EF66F5">
      <w:pPr>
        <w:jc w:val="both"/>
        <w:rPr>
          <w:color w:val="000000" w:themeColor="text1"/>
          <w:szCs w:val="22"/>
        </w:rPr>
      </w:pPr>
      <w:r w:rsidRPr="008420A9">
        <w:rPr>
          <w:b/>
          <w:color w:val="000000" w:themeColor="text1"/>
          <w:szCs w:val="22"/>
        </w:rPr>
        <w:t xml:space="preserve">Pravidlá rozpočtovej transparentnosti definované ústavným zákonom boli </w:t>
      </w:r>
      <w:r w:rsidR="00102A35">
        <w:rPr>
          <w:b/>
          <w:color w:val="000000" w:themeColor="text1"/>
          <w:szCs w:val="22"/>
        </w:rPr>
        <w:t xml:space="preserve">z formálneho hľadiska </w:t>
      </w:r>
      <w:r>
        <w:rPr>
          <w:b/>
          <w:color w:val="000000" w:themeColor="text1"/>
          <w:szCs w:val="22"/>
        </w:rPr>
        <w:t>takmer v plnej miere</w:t>
      </w:r>
      <w:r w:rsidRPr="008420A9">
        <w:rPr>
          <w:b/>
          <w:color w:val="000000" w:themeColor="text1"/>
          <w:szCs w:val="22"/>
        </w:rPr>
        <w:t xml:space="preserve"> splnené. </w:t>
      </w:r>
      <w:r w:rsidRPr="008420A9">
        <w:rPr>
          <w:color w:val="000000" w:themeColor="text1"/>
          <w:szCs w:val="22"/>
        </w:rPr>
        <w:t>Makroekonomické a daňové prognózy boli schválené príslušnými nezávislými výbormi a zverejnené v súlade s termínmi, ktoré ukladá ústavný zákon</w:t>
      </w:r>
      <w:r w:rsidRPr="00517BBE">
        <w:rPr>
          <w:color w:val="000000" w:themeColor="text1"/>
          <w:szCs w:val="22"/>
        </w:rPr>
        <w:t xml:space="preserve">. Rozpočet verejnej správy na roky 2020 až 2022 </w:t>
      </w:r>
      <w:r w:rsidRPr="00253A81">
        <w:t>obsahoval s výnimkou informácií o väčšine podnikov s majetkovou účasťou Ministerstva zdravotníctva SR</w:t>
      </w:r>
      <w:r w:rsidRPr="00253A81">
        <w:rPr>
          <w:color w:val="000000" w:themeColor="text1"/>
          <w:szCs w:val="22"/>
        </w:rPr>
        <w:t xml:space="preserve"> </w:t>
      </w:r>
      <w:r w:rsidRPr="00253A81">
        <w:t xml:space="preserve">všetky zákonom definované údaje. </w:t>
      </w:r>
      <w:r w:rsidRPr="00517BBE">
        <w:rPr>
          <w:color w:val="000000" w:themeColor="text1"/>
          <w:szCs w:val="22"/>
        </w:rPr>
        <w:t xml:space="preserve">Súhrnná výročná správa za rok 2018 </w:t>
      </w:r>
      <w:r w:rsidRPr="00253A81">
        <w:rPr>
          <w:color w:val="000000" w:themeColor="text1"/>
          <w:szCs w:val="22"/>
        </w:rPr>
        <w:t>obsahovala</w:t>
      </w:r>
      <w:r w:rsidRPr="00517BBE">
        <w:rPr>
          <w:color w:val="000000" w:themeColor="text1"/>
          <w:szCs w:val="22"/>
        </w:rPr>
        <w:t xml:space="preserve"> všetky údaje </w:t>
      </w:r>
      <w:r w:rsidR="006810BE">
        <w:rPr>
          <w:color w:val="000000" w:themeColor="text1"/>
          <w:szCs w:val="22"/>
        </w:rPr>
        <w:t>stanovené</w:t>
      </w:r>
      <w:r w:rsidR="006810BE" w:rsidRPr="00517BBE">
        <w:rPr>
          <w:color w:val="000000" w:themeColor="text1"/>
          <w:szCs w:val="22"/>
        </w:rPr>
        <w:t xml:space="preserve"> </w:t>
      </w:r>
      <w:r w:rsidRPr="00517BBE">
        <w:rPr>
          <w:color w:val="000000" w:themeColor="text1"/>
          <w:szCs w:val="22"/>
        </w:rPr>
        <w:t>zákonom.</w:t>
      </w:r>
    </w:p>
    <w:p w14:paraId="72C27DB6" w14:textId="77777777" w:rsidR="00EF66F5" w:rsidRPr="00517BBE" w:rsidRDefault="00EF66F5" w:rsidP="00EF66F5">
      <w:pPr>
        <w:jc w:val="both"/>
        <w:rPr>
          <w:color w:val="000000" w:themeColor="text1"/>
          <w:szCs w:val="22"/>
        </w:rPr>
      </w:pPr>
    </w:p>
    <w:p w14:paraId="2A5DB3BE" w14:textId="77777777" w:rsidR="00EF66F5" w:rsidRPr="00C20EFC" w:rsidRDefault="00EF66F5" w:rsidP="00EF66F5">
      <w:pPr>
        <w:jc w:val="both"/>
      </w:pPr>
      <w:r w:rsidRPr="006E1BBD">
        <w:t xml:space="preserve">RRZ popri zákonom definovaných požiadavkách posudzuje rozpočtovú transparentnosť aj z hľadiska zrozumiteľnosti a kvality informácií uvedených v hodnotených dokumentoch, konzistentného použitia metodiky ESA2010 a miery kontroly parlamentu nad schvaľovaním a plnením rozpočtu. </w:t>
      </w:r>
      <w:r w:rsidRPr="006E1BBD">
        <w:rPr>
          <w:szCs w:val="10"/>
        </w:rPr>
        <w:t>Do týchto oblastí smerovali aj</w:t>
      </w:r>
      <w:r w:rsidRPr="006E1BBD">
        <w:rPr>
          <w:b/>
          <w:szCs w:val="10"/>
        </w:rPr>
        <w:t xml:space="preserve"> odporúčania RRZ v správe z</w:t>
      </w:r>
      <w:r w:rsidRPr="006E1BBD">
        <w:rPr>
          <w:b/>
        </w:rPr>
        <w:t> </w:t>
      </w:r>
      <w:r w:rsidRPr="006E1BBD">
        <w:rPr>
          <w:b/>
          <w:szCs w:val="10"/>
        </w:rPr>
        <w:t>augusta 2019, pričom s výnimkou pokračovania revízie výdavkov</w:t>
      </w:r>
      <w:r>
        <w:rPr>
          <w:b/>
          <w:szCs w:val="10"/>
        </w:rPr>
        <w:t xml:space="preserve"> </w:t>
      </w:r>
      <w:r w:rsidRPr="00C20EFC">
        <w:rPr>
          <w:b/>
          <w:szCs w:val="10"/>
        </w:rPr>
        <w:t>nedošlo k ďalšiemu významnému posunu</w:t>
      </w:r>
      <w:r w:rsidRPr="00C20EFC">
        <w:rPr>
          <w:rStyle w:val="FootnoteReference"/>
          <w:b/>
          <w:szCs w:val="10"/>
        </w:rPr>
        <w:footnoteReference w:id="17"/>
      </w:r>
      <w:r w:rsidRPr="00C20EFC">
        <w:rPr>
          <w:b/>
          <w:szCs w:val="10"/>
        </w:rPr>
        <w:t xml:space="preserve">. </w:t>
      </w:r>
    </w:p>
    <w:p w14:paraId="67C546FA" w14:textId="77777777" w:rsidR="00EF66F5" w:rsidRPr="00B81300" w:rsidRDefault="00EF66F5" w:rsidP="00EF66F5">
      <w:pPr>
        <w:jc w:val="both"/>
        <w:rPr>
          <w:color w:val="000000" w:themeColor="text1"/>
          <w:szCs w:val="22"/>
          <w:highlight w:val="yellow"/>
        </w:rPr>
      </w:pPr>
    </w:p>
    <w:p w14:paraId="1640E58D" w14:textId="4B32CC99" w:rsidR="00EF66F5" w:rsidRPr="00184F75" w:rsidRDefault="00EF66F5" w:rsidP="00EF66F5">
      <w:pPr>
        <w:jc w:val="both"/>
        <w:rPr>
          <w:highlight w:val="green"/>
        </w:rPr>
      </w:pPr>
      <w:r w:rsidRPr="00184F75">
        <w:rPr>
          <w:color w:val="000000" w:themeColor="text1"/>
          <w:szCs w:val="22"/>
        </w:rPr>
        <w:t xml:space="preserve">Z pohľadu zrozumiteľnosti rozpočtu sa </w:t>
      </w:r>
      <w:r w:rsidRPr="00184F75">
        <w:rPr>
          <w:b/>
          <w:color w:val="000000" w:themeColor="text1"/>
          <w:szCs w:val="22"/>
        </w:rPr>
        <w:t>z</w:t>
      </w:r>
      <w:r w:rsidRPr="00184F75">
        <w:rPr>
          <w:b/>
        </w:rPr>
        <w:t>lepšila komunikácia odhadu vývoja salda v bežnom roku</w:t>
      </w:r>
      <w:r w:rsidRPr="00184F75">
        <w:rPr>
          <w:bCs/>
        </w:rPr>
        <w:t>, keďže</w:t>
      </w:r>
      <w:r w:rsidRPr="00184F75">
        <w:rPr>
          <w:b/>
        </w:rPr>
        <w:t xml:space="preserve"> </w:t>
      </w:r>
      <w:r w:rsidRPr="00184F75">
        <w:rPr>
          <w:szCs w:val="22"/>
        </w:rPr>
        <w:t>odhadované rozdiely voči rozpočtu boli popísané aj z hľadiska najvýznamnejších faktorov</w:t>
      </w:r>
      <w:r w:rsidR="00F010A7">
        <w:rPr>
          <w:szCs w:val="22"/>
        </w:rPr>
        <w:t xml:space="preserve"> na vý</w:t>
      </w:r>
      <w:r w:rsidR="00862079">
        <w:rPr>
          <w:szCs w:val="22"/>
        </w:rPr>
        <w:t>voj salda</w:t>
      </w:r>
      <w:r w:rsidRPr="00184F75">
        <w:rPr>
          <w:b/>
        </w:rPr>
        <w:t>. Pozitívom je aj prezentovanie opatrení v rezorte zdravotníctva</w:t>
      </w:r>
      <w:r w:rsidRPr="00184F75">
        <w:t xml:space="preserve">. Ide o jedinú oblasť, v ktorej je trojročný rozpočet zostavený na základe scenára nezmenených politík, ku ktorému sú pripočítané vplyvy nových opatrení. Jednotlivé opatrenia sú aj opísané. Tento prístup umožní transparentne porovnať predpoklady rozpočtu so skutočným vývojom, vrátane podrobnej identifikácie prípadných príčin rozdielov. </w:t>
      </w:r>
    </w:p>
    <w:p w14:paraId="52B307F2" w14:textId="77777777" w:rsidR="00EF66F5" w:rsidRDefault="00EF66F5" w:rsidP="00EF66F5">
      <w:pPr>
        <w:jc w:val="both"/>
      </w:pPr>
    </w:p>
    <w:p w14:paraId="3944B1D2" w14:textId="77777777" w:rsidR="00EF66F5" w:rsidRPr="00B81300" w:rsidRDefault="00EF66F5" w:rsidP="00EF66F5">
      <w:pPr>
        <w:jc w:val="both"/>
        <w:rPr>
          <w:szCs w:val="22"/>
          <w:highlight w:val="yellow"/>
          <w:lang w:eastAsia="cs-CZ"/>
        </w:rPr>
      </w:pPr>
      <w:r w:rsidRPr="009341B5">
        <w:rPr>
          <w:b/>
        </w:rPr>
        <w:t xml:space="preserve">Nedostatkom </w:t>
      </w:r>
      <w:r>
        <w:rPr>
          <w:b/>
        </w:rPr>
        <w:t>trojročného r</w:t>
      </w:r>
      <w:r w:rsidRPr="000D0705">
        <w:rPr>
          <w:b/>
        </w:rPr>
        <w:t>ozpočt</w:t>
      </w:r>
      <w:r>
        <w:rPr>
          <w:b/>
        </w:rPr>
        <w:t>u je, že neobsahoval všetky opatrenia potrebné na splnenie stanovených cieľov</w:t>
      </w:r>
      <w:r w:rsidRPr="00AA4050">
        <w:rPr>
          <w:bCs/>
          <w:vertAlign w:val="superscript"/>
        </w:rPr>
        <w:footnoteReference w:id="18"/>
      </w:r>
      <w:r w:rsidRPr="004A79A6">
        <w:rPr>
          <w:bCs/>
        </w:rPr>
        <w:t>.</w:t>
      </w:r>
      <w:r w:rsidRPr="00DC0265">
        <w:rPr>
          <w:bCs/>
        </w:rPr>
        <w:t xml:space="preserve"> </w:t>
      </w:r>
      <w:r>
        <w:rPr>
          <w:bCs/>
        </w:rPr>
        <w:t>Zároveň</w:t>
      </w:r>
      <w:r w:rsidRPr="00AA4050">
        <w:rPr>
          <w:bCs/>
        </w:rPr>
        <w:t xml:space="preserve"> </w:t>
      </w:r>
      <w:r w:rsidRPr="0043275F">
        <w:rPr>
          <w:b/>
        </w:rPr>
        <w:t>všetky ukazovatele (hrubý dlh, štrukturálne saldo a tempo rastu výdavkov), ktoré sú dôležité z hľadiska posúdenia rozpočtu, sú vypočítané za predpokladu naplnenia rozpočtových cieľov</w:t>
      </w:r>
      <w:r w:rsidRPr="00AA4050">
        <w:rPr>
          <w:bCs/>
        </w:rPr>
        <w:t>.</w:t>
      </w:r>
      <w:r>
        <w:rPr>
          <w:bCs/>
        </w:rPr>
        <w:t xml:space="preserve"> </w:t>
      </w:r>
      <w:r w:rsidRPr="00AA4050">
        <w:rPr>
          <w:bCs/>
        </w:rPr>
        <w:t>Tento spôsob prezentácie rozpočtu neodôvodnene vytvára pozitívnejší obraz o </w:t>
      </w:r>
      <w:r>
        <w:rPr>
          <w:bCs/>
        </w:rPr>
        <w:t>budúcom vývoji verejných financií</w:t>
      </w:r>
      <w:r w:rsidRPr="00AA4050">
        <w:rPr>
          <w:bCs/>
        </w:rPr>
        <w:t xml:space="preserve"> a potláča do úzadia informácie o skutočných rozpočtovaných hodnotách a dôsledkoch pre plnenie európskych a národných fiškálnych pravidiel</w:t>
      </w:r>
      <w:r w:rsidRPr="00CF7CAB">
        <w:rPr>
          <w:bCs/>
        </w:rPr>
        <w:t>.</w:t>
      </w:r>
    </w:p>
    <w:p w14:paraId="1B669624" w14:textId="77777777" w:rsidR="00EF66F5" w:rsidRPr="00184F75" w:rsidRDefault="00EF66F5" w:rsidP="00EF66F5">
      <w:pPr>
        <w:jc w:val="both"/>
      </w:pPr>
    </w:p>
    <w:p w14:paraId="499A962E" w14:textId="64A38AEE" w:rsidR="00EF66F5" w:rsidRPr="000E18A6" w:rsidRDefault="00EF66F5" w:rsidP="00EF66F5">
      <w:pPr>
        <w:jc w:val="both"/>
        <w:rPr>
          <w:color w:val="000000" w:themeColor="text1"/>
          <w:szCs w:val="22"/>
        </w:rPr>
      </w:pPr>
      <w:r w:rsidRPr="00184F75">
        <w:rPr>
          <w:szCs w:val="22"/>
        </w:rPr>
        <w:t xml:space="preserve">K ďalšiemu zvýšeniu </w:t>
      </w:r>
      <w:r w:rsidRPr="00184F75">
        <w:rPr>
          <w:szCs w:val="10"/>
        </w:rPr>
        <w:t>zrozumiteľnosti rozpočtu by prispelo prezentovanie všetkých rozpočtovaných daňových a odvodových príjmov verejnej správy</w:t>
      </w:r>
      <w:r w:rsidRPr="00184F75">
        <w:rPr>
          <w:rStyle w:val="FootnoteReference"/>
          <w:szCs w:val="10"/>
        </w:rPr>
        <w:footnoteReference w:id="19"/>
      </w:r>
      <w:r w:rsidRPr="00184F75">
        <w:rPr>
          <w:szCs w:val="10"/>
        </w:rPr>
        <w:t xml:space="preserve"> na jednom mieste a doplnenie </w:t>
      </w:r>
      <w:r w:rsidRPr="00184F75">
        <w:rPr>
          <w:szCs w:val="10"/>
        </w:rPr>
        <w:lastRenderedPageBreak/>
        <w:t>chýbajúcich údajov (nemocnice v kapitole ministerstva zdravotníctva a podniky MH</w:t>
      </w:r>
      <w:r w:rsidR="00B70BC1">
        <w:rPr>
          <w:szCs w:val="10"/>
        </w:rPr>
        <w:t> </w:t>
      </w:r>
      <w:r w:rsidRPr="00184F75">
        <w:rPr>
          <w:szCs w:val="10"/>
        </w:rPr>
        <w:t>Manažment) a vysvetľujúcich informácií o štátnych podnikoch.</w:t>
      </w:r>
    </w:p>
    <w:p w14:paraId="4A8037E7" w14:textId="77777777" w:rsidR="00EF66F5" w:rsidRDefault="00EF66F5" w:rsidP="00EF66F5">
      <w:pPr>
        <w:jc w:val="both"/>
        <w:rPr>
          <w:szCs w:val="22"/>
          <w:lang w:eastAsia="cs-CZ"/>
        </w:rPr>
      </w:pPr>
    </w:p>
    <w:p w14:paraId="33ED86EA" w14:textId="77777777" w:rsidR="00EF66F5" w:rsidRPr="00120091" w:rsidRDefault="00EF66F5" w:rsidP="00EF66F5">
      <w:pPr>
        <w:jc w:val="both"/>
        <w:rPr>
          <w:rFonts w:eastAsia="Cambria"/>
          <w:szCs w:val="22"/>
        </w:rPr>
      </w:pPr>
      <w:r w:rsidRPr="00120091">
        <w:rPr>
          <w:szCs w:val="22"/>
          <w:lang w:eastAsia="cs-CZ"/>
        </w:rPr>
        <w:t>K lepšej vypovedacej hodnote ukazovateľa čisté bohatstvo by mohlo napomôcť o</w:t>
      </w:r>
      <w:r w:rsidRPr="00120091">
        <w:rPr>
          <w:szCs w:val="22"/>
        </w:rPr>
        <w:t xml:space="preserve">cenenie zatiaľ nevyčíslených zložiek čistého bohatstva a odstránenie zostávajúcich metodických nezrovnalostí pri jeho vykazovaní. </w:t>
      </w:r>
      <w:r w:rsidRPr="00120091">
        <w:rPr>
          <w:rFonts w:eastAsia="Cambria"/>
          <w:szCs w:val="22"/>
        </w:rPr>
        <w:t>Z pohľadu hlbšej analýzy vplyvov opatrení vlády na čisté bohatstvo je potrebné vytvoriť technické predpoklady pre zber údajov</w:t>
      </w:r>
      <w:r w:rsidRPr="00120091">
        <w:rPr>
          <w:szCs w:val="22"/>
        </w:rPr>
        <w:t xml:space="preserve"> </w:t>
      </w:r>
      <w:r w:rsidRPr="00120091">
        <w:rPr>
          <w:rFonts w:eastAsia="Cambria"/>
          <w:szCs w:val="22"/>
        </w:rPr>
        <w:t>a v spolupráci s RRZ definovať metodiku previazania zmeny čistého bohatstva so saldom rozpočtu.</w:t>
      </w:r>
    </w:p>
    <w:p w14:paraId="3A5D8B5C" w14:textId="77777777" w:rsidR="00EF66F5" w:rsidRPr="00120091" w:rsidRDefault="00EF66F5" w:rsidP="00EF66F5">
      <w:pPr>
        <w:jc w:val="both"/>
      </w:pPr>
    </w:p>
    <w:p w14:paraId="31B825C9" w14:textId="77777777" w:rsidR="00EF66F5" w:rsidRPr="00120091" w:rsidRDefault="00EF66F5" w:rsidP="00EF66F5">
      <w:pPr>
        <w:jc w:val="both"/>
        <w:rPr>
          <w:rFonts w:eastAsia="Cambria"/>
          <w:b/>
          <w:bCs/>
          <w:szCs w:val="22"/>
        </w:rPr>
      </w:pPr>
      <w:r w:rsidRPr="00120091">
        <w:rPr>
          <w:rFonts w:eastAsia="Cambria"/>
          <w:szCs w:val="22"/>
        </w:rPr>
        <w:t xml:space="preserve">Okrem samotného zlepšovania obsahu dokumentov a prezentácie rozpočtu je dôležitý aj </w:t>
      </w:r>
      <w:r w:rsidRPr="00120091">
        <w:rPr>
          <w:rFonts w:eastAsia="Cambria"/>
          <w:b/>
          <w:bCs/>
          <w:szCs w:val="22"/>
        </w:rPr>
        <w:t>proces tvorby rozpočtu, jeho schvaľovania a implementácie v priebehu rozpočtového roku:</w:t>
      </w:r>
    </w:p>
    <w:p w14:paraId="008E4FF0" w14:textId="77777777" w:rsidR="00EF66F5" w:rsidRPr="00120091" w:rsidRDefault="00EF66F5" w:rsidP="00EF66F5">
      <w:pPr>
        <w:jc w:val="both"/>
        <w:rPr>
          <w:rFonts w:eastAsia="Cambria"/>
          <w:b/>
          <w:bCs/>
          <w:szCs w:val="22"/>
        </w:rPr>
      </w:pPr>
      <w:r w:rsidRPr="00120091">
        <w:rPr>
          <w:rFonts w:eastAsia="Cambria"/>
          <w:b/>
          <w:bCs/>
          <w:szCs w:val="22"/>
        </w:rPr>
        <w:t xml:space="preserve"> </w:t>
      </w:r>
    </w:p>
    <w:p w14:paraId="55AE74A1" w14:textId="446C9EFC" w:rsidR="006A1C47" w:rsidRPr="00120091" w:rsidRDefault="00EF66F5" w:rsidP="00C47F47">
      <w:pPr>
        <w:pStyle w:val="ListParagraph"/>
        <w:numPr>
          <w:ilvl w:val="0"/>
          <w:numId w:val="12"/>
        </w:numPr>
        <w:spacing w:after="0" w:line="240" w:lineRule="auto"/>
        <w:jc w:val="both"/>
        <w:rPr>
          <w:rFonts w:ascii="Constantia" w:hAnsi="Constantia"/>
        </w:rPr>
      </w:pPr>
      <w:r w:rsidRPr="00120091">
        <w:rPr>
          <w:rFonts w:ascii="Constantia" w:hAnsi="Constantia"/>
          <w:b/>
        </w:rPr>
        <w:t>Schválené rozpočty opakovane obsahujú riziká výpadku príjmov, ktoré sa vo veľkej miere aj napĺňajú.</w:t>
      </w:r>
      <w:r w:rsidRPr="00120091">
        <w:rPr>
          <w:rFonts w:ascii="Constantia" w:hAnsi="Constantia"/>
        </w:rPr>
        <w:t xml:space="preserve"> Príjmy z dividend, najmä v prípade SPP a VSE Holding, sú opakovane netransparentne rozpočtované</w:t>
      </w:r>
      <w:r w:rsidRPr="00120091">
        <w:rPr>
          <w:rFonts w:ascii="Constantia" w:hAnsi="Constantia"/>
          <w:vertAlign w:val="superscript"/>
        </w:rPr>
        <w:footnoteReference w:id="20"/>
      </w:r>
      <w:r w:rsidRPr="00120091">
        <w:rPr>
          <w:rFonts w:ascii="Constantia" w:hAnsi="Constantia"/>
        </w:rPr>
        <w:t xml:space="preserve">. </w:t>
      </w:r>
      <w:r w:rsidR="16268B24" w:rsidRPr="00120091">
        <w:rPr>
          <w:rFonts w:ascii="Constantia" w:hAnsi="Constantia"/>
        </w:rPr>
        <w:t xml:space="preserve">Túto prax by zmenilo </w:t>
      </w:r>
      <w:r w:rsidR="44C7C089" w:rsidRPr="00120091">
        <w:rPr>
          <w:rFonts w:ascii="Constantia" w:hAnsi="Constantia"/>
        </w:rPr>
        <w:t>r</w:t>
      </w:r>
      <w:r w:rsidRPr="00120091">
        <w:rPr>
          <w:rFonts w:ascii="Constantia" w:hAnsi="Constantia"/>
        </w:rPr>
        <w:t>ozšírenie prognózy Výboru pre daňové prognózy (VpDP) na všetky daňové príjmy podľa metodiky ESA2010 a vybrané nedaňové príjmy</w:t>
      </w:r>
      <w:r w:rsidR="5A37A71A" w:rsidRPr="00120091">
        <w:rPr>
          <w:rFonts w:ascii="Constantia" w:hAnsi="Constantia"/>
        </w:rPr>
        <w:t>.</w:t>
      </w:r>
      <w:r w:rsidRPr="00120091">
        <w:rPr>
          <w:rFonts w:ascii="Constantia" w:hAnsi="Constantia"/>
        </w:rPr>
        <w:t xml:space="preserve"> Ďalší problém z hľadiska transparentnosti predstavuje </w:t>
      </w:r>
      <w:r w:rsidRPr="00120091">
        <w:rPr>
          <w:rFonts w:ascii="Constantia" w:hAnsi="Constantia"/>
          <w:b/>
        </w:rPr>
        <w:t>opakované</w:t>
      </w:r>
      <w:r w:rsidRPr="00120091">
        <w:rPr>
          <w:rFonts w:ascii="Constantia" w:hAnsi="Constantia"/>
          <w:vertAlign w:val="superscript"/>
        </w:rPr>
        <w:footnoteReference w:id="21"/>
      </w:r>
      <w:r w:rsidRPr="00120091">
        <w:rPr>
          <w:rFonts w:ascii="Constantia" w:hAnsi="Constantia"/>
          <w:b/>
          <w:vertAlign w:val="superscript"/>
        </w:rPr>
        <w:t xml:space="preserve"> </w:t>
      </w:r>
      <w:r w:rsidRPr="00120091">
        <w:rPr>
          <w:rFonts w:ascii="Constantia" w:hAnsi="Constantia"/>
          <w:b/>
        </w:rPr>
        <w:t>navýšenie daňových príjmov rozpočtu nad rámec prognózy VpDP.</w:t>
      </w:r>
      <w:r w:rsidRPr="00120091">
        <w:rPr>
          <w:rFonts w:ascii="Constantia" w:hAnsi="Constantia"/>
        </w:rPr>
        <w:t xml:space="preserve"> Na zamedzenie takejto situácie by bolo potrebné uzákoniť povinnosť používania prognózy výboru v celom rozpočtovom procese.</w:t>
      </w:r>
    </w:p>
    <w:p w14:paraId="3C1D0395" w14:textId="161BFA2C" w:rsidR="00E14D82" w:rsidRPr="00120091" w:rsidRDefault="00E14D82" w:rsidP="00C47F47">
      <w:pPr>
        <w:pStyle w:val="ListParagraph"/>
        <w:spacing w:after="0" w:line="240" w:lineRule="auto"/>
        <w:jc w:val="both"/>
        <w:rPr>
          <w:rFonts w:ascii="Constantia" w:hAnsi="Constantia"/>
        </w:rPr>
      </w:pPr>
    </w:p>
    <w:p w14:paraId="7C31CB59" w14:textId="4A592E8B" w:rsidR="007B4C28" w:rsidRPr="00120091" w:rsidRDefault="007B4C28" w:rsidP="00AB75B7">
      <w:pPr>
        <w:pStyle w:val="ListParagraph"/>
        <w:numPr>
          <w:ilvl w:val="0"/>
          <w:numId w:val="12"/>
        </w:numPr>
        <w:spacing w:after="0" w:line="240" w:lineRule="auto"/>
        <w:jc w:val="both"/>
        <w:rPr>
          <w:rFonts w:ascii="Constantia" w:hAnsi="Constantia"/>
        </w:rPr>
      </w:pPr>
      <w:r w:rsidRPr="00120091">
        <w:rPr>
          <w:rFonts w:ascii="Constantia" w:hAnsi="Constantia"/>
        </w:rPr>
        <w:t xml:space="preserve">Rozpočet </w:t>
      </w:r>
      <w:r w:rsidRPr="00120091">
        <w:rPr>
          <w:rFonts w:ascii="Constantia" w:hAnsi="Constantia"/>
          <w:bCs/>
        </w:rPr>
        <w:t xml:space="preserve">v niektorých oblastiach </w:t>
      </w:r>
      <w:r w:rsidRPr="00120091">
        <w:rPr>
          <w:rFonts w:ascii="Constantia" w:hAnsi="Constantia"/>
          <w:b/>
        </w:rPr>
        <w:t>nereagoval na odlišný vývoj v roku 2019 v porovnaní s predpokladmi schváleného rozpočtu na rok 2019</w:t>
      </w:r>
      <w:r w:rsidR="00AB75B7" w:rsidRPr="00120091">
        <w:rPr>
          <w:rFonts w:ascii="Constantia" w:hAnsi="Constantia"/>
          <w:b/>
        </w:rPr>
        <w:t>, čo sa premietlo do odhadu rizík v roku 2020</w:t>
      </w:r>
      <w:r w:rsidRPr="00120091">
        <w:rPr>
          <w:rFonts w:ascii="Constantia" w:hAnsi="Constantia"/>
          <w:b/>
        </w:rPr>
        <w:t xml:space="preserve"> </w:t>
      </w:r>
      <w:r w:rsidRPr="00120091">
        <w:rPr>
          <w:rFonts w:ascii="Constantia" w:hAnsi="Constantia"/>
          <w:bCs/>
        </w:rPr>
        <w:t>(podhodnotenie vývoja výdavkov Sociálnej poisťovne</w:t>
      </w:r>
      <w:r w:rsidR="5271C135" w:rsidRPr="00120091">
        <w:rPr>
          <w:rFonts w:ascii="Constantia" w:hAnsi="Constantia"/>
        </w:rPr>
        <w:t>)</w:t>
      </w:r>
      <w:r w:rsidRPr="00120091">
        <w:rPr>
          <w:rFonts w:ascii="Constantia" w:hAnsi="Constantia"/>
          <w:bCs/>
        </w:rPr>
        <w:t xml:space="preserve"> Zároveň </w:t>
      </w:r>
      <w:r w:rsidRPr="00120091">
        <w:rPr>
          <w:rFonts w:ascii="Constantia" w:hAnsi="Constantia"/>
          <w:b/>
          <w:bCs/>
        </w:rPr>
        <w:t>obsahoval pozitívne vplyvy z opatrení, ktoré sa v roku 2020 s vysokou pravdepodobnosťou nezrealizujú</w:t>
      </w:r>
      <w:r w:rsidRPr="00120091">
        <w:rPr>
          <w:rFonts w:ascii="Constantia" w:hAnsi="Constantia"/>
        </w:rPr>
        <w:t xml:space="preserve"> (príjmy z označovania pohonných látok nanomarkermi a zvýšenie poplatku za skladovanie núdzových zásob ropy). </w:t>
      </w:r>
    </w:p>
    <w:p w14:paraId="447A2F96" w14:textId="0CA5F528" w:rsidR="00184F75" w:rsidRPr="00120091" w:rsidRDefault="00184F75" w:rsidP="00AB75B7">
      <w:pPr>
        <w:jc w:val="both"/>
      </w:pPr>
    </w:p>
    <w:p w14:paraId="1E805846" w14:textId="7F6F2B23" w:rsidR="00184F75" w:rsidRPr="00120091" w:rsidRDefault="00184F75" w:rsidP="00AB75B7">
      <w:pPr>
        <w:pStyle w:val="ListParagraph"/>
        <w:numPr>
          <w:ilvl w:val="0"/>
          <w:numId w:val="12"/>
        </w:numPr>
        <w:spacing w:after="0" w:line="240" w:lineRule="auto"/>
        <w:jc w:val="both"/>
        <w:rPr>
          <w:rFonts w:ascii="Constantia" w:hAnsi="Constantia"/>
        </w:rPr>
      </w:pPr>
      <w:r w:rsidRPr="00120091">
        <w:rPr>
          <w:rFonts w:ascii="Constantia" w:hAnsi="Constantia"/>
          <w:b/>
        </w:rPr>
        <w:t>RRZ opakovane poukazuje na to, že príjmy z predaja emisných kvót a úrokové náklady štátneho dlhu nie sú v rozpočte zaznamenané v zmysle metodiky ESA2010</w:t>
      </w:r>
      <w:r w:rsidR="0E349690" w:rsidRPr="00120091">
        <w:rPr>
          <w:rFonts w:ascii="Constantia" w:hAnsi="Constantia"/>
          <w:b/>
          <w:bCs/>
        </w:rPr>
        <w:t xml:space="preserve">, ako tiež </w:t>
      </w:r>
      <w:r w:rsidR="4A6F489C" w:rsidRPr="00120091">
        <w:rPr>
          <w:rFonts w:ascii="Constantia" w:hAnsi="Constantia"/>
          <w:b/>
          <w:bCs/>
        </w:rPr>
        <w:t xml:space="preserve">vyplýva z </w:t>
      </w:r>
      <w:r w:rsidR="640317D1" w:rsidRPr="00120091">
        <w:rPr>
          <w:rFonts w:ascii="Constantia" w:hAnsi="Constantia"/>
          <w:b/>
          <w:bCs/>
        </w:rPr>
        <w:t xml:space="preserve">údajov v </w:t>
      </w:r>
      <w:r w:rsidR="5E2F0663" w:rsidRPr="00120091">
        <w:rPr>
          <w:rFonts w:ascii="Constantia" w:hAnsi="Constantia"/>
          <w:b/>
          <w:bCs/>
        </w:rPr>
        <w:t>notifi</w:t>
      </w:r>
      <w:r w:rsidR="14CE43D9" w:rsidRPr="00120091">
        <w:rPr>
          <w:rFonts w:ascii="Constantia" w:hAnsi="Constantia"/>
          <w:b/>
          <w:bCs/>
        </w:rPr>
        <w:t>káciách</w:t>
      </w:r>
      <w:r w:rsidR="5E2F0663" w:rsidRPr="00120091">
        <w:rPr>
          <w:rFonts w:ascii="Constantia" w:hAnsi="Constantia"/>
          <w:b/>
          <w:bCs/>
        </w:rPr>
        <w:t xml:space="preserve"> </w:t>
      </w:r>
      <w:r w:rsidR="077E6F21" w:rsidRPr="00120091">
        <w:rPr>
          <w:rFonts w:ascii="Constantia" w:hAnsi="Constantia"/>
          <w:b/>
          <w:bCs/>
        </w:rPr>
        <w:t>E</w:t>
      </w:r>
      <w:r w:rsidR="5E2F0663" w:rsidRPr="00120091">
        <w:rPr>
          <w:rFonts w:ascii="Constantia" w:hAnsi="Constantia"/>
          <w:b/>
          <w:bCs/>
        </w:rPr>
        <w:t>urostat</w:t>
      </w:r>
      <w:r w:rsidR="7F4EB4EA" w:rsidRPr="00120091">
        <w:rPr>
          <w:rFonts w:ascii="Constantia" w:hAnsi="Constantia"/>
          <w:b/>
          <w:bCs/>
        </w:rPr>
        <w:t>u</w:t>
      </w:r>
      <w:r w:rsidR="5E2F0663" w:rsidRPr="00120091">
        <w:rPr>
          <w:rFonts w:ascii="Constantia" w:hAnsi="Constantia"/>
          <w:b/>
          <w:bCs/>
        </w:rPr>
        <w:t>.</w:t>
      </w:r>
      <w:r w:rsidRPr="00120091">
        <w:rPr>
          <w:rFonts w:ascii="Constantia" w:hAnsi="Constantia"/>
        </w:rPr>
        <w:t xml:space="preserve"> Zároveň do rozpočtu boli zapracované len niektoré vplyvy súvisiace s benchmarkovou revíziou národných účtov. </w:t>
      </w:r>
      <w:r w:rsidRPr="00120091">
        <w:rPr>
          <w:rFonts w:ascii="Constantia" w:hAnsi="Constantia"/>
          <w:b/>
        </w:rPr>
        <w:t>Významným nedostatkom je nezahrnutie vplyvu schémy dotovania elektrickej energie z obnoviteľných zdrojov do rozpočtu</w:t>
      </w:r>
      <w:r w:rsidRPr="00120091">
        <w:rPr>
          <w:rFonts w:ascii="Constantia" w:hAnsi="Constantia"/>
        </w:rPr>
        <w:t xml:space="preserve">, keďže v roku 2018 zvýšila daňové príjmy a výdavky na dotácie o 0,7 % HDP. </w:t>
      </w:r>
    </w:p>
    <w:p w14:paraId="4F8DAF81" w14:textId="77777777" w:rsidR="00184F75" w:rsidRPr="00120091" w:rsidRDefault="00184F75" w:rsidP="00AB75B7">
      <w:pPr>
        <w:jc w:val="both"/>
        <w:rPr>
          <w:szCs w:val="10"/>
          <w:highlight w:val="lightGray"/>
        </w:rPr>
      </w:pPr>
    </w:p>
    <w:p w14:paraId="77870301" w14:textId="51935E91" w:rsidR="00F850DA" w:rsidRPr="00120091" w:rsidRDefault="00BC4B6E" w:rsidP="00F850DA">
      <w:pPr>
        <w:pStyle w:val="ListParagraph"/>
        <w:numPr>
          <w:ilvl w:val="0"/>
          <w:numId w:val="12"/>
        </w:numPr>
        <w:spacing w:after="0" w:line="240" w:lineRule="auto"/>
        <w:jc w:val="both"/>
        <w:rPr>
          <w:rFonts w:ascii="Constantia" w:hAnsi="Constantia"/>
        </w:rPr>
      </w:pPr>
      <w:r w:rsidRPr="00120091">
        <w:rPr>
          <w:rFonts w:ascii="Constantia" w:eastAsia="Cambria" w:hAnsi="Constantia"/>
          <w:b/>
          <w:bCs/>
        </w:rPr>
        <w:t>S</w:t>
      </w:r>
      <w:r w:rsidRPr="00120091">
        <w:rPr>
          <w:rFonts w:ascii="Constantia" w:hAnsi="Constantia"/>
          <w:b/>
          <w:bCs/>
        </w:rPr>
        <w:t>účasný legislatívny rámec schvaľovania rozpočtu v</w:t>
      </w:r>
      <w:r w:rsidR="001678C7" w:rsidRPr="00120091">
        <w:rPr>
          <w:rFonts w:ascii="Constantia" w:hAnsi="Constantia"/>
          <w:b/>
          <w:bCs/>
        </w:rPr>
        <w:t> </w:t>
      </w:r>
      <w:r w:rsidRPr="00120091">
        <w:rPr>
          <w:rFonts w:ascii="Constantia" w:hAnsi="Constantia"/>
          <w:b/>
          <w:bCs/>
        </w:rPr>
        <w:t>N</w:t>
      </w:r>
      <w:r w:rsidR="001678C7" w:rsidRPr="00120091">
        <w:rPr>
          <w:rFonts w:ascii="Constantia" w:hAnsi="Constantia"/>
          <w:b/>
          <w:bCs/>
        </w:rPr>
        <w:t>árodnej rade</w:t>
      </w:r>
      <w:r w:rsidRPr="00120091">
        <w:rPr>
          <w:rFonts w:ascii="Constantia" w:hAnsi="Constantia"/>
          <w:b/>
          <w:bCs/>
        </w:rPr>
        <w:t> SR nie je z pohľadu predmetu a obsahu schvaľovaných dokumentov vyhovujúci</w:t>
      </w:r>
      <w:r w:rsidRPr="00120091">
        <w:rPr>
          <w:rFonts w:ascii="Constantia" w:hAnsi="Constantia"/>
        </w:rPr>
        <w:t>. Schvaľovanie hotovostného štátneho rozpočtu NR SR na najbližší rok je dané historicky a už nepostačuje na zachytenie kľúčových sledovaných parametrov verejných financií a</w:t>
      </w:r>
      <w:r w:rsidR="006972AE" w:rsidRPr="00120091">
        <w:rPr>
          <w:rFonts w:ascii="Constantia" w:hAnsi="Constantia"/>
        </w:rPr>
        <w:t> </w:t>
      </w:r>
      <w:r w:rsidRPr="00120091">
        <w:rPr>
          <w:rFonts w:ascii="Constantia" w:hAnsi="Constantia"/>
        </w:rPr>
        <w:t xml:space="preserve">všetkých zmien vo verejných financiách v súlade s európskou metodikou </w:t>
      </w:r>
      <w:r w:rsidRPr="00120091">
        <w:rPr>
          <w:rFonts w:ascii="Constantia" w:hAnsi="Constantia"/>
        </w:rPr>
        <w:lastRenderedPageBreak/>
        <w:t>ESA2010</w:t>
      </w:r>
      <w:r w:rsidR="00F850DA" w:rsidRPr="00120091">
        <w:rPr>
          <w:rStyle w:val="FootnoteReference"/>
          <w:rFonts w:ascii="Constantia" w:hAnsi="Constantia"/>
        </w:rPr>
        <w:footnoteReference w:id="22"/>
      </w:r>
      <w:r w:rsidRPr="00120091">
        <w:rPr>
          <w:rFonts w:ascii="Constantia" w:hAnsi="Constantia"/>
        </w:rPr>
        <w:t xml:space="preserve">Zároveň by bolo vhodné legislatívny rámec upraviť tak, aby sa posilnila záväznosť schváleného rozpočtu, vrátane </w:t>
      </w:r>
      <w:r w:rsidRPr="00120091">
        <w:rPr>
          <w:rFonts w:ascii="Constantia" w:hAnsi="Constantia"/>
          <w:b/>
          <w:bCs/>
        </w:rPr>
        <w:t>stanovenia transparentných pravidiel pre tvorbu, použitie a zverejňovanie informácií o všetkých rezervách rozpočtu</w:t>
      </w:r>
      <w:r w:rsidRPr="00120091">
        <w:rPr>
          <w:rStyle w:val="FootnoteReference"/>
          <w:rFonts w:ascii="Constantia" w:hAnsi="Constantia"/>
        </w:rPr>
        <w:footnoteReference w:id="23"/>
      </w:r>
      <w:r w:rsidRPr="00120091">
        <w:rPr>
          <w:rFonts w:ascii="Constantia" w:hAnsi="Constantia"/>
        </w:rPr>
        <w:t xml:space="preserve">. Veľký objem rezerv znižuje kontrolu parlamentu nad výdavkami rozpočtu, najmä v tom prípade, ak nie sú dostatočne špecifikované. </w:t>
      </w:r>
    </w:p>
    <w:p w14:paraId="447B9147" w14:textId="77777777" w:rsidR="00DC0265" w:rsidRPr="00120091" w:rsidRDefault="00DC0265" w:rsidP="004A79A6">
      <w:pPr>
        <w:pStyle w:val="ListParagraph"/>
        <w:spacing w:after="0" w:line="240" w:lineRule="auto"/>
        <w:jc w:val="both"/>
        <w:rPr>
          <w:rFonts w:ascii="Constantia" w:hAnsi="Constantia"/>
        </w:rPr>
      </w:pPr>
    </w:p>
    <w:p w14:paraId="756ABDBE" w14:textId="18D697AF" w:rsidR="006A1C47" w:rsidRPr="00120091" w:rsidRDefault="00811865" w:rsidP="00C47F47">
      <w:pPr>
        <w:pStyle w:val="ListParagraph"/>
        <w:numPr>
          <w:ilvl w:val="0"/>
          <w:numId w:val="54"/>
        </w:numPr>
        <w:spacing w:after="0" w:line="240" w:lineRule="auto"/>
        <w:jc w:val="both"/>
        <w:rPr>
          <w:rFonts w:ascii="Constantia" w:hAnsi="Constantia"/>
          <w:b/>
        </w:rPr>
      </w:pPr>
      <w:r w:rsidRPr="00120091">
        <w:rPr>
          <w:rFonts w:ascii="Constantia" w:hAnsi="Constantia"/>
          <w:b/>
        </w:rPr>
        <w:t>V priebehu implementácie rozpočtu došlo zavedením 13. dôchodkov vo februári 2020 k významnému zásahu do rozpočtu na rok 2020 a </w:t>
      </w:r>
      <w:r w:rsidR="00FC0334" w:rsidRPr="00120091">
        <w:rPr>
          <w:rFonts w:ascii="Constantia" w:hAnsi="Constantia"/>
          <w:b/>
        </w:rPr>
        <w:t>navýšeniu výdavkov nad rámec vládou schváleného limitu bez adekvátnej kompenzácie</w:t>
      </w:r>
      <w:r w:rsidRPr="00120091">
        <w:rPr>
          <w:rStyle w:val="FootnoteReference"/>
          <w:rFonts w:ascii="Constantia" w:hAnsi="Constantia"/>
          <w:b/>
        </w:rPr>
        <w:footnoteReference w:id="24"/>
      </w:r>
      <w:r w:rsidR="006A1C47" w:rsidRPr="00120091">
        <w:rPr>
          <w:rFonts w:ascii="Constantia" w:hAnsi="Constantia"/>
          <w:b/>
        </w:rPr>
        <w:t>.</w:t>
      </w:r>
    </w:p>
    <w:p w14:paraId="38871FCD" w14:textId="77777777" w:rsidR="00B22D3B" w:rsidRPr="00120091" w:rsidRDefault="00B22D3B" w:rsidP="00FB0D43">
      <w:pPr>
        <w:jc w:val="both"/>
        <w:rPr>
          <w:b/>
          <w:strike/>
        </w:rPr>
      </w:pPr>
    </w:p>
    <w:p w14:paraId="05E197E6" w14:textId="35D42C00" w:rsidR="003C0D89" w:rsidRPr="00120091" w:rsidRDefault="00DC0265" w:rsidP="003C0D89">
      <w:pPr>
        <w:jc w:val="both"/>
        <w:rPr>
          <w:b/>
        </w:rPr>
      </w:pPr>
      <w:r w:rsidRPr="00120091">
        <w:rPr>
          <w:b/>
          <w:bCs/>
        </w:rPr>
        <w:t>Pozitívne možno vnímať plány vlády vyjadrené v jej programovom vyhlásení, ktoré boli následne komunikované aj v programe stability</w:t>
      </w:r>
      <w:r w:rsidRPr="00120091">
        <w:t xml:space="preserve">. </w:t>
      </w:r>
      <w:r w:rsidR="00B73D8A" w:rsidRPr="00120091">
        <w:t xml:space="preserve">Ide napríklad o zvýšenie záväznosti rozpočtového rámca, rozšírenie okruhu príjmov a výdavkov prognózovaných výborom, zavedenie povinnosti používať prognózy schválené výborom v rozpočtovom procese, stanovenie pravidiel pre tvorbu rezerv, častejšie a zrozumiteľnejšie informovanie o rozpočte. </w:t>
      </w:r>
      <w:r w:rsidRPr="00120091">
        <w:t>Ich zrealizovanie by mohlo viesť k výraznému zlepšeniu kvality rozpočtového rámca na Slovensku, ktor</w:t>
      </w:r>
      <w:r w:rsidR="00B73D8A" w:rsidRPr="00120091">
        <w:t>á</w:t>
      </w:r>
      <w:r w:rsidRPr="00120091">
        <w:t xml:space="preserve"> od zavedenia ústavného zákona o rozpočtovej zodpovednosti v roku 2011 stagnoval</w:t>
      </w:r>
      <w:r w:rsidR="00B73D8A" w:rsidRPr="00120091">
        <w:t>a</w:t>
      </w:r>
      <w:r w:rsidRPr="00120091">
        <w:t>.</w:t>
      </w:r>
    </w:p>
    <w:p w14:paraId="349AA279" w14:textId="5E43024C" w:rsidR="00BE109A" w:rsidRPr="00811C8A" w:rsidRDefault="00D87ADB" w:rsidP="00811C8A">
      <w:pPr>
        <w:rPr>
          <w:szCs w:val="22"/>
        </w:rPr>
      </w:pPr>
      <w:r w:rsidRPr="00BC139B">
        <w:rPr>
          <w:szCs w:val="22"/>
          <w:highlight w:val="yellow"/>
        </w:rPr>
        <w:br w:type="page"/>
      </w:r>
    </w:p>
    <w:p w14:paraId="1286EA9C" w14:textId="2F1815B0" w:rsidR="00C31DD3" w:rsidRPr="00E14DEB" w:rsidRDefault="00811C8A" w:rsidP="007F618A">
      <w:pPr>
        <w:jc w:val="both"/>
        <w:rPr>
          <w:szCs w:val="22"/>
        </w:rPr>
      </w:pPr>
      <w:r w:rsidRPr="00495555">
        <w:rPr>
          <w:noProof/>
        </w:rPr>
        <w:lastRenderedPageBreak/>
        <w:drawing>
          <wp:inline distT="0" distB="0" distL="0" distR="0" wp14:anchorId="01606FB1" wp14:editId="1B8F38E2">
            <wp:extent cx="5881370" cy="8344153"/>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82459" cy="8345698"/>
                    </a:xfrm>
                    <a:prstGeom prst="rect">
                      <a:avLst/>
                    </a:prstGeom>
                  </pic:spPr>
                </pic:pic>
              </a:graphicData>
            </a:graphic>
          </wp:inline>
        </w:drawing>
      </w:r>
    </w:p>
    <w:p w14:paraId="1F21DA38" w14:textId="7BC4B520" w:rsidR="004E165B" w:rsidRPr="009157E3" w:rsidRDefault="008A3BCE" w:rsidP="009157E3">
      <w:pPr>
        <w:jc w:val="both"/>
        <w:rPr>
          <w:szCs w:val="22"/>
          <w:highlight w:val="yellow"/>
        </w:rPr>
      </w:pPr>
      <w:r w:rsidRPr="00495555">
        <w:rPr>
          <w:noProof/>
        </w:rPr>
        <w:lastRenderedPageBreak/>
        <w:drawing>
          <wp:inline distT="0" distB="0" distL="0" distR="0" wp14:anchorId="3CEAA868" wp14:editId="0377E1EF">
            <wp:extent cx="5911850" cy="8377619"/>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1850" cy="8377619"/>
                    </a:xfrm>
                    <a:prstGeom prst="rect">
                      <a:avLst/>
                    </a:prstGeom>
                    <a:noFill/>
                    <a:ln>
                      <a:noFill/>
                    </a:ln>
                  </pic:spPr>
                </pic:pic>
              </a:graphicData>
            </a:graphic>
          </wp:inline>
        </w:drawing>
      </w:r>
      <w:r w:rsidR="00D5040C" w:rsidRPr="00B81300">
        <w:rPr>
          <w:noProof/>
          <w:szCs w:val="22"/>
          <w:highlight w:val="yellow"/>
        </w:rPr>
        <mc:AlternateContent>
          <mc:Choice Requires="wps">
            <w:drawing>
              <wp:anchor distT="45720" distB="45720" distL="114300" distR="114300" simplePos="0" relativeHeight="251658241" behindDoc="0" locked="0" layoutInCell="1" allowOverlap="1" wp14:anchorId="4C138388" wp14:editId="5016EE7A">
                <wp:simplePos x="0" y="0"/>
                <wp:positionH relativeFrom="column">
                  <wp:posOffset>5543335</wp:posOffset>
                </wp:positionH>
                <wp:positionV relativeFrom="paragraph">
                  <wp:posOffset>1355593</wp:posOffset>
                </wp:positionV>
                <wp:extent cx="526211" cy="1404620"/>
                <wp:effectExtent l="0" t="0" r="0" b="0"/>
                <wp:wrapNone/>
                <wp:docPr id="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11" cy="1404620"/>
                        </a:xfrm>
                        <a:prstGeom prst="rect">
                          <a:avLst/>
                        </a:prstGeom>
                        <a:noFill/>
                        <a:ln w="9525">
                          <a:noFill/>
                          <a:miter lim="800000"/>
                          <a:headEnd/>
                          <a:tailEnd/>
                        </a:ln>
                      </wps:spPr>
                      <wps:txbx>
                        <w:txbxContent>
                          <w:p w14:paraId="37C04395" w14:textId="4A04D7B4" w:rsidR="00C47F47" w:rsidRPr="00D664F2" w:rsidRDefault="00C47F47">
                            <w:pPr>
                              <w:rPr>
                                <w:color w:val="7F7F7F" w:themeColor="text1" w:themeTint="8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C138388" id="_x0000_t202" coordsize="21600,21600" o:spt="202" path="m,l,21600r21600,l21600,xe">
                <v:stroke joinstyle="miter"/>
                <v:path gradientshapeok="t" o:connecttype="rect"/>
              </v:shapetype>
              <v:shape id="Textové pole 2" o:spid="_x0000_s1026" type="#_x0000_t202" style="position:absolute;left:0;text-align:left;margin-left:436.5pt;margin-top:106.75pt;width:41.4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" filled="f" stroked="f">
                <v:textbox style="mso-fit-shape-to-text:t">
                  <w:txbxContent>
                    <w:p w14:paraId="37C04395" w14:textId="4A04D7B4" w:rsidR="00C47F47" w:rsidRPr="00D664F2" w:rsidRDefault="00C47F47">
                      <w:pPr>
                        <w:rPr>
                          <w:color w:val="7F7F7F" w:themeColor="text1" w:themeTint="80"/>
                        </w:rPr>
                      </w:pPr>
                    </w:p>
                  </w:txbxContent>
                </v:textbox>
              </v:shape>
            </w:pict>
          </mc:Fallback>
        </mc:AlternateContent>
      </w:r>
    </w:p>
    <w:p w14:paraId="726B1268" w14:textId="0C2A70C5" w:rsidR="006D0FD1" w:rsidRPr="00636105" w:rsidRDefault="00DC465B" w:rsidP="001C7FE8">
      <w:pPr>
        <w:pStyle w:val="Heading1"/>
        <w:numPr>
          <w:ilvl w:val="0"/>
          <w:numId w:val="3"/>
        </w:numPr>
        <w:ind w:left="426" w:hanging="426"/>
        <w:rPr>
          <w:b w:val="0"/>
        </w:rPr>
      </w:pPr>
      <w:bookmarkStart w:id="32" w:name="_Toc358736937"/>
      <w:bookmarkStart w:id="33" w:name="_Toc359288677"/>
      <w:bookmarkStart w:id="34" w:name="_Toc359288711"/>
      <w:bookmarkStart w:id="35" w:name="_Toc359288742"/>
      <w:bookmarkStart w:id="36" w:name="_Toc359327609"/>
      <w:bookmarkStart w:id="37" w:name="_Toc359418452"/>
      <w:bookmarkStart w:id="38" w:name="_Toc359418522"/>
      <w:bookmarkStart w:id="39" w:name="_Toc359418647"/>
      <w:bookmarkStart w:id="40" w:name="_Toc359418834"/>
      <w:bookmarkStart w:id="41" w:name="_Toc359419029"/>
      <w:bookmarkStart w:id="42" w:name="_Toc359419081"/>
      <w:bookmarkStart w:id="43" w:name="_Toc359419195"/>
      <w:bookmarkStart w:id="44" w:name="_Toc359421613"/>
      <w:bookmarkStart w:id="45" w:name="_Toc359421694"/>
      <w:bookmarkStart w:id="46" w:name="_Toc359423246"/>
      <w:bookmarkStart w:id="47" w:name="_Toc359423423"/>
      <w:bookmarkStart w:id="48" w:name="_Toc359423821"/>
      <w:bookmarkStart w:id="49" w:name="_Toc359424618"/>
      <w:bookmarkStart w:id="50" w:name="_Toc359424893"/>
      <w:bookmarkStart w:id="51" w:name="_Toc359424932"/>
      <w:bookmarkStart w:id="52" w:name="_Toc359425141"/>
      <w:bookmarkStart w:id="53" w:name="_Toc359425178"/>
      <w:bookmarkStart w:id="54" w:name="_Toc359426629"/>
      <w:bookmarkStart w:id="55" w:name="_Toc359427128"/>
      <w:bookmarkStart w:id="56" w:name="_Toc359427263"/>
      <w:bookmarkStart w:id="57" w:name="_Toc359427367"/>
      <w:bookmarkStart w:id="58" w:name="_Toc358736938"/>
      <w:bookmarkStart w:id="59" w:name="_Toc359288678"/>
      <w:bookmarkStart w:id="60" w:name="_Toc359288712"/>
      <w:bookmarkStart w:id="61" w:name="_Toc359288743"/>
      <w:bookmarkStart w:id="62" w:name="_Toc359327610"/>
      <w:bookmarkStart w:id="63" w:name="_Toc359418453"/>
      <w:bookmarkStart w:id="64" w:name="_Toc359418523"/>
      <w:bookmarkStart w:id="65" w:name="_Toc359418648"/>
      <w:bookmarkStart w:id="66" w:name="_Toc359418835"/>
      <w:bookmarkStart w:id="67" w:name="_Toc359419030"/>
      <w:bookmarkStart w:id="68" w:name="_Toc359419082"/>
      <w:bookmarkStart w:id="69" w:name="_Toc359419196"/>
      <w:bookmarkStart w:id="70" w:name="_Toc359421614"/>
      <w:bookmarkStart w:id="71" w:name="_Toc359421695"/>
      <w:bookmarkStart w:id="72" w:name="_Toc359423247"/>
      <w:bookmarkStart w:id="73" w:name="_Toc359423424"/>
      <w:bookmarkStart w:id="74" w:name="_Toc359423822"/>
      <w:bookmarkStart w:id="75" w:name="_Toc359424619"/>
      <w:bookmarkStart w:id="76" w:name="_Toc359424894"/>
      <w:bookmarkStart w:id="77" w:name="_Toc359424933"/>
      <w:bookmarkStart w:id="78" w:name="_Toc359425142"/>
      <w:bookmarkStart w:id="79" w:name="_Toc359425179"/>
      <w:bookmarkStart w:id="80" w:name="_Toc359426630"/>
      <w:bookmarkStart w:id="81" w:name="_Toc359427129"/>
      <w:bookmarkStart w:id="82" w:name="_Toc359427264"/>
      <w:bookmarkStart w:id="83" w:name="_Toc359427368"/>
      <w:bookmarkStart w:id="84" w:name="_Toc358299497"/>
      <w:bookmarkStart w:id="85" w:name="_Toc358299777"/>
      <w:bookmarkStart w:id="86" w:name="_Toc358299923"/>
      <w:bookmarkStart w:id="87" w:name="_Toc358300021"/>
      <w:bookmarkStart w:id="88" w:name="_Toc358300195"/>
      <w:bookmarkStart w:id="89" w:name="_Toc358300296"/>
      <w:bookmarkStart w:id="90" w:name="_Toc358300570"/>
      <w:bookmarkStart w:id="91" w:name="_Toc358300617"/>
      <w:bookmarkStart w:id="92" w:name="_Toc358300742"/>
      <w:bookmarkStart w:id="93" w:name="_Toc358301083"/>
      <w:bookmarkStart w:id="94" w:name="_Toc358301113"/>
      <w:bookmarkStart w:id="95" w:name="_Toc358301096"/>
      <w:bookmarkStart w:id="96" w:name="_Toc358301271"/>
      <w:bookmarkStart w:id="97" w:name="_Toc358301314"/>
      <w:bookmarkStart w:id="98" w:name="_Toc358301406"/>
      <w:bookmarkStart w:id="99" w:name="_Toc358301670"/>
      <w:bookmarkStart w:id="100" w:name="_Toc358301739"/>
      <w:bookmarkStart w:id="101" w:name="_Toc358301780"/>
      <w:bookmarkStart w:id="102" w:name="_Toc358301949"/>
      <w:bookmarkStart w:id="103" w:name="_Toc358302034"/>
      <w:bookmarkStart w:id="104" w:name="_Toc358302103"/>
      <w:bookmarkStart w:id="105" w:name="_Toc358302239"/>
      <w:bookmarkStart w:id="106" w:name="_Toc358358809"/>
      <w:bookmarkStart w:id="107" w:name="_Toc358358969"/>
      <w:bookmarkStart w:id="108" w:name="_Toc358359373"/>
      <w:bookmarkStart w:id="109" w:name="_Toc358359627"/>
      <w:bookmarkStart w:id="110" w:name="_Toc358359673"/>
      <w:bookmarkStart w:id="111" w:name="_Toc358359813"/>
      <w:bookmarkStart w:id="112" w:name="_Toc358359834"/>
      <w:bookmarkStart w:id="113" w:name="_Toc358359966"/>
      <w:bookmarkStart w:id="114" w:name="_Toc358360050"/>
      <w:bookmarkStart w:id="115" w:name="_Toc358360146"/>
      <w:bookmarkStart w:id="116" w:name="_Toc358360600"/>
      <w:bookmarkStart w:id="117" w:name="_Toc358361461"/>
      <w:bookmarkStart w:id="118" w:name="_Toc358361524"/>
      <w:bookmarkStart w:id="119" w:name="_Toc358361545"/>
      <w:bookmarkStart w:id="120" w:name="_Toc358364029"/>
      <w:bookmarkStart w:id="121" w:name="_Toc358364050"/>
      <w:bookmarkStart w:id="122" w:name="_Toc358364681"/>
      <w:bookmarkStart w:id="123" w:name="_Toc358364779"/>
      <w:bookmarkStart w:id="124" w:name="_Toc358364973"/>
      <w:bookmarkStart w:id="125" w:name="_Toc358365353"/>
      <w:bookmarkStart w:id="126" w:name="_Toc358365530"/>
      <w:bookmarkStart w:id="127" w:name="_Toc358365644"/>
      <w:bookmarkStart w:id="128" w:name="_Toc358365704"/>
      <w:bookmarkStart w:id="129" w:name="_Toc358365763"/>
      <w:bookmarkStart w:id="130" w:name="_Toc358365897"/>
      <w:bookmarkStart w:id="131" w:name="_Toc358366021"/>
      <w:bookmarkStart w:id="132" w:name="_Toc358366280"/>
      <w:bookmarkStart w:id="133" w:name="_Toc358366471"/>
      <w:bookmarkStart w:id="134" w:name="_Toc358367059"/>
      <w:bookmarkStart w:id="135" w:name="_Toc358367088"/>
      <w:bookmarkStart w:id="136" w:name="_Toc358367123"/>
      <w:bookmarkStart w:id="137" w:name="_Toc358367187"/>
      <w:bookmarkStart w:id="138" w:name="_Toc358367236"/>
      <w:bookmarkStart w:id="139" w:name="_Toc358367561"/>
      <w:bookmarkStart w:id="140" w:name="_Toc358367701"/>
      <w:bookmarkStart w:id="141" w:name="_Toc358367896"/>
      <w:bookmarkStart w:id="142" w:name="_Toc358376815"/>
      <w:bookmarkStart w:id="143" w:name="_Toc358376988"/>
      <w:bookmarkStart w:id="144" w:name="_Toc358377099"/>
      <w:bookmarkStart w:id="145" w:name="_Toc358379407"/>
      <w:bookmarkStart w:id="146" w:name="_Toc358379776"/>
      <w:bookmarkStart w:id="147" w:name="_Toc358381262"/>
      <w:bookmarkStart w:id="148" w:name="_Toc358382632"/>
      <w:bookmarkStart w:id="149" w:name="_Toc358384013"/>
      <w:bookmarkStart w:id="150" w:name="_Toc358385608"/>
      <w:bookmarkStart w:id="151" w:name="_Toc358619972"/>
      <w:bookmarkStart w:id="152" w:name="_Toc358623827"/>
      <w:bookmarkStart w:id="153" w:name="_Toc358627882"/>
      <w:bookmarkStart w:id="154" w:name="_Toc358641575"/>
      <w:bookmarkStart w:id="155" w:name="_Toc358736939"/>
      <w:bookmarkStart w:id="156" w:name="_Toc359288679"/>
      <w:bookmarkStart w:id="157" w:name="_Toc359288713"/>
      <w:bookmarkStart w:id="158" w:name="_Toc359288744"/>
      <w:bookmarkStart w:id="159" w:name="_Toc359327611"/>
      <w:bookmarkStart w:id="160" w:name="_Toc359418454"/>
      <w:bookmarkStart w:id="161" w:name="_Toc359418524"/>
      <w:bookmarkStart w:id="162" w:name="_Toc359418649"/>
      <w:bookmarkStart w:id="163" w:name="_Toc359418836"/>
      <w:bookmarkStart w:id="164" w:name="_Toc359419031"/>
      <w:bookmarkStart w:id="165" w:name="_Toc359419083"/>
      <w:bookmarkStart w:id="166" w:name="_Toc359419197"/>
      <w:bookmarkStart w:id="167" w:name="_Toc359421615"/>
      <w:bookmarkStart w:id="168" w:name="_Toc359421696"/>
      <w:bookmarkStart w:id="169" w:name="_Toc359423248"/>
      <w:bookmarkStart w:id="170" w:name="_Toc359423425"/>
      <w:bookmarkStart w:id="171" w:name="_Toc359423823"/>
      <w:bookmarkStart w:id="172" w:name="_Toc359424620"/>
      <w:bookmarkStart w:id="173" w:name="_Toc359424895"/>
      <w:bookmarkStart w:id="174" w:name="_Toc359424934"/>
      <w:bookmarkStart w:id="175" w:name="_Toc359425143"/>
      <w:bookmarkStart w:id="176" w:name="_Toc359425180"/>
      <w:bookmarkStart w:id="177" w:name="_Toc359426632"/>
      <w:bookmarkStart w:id="178" w:name="_Toc359427131"/>
      <w:bookmarkStart w:id="179" w:name="_Toc359427266"/>
      <w:bookmarkStart w:id="180" w:name="_Toc359427370"/>
      <w:bookmarkStart w:id="181" w:name="_Toc358299498"/>
      <w:bookmarkStart w:id="182" w:name="_Toc358299778"/>
      <w:bookmarkStart w:id="183" w:name="_Toc358299924"/>
      <w:bookmarkStart w:id="184" w:name="_Toc358300022"/>
      <w:bookmarkStart w:id="185" w:name="_Toc358300196"/>
      <w:bookmarkStart w:id="186" w:name="_Toc358300297"/>
      <w:bookmarkStart w:id="187" w:name="_Toc358300571"/>
      <w:bookmarkStart w:id="188" w:name="_Toc358300618"/>
      <w:bookmarkStart w:id="189" w:name="_Toc358300743"/>
      <w:bookmarkStart w:id="190" w:name="_Toc358301084"/>
      <w:bookmarkStart w:id="191" w:name="_Toc358301114"/>
      <w:bookmarkStart w:id="192" w:name="_Toc358301097"/>
      <w:bookmarkStart w:id="193" w:name="_Toc358301272"/>
      <w:bookmarkStart w:id="194" w:name="_Toc358301315"/>
      <w:bookmarkStart w:id="195" w:name="_Toc358301407"/>
      <w:bookmarkStart w:id="196" w:name="_Toc358301671"/>
      <w:bookmarkStart w:id="197" w:name="_Toc358301740"/>
      <w:bookmarkStart w:id="198" w:name="_Toc358301781"/>
      <w:bookmarkStart w:id="199" w:name="_Toc358301950"/>
      <w:bookmarkStart w:id="200" w:name="_Toc358302035"/>
      <w:bookmarkStart w:id="201" w:name="_Toc358302104"/>
      <w:bookmarkStart w:id="202" w:name="_Toc358302240"/>
      <w:bookmarkStart w:id="203" w:name="_Toc358358810"/>
      <w:bookmarkStart w:id="204" w:name="_Toc358358970"/>
      <w:bookmarkStart w:id="205" w:name="_Toc358359374"/>
      <w:bookmarkStart w:id="206" w:name="_Toc358359628"/>
      <w:bookmarkStart w:id="207" w:name="_Toc358359674"/>
      <w:bookmarkStart w:id="208" w:name="_Toc358359814"/>
      <w:bookmarkStart w:id="209" w:name="_Toc358359835"/>
      <w:bookmarkStart w:id="210" w:name="_Toc358359967"/>
      <w:bookmarkStart w:id="211" w:name="_Toc358360051"/>
      <w:bookmarkStart w:id="212" w:name="_Toc358360147"/>
      <w:bookmarkStart w:id="213" w:name="_Toc358360601"/>
      <w:bookmarkStart w:id="214" w:name="_Toc358361462"/>
      <w:bookmarkStart w:id="215" w:name="_Toc358361525"/>
      <w:bookmarkStart w:id="216" w:name="_Toc358361546"/>
      <w:bookmarkStart w:id="217" w:name="_Toc358364030"/>
      <w:bookmarkStart w:id="218" w:name="_Toc358364051"/>
      <w:bookmarkStart w:id="219" w:name="_Toc358364682"/>
      <w:bookmarkStart w:id="220" w:name="_Toc358364780"/>
      <w:bookmarkStart w:id="221" w:name="_Toc358364974"/>
      <w:bookmarkStart w:id="222" w:name="_Toc358365354"/>
      <w:bookmarkStart w:id="223" w:name="_Toc358365531"/>
      <w:bookmarkStart w:id="224" w:name="_Toc358365645"/>
      <w:bookmarkStart w:id="225" w:name="_Toc358365705"/>
      <w:bookmarkStart w:id="226" w:name="_Toc358365764"/>
      <w:bookmarkStart w:id="227" w:name="_Toc358365898"/>
      <w:bookmarkStart w:id="228" w:name="_Toc358366022"/>
      <w:bookmarkStart w:id="229" w:name="_Toc358366281"/>
      <w:bookmarkStart w:id="230" w:name="_Toc358366472"/>
      <w:bookmarkStart w:id="231" w:name="_Toc358367060"/>
      <w:bookmarkStart w:id="232" w:name="_Toc358367089"/>
      <w:bookmarkStart w:id="233" w:name="_Toc358367124"/>
      <w:bookmarkStart w:id="234" w:name="_Toc358367188"/>
      <w:bookmarkStart w:id="235" w:name="_Toc358367237"/>
      <w:bookmarkStart w:id="236" w:name="_Toc358367562"/>
      <w:bookmarkStart w:id="237" w:name="_Toc358367702"/>
      <w:bookmarkStart w:id="238" w:name="_Toc358367897"/>
      <w:bookmarkStart w:id="239" w:name="_Toc358376816"/>
      <w:bookmarkStart w:id="240" w:name="_Toc358376989"/>
      <w:bookmarkStart w:id="241" w:name="_Toc358377100"/>
      <w:bookmarkStart w:id="242" w:name="_Toc358379408"/>
      <w:bookmarkStart w:id="243" w:name="_Toc358379777"/>
      <w:bookmarkStart w:id="244" w:name="_Toc358381263"/>
      <w:bookmarkStart w:id="245" w:name="_Toc358382633"/>
      <w:bookmarkStart w:id="246" w:name="_Toc358384014"/>
      <w:bookmarkStart w:id="247" w:name="_Toc358385609"/>
      <w:bookmarkStart w:id="248" w:name="_Toc358619973"/>
      <w:bookmarkStart w:id="249" w:name="_Toc358623828"/>
      <w:bookmarkStart w:id="250" w:name="_Toc358627883"/>
      <w:bookmarkStart w:id="251" w:name="_Toc358641576"/>
      <w:bookmarkStart w:id="252" w:name="_Toc358736940"/>
      <w:bookmarkStart w:id="253" w:name="_Toc359288680"/>
      <w:bookmarkStart w:id="254" w:name="_Toc359288714"/>
      <w:bookmarkStart w:id="255" w:name="_Toc359288745"/>
      <w:bookmarkStart w:id="256" w:name="_Toc359327612"/>
      <w:bookmarkStart w:id="257" w:name="_Toc359418455"/>
      <w:bookmarkStart w:id="258" w:name="_Toc359418525"/>
      <w:bookmarkStart w:id="259" w:name="_Toc359418650"/>
      <w:bookmarkStart w:id="260" w:name="_Toc359418837"/>
      <w:bookmarkStart w:id="261" w:name="_Toc359419032"/>
      <w:bookmarkStart w:id="262" w:name="_Toc359419084"/>
      <w:bookmarkStart w:id="263" w:name="_Toc359419198"/>
      <w:bookmarkStart w:id="264" w:name="_Toc359421616"/>
      <w:bookmarkStart w:id="265" w:name="_Toc359421697"/>
      <w:bookmarkStart w:id="266" w:name="_Toc359423249"/>
      <w:bookmarkStart w:id="267" w:name="_Toc359423426"/>
      <w:bookmarkStart w:id="268" w:name="_Toc359423824"/>
      <w:bookmarkStart w:id="269" w:name="_Toc359424621"/>
      <w:bookmarkStart w:id="270" w:name="_Toc359424896"/>
      <w:bookmarkStart w:id="271" w:name="_Toc359424935"/>
      <w:bookmarkStart w:id="272" w:name="_Toc359425144"/>
      <w:bookmarkStart w:id="273" w:name="_Toc359425181"/>
      <w:bookmarkStart w:id="274" w:name="_Toc359426633"/>
      <w:bookmarkStart w:id="275" w:name="_Toc359427132"/>
      <w:bookmarkStart w:id="276" w:name="_Toc359427267"/>
      <w:bookmarkStart w:id="277" w:name="_Toc359427371"/>
      <w:bookmarkStart w:id="278" w:name="_Toc358299500"/>
      <w:bookmarkStart w:id="279" w:name="_Toc358299780"/>
      <w:bookmarkStart w:id="280" w:name="_Toc358299926"/>
      <w:bookmarkStart w:id="281" w:name="_Toc358300024"/>
      <w:bookmarkStart w:id="282" w:name="_Toc358300198"/>
      <w:bookmarkStart w:id="283" w:name="_Toc358300299"/>
      <w:bookmarkStart w:id="284" w:name="_Toc358300573"/>
      <w:bookmarkStart w:id="285" w:name="_Toc358300620"/>
      <w:bookmarkStart w:id="286" w:name="_Toc358300745"/>
      <w:bookmarkStart w:id="287" w:name="_Toc358301086"/>
      <w:bookmarkStart w:id="288" w:name="_Toc358301116"/>
      <w:bookmarkStart w:id="289" w:name="_Toc358301099"/>
      <w:bookmarkStart w:id="290" w:name="_Toc358301274"/>
      <w:bookmarkStart w:id="291" w:name="_Toc358301317"/>
      <w:bookmarkStart w:id="292" w:name="_Toc358301409"/>
      <w:bookmarkStart w:id="293" w:name="_Toc358301673"/>
      <w:bookmarkStart w:id="294" w:name="_Toc358301742"/>
      <w:bookmarkStart w:id="295" w:name="_Toc358301783"/>
      <w:bookmarkStart w:id="296" w:name="_Toc358301952"/>
      <w:bookmarkStart w:id="297" w:name="_Toc358302037"/>
      <w:bookmarkStart w:id="298" w:name="_Toc358302106"/>
      <w:bookmarkStart w:id="299" w:name="_Toc358302242"/>
      <w:bookmarkStart w:id="300" w:name="_Toc358358812"/>
      <w:bookmarkStart w:id="301" w:name="_Toc358358972"/>
      <w:bookmarkStart w:id="302" w:name="_Toc358359376"/>
      <w:bookmarkStart w:id="303" w:name="_Toc358359630"/>
      <w:bookmarkStart w:id="304" w:name="_Toc358359676"/>
      <w:bookmarkStart w:id="305" w:name="_Toc358359816"/>
      <w:bookmarkStart w:id="306" w:name="_Toc358359837"/>
      <w:bookmarkStart w:id="307" w:name="_Toc358359969"/>
      <w:bookmarkStart w:id="308" w:name="_Toc358360053"/>
      <w:bookmarkStart w:id="309" w:name="_Toc358360149"/>
      <w:bookmarkStart w:id="310" w:name="_Toc358360603"/>
      <w:bookmarkStart w:id="311" w:name="_Toc358361464"/>
      <w:bookmarkStart w:id="312" w:name="_Toc358361527"/>
      <w:bookmarkStart w:id="313" w:name="_Toc358361548"/>
      <w:bookmarkStart w:id="314" w:name="_Toc358364032"/>
      <w:bookmarkStart w:id="315" w:name="_Toc358364053"/>
      <w:bookmarkStart w:id="316" w:name="_Toc358364684"/>
      <w:bookmarkStart w:id="317" w:name="_Toc358364782"/>
      <w:bookmarkStart w:id="318" w:name="_Toc358364976"/>
      <w:bookmarkStart w:id="319" w:name="_Toc358365356"/>
      <w:bookmarkStart w:id="320" w:name="_Toc358365533"/>
      <w:bookmarkStart w:id="321" w:name="_Toc358365647"/>
      <w:bookmarkStart w:id="322" w:name="_Toc358365707"/>
      <w:bookmarkStart w:id="323" w:name="_Toc358365766"/>
      <w:bookmarkStart w:id="324" w:name="_Toc358365900"/>
      <w:bookmarkStart w:id="325" w:name="_Toc358366024"/>
      <w:bookmarkStart w:id="326" w:name="_Toc358366283"/>
      <w:bookmarkStart w:id="327" w:name="_Toc358366474"/>
      <w:bookmarkStart w:id="328" w:name="_Toc358367062"/>
      <w:bookmarkStart w:id="329" w:name="_Toc358367091"/>
      <w:bookmarkStart w:id="330" w:name="_Toc358367126"/>
      <w:bookmarkStart w:id="331" w:name="_Toc358367190"/>
      <w:bookmarkStart w:id="332" w:name="_Toc358367239"/>
      <w:bookmarkStart w:id="333" w:name="_Toc358367309"/>
      <w:bookmarkStart w:id="334" w:name="_Toc358367564"/>
      <w:bookmarkStart w:id="335" w:name="_Toc358367704"/>
      <w:bookmarkStart w:id="336" w:name="_Toc358367899"/>
      <w:bookmarkStart w:id="337" w:name="_Toc358376818"/>
      <w:bookmarkStart w:id="338" w:name="_Toc358376991"/>
      <w:bookmarkStart w:id="339" w:name="_Toc358377102"/>
      <w:bookmarkStart w:id="340" w:name="_Toc358379410"/>
      <w:bookmarkStart w:id="341" w:name="_Toc358379779"/>
      <w:bookmarkStart w:id="342" w:name="_Toc358381265"/>
      <w:bookmarkStart w:id="343" w:name="_Toc358382635"/>
      <w:bookmarkStart w:id="344" w:name="_Toc358384016"/>
      <w:bookmarkStart w:id="345" w:name="_Toc358385611"/>
      <w:bookmarkStart w:id="346" w:name="_Toc358619975"/>
      <w:bookmarkStart w:id="347" w:name="_Toc358623830"/>
      <w:bookmarkStart w:id="348" w:name="_Toc358627885"/>
      <w:bookmarkStart w:id="349" w:name="_Toc358641578"/>
      <w:bookmarkStart w:id="350" w:name="_Toc358736942"/>
      <w:bookmarkStart w:id="351" w:name="_Toc359288682"/>
      <w:bookmarkStart w:id="352" w:name="_Toc359288716"/>
      <w:bookmarkStart w:id="353" w:name="_Toc359288747"/>
      <w:bookmarkStart w:id="354" w:name="_Toc359327614"/>
      <w:bookmarkStart w:id="355" w:name="_Toc359418457"/>
      <w:bookmarkStart w:id="356" w:name="_Toc359418527"/>
      <w:bookmarkStart w:id="357" w:name="_Toc359418652"/>
      <w:bookmarkStart w:id="358" w:name="_Toc359418839"/>
      <w:bookmarkStart w:id="359" w:name="_Toc359419034"/>
      <w:bookmarkStart w:id="360" w:name="_Toc359419086"/>
      <w:bookmarkStart w:id="361" w:name="_Toc359419200"/>
      <w:bookmarkStart w:id="362" w:name="_Toc359421618"/>
      <w:bookmarkStart w:id="363" w:name="_Toc359421699"/>
      <w:bookmarkStart w:id="364" w:name="_Toc359423251"/>
      <w:bookmarkStart w:id="365" w:name="_Toc359423428"/>
      <w:bookmarkStart w:id="366" w:name="_Toc359423826"/>
      <w:bookmarkStart w:id="367" w:name="_Toc359424623"/>
      <w:bookmarkStart w:id="368" w:name="_Toc359424898"/>
      <w:bookmarkStart w:id="369" w:name="_Toc359424937"/>
      <w:bookmarkStart w:id="370" w:name="_Toc359425146"/>
      <w:bookmarkStart w:id="371" w:name="_Toc359425183"/>
      <w:bookmarkStart w:id="372" w:name="_Toc359426635"/>
      <w:bookmarkStart w:id="373" w:name="_Toc359427134"/>
      <w:bookmarkStart w:id="374" w:name="_Toc359427269"/>
      <w:bookmarkStart w:id="375" w:name="_Toc359427373"/>
      <w:bookmarkStart w:id="376" w:name="_Toc359427497"/>
      <w:bookmarkStart w:id="377" w:name="_Toc358299501"/>
      <w:bookmarkStart w:id="378" w:name="_Toc358301410"/>
      <w:bookmarkStart w:id="379" w:name="_Toc358360150"/>
      <w:bookmarkStart w:id="380" w:name="_Toc358367063"/>
      <w:bookmarkStart w:id="381" w:name="_Toc358367240"/>
      <w:bookmarkStart w:id="382" w:name="_Toc358367705"/>
      <w:bookmarkStart w:id="383" w:name="_Toc358381266"/>
      <w:bookmarkStart w:id="384" w:name="_Toc358385612"/>
      <w:bookmarkStart w:id="385" w:name="_Toc358641579"/>
      <w:bookmarkStart w:id="386" w:name="_Toc359425147"/>
      <w:bookmarkStart w:id="387" w:name="_Toc359427374"/>
      <w:bookmarkStart w:id="388" w:name="_Toc359589066"/>
      <w:bookmarkStart w:id="389" w:name="_Toc396319173"/>
      <w:bookmarkStart w:id="390" w:name="_Toc428351743"/>
      <w:bookmarkStart w:id="391" w:name="_Toc459208014"/>
      <w:bookmarkStart w:id="392" w:name="_Toc459275432"/>
      <w:bookmarkStart w:id="393" w:name="_Toc489954236"/>
      <w:bookmarkStart w:id="394" w:name="_Toc490143810"/>
      <w:bookmarkStart w:id="395" w:name="_Toc490642156"/>
      <w:bookmarkStart w:id="396" w:name="_Toc521678158"/>
      <w:bookmarkStart w:id="397" w:name="_Toc521679440"/>
      <w:bookmarkStart w:id="398" w:name="_Toc523390330"/>
      <w:bookmarkStart w:id="399" w:name="_Toc523390276"/>
      <w:bookmarkStart w:id="400" w:name="_Toc523391001"/>
      <w:bookmarkStart w:id="401" w:name="_Toc523391582"/>
      <w:bookmarkStart w:id="402" w:name="_Toc523392881"/>
      <w:bookmarkStart w:id="403" w:name="_Toc49506874"/>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r w:rsidRPr="00636105">
        <w:lastRenderedPageBreak/>
        <w:t xml:space="preserve">Prehľad </w:t>
      </w:r>
      <w:r w:rsidR="00F3785F" w:rsidRPr="00636105">
        <w:t xml:space="preserve">rozpočtových </w:t>
      </w:r>
      <w:r w:rsidRPr="00636105">
        <w:t>pravidiel týkajúcich sa Slovenska</w:t>
      </w:r>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14:paraId="3BA174C9" w14:textId="77777777" w:rsidR="001E7633" w:rsidRPr="00B81300" w:rsidRDefault="001E7633" w:rsidP="00976A22">
      <w:pPr>
        <w:rPr>
          <w:sz w:val="18"/>
          <w:highlight w:val="yellow"/>
        </w:rPr>
      </w:pPr>
    </w:p>
    <w:p w14:paraId="4E20DA94" w14:textId="006DEFCA" w:rsidR="004F202A" w:rsidRPr="00B81300" w:rsidRDefault="004F202A" w:rsidP="004F202A">
      <w:pPr>
        <w:jc w:val="both"/>
        <w:rPr>
          <w:highlight w:val="yellow"/>
        </w:rPr>
      </w:pPr>
      <w:bookmarkStart w:id="404" w:name="_Toc358301414"/>
      <w:bookmarkStart w:id="405" w:name="_Toc358360154"/>
      <w:bookmarkStart w:id="406" w:name="_Toc358367067"/>
      <w:bookmarkStart w:id="407" w:name="_Toc358367244"/>
      <w:bookmarkStart w:id="408" w:name="_Toc358367709"/>
      <w:bookmarkStart w:id="409" w:name="_Toc358641583"/>
      <w:bookmarkStart w:id="410" w:name="_Toc358381270"/>
      <w:bookmarkStart w:id="411" w:name="_Toc358385616"/>
      <w:r w:rsidRPr="00A768CC">
        <w:t xml:space="preserve">Slovenská republika v súčasnosti funguje v priestore štandardných fiškálnych pravidiel definovaných národnou legislatívou a legislatívou Európskej únie. Napriek rozdielnym prístupom k definícii pravidiel, ich spoločným cieľom je predovšetkým zamedziť vládam vytvárať vysoké deficity vedúce k neudržateľným úrovniam verejného dlhu, </w:t>
      </w:r>
      <w:r w:rsidR="001A6BB4" w:rsidRPr="00A768CC">
        <w:t>podporo</w:t>
      </w:r>
      <w:r w:rsidR="000C1C38" w:rsidRPr="00A768CC">
        <w:t xml:space="preserve">vať realizáciu proticyklickej fiškálnej politiky, </w:t>
      </w:r>
      <w:r w:rsidRPr="00A768CC">
        <w:t>zvýšiť kredibilitu rozpočtového procesu a znížiť informačnú asymetriu prostredníctvom zverejňovania relevantných údajov.</w:t>
      </w:r>
    </w:p>
    <w:p w14:paraId="08B8CB0C" w14:textId="77777777" w:rsidR="003D6B3A" w:rsidRPr="00B81300" w:rsidRDefault="003D6B3A" w:rsidP="003D6B3A">
      <w:pPr>
        <w:jc w:val="both"/>
        <w:rPr>
          <w:szCs w:val="12"/>
          <w:highlight w:val="yellow"/>
        </w:rPr>
      </w:pPr>
    </w:p>
    <w:p w14:paraId="2D206B99" w14:textId="39AF9C7C" w:rsidR="008C49F8" w:rsidRPr="00B81300" w:rsidRDefault="008C49F8" w:rsidP="008C49F8">
      <w:pPr>
        <w:jc w:val="both"/>
        <w:rPr>
          <w:highlight w:val="yellow"/>
        </w:rPr>
      </w:pPr>
      <w:r w:rsidRPr="000C6669">
        <w:rPr>
          <w:b/>
        </w:rPr>
        <w:t>Ústavný zákon o rozpočtovej zodpovednosti, ktorého pravidlá sú predmetom hodnotenia tejto správy</w:t>
      </w:r>
      <w:r w:rsidRPr="000C6669">
        <w:t xml:space="preserve">, nie je jediným zdrojom fiškálnych pravidiel uplatňovaných na Slovensku. Nemenej dôležité sú pravidlá určené </w:t>
      </w:r>
      <w:r w:rsidR="00E51E48">
        <w:t>bežnými zákonmi</w:t>
      </w:r>
      <w:r w:rsidRPr="000C6669">
        <w:t xml:space="preserve">: rozpočtové pravidlá verejnej správy, územnej samosprávy a zákon o štátnom rozpočte. Okrem týchto pravidiel definovaných na národnej úrovni sa na Slovensko vzťahujú aj pravidlá európskeho spoločenstva </w:t>
      </w:r>
      <w:r w:rsidR="00E51E48">
        <w:t xml:space="preserve">a pravidlá </w:t>
      </w:r>
      <w:r w:rsidRPr="000C6669">
        <w:t>vyplývajúce z medzinárodných zmlúv (prehľad je uvedený v schéme 1).</w:t>
      </w:r>
      <w:r w:rsidRPr="00B81300">
        <w:rPr>
          <w:highlight w:val="yellow"/>
        </w:rPr>
        <w:t xml:space="preserve"> </w:t>
      </w:r>
    </w:p>
    <w:p w14:paraId="7715F735" w14:textId="77777777" w:rsidR="000C1C38" w:rsidRPr="00B81300" w:rsidRDefault="000C1C38" w:rsidP="000C1C38">
      <w:pPr>
        <w:rPr>
          <w:szCs w:val="12"/>
          <w:highlight w:val="yellow"/>
        </w:rPr>
      </w:pPr>
    </w:p>
    <w:p w14:paraId="20B9A09F" w14:textId="77777777" w:rsidR="000C1C38" w:rsidRPr="00636105" w:rsidRDefault="000C1C38" w:rsidP="000C1C38">
      <w:pPr>
        <w:pStyle w:val="schma"/>
      </w:pPr>
      <w:bookmarkStart w:id="412" w:name="_Toc523393457"/>
      <w:bookmarkStart w:id="413" w:name="_Toc49506910"/>
      <w:r w:rsidRPr="00636105">
        <w:t>Schéma 1: Prehľad rozpočtových pravidiel týkajúcich sa SR</w:t>
      </w:r>
      <w:bookmarkEnd w:id="412"/>
      <w:bookmarkEnd w:id="413"/>
    </w:p>
    <w:p w14:paraId="0C53AAB0" w14:textId="77777777" w:rsidR="000C1C38" w:rsidRPr="00B81300" w:rsidRDefault="000C1C38" w:rsidP="000C1C38">
      <w:pPr>
        <w:jc w:val="both"/>
        <w:rPr>
          <w:highlight w:val="yellow"/>
        </w:rPr>
      </w:pPr>
      <w:r w:rsidRPr="00B81300">
        <w:rPr>
          <w:noProof/>
          <w:highlight w:val="yellow"/>
        </w:rPr>
        <mc:AlternateContent>
          <mc:Choice Requires="wps">
            <w:drawing>
              <wp:anchor distT="0" distB="0" distL="114300" distR="114300" simplePos="0" relativeHeight="251658248" behindDoc="0" locked="0" layoutInCell="1" allowOverlap="1" wp14:anchorId="61C2C145" wp14:editId="077D60B7">
                <wp:simplePos x="0" y="0"/>
                <wp:positionH relativeFrom="column">
                  <wp:posOffset>483870</wp:posOffset>
                </wp:positionH>
                <wp:positionV relativeFrom="paragraph">
                  <wp:posOffset>53340</wp:posOffset>
                </wp:positionV>
                <wp:extent cx="1739900" cy="224790"/>
                <wp:effectExtent l="0" t="0" r="12700" b="22860"/>
                <wp:wrapNone/>
                <wp:docPr id="7" name="Text Box 7"/>
                <wp:cNvGraphicFramePr/>
                <a:graphic xmlns:a="http://schemas.openxmlformats.org/drawingml/2006/main">
                  <a:graphicData uri="http://schemas.microsoft.com/office/word/2010/wordprocessingShape">
                    <wps:wsp>
                      <wps:cNvSpPr txBox="1"/>
                      <wps:spPr>
                        <a:xfrm>
                          <a:off x="0" y="0"/>
                          <a:ext cx="1739900" cy="224790"/>
                        </a:xfrm>
                        <a:prstGeom prst="rect">
                          <a:avLst/>
                        </a:prstGeom>
                        <a:solidFill>
                          <a:srgbClr val="B1E8F9"/>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E9F318" w14:textId="77777777" w:rsidR="00C47F47" w:rsidRPr="00976A22" w:rsidRDefault="00C47F47" w:rsidP="000C1C38">
                            <w:pPr>
                              <w:jc w:val="center"/>
                              <w:rPr>
                                <w:i/>
                                <w:sz w:val="18"/>
                              </w:rPr>
                            </w:pPr>
                            <w:r w:rsidRPr="00976A22">
                              <w:rPr>
                                <w:i/>
                                <w:sz w:val="18"/>
                              </w:rPr>
                              <w:t>Národné pravidlá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C2C145" id="Text Box 7" o:spid="_x0000_s1027" type="#_x0000_t202" style="position:absolute;left:0;text-align:left;margin-left:38.1pt;margin-top:4.2pt;width:137pt;height:17.7pt;z-index:251658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" fillcolor="#b1e8f9" strokeweight=".5pt">
                <v:textbox>
                  <w:txbxContent>
                    <w:p w14:paraId="5BE9F318" w14:textId="77777777" w:rsidR="00C47F47" w:rsidRPr="00976A22" w:rsidRDefault="00C47F47" w:rsidP="000C1C38">
                      <w:pPr>
                        <w:jc w:val="center"/>
                        <w:rPr>
                          <w:i/>
                          <w:sz w:val="18"/>
                        </w:rPr>
                      </w:pPr>
                      <w:r w:rsidRPr="00976A22">
                        <w:rPr>
                          <w:i/>
                          <w:sz w:val="18"/>
                        </w:rPr>
                        <w:t>Národné pravidlá</w:t>
                      </w:r>
                    </w:p>
                  </w:txbxContent>
                </v:textbox>
              </v:shape>
            </w:pict>
          </mc:Fallback>
        </mc:AlternateContent>
      </w:r>
      <w:r w:rsidRPr="00B81300">
        <w:rPr>
          <w:noProof/>
          <w:highlight w:val="yellow"/>
        </w:rPr>
        <mc:AlternateContent>
          <mc:Choice Requires="wps">
            <w:drawing>
              <wp:anchor distT="0" distB="0" distL="114300" distR="114300" simplePos="0" relativeHeight="251658249" behindDoc="0" locked="0" layoutInCell="1" allowOverlap="1" wp14:anchorId="6FF40E7D" wp14:editId="00DCD297">
                <wp:simplePos x="0" y="0"/>
                <wp:positionH relativeFrom="column">
                  <wp:posOffset>3547745</wp:posOffset>
                </wp:positionH>
                <wp:positionV relativeFrom="paragraph">
                  <wp:posOffset>53340</wp:posOffset>
                </wp:positionV>
                <wp:extent cx="1739900" cy="224790"/>
                <wp:effectExtent l="0" t="0" r="12700" b="22860"/>
                <wp:wrapNone/>
                <wp:docPr id="9" name="Text Box 9"/>
                <wp:cNvGraphicFramePr/>
                <a:graphic xmlns:a="http://schemas.openxmlformats.org/drawingml/2006/main">
                  <a:graphicData uri="http://schemas.microsoft.com/office/word/2010/wordprocessingShape">
                    <wps:wsp>
                      <wps:cNvSpPr txBox="1"/>
                      <wps:spPr>
                        <a:xfrm>
                          <a:off x="0" y="0"/>
                          <a:ext cx="1739900" cy="224790"/>
                        </a:xfrm>
                        <a:prstGeom prst="rect">
                          <a:avLst/>
                        </a:prstGeom>
                        <a:solidFill>
                          <a:srgbClr val="B1E8F9"/>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357397" w14:textId="77777777" w:rsidR="00C47F47" w:rsidRPr="00976A22" w:rsidRDefault="00C47F47" w:rsidP="000C1C38">
                            <w:pPr>
                              <w:jc w:val="center"/>
                              <w:rPr>
                                <w:i/>
                                <w:sz w:val="18"/>
                              </w:rPr>
                            </w:pPr>
                            <w:r w:rsidRPr="00976A22">
                              <w:rPr>
                                <w:i/>
                                <w:sz w:val="18"/>
                              </w:rPr>
                              <w:t>Medzinárodné pravidlá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F40E7D" id="Text Box 9" o:spid="_x0000_s1028" type="#_x0000_t202" style="position:absolute;left:0;text-align:left;margin-left:279.35pt;margin-top:4.2pt;width:137pt;height:17.7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" fillcolor="#b1e8f9" strokeweight=".5pt">
                <v:textbox>
                  <w:txbxContent>
                    <w:p w14:paraId="11357397" w14:textId="77777777" w:rsidR="00C47F47" w:rsidRPr="00976A22" w:rsidRDefault="00C47F47" w:rsidP="000C1C38">
                      <w:pPr>
                        <w:jc w:val="center"/>
                        <w:rPr>
                          <w:i/>
                          <w:sz w:val="18"/>
                        </w:rPr>
                      </w:pPr>
                      <w:r w:rsidRPr="00976A22">
                        <w:rPr>
                          <w:i/>
                          <w:sz w:val="18"/>
                        </w:rPr>
                        <w:t>Medzinárodné pravidlá</w:t>
                      </w:r>
                    </w:p>
                  </w:txbxContent>
                </v:textbox>
              </v:shape>
            </w:pict>
          </mc:Fallback>
        </mc:AlternateContent>
      </w:r>
    </w:p>
    <w:p w14:paraId="00C7DAE3" w14:textId="2F168FE6" w:rsidR="000C1C38" w:rsidRPr="00B81300" w:rsidRDefault="00825EB0" w:rsidP="000C1C38">
      <w:pPr>
        <w:jc w:val="both"/>
        <w:rPr>
          <w:highlight w:val="yellow"/>
        </w:rPr>
      </w:pPr>
      <w:r w:rsidRPr="00B81300">
        <w:rPr>
          <w:noProof/>
          <w:highlight w:val="yellow"/>
        </w:rPr>
        <mc:AlternateContent>
          <mc:Choice Requires="wps">
            <w:drawing>
              <wp:anchor distT="0" distB="0" distL="114300" distR="114300" simplePos="0" relativeHeight="251658245" behindDoc="0" locked="0" layoutInCell="1" allowOverlap="1" wp14:anchorId="298719CE" wp14:editId="1FF8F877">
                <wp:simplePos x="0" y="0"/>
                <wp:positionH relativeFrom="column">
                  <wp:posOffset>2946951</wp:posOffset>
                </wp:positionH>
                <wp:positionV relativeFrom="paragraph">
                  <wp:posOffset>174170</wp:posOffset>
                </wp:positionV>
                <wp:extent cx="2823845" cy="2053087"/>
                <wp:effectExtent l="0" t="0" r="14605" b="23495"/>
                <wp:wrapNone/>
                <wp:docPr id="1" name="Text Box 11"/>
                <wp:cNvGraphicFramePr/>
                <a:graphic xmlns:a="http://schemas.openxmlformats.org/drawingml/2006/main">
                  <a:graphicData uri="http://schemas.microsoft.com/office/word/2010/wordprocessingShape">
                    <wps:wsp>
                      <wps:cNvSpPr txBox="1"/>
                      <wps:spPr>
                        <a:xfrm>
                          <a:off x="0" y="0"/>
                          <a:ext cx="2823845" cy="2053087"/>
                        </a:xfrm>
                        <a:prstGeom prst="rect">
                          <a:avLst/>
                        </a:prstGeom>
                        <a:solidFill>
                          <a:schemeClr val="lt1"/>
                        </a:solidFill>
                        <a:ln w="6350">
                          <a:solidFill>
                            <a:srgbClr val="13B5EA"/>
                          </a:solidFill>
                        </a:ln>
                        <a:effectLst/>
                      </wps:spPr>
                      <wps:style>
                        <a:lnRef idx="0">
                          <a:schemeClr val="accent1"/>
                        </a:lnRef>
                        <a:fillRef idx="0">
                          <a:schemeClr val="accent1"/>
                        </a:fillRef>
                        <a:effectRef idx="0">
                          <a:schemeClr val="accent1"/>
                        </a:effectRef>
                        <a:fontRef idx="minor">
                          <a:schemeClr val="dk1"/>
                        </a:fontRef>
                      </wps:style>
                      <wps:txbx>
                        <w:txbxContent>
                          <w:p w14:paraId="0A661672" w14:textId="77777777" w:rsidR="00C47F47" w:rsidRPr="00976A22" w:rsidRDefault="00C47F47" w:rsidP="000C1C38">
                            <w:pPr>
                              <w:jc w:val="center"/>
                              <w:rPr>
                                <w:b/>
                                <w:sz w:val="18"/>
                              </w:rPr>
                            </w:pPr>
                            <w:r w:rsidRPr="00976A22">
                              <w:rPr>
                                <w:b/>
                                <w:sz w:val="18"/>
                              </w:rPr>
                              <w:t>Pakt stability a rastu</w:t>
                            </w:r>
                          </w:p>
                          <w:p w14:paraId="0977C159"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 xml:space="preserve">deficit </w:t>
                            </w:r>
                            <w:r>
                              <w:rPr>
                                <w:rFonts w:ascii="Constantia" w:hAnsi="Constantia"/>
                                <w:sz w:val="18"/>
                                <w:lang w:val="en-US"/>
                              </w:rPr>
                              <w:t xml:space="preserve">&lt; 3 </w:t>
                            </w:r>
                            <w:r>
                              <w:rPr>
                                <w:rFonts w:ascii="Constantia" w:hAnsi="Constantia"/>
                                <w:sz w:val="18"/>
                              </w:rPr>
                              <w:t xml:space="preserve">% HDP, dlh </w:t>
                            </w:r>
                            <w:r>
                              <w:rPr>
                                <w:rFonts w:ascii="Constantia" w:hAnsi="Constantia"/>
                                <w:sz w:val="18"/>
                                <w:lang w:val="en-US"/>
                              </w:rPr>
                              <w:t xml:space="preserve">&lt; 60 </w:t>
                            </w:r>
                            <w:r>
                              <w:rPr>
                                <w:rFonts w:ascii="Constantia" w:hAnsi="Constantia"/>
                                <w:sz w:val="18"/>
                              </w:rPr>
                              <w:t>% HDP</w:t>
                            </w:r>
                          </w:p>
                          <w:p w14:paraId="52413412"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procedúra nadmerného deficitu</w:t>
                            </w:r>
                          </w:p>
                          <w:p w14:paraId="2A776DFB"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 xml:space="preserve">strednodobý cieľ, </w:t>
                            </w:r>
                            <w:r w:rsidRPr="00A45513">
                              <w:rPr>
                                <w:rFonts w:ascii="Constantia" w:hAnsi="Constantia"/>
                                <w:sz w:val="18"/>
                              </w:rPr>
                              <w:t>odstupňovanie tempa konsolidácie (výška dlhu, produkčná medzera)</w:t>
                            </w:r>
                          </w:p>
                          <w:p w14:paraId="1E0FEF43" w14:textId="5498ED75" w:rsidR="00C47F47" w:rsidRPr="00A45513"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procedúra výraznej odchýlky</w:t>
                            </w:r>
                          </w:p>
                          <w:p w14:paraId="42C30F0C" w14:textId="77777777" w:rsidR="00C47F47" w:rsidRPr="00A45513" w:rsidRDefault="00C47F47" w:rsidP="000C1C38">
                            <w:pPr>
                              <w:pStyle w:val="ListParagraph"/>
                              <w:numPr>
                                <w:ilvl w:val="0"/>
                                <w:numId w:val="6"/>
                              </w:numPr>
                              <w:spacing w:after="136"/>
                              <w:ind w:left="244" w:hanging="183"/>
                              <w:rPr>
                                <w:rFonts w:ascii="Constantia" w:hAnsi="Constantia"/>
                                <w:sz w:val="18"/>
                              </w:rPr>
                            </w:pPr>
                            <w:r w:rsidRPr="00A45513">
                              <w:rPr>
                                <w:rFonts w:ascii="Constantia" w:hAnsi="Constantia"/>
                                <w:sz w:val="18"/>
                              </w:rPr>
                              <w:t>zohľadnenie štrukturálnych reforiem a investícií</w:t>
                            </w:r>
                          </w:p>
                          <w:p w14:paraId="50252988"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znižovanie dlhu nad 60 % HDP o 1/20 ročne</w:t>
                            </w:r>
                          </w:p>
                          <w:p w14:paraId="3CB72F02"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výdavkové pravidlo</w:t>
                            </w:r>
                          </w:p>
                          <w:p w14:paraId="5A932914"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polo-automatické sankcie</w:t>
                            </w:r>
                          </w:p>
                          <w:p w14:paraId="5A9BDDCC" w14:textId="77777777" w:rsidR="00C47F47" w:rsidRPr="006B0840" w:rsidRDefault="00C47F47" w:rsidP="000C1C38">
                            <w:pPr>
                              <w:pStyle w:val="ListParagraph"/>
                              <w:numPr>
                                <w:ilvl w:val="0"/>
                                <w:numId w:val="6"/>
                              </w:numPr>
                              <w:spacing w:after="136"/>
                              <w:ind w:left="244" w:hanging="183"/>
                              <w:rPr>
                                <w:sz w:val="18"/>
                              </w:rPr>
                            </w:pPr>
                            <w:r>
                              <w:rPr>
                                <w:rFonts w:ascii="Constantia" w:hAnsi="Constantia"/>
                                <w:sz w:val="18"/>
                              </w:rPr>
                              <w:t>p</w:t>
                            </w:r>
                            <w:r w:rsidRPr="0008635C">
                              <w:rPr>
                                <w:rFonts w:ascii="Constantia" w:hAnsi="Constantia"/>
                                <w:sz w:val="18"/>
                              </w:rPr>
                              <w:t>osudz</w:t>
                            </w:r>
                            <w:r>
                              <w:rPr>
                                <w:rFonts w:ascii="Constantia" w:hAnsi="Constantia"/>
                                <w:sz w:val="18"/>
                              </w:rPr>
                              <w:t>ovanie</w:t>
                            </w:r>
                            <w:r w:rsidRPr="00976A22">
                              <w:rPr>
                                <w:rFonts w:ascii="Constantia" w:hAnsi="Constantia"/>
                                <w:sz w:val="18"/>
                              </w:rPr>
                              <w:t xml:space="preserve"> návrh</w:t>
                            </w:r>
                            <w:r>
                              <w:rPr>
                                <w:rFonts w:ascii="Constantia" w:hAnsi="Constantia"/>
                                <w:sz w:val="18"/>
                              </w:rPr>
                              <w:t>u</w:t>
                            </w:r>
                            <w:r w:rsidRPr="00976A22">
                              <w:rPr>
                                <w:rFonts w:ascii="Constantia" w:hAnsi="Constantia"/>
                                <w:sz w:val="18"/>
                              </w:rPr>
                              <w:t xml:space="preserve"> rozpočtu</w:t>
                            </w:r>
                            <w:r>
                              <w:rPr>
                                <w:rFonts w:ascii="Constantia" w:hAnsi="Constantia"/>
                                <w:sz w:val="18"/>
                              </w:rPr>
                              <w:t xml:space="preserve"> EK (do 15.10.)</w:t>
                            </w:r>
                          </w:p>
                          <w:p w14:paraId="2898CCC7" w14:textId="77777777" w:rsidR="00C47F47" w:rsidRPr="00834B0C" w:rsidRDefault="00C47F47" w:rsidP="000C1C38">
                            <w:pPr>
                              <w:pStyle w:val="ListParagraph"/>
                              <w:numPr>
                                <w:ilvl w:val="0"/>
                                <w:numId w:val="6"/>
                              </w:numPr>
                              <w:spacing w:after="136"/>
                              <w:ind w:left="244" w:hanging="183"/>
                              <w:rPr>
                                <w:sz w:val="18"/>
                              </w:rPr>
                            </w:pPr>
                            <w:r w:rsidRPr="00976A22">
                              <w:rPr>
                                <w:rFonts w:ascii="Constantia" w:hAnsi="Constantia"/>
                                <w:sz w:val="18"/>
                              </w:rPr>
                              <w:t>posilnenie dohľadu nad krajinami s ťažkosťami</w:t>
                            </w:r>
                          </w:p>
                          <w:p w14:paraId="08F4B6D4" w14:textId="77777777" w:rsidR="00C47F47" w:rsidRDefault="00C47F47" w:rsidP="000C1C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719CE" id="Text Box 11" o:spid="_x0000_s1029" type="#_x0000_t202" style="position:absolute;left:0;text-align:left;margin-left:232.05pt;margin-top:13.7pt;width:222.35pt;height:161.6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" fillcolor="white [3201]" strokecolor="#13b5ea" strokeweight=".5pt">
                <v:textbox>
                  <w:txbxContent>
                    <w:p w14:paraId="0A661672" w14:textId="77777777" w:rsidR="00C47F47" w:rsidRPr="00976A22" w:rsidRDefault="00C47F47" w:rsidP="000C1C38">
                      <w:pPr>
                        <w:jc w:val="center"/>
                        <w:rPr>
                          <w:b/>
                          <w:sz w:val="18"/>
                        </w:rPr>
                      </w:pPr>
                      <w:r w:rsidRPr="00976A22">
                        <w:rPr>
                          <w:b/>
                          <w:sz w:val="18"/>
                        </w:rPr>
                        <w:t>Pakt stability a rastu</w:t>
                      </w:r>
                    </w:p>
                    <w:p w14:paraId="0977C159"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 xml:space="preserve">deficit </w:t>
                      </w:r>
                      <w:r>
                        <w:rPr>
                          <w:rFonts w:ascii="Constantia" w:hAnsi="Constantia"/>
                          <w:sz w:val="18"/>
                          <w:lang w:val="en-US"/>
                        </w:rPr>
                        <w:t xml:space="preserve">&lt; 3 </w:t>
                      </w:r>
                      <w:r>
                        <w:rPr>
                          <w:rFonts w:ascii="Constantia" w:hAnsi="Constantia"/>
                          <w:sz w:val="18"/>
                        </w:rPr>
                        <w:t xml:space="preserve">% HDP, dlh </w:t>
                      </w:r>
                      <w:r>
                        <w:rPr>
                          <w:rFonts w:ascii="Constantia" w:hAnsi="Constantia"/>
                          <w:sz w:val="18"/>
                          <w:lang w:val="en-US"/>
                        </w:rPr>
                        <w:t xml:space="preserve">&lt; 60 </w:t>
                      </w:r>
                      <w:r>
                        <w:rPr>
                          <w:rFonts w:ascii="Constantia" w:hAnsi="Constantia"/>
                          <w:sz w:val="18"/>
                        </w:rPr>
                        <w:t>% HDP</w:t>
                      </w:r>
                    </w:p>
                    <w:p w14:paraId="52413412"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procedúra nadmerného deficitu</w:t>
                      </w:r>
                    </w:p>
                    <w:p w14:paraId="2A776DFB"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 xml:space="preserve">strednodobý cieľ, </w:t>
                      </w:r>
                      <w:r w:rsidRPr="00A45513">
                        <w:rPr>
                          <w:rFonts w:ascii="Constantia" w:hAnsi="Constantia"/>
                          <w:sz w:val="18"/>
                        </w:rPr>
                        <w:t>odstupňovanie tempa konsolidácie (výška dlhu, produkčná medzera)</w:t>
                      </w:r>
                    </w:p>
                    <w:p w14:paraId="1E0FEF43" w14:textId="5498ED75" w:rsidR="00C47F47" w:rsidRPr="00A45513"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procedúra výraznej odchýlky</w:t>
                      </w:r>
                    </w:p>
                    <w:p w14:paraId="42C30F0C" w14:textId="77777777" w:rsidR="00C47F47" w:rsidRPr="00A45513" w:rsidRDefault="00C47F47" w:rsidP="000C1C38">
                      <w:pPr>
                        <w:pStyle w:val="ListParagraph"/>
                        <w:numPr>
                          <w:ilvl w:val="0"/>
                          <w:numId w:val="6"/>
                        </w:numPr>
                        <w:spacing w:after="136"/>
                        <w:ind w:left="244" w:hanging="183"/>
                        <w:rPr>
                          <w:rFonts w:ascii="Constantia" w:hAnsi="Constantia"/>
                          <w:sz w:val="18"/>
                        </w:rPr>
                      </w:pPr>
                      <w:r w:rsidRPr="00A45513">
                        <w:rPr>
                          <w:rFonts w:ascii="Constantia" w:hAnsi="Constantia"/>
                          <w:sz w:val="18"/>
                        </w:rPr>
                        <w:t>zohľadnenie štrukturálnych reforiem a investícií</w:t>
                      </w:r>
                    </w:p>
                    <w:p w14:paraId="50252988"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znižovanie dlhu nad 60 % HDP o 1/20 ročne</w:t>
                      </w:r>
                    </w:p>
                    <w:p w14:paraId="3CB72F02"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výdavkové pravidlo</w:t>
                      </w:r>
                    </w:p>
                    <w:p w14:paraId="5A932914"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polo-automatické sankcie</w:t>
                      </w:r>
                    </w:p>
                    <w:p w14:paraId="5A9BDDCC" w14:textId="77777777" w:rsidR="00C47F47" w:rsidRPr="006B0840" w:rsidRDefault="00C47F47" w:rsidP="000C1C38">
                      <w:pPr>
                        <w:pStyle w:val="ListParagraph"/>
                        <w:numPr>
                          <w:ilvl w:val="0"/>
                          <w:numId w:val="6"/>
                        </w:numPr>
                        <w:spacing w:after="136"/>
                        <w:ind w:left="244" w:hanging="183"/>
                        <w:rPr>
                          <w:sz w:val="18"/>
                        </w:rPr>
                      </w:pPr>
                      <w:r>
                        <w:rPr>
                          <w:rFonts w:ascii="Constantia" w:hAnsi="Constantia"/>
                          <w:sz w:val="18"/>
                        </w:rPr>
                        <w:t>p</w:t>
                      </w:r>
                      <w:r w:rsidRPr="0008635C">
                        <w:rPr>
                          <w:rFonts w:ascii="Constantia" w:hAnsi="Constantia"/>
                          <w:sz w:val="18"/>
                        </w:rPr>
                        <w:t>osudz</w:t>
                      </w:r>
                      <w:r>
                        <w:rPr>
                          <w:rFonts w:ascii="Constantia" w:hAnsi="Constantia"/>
                          <w:sz w:val="18"/>
                        </w:rPr>
                        <w:t>ovanie</w:t>
                      </w:r>
                      <w:r w:rsidRPr="00976A22">
                        <w:rPr>
                          <w:rFonts w:ascii="Constantia" w:hAnsi="Constantia"/>
                          <w:sz w:val="18"/>
                        </w:rPr>
                        <w:t xml:space="preserve"> návrh</w:t>
                      </w:r>
                      <w:r>
                        <w:rPr>
                          <w:rFonts w:ascii="Constantia" w:hAnsi="Constantia"/>
                          <w:sz w:val="18"/>
                        </w:rPr>
                        <w:t>u</w:t>
                      </w:r>
                      <w:r w:rsidRPr="00976A22">
                        <w:rPr>
                          <w:rFonts w:ascii="Constantia" w:hAnsi="Constantia"/>
                          <w:sz w:val="18"/>
                        </w:rPr>
                        <w:t xml:space="preserve"> rozpočtu</w:t>
                      </w:r>
                      <w:r>
                        <w:rPr>
                          <w:rFonts w:ascii="Constantia" w:hAnsi="Constantia"/>
                          <w:sz w:val="18"/>
                        </w:rPr>
                        <w:t xml:space="preserve"> EK (do 15.10.)</w:t>
                      </w:r>
                    </w:p>
                    <w:p w14:paraId="2898CCC7" w14:textId="77777777" w:rsidR="00C47F47" w:rsidRPr="00834B0C" w:rsidRDefault="00C47F47" w:rsidP="000C1C38">
                      <w:pPr>
                        <w:pStyle w:val="ListParagraph"/>
                        <w:numPr>
                          <w:ilvl w:val="0"/>
                          <w:numId w:val="6"/>
                        </w:numPr>
                        <w:spacing w:after="136"/>
                        <w:ind w:left="244" w:hanging="183"/>
                        <w:rPr>
                          <w:sz w:val="18"/>
                        </w:rPr>
                      </w:pPr>
                      <w:r w:rsidRPr="00976A22">
                        <w:rPr>
                          <w:rFonts w:ascii="Constantia" w:hAnsi="Constantia"/>
                          <w:sz w:val="18"/>
                        </w:rPr>
                        <w:t>posilnenie dohľadu nad krajinami s ťažkosťami</w:t>
                      </w:r>
                    </w:p>
                    <w:p w14:paraId="08F4B6D4" w14:textId="77777777" w:rsidR="00C47F47" w:rsidRDefault="00C47F47" w:rsidP="000C1C38"/>
                  </w:txbxContent>
                </v:textbox>
              </v:shape>
            </w:pict>
          </mc:Fallback>
        </mc:AlternateContent>
      </w:r>
    </w:p>
    <w:p w14:paraId="0E24EBBE" w14:textId="0F9B3CD4" w:rsidR="000C1C38" w:rsidRPr="00B81300" w:rsidRDefault="000C1C38" w:rsidP="000C1C38">
      <w:pPr>
        <w:jc w:val="both"/>
        <w:rPr>
          <w:highlight w:val="yellow"/>
        </w:rPr>
      </w:pPr>
      <w:r w:rsidRPr="00B81300">
        <w:rPr>
          <w:noProof/>
          <w:highlight w:val="yellow"/>
        </w:rPr>
        <mc:AlternateContent>
          <mc:Choice Requires="wps">
            <w:drawing>
              <wp:anchor distT="0" distB="0" distL="114300" distR="114300" simplePos="0" relativeHeight="251658250" behindDoc="0" locked="0" layoutInCell="1" allowOverlap="1" wp14:anchorId="3287A407" wp14:editId="18AC6ABA">
                <wp:simplePos x="0" y="0"/>
                <wp:positionH relativeFrom="column">
                  <wp:posOffset>2870200</wp:posOffset>
                </wp:positionH>
                <wp:positionV relativeFrom="page">
                  <wp:posOffset>4831080</wp:posOffset>
                </wp:positionV>
                <wp:extent cx="0" cy="4162425"/>
                <wp:effectExtent l="0" t="0" r="38100" b="28575"/>
                <wp:wrapNone/>
                <wp:docPr id="12" name="Straight Connector 12"/>
                <wp:cNvGraphicFramePr/>
                <a:graphic xmlns:a="http://schemas.openxmlformats.org/drawingml/2006/main">
                  <a:graphicData uri="http://schemas.microsoft.com/office/word/2010/wordprocessingShape">
                    <wps:wsp>
                      <wps:cNvCnPr/>
                      <wps:spPr>
                        <a:xfrm>
                          <a:off x="0" y="0"/>
                          <a:ext cx="0" cy="4162425"/>
                        </a:xfrm>
                        <a:prstGeom prst="line">
                          <a:avLst/>
                        </a:prstGeom>
                        <a:ln w="19050" cmpd="sng">
                          <a:solidFill>
                            <a:srgbClr val="13B5EA"/>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arto="http://schemas.microsoft.com/office/word/2006/arto" xmlns:a14="http://schemas.microsoft.com/office/drawing/2010/main" xmlns:pic="http://schemas.openxmlformats.org/drawingml/2006/picture" xmlns:a="http://schemas.openxmlformats.org/drawingml/2006/main">
            <w:pict w14:anchorId="658ADBF4">
              <v:line id="Straight Connector 12" style="position:absolute;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spid="_x0000_s1026" strokecolor="#13b5ea" strokeweight="1.5pt" from="226pt,380.4pt" to="226pt,708.15pt" w14:anchorId="2F5ADC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">
                <v:stroke dashstyle="dash"/>
                <w10:wrap anchory="page"/>
              </v:line>
            </w:pict>
          </mc:Fallback>
        </mc:AlternateContent>
      </w:r>
      <w:r w:rsidRPr="00B81300">
        <w:rPr>
          <w:noProof/>
          <w:highlight w:val="yellow"/>
        </w:rPr>
        <mc:AlternateContent>
          <mc:Choice Requires="wps">
            <w:drawing>
              <wp:anchor distT="0" distB="0" distL="114300" distR="114300" simplePos="0" relativeHeight="251658243" behindDoc="0" locked="0" layoutInCell="1" allowOverlap="1" wp14:anchorId="75D9335A" wp14:editId="2893E9C0">
                <wp:simplePos x="0" y="0"/>
                <wp:positionH relativeFrom="column">
                  <wp:posOffset>4445</wp:posOffset>
                </wp:positionH>
                <wp:positionV relativeFrom="paragraph">
                  <wp:posOffset>5080</wp:posOffset>
                </wp:positionV>
                <wp:extent cx="2783205" cy="1076325"/>
                <wp:effectExtent l="0" t="0" r="17145" b="28575"/>
                <wp:wrapNone/>
                <wp:docPr id="25" name="Text Box 9"/>
                <wp:cNvGraphicFramePr/>
                <a:graphic xmlns:a="http://schemas.openxmlformats.org/drawingml/2006/main">
                  <a:graphicData uri="http://schemas.microsoft.com/office/word/2010/wordprocessingShape">
                    <wps:wsp>
                      <wps:cNvSpPr txBox="1"/>
                      <wps:spPr>
                        <a:xfrm>
                          <a:off x="0" y="0"/>
                          <a:ext cx="2783205" cy="1076325"/>
                        </a:xfrm>
                        <a:prstGeom prst="rect">
                          <a:avLst/>
                        </a:prstGeom>
                        <a:solidFill>
                          <a:schemeClr val="lt1"/>
                        </a:solidFill>
                        <a:ln w="6350">
                          <a:solidFill>
                            <a:srgbClr val="13B5EA"/>
                          </a:solidFill>
                        </a:ln>
                        <a:effectLst/>
                      </wps:spPr>
                      <wps:style>
                        <a:lnRef idx="0">
                          <a:schemeClr val="accent1"/>
                        </a:lnRef>
                        <a:fillRef idx="0">
                          <a:schemeClr val="accent1"/>
                        </a:fillRef>
                        <a:effectRef idx="0">
                          <a:schemeClr val="accent1"/>
                        </a:effectRef>
                        <a:fontRef idx="minor">
                          <a:schemeClr val="dk1"/>
                        </a:fontRef>
                      </wps:style>
                      <wps:txbx>
                        <w:txbxContent>
                          <w:p w14:paraId="6536EFFE" w14:textId="77777777" w:rsidR="00C47F47" w:rsidRPr="00976A22" w:rsidRDefault="00C47F47" w:rsidP="000C1C38">
                            <w:pPr>
                              <w:jc w:val="center"/>
                              <w:rPr>
                                <w:b/>
                                <w:sz w:val="18"/>
                              </w:rPr>
                            </w:pPr>
                            <w:r w:rsidRPr="00976A22">
                              <w:rPr>
                                <w:b/>
                                <w:sz w:val="18"/>
                              </w:rPr>
                              <w:t>Ústavný zákon o rozpočtovej zodpovednosti</w:t>
                            </w:r>
                          </w:p>
                          <w:p w14:paraId="07A1DF49" w14:textId="73A5D3B4" w:rsidR="00C47F47" w:rsidRPr="00976A22" w:rsidRDefault="00C47F47" w:rsidP="000C1C38">
                            <w:pPr>
                              <w:pStyle w:val="ListParagraph"/>
                              <w:numPr>
                                <w:ilvl w:val="0"/>
                                <w:numId w:val="6"/>
                              </w:numPr>
                              <w:spacing w:after="136"/>
                              <w:ind w:left="244" w:hanging="183"/>
                              <w:rPr>
                                <w:sz w:val="18"/>
                              </w:rPr>
                            </w:pPr>
                            <w:r w:rsidRPr="00976A22">
                              <w:rPr>
                                <w:rFonts w:ascii="Constantia" w:hAnsi="Constantia"/>
                                <w:sz w:val="18"/>
                              </w:rPr>
                              <w:t>dlhová brzda</w:t>
                            </w:r>
                            <w:r>
                              <w:rPr>
                                <w:rFonts w:ascii="Constantia" w:hAnsi="Constantia"/>
                                <w:sz w:val="18"/>
                              </w:rPr>
                              <w:t xml:space="preserve"> (48-58 % HDP v roku 2019</w:t>
                            </w:r>
                            <w:r w:rsidRPr="00751A8B">
                              <w:rPr>
                                <w:rFonts w:ascii="Constantia" w:hAnsi="Constantia"/>
                                <w:color w:val="13B5EA"/>
                                <w:sz w:val="18"/>
                              </w:rPr>
                              <w:t>*</w:t>
                            </w:r>
                            <w:r>
                              <w:rPr>
                                <w:rFonts w:ascii="Constantia" w:hAnsi="Constantia"/>
                                <w:sz w:val="18"/>
                              </w:rPr>
                              <w:t>)</w:t>
                            </w:r>
                          </w:p>
                          <w:p w14:paraId="67FF983B" w14:textId="0667137D" w:rsidR="00C47F47" w:rsidRDefault="00C47F47" w:rsidP="000C1C38">
                            <w:pPr>
                              <w:pStyle w:val="ListParagraph"/>
                              <w:numPr>
                                <w:ilvl w:val="0"/>
                                <w:numId w:val="6"/>
                              </w:numPr>
                              <w:spacing w:after="136"/>
                              <w:ind w:left="244" w:hanging="183"/>
                              <w:rPr>
                                <w:sz w:val="18"/>
                              </w:rPr>
                            </w:pPr>
                            <w:r>
                              <w:rPr>
                                <w:rFonts w:ascii="Constantia" w:hAnsi="Constantia"/>
                                <w:sz w:val="18"/>
                              </w:rPr>
                              <w:t>výdavkový limit (bez špecifikácie)</w:t>
                            </w:r>
                          </w:p>
                          <w:p w14:paraId="53800FC9"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 xml:space="preserve">pravidlá pre </w:t>
                            </w:r>
                            <w:r w:rsidRPr="00976A22">
                              <w:rPr>
                                <w:rFonts w:ascii="Constantia" w:hAnsi="Constantia"/>
                                <w:sz w:val="18"/>
                              </w:rPr>
                              <w:t>samosprávy</w:t>
                            </w:r>
                            <w:r>
                              <w:rPr>
                                <w:rFonts w:ascii="Constantia" w:hAnsi="Constantia"/>
                                <w:sz w:val="18"/>
                              </w:rPr>
                              <w:t>, ulože</w:t>
                            </w:r>
                            <w:r w:rsidRPr="00A45513">
                              <w:rPr>
                                <w:rFonts w:ascii="Constantia" w:hAnsi="Constantia"/>
                                <w:sz w:val="18"/>
                              </w:rPr>
                              <w:t>nie pokuty pre samosprávy s dlhom nad 60 % bežných príjmov</w:t>
                            </w:r>
                          </w:p>
                          <w:p w14:paraId="72EA71A0" w14:textId="77777777" w:rsidR="00C47F47" w:rsidRPr="00976A22" w:rsidRDefault="00C47F47" w:rsidP="000C1C38">
                            <w:pPr>
                              <w:pStyle w:val="ListParagraph"/>
                              <w:numPr>
                                <w:ilvl w:val="0"/>
                                <w:numId w:val="6"/>
                              </w:numPr>
                              <w:spacing w:after="136"/>
                              <w:ind w:left="244" w:hanging="183"/>
                              <w:rPr>
                                <w:sz w:val="18"/>
                              </w:rPr>
                            </w:pPr>
                            <w:r>
                              <w:rPr>
                                <w:rFonts w:ascii="Constantia" w:hAnsi="Constantia"/>
                                <w:sz w:val="18"/>
                              </w:rPr>
                              <w:t xml:space="preserve">pravidlá </w:t>
                            </w:r>
                            <w:r w:rsidRPr="009B14E2">
                              <w:rPr>
                                <w:rFonts w:ascii="Constantia" w:hAnsi="Constantia"/>
                                <w:sz w:val="18"/>
                              </w:rPr>
                              <w:t>transparentnos</w:t>
                            </w:r>
                            <w:r>
                              <w:rPr>
                                <w:rFonts w:ascii="Constantia" w:hAnsi="Constantia"/>
                                <w:sz w:val="18"/>
                              </w:rPr>
                              <w:t>ti</w:t>
                            </w:r>
                          </w:p>
                          <w:p w14:paraId="2715FEA3" w14:textId="77777777" w:rsidR="00C47F47" w:rsidRPr="00976A22" w:rsidRDefault="00C47F47" w:rsidP="000C1C38">
                            <w:pPr>
                              <w:pStyle w:val="ListParagraph"/>
                              <w:spacing w:after="136"/>
                              <w:ind w:left="244"/>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9335A" id="_x0000_s1030" type="#_x0000_t202" style="position:absolute;left:0;text-align:left;margin-left:.35pt;margin-top:.4pt;width:219.15pt;height:84.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" fillcolor="white [3201]" strokecolor="#13b5ea" strokeweight=".5pt">
                <v:textbox>
                  <w:txbxContent>
                    <w:p w14:paraId="6536EFFE" w14:textId="77777777" w:rsidR="00C47F47" w:rsidRPr="00976A22" w:rsidRDefault="00C47F47" w:rsidP="000C1C38">
                      <w:pPr>
                        <w:jc w:val="center"/>
                        <w:rPr>
                          <w:b/>
                          <w:sz w:val="18"/>
                        </w:rPr>
                      </w:pPr>
                      <w:r w:rsidRPr="00976A22">
                        <w:rPr>
                          <w:b/>
                          <w:sz w:val="18"/>
                        </w:rPr>
                        <w:t>Ústavný zákon o rozpočtovej zodpovednosti</w:t>
                      </w:r>
                    </w:p>
                    <w:p w14:paraId="07A1DF49" w14:textId="73A5D3B4" w:rsidR="00C47F47" w:rsidRPr="00976A22" w:rsidRDefault="00C47F47" w:rsidP="000C1C38">
                      <w:pPr>
                        <w:pStyle w:val="ListParagraph"/>
                        <w:numPr>
                          <w:ilvl w:val="0"/>
                          <w:numId w:val="6"/>
                        </w:numPr>
                        <w:spacing w:after="136"/>
                        <w:ind w:left="244" w:hanging="183"/>
                        <w:rPr>
                          <w:sz w:val="18"/>
                        </w:rPr>
                      </w:pPr>
                      <w:r w:rsidRPr="00976A22">
                        <w:rPr>
                          <w:rFonts w:ascii="Constantia" w:hAnsi="Constantia"/>
                          <w:sz w:val="18"/>
                        </w:rPr>
                        <w:t>dlhová brzda</w:t>
                      </w:r>
                      <w:r>
                        <w:rPr>
                          <w:rFonts w:ascii="Constantia" w:hAnsi="Constantia"/>
                          <w:sz w:val="18"/>
                        </w:rPr>
                        <w:t xml:space="preserve"> (48-58 % HDP v roku 2019</w:t>
                      </w:r>
                      <w:r w:rsidRPr="00751A8B">
                        <w:rPr>
                          <w:rFonts w:ascii="Constantia" w:hAnsi="Constantia"/>
                          <w:color w:val="13B5EA"/>
                          <w:sz w:val="18"/>
                        </w:rPr>
                        <w:t>*</w:t>
                      </w:r>
                      <w:r>
                        <w:rPr>
                          <w:rFonts w:ascii="Constantia" w:hAnsi="Constantia"/>
                          <w:sz w:val="18"/>
                        </w:rPr>
                        <w:t>)</w:t>
                      </w:r>
                    </w:p>
                    <w:p w14:paraId="67FF983B" w14:textId="0667137D" w:rsidR="00C47F47" w:rsidRDefault="00C47F47" w:rsidP="000C1C38">
                      <w:pPr>
                        <w:pStyle w:val="ListParagraph"/>
                        <w:numPr>
                          <w:ilvl w:val="0"/>
                          <w:numId w:val="6"/>
                        </w:numPr>
                        <w:spacing w:after="136"/>
                        <w:ind w:left="244" w:hanging="183"/>
                        <w:rPr>
                          <w:sz w:val="18"/>
                        </w:rPr>
                      </w:pPr>
                      <w:r>
                        <w:rPr>
                          <w:rFonts w:ascii="Constantia" w:hAnsi="Constantia"/>
                          <w:sz w:val="18"/>
                        </w:rPr>
                        <w:t>výdavkový limit (bez špecifikácie)</w:t>
                      </w:r>
                    </w:p>
                    <w:p w14:paraId="53800FC9"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 xml:space="preserve">pravidlá pre </w:t>
                      </w:r>
                      <w:r w:rsidRPr="00976A22">
                        <w:rPr>
                          <w:rFonts w:ascii="Constantia" w:hAnsi="Constantia"/>
                          <w:sz w:val="18"/>
                        </w:rPr>
                        <w:t>samosprávy</w:t>
                      </w:r>
                      <w:r>
                        <w:rPr>
                          <w:rFonts w:ascii="Constantia" w:hAnsi="Constantia"/>
                          <w:sz w:val="18"/>
                        </w:rPr>
                        <w:t>, ulože</w:t>
                      </w:r>
                      <w:r w:rsidRPr="00A45513">
                        <w:rPr>
                          <w:rFonts w:ascii="Constantia" w:hAnsi="Constantia"/>
                          <w:sz w:val="18"/>
                        </w:rPr>
                        <w:t>nie pokuty pre samosprávy s dlhom nad 60 % bežných príjmov</w:t>
                      </w:r>
                    </w:p>
                    <w:p w14:paraId="72EA71A0" w14:textId="77777777" w:rsidR="00C47F47" w:rsidRPr="00976A22" w:rsidRDefault="00C47F47" w:rsidP="000C1C38">
                      <w:pPr>
                        <w:pStyle w:val="ListParagraph"/>
                        <w:numPr>
                          <w:ilvl w:val="0"/>
                          <w:numId w:val="6"/>
                        </w:numPr>
                        <w:spacing w:after="136"/>
                        <w:ind w:left="244" w:hanging="183"/>
                        <w:rPr>
                          <w:sz w:val="18"/>
                        </w:rPr>
                      </w:pPr>
                      <w:r>
                        <w:rPr>
                          <w:rFonts w:ascii="Constantia" w:hAnsi="Constantia"/>
                          <w:sz w:val="18"/>
                        </w:rPr>
                        <w:t xml:space="preserve">pravidlá </w:t>
                      </w:r>
                      <w:r w:rsidRPr="009B14E2">
                        <w:rPr>
                          <w:rFonts w:ascii="Constantia" w:hAnsi="Constantia"/>
                          <w:sz w:val="18"/>
                        </w:rPr>
                        <w:t>transparentnos</w:t>
                      </w:r>
                      <w:r>
                        <w:rPr>
                          <w:rFonts w:ascii="Constantia" w:hAnsi="Constantia"/>
                          <w:sz w:val="18"/>
                        </w:rPr>
                        <w:t>ti</w:t>
                      </w:r>
                    </w:p>
                    <w:p w14:paraId="2715FEA3" w14:textId="77777777" w:rsidR="00C47F47" w:rsidRPr="00976A22" w:rsidRDefault="00C47F47" w:rsidP="000C1C38">
                      <w:pPr>
                        <w:pStyle w:val="ListParagraph"/>
                        <w:spacing w:after="136"/>
                        <w:ind w:left="244"/>
                        <w:rPr>
                          <w:sz w:val="18"/>
                        </w:rPr>
                      </w:pPr>
                    </w:p>
                  </w:txbxContent>
                </v:textbox>
              </v:shape>
            </w:pict>
          </mc:Fallback>
        </mc:AlternateContent>
      </w:r>
    </w:p>
    <w:p w14:paraId="3974911F" w14:textId="77777777" w:rsidR="000C1C38" w:rsidRPr="00B81300" w:rsidRDefault="000C1C38" w:rsidP="000C1C38">
      <w:pPr>
        <w:jc w:val="both"/>
        <w:rPr>
          <w:highlight w:val="yellow"/>
        </w:rPr>
      </w:pPr>
    </w:p>
    <w:p w14:paraId="47F020F9" w14:textId="77777777" w:rsidR="000C1C38" w:rsidRPr="00B81300" w:rsidRDefault="000C1C38" w:rsidP="000C1C38">
      <w:pPr>
        <w:jc w:val="both"/>
        <w:rPr>
          <w:highlight w:val="yellow"/>
        </w:rPr>
      </w:pPr>
    </w:p>
    <w:p w14:paraId="622DD65C" w14:textId="77777777" w:rsidR="000C1C38" w:rsidRPr="00B81300" w:rsidRDefault="000C1C38" w:rsidP="000C1C38">
      <w:pPr>
        <w:jc w:val="both"/>
        <w:rPr>
          <w:highlight w:val="yellow"/>
        </w:rPr>
      </w:pPr>
    </w:p>
    <w:p w14:paraId="13856276" w14:textId="77777777" w:rsidR="000C1C38" w:rsidRPr="00B81300" w:rsidRDefault="000C1C38" w:rsidP="000C1C38">
      <w:pPr>
        <w:jc w:val="both"/>
        <w:rPr>
          <w:highlight w:val="yellow"/>
        </w:rPr>
      </w:pPr>
    </w:p>
    <w:p w14:paraId="7F1F16F0" w14:textId="77777777" w:rsidR="000C1C38" w:rsidRPr="00B81300" w:rsidRDefault="000C1C38" w:rsidP="000C1C38">
      <w:pPr>
        <w:jc w:val="both"/>
        <w:rPr>
          <w:highlight w:val="yellow"/>
        </w:rPr>
      </w:pPr>
    </w:p>
    <w:p w14:paraId="66BFFFBA" w14:textId="77777777" w:rsidR="000C1C38" w:rsidRPr="00B81300" w:rsidRDefault="000C1C38" w:rsidP="000C1C38">
      <w:pPr>
        <w:jc w:val="both"/>
        <w:rPr>
          <w:highlight w:val="yellow"/>
        </w:rPr>
      </w:pPr>
      <w:r w:rsidRPr="00B81300">
        <w:rPr>
          <w:noProof/>
          <w:highlight w:val="yellow"/>
        </w:rPr>
        <mc:AlternateContent>
          <mc:Choice Requires="wps">
            <w:drawing>
              <wp:anchor distT="0" distB="0" distL="114300" distR="114300" simplePos="0" relativeHeight="251658246" behindDoc="0" locked="0" layoutInCell="1" allowOverlap="1" wp14:anchorId="4D7B2D83" wp14:editId="098DCE5D">
                <wp:simplePos x="0" y="0"/>
                <wp:positionH relativeFrom="column">
                  <wp:posOffset>4445</wp:posOffset>
                </wp:positionH>
                <wp:positionV relativeFrom="paragraph">
                  <wp:posOffset>153035</wp:posOffset>
                </wp:positionV>
                <wp:extent cx="2783205" cy="1743075"/>
                <wp:effectExtent l="0" t="0" r="17145" b="28575"/>
                <wp:wrapNone/>
                <wp:docPr id="26" name="Text Box 12"/>
                <wp:cNvGraphicFramePr/>
                <a:graphic xmlns:a="http://schemas.openxmlformats.org/drawingml/2006/main">
                  <a:graphicData uri="http://schemas.microsoft.com/office/word/2010/wordprocessingShape">
                    <wps:wsp>
                      <wps:cNvSpPr txBox="1"/>
                      <wps:spPr>
                        <a:xfrm>
                          <a:off x="0" y="0"/>
                          <a:ext cx="2783205" cy="1743075"/>
                        </a:xfrm>
                        <a:prstGeom prst="rect">
                          <a:avLst/>
                        </a:prstGeom>
                        <a:solidFill>
                          <a:schemeClr val="lt1"/>
                        </a:solidFill>
                        <a:ln w="6350">
                          <a:solidFill>
                            <a:srgbClr val="13B5EA"/>
                          </a:solidFill>
                        </a:ln>
                        <a:effectLst/>
                      </wps:spPr>
                      <wps:style>
                        <a:lnRef idx="0">
                          <a:schemeClr val="accent1"/>
                        </a:lnRef>
                        <a:fillRef idx="0">
                          <a:schemeClr val="accent1"/>
                        </a:fillRef>
                        <a:effectRef idx="0">
                          <a:schemeClr val="accent1"/>
                        </a:effectRef>
                        <a:fontRef idx="minor">
                          <a:schemeClr val="dk1"/>
                        </a:fontRef>
                      </wps:style>
                      <wps:txbx>
                        <w:txbxContent>
                          <w:p w14:paraId="6D503661" w14:textId="77777777" w:rsidR="00C47F47" w:rsidRPr="00976A22" w:rsidRDefault="00C47F47" w:rsidP="000C1C38">
                            <w:pPr>
                              <w:jc w:val="center"/>
                              <w:rPr>
                                <w:b/>
                                <w:sz w:val="18"/>
                              </w:rPr>
                            </w:pPr>
                            <w:r w:rsidRPr="00976A22">
                              <w:rPr>
                                <w:b/>
                                <w:sz w:val="18"/>
                              </w:rPr>
                              <w:t>Zákony o rozpočtových pravidlách</w:t>
                            </w:r>
                          </w:p>
                          <w:p w14:paraId="3943129C"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 xml:space="preserve">dlh samosprávy </w:t>
                            </w:r>
                            <w:r w:rsidRPr="00976A22">
                              <w:rPr>
                                <w:rFonts w:ascii="Constantia" w:hAnsi="Constantia"/>
                                <w:sz w:val="18"/>
                              </w:rPr>
                              <w:t>&lt;</w:t>
                            </w:r>
                            <w:r>
                              <w:rPr>
                                <w:rFonts w:ascii="Constantia" w:hAnsi="Constantia"/>
                                <w:sz w:val="18"/>
                              </w:rPr>
                              <w:t xml:space="preserve"> </w:t>
                            </w:r>
                            <w:r w:rsidRPr="00976A22">
                              <w:rPr>
                                <w:rFonts w:ascii="Constantia" w:hAnsi="Constantia"/>
                                <w:sz w:val="18"/>
                              </w:rPr>
                              <w:t>60</w:t>
                            </w:r>
                            <w:r>
                              <w:rPr>
                                <w:rFonts w:ascii="Constantia" w:hAnsi="Constantia"/>
                                <w:sz w:val="18"/>
                              </w:rPr>
                              <w:t xml:space="preserve"> % bežných príjmov, postup </w:t>
                            </w:r>
                            <w:r w:rsidRPr="00A45513">
                              <w:rPr>
                                <w:rFonts w:ascii="Constantia" w:hAnsi="Constantia"/>
                                <w:sz w:val="18"/>
                              </w:rPr>
                              <w:t>výpočtu pokuty pri prekročení hranice</w:t>
                            </w:r>
                          </w:p>
                          <w:p w14:paraId="5D2DCFC0"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 xml:space="preserve">splátky dlhu samospráv </w:t>
                            </w:r>
                            <w:r w:rsidRPr="00976A22">
                              <w:rPr>
                                <w:rFonts w:ascii="Constantia" w:hAnsi="Constantia"/>
                                <w:sz w:val="18"/>
                              </w:rPr>
                              <w:t>&lt;</w:t>
                            </w:r>
                            <w:r>
                              <w:rPr>
                                <w:rFonts w:ascii="Constantia" w:hAnsi="Constantia"/>
                                <w:sz w:val="18"/>
                              </w:rPr>
                              <w:t xml:space="preserve"> </w:t>
                            </w:r>
                            <w:r w:rsidRPr="00976A22">
                              <w:rPr>
                                <w:rFonts w:ascii="Constantia" w:hAnsi="Constantia"/>
                                <w:sz w:val="18"/>
                              </w:rPr>
                              <w:t>25</w:t>
                            </w:r>
                            <w:r>
                              <w:rPr>
                                <w:rFonts w:ascii="Constantia" w:hAnsi="Constantia"/>
                                <w:sz w:val="18"/>
                              </w:rPr>
                              <w:t xml:space="preserve"> % </w:t>
                            </w:r>
                            <w:r w:rsidRPr="00AD3316">
                              <w:rPr>
                                <w:rFonts w:ascii="Constantia" w:hAnsi="Constantia"/>
                                <w:i/>
                                <w:sz w:val="18"/>
                              </w:rPr>
                              <w:t>upravených</w:t>
                            </w:r>
                            <w:r>
                              <w:rPr>
                                <w:rFonts w:ascii="Constantia" w:hAnsi="Constantia"/>
                                <w:sz w:val="18"/>
                              </w:rPr>
                              <w:t xml:space="preserve"> bežných príjmov</w:t>
                            </w:r>
                          </w:p>
                          <w:p w14:paraId="4187D3DD" w14:textId="5B4DD813" w:rsidR="00C47F47" w:rsidRDefault="00C47F47" w:rsidP="000C1C38">
                            <w:pPr>
                              <w:pStyle w:val="ListParagraph"/>
                              <w:numPr>
                                <w:ilvl w:val="0"/>
                                <w:numId w:val="6"/>
                              </w:numPr>
                              <w:spacing w:after="0"/>
                              <w:ind w:left="243" w:hanging="181"/>
                              <w:rPr>
                                <w:rFonts w:ascii="Constantia" w:hAnsi="Constantia"/>
                                <w:sz w:val="18"/>
                              </w:rPr>
                            </w:pPr>
                            <w:r w:rsidRPr="0004222B">
                              <w:rPr>
                                <w:rFonts w:ascii="Constantia" w:hAnsi="Constantia"/>
                                <w:sz w:val="18"/>
                              </w:rPr>
                              <w:t>pravidlo vyrovn</w:t>
                            </w:r>
                            <w:r>
                              <w:rPr>
                                <w:rFonts w:ascii="Constantia" w:hAnsi="Constantia"/>
                                <w:sz w:val="18"/>
                              </w:rPr>
                              <w:t>aného</w:t>
                            </w:r>
                            <w:r w:rsidRPr="0004222B">
                              <w:rPr>
                                <w:rFonts w:ascii="Constantia" w:hAnsi="Constantia"/>
                                <w:sz w:val="18"/>
                              </w:rPr>
                              <w:t xml:space="preserve"> rozpočtu</w:t>
                            </w:r>
                            <w:r w:rsidRPr="006C0382">
                              <w:rPr>
                                <w:rFonts w:ascii="Constantia" w:hAnsi="Constantia"/>
                                <w:sz w:val="18"/>
                              </w:rPr>
                              <w:t xml:space="preserve"> </w:t>
                            </w:r>
                            <w:r w:rsidRPr="00BF3551">
                              <w:rPr>
                                <w:rFonts w:ascii="Constantia" w:hAnsi="Constantia"/>
                                <w:sz w:val="18"/>
                              </w:rPr>
                              <w:t>(z fiškálneho</w:t>
                            </w:r>
                          </w:p>
                          <w:p w14:paraId="12D79A55" w14:textId="45829B98" w:rsidR="00C47F47" w:rsidRPr="00481117" w:rsidRDefault="00C47F47" w:rsidP="000C1C38">
                            <w:pPr>
                              <w:spacing w:line="276" w:lineRule="auto"/>
                              <w:ind w:firstLine="244"/>
                              <w:rPr>
                                <w:sz w:val="18"/>
                              </w:rPr>
                            </w:pPr>
                            <w:r w:rsidRPr="00481117">
                              <w:rPr>
                                <w:sz w:val="18"/>
                              </w:rPr>
                              <w:t>kompaktu)</w:t>
                            </w:r>
                            <w:r>
                              <w:rPr>
                                <w:sz w:val="18"/>
                              </w:rPr>
                              <w:t xml:space="preserve"> vrátane korekčného mechanizmu</w:t>
                            </w:r>
                          </w:p>
                          <w:p w14:paraId="74486892"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vyhodnocovanie štátneho rozpočtu</w:t>
                            </w:r>
                          </w:p>
                          <w:p w14:paraId="18E0A400" w14:textId="77777777" w:rsidR="00C47F47" w:rsidRPr="002F2313" w:rsidRDefault="00C47F47" w:rsidP="000C1C38">
                            <w:pPr>
                              <w:pStyle w:val="ListParagraph"/>
                              <w:numPr>
                                <w:ilvl w:val="0"/>
                                <w:numId w:val="6"/>
                              </w:numPr>
                              <w:spacing w:after="136"/>
                              <w:ind w:left="244" w:hanging="183"/>
                              <w:rPr>
                                <w:sz w:val="18"/>
                              </w:rPr>
                            </w:pPr>
                            <w:r>
                              <w:rPr>
                                <w:rFonts w:ascii="Constantia" w:hAnsi="Constantia"/>
                                <w:sz w:val="18"/>
                              </w:rPr>
                              <w:t>termín predkladania návrhu rozpočtu</w:t>
                            </w:r>
                          </w:p>
                          <w:p w14:paraId="7D004A52" w14:textId="77777777" w:rsidR="00C47F47" w:rsidRPr="0004222B" w:rsidRDefault="00C47F47" w:rsidP="000C1C38">
                            <w:pPr>
                              <w:pStyle w:val="ListParagraph"/>
                              <w:numPr>
                                <w:ilvl w:val="0"/>
                                <w:numId w:val="6"/>
                              </w:numPr>
                              <w:spacing w:after="136"/>
                              <w:ind w:left="244" w:hanging="183"/>
                              <w:rPr>
                                <w:sz w:val="18"/>
                              </w:rPr>
                            </w:pPr>
                            <w:r w:rsidRPr="0004222B">
                              <w:rPr>
                                <w:rFonts w:ascii="Constantia" w:hAnsi="Constantia"/>
                                <w:sz w:val="18"/>
                              </w:rPr>
                              <w:t>súhrnná výročná správa</w:t>
                            </w:r>
                          </w:p>
                          <w:p w14:paraId="0F302015" w14:textId="77777777" w:rsidR="00C47F47" w:rsidRPr="000A28F8" w:rsidRDefault="00C47F47" w:rsidP="000C1C38">
                            <w:pPr>
                              <w:rPr>
                                <w:sz w:val="18"/>
                              </w:rPr>
                            </w:pPr>
                          </w:p>
                          <w:p w14:paraId="444B7582" w14:textId="77777777" w:rsidR="00C47F47" w:rsidRPr="00976A22" w:rsidRDefault="00C47F47" w:rsidP="000C1C38">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B2D83" id="Text Box 12" o:spid="_x0000_s1031" type="#_x0000_t202" style="position:absolute;left:0;text-align:left;margin-left:.35pt;margin-top:12.05pt;width:219.15pt;height:137.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" fillcolor="white [3201]" strokecolor="#13b5ea" strokeweight=".5pt">
                <v:textbox>
                  <w:txbxContent>
                    <w:p w14:paraId="6D503661" w14:textId="77777777" w:rsidR="00C47F47" w:rsidRPr="00976A22" w:rsidRDefault="00C47F47" w:rsidP="000C1C38">
                      <w:pPr>
                        <w:jc w:val="center"/>
                        <w:rPr>
                          <w:b/>
                          <w:sz w:val="18"/>
                        </w:rPr>
                      </w:pPr>
                      <w:r w:rsidRPr="00976A22">
                        <w:rPr>
                          <w:b/>
                          <w:sz w:val="18"/>
                        </w:rPr>
                        <w:t>Zákony o rozpočtových pravidlách</w:t>
                      </w:r>
                    </w:p>
                    <w:p w14:paraId="3943129C"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 xml:space="preserve">dlh samosprávy </w:t>
                      </w:r>
                      <w:r w:rsidRPr="00976A22">
                        <w:rPr>
                          <w:rFonts w:ascii="Constantia" w:hAnsi="Constantia"/>
                          <w:sz w:val="18"/>
                        </w:rPr>
                        <w:t>&lt;</w:t>
                      </w:r>
                      <w:r>
                        <w:rPr>
                          <w:rFonts w:ascii="Constantia" w:hAnsi="Constantia"/>
                          <w:sz w:val="18"/>
                        </w:rPr>
                        <w:t xml:space="preserve"> </w:t>
                      </w:r>
                      <w:r w:rsidRPr="00976A22">
                        <w:rPr>
                          <w:rFonts w:ascii="Constantia" w:hAnsi="Constantia"/>
                          <w:sz w:val="18"/>
                        </w:rPr>
                        <w:t>60</w:t>
                      </w:r>
                      <w:r>
                        <w:rPr>
                          <w:rFonts w:ascii="Constantia" w:hAnsi="Constantia"/>
                          <w:sz w:val="18"/>
                        </w:rPr>
                        <w:t xml:space="preserve"> % bežných príjmov, postup </w:t>
                      </w:r>
                      <w:r w:rsidRPr="00A45513">
                        <w:rPr>
                          <w:rFonts w:ascii="Constantia" w:hAnsi="Constantia"/>
                          <w:sz w:val="18"/>
                        </w:rPr>
                        <w:t>výpočtu pokuty pri prekročení hranice</w:t>
                      </w:r>
                    </w:p>
                    <w:p w14:paraId="5D2DCFC0"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 xml:space="preserve">splátky dlhu samospráv </w:t>
                      </w:r>
                      <w:r w:rsidRPr="00976A22">
                        <w:rPr>
                          <w:rFonts w:ascii="Constantia" w:hAnsi="Constantia"/>
                          <w:sz w:val="18"/>
                        </w:rPr>
                        <w:t>&lt;</w:t>
                      </w:r>
                      <w:r>
                        <w:rPr>
                          <w:rFonts w:ascii="Constantia" w:hAnsi="Constantia"/>
                          <w:sz w:val="18"/>
                        </w:rPr>
                        <w:t xml:space="preserve"> </w:t>
                      </w:r>
                      <w:r w:rsidRPr="00976A22">
                        <w:rPr>
                          <w:rFonts w:ascii="Constantia" w:hAnsi="Constantia"/>
                          <w:sz w:val="18"/>
                        </w:rPr>
                        <w:t>25</w:t>
                      </w:r>
                      <w:r>
                        <w:rPr>
                          <w:rFonts w:ascii="Constantia" w:hAnsi="Constantia"/>
                          <w:sz w:val="18"/>
                        </w:rPr>
                        <w:t xml:space="preserve"> % </w:t>
                      </w:r>
                      <w:r w:rsidRPr="00AD3316">
                        <w:rPr>
                          <w:rFonts w:ascii="Constantia" w:hAnsi="Constantia"/>
                          <w:i/>
                          <w:sz w:val="18"/>
                        </w:rPr>
                        <w:t>upravených</w:t>
                      </w:r>
                      <w:r>
                        <w:rPr>
                          <w:rFonts w:ascii="Constantia" w:hAnsi="Constantia"/>
                          <w:sz w:val="18"/>
                        </w:rPr>
                        <w:t xml:space="preserve"> bežných príjmov</w:t>
                      </w:r>
                    </w:p>
                    <w:p w14:paraId="4187D3DD" w14:textId="5B4DD813" w:rsidR="00C47F47" w:rsidRDefault="00C47F47" w:rsidP="000C1C38">
                      <w:pPr>
                        <w:pStyle w:val="ListParagraph"/>
                        <w:numPr>
                          <w:ilvl w:val="0"/>
                          <w:numId w:val="6"/>
                        </w:numPr>
                        <w:spacing w:after="0"/>
                        <w:ind w:left="243" w:hanging="181"/>
                        <w:rPr>
                          <w:rFonts w:ascii="Constantia" w:hAnsi="Constantia"/>
                          <w:sz w:val="18"/>
                        </w:rPr>
                      </w:pPr>
                      <w:r w:rsidRPr="0004222B">
                        <w:rPr>
                          <w:rFonts w:ascii="Constantia" w:hAnsi="Constantia"/>
                          <w:sz w:val="18"/>
                        </w:rPr>
                        <w:t>pravidlo vyrovn</w:t>
                      </w:r>
                      <w:r>
                        <w:rPr>
                          <w:rFonts w:ascii="Constantia" w:hAnsi="Constantia"/>
                          <w:sz w:val="18"/>
                        </w:rPr>
                        <w:t>aného</w:t>
                      </w:r>
                      <w:r w:rsidRPr="0004222B">
                        <w:rPr>
                          <w:rFonts w:ascii="Constantia" w:hAnsi="Constantia"/>
                          <w:sz w:val="18"/>
                        </w:rPr>
                        <w:t xml:space="preserve"> rozpočtu</w:t>
                      </w:r>
                      <w:r w:rsidRPr="006C0382">
                        <w:rPr>
                          <w:rFonts w:ascii="Constantia" w:hAnsi="Constantia"/>
                          <w:sz w:val="18"/>
                        </w:rPr>
                        <w:t xml:space="preserve"> </w:t>
                      </w:r>
                      <w:r w:rsidRPr="00BF3551">
                        <w:rPr>
                          <w:rFonts w:ascii="Constantia" w:hAnsi="Constantia"/>
                          <w:sz w:val="18"/>
                        </w:rPr>
                        <w:t>(z fiškálneho</w:t>
                      </w:r>
                    </w:p>
                    <w:p w14:paraId="12D79A55" w14:textId="45829B98" w:rsidR="00C47F47" w:rsidRPr="00481117" w:rsidRDefault="00C47F47" w:rsidP="000C1C38">
                      <w:pPr>
                        <w:spacing w:line="276" w:lineRule="auto"/>
                        <w:ind w:firstLine="244"/>
                        <w:rPr>
                          <w:sz w:val="18"/>
                        </w:rPr>
                      </w:pPr>
                      <w:r w:rsidRPr="00481117">
                        <w:rPr>
                          <w:sz w:val="18"/>
                        </w:rPr>
                        <w:t>kompaktu)</w:t>
                      </w:r>
                      <w:r>
                        <w:rPr>
                          <w:sz w:val="18"/>
                        </w:rPr>
                        <w:t xml:space="preserve"> vrátane korekčného mechanizmu</w:t>
                      </w:r>
                    </w:p>
                    <w:p w14:paraId="74486892"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vyhodnocovanie štátneho rozpočtu</w:t>
                      </w:r>
                    </w:p>
                    <w:p w14:paraId="18E0A400" w14:textId="77777777" w:rsidR="00C47F47" w:rsidRPr="002F2313" w:rsidRDefault="00C47F47" w:rsidP="000C1C38">
                      <w:pPr>
                        <w:pStyle w:val="ListParagraph"/>
                        <w:numPr>
                          <w:ilvl w:val="0"/>
                          <w:numId w:val="6"/>
                        </w:numPr>
                        <w:spacing w:after="136"/>
                        <w:ind w:left="244" w:hanging="183"/>
                        <w:rPr>
                          <w:sz w:val="18"/>
                        </w:rPr>
                      </w:pPr>
                      <w:r>
                        <w:rPr>
                          <w:rFonts w:ascii="Constantia" w:hAnsi="Constantia"/>
                          <w:sz w:val="18"/>
                        </w:rPr>
                        <w:t>termín predkladania návrhu rozpočtu</w:t>
                      </w:r>
                    </w:p>
                    <w:p w14:paraId="7D004A52" w14:textId="77777777" w:rsidR="00C47F47" w:rsidRPr="0004222B" w:rsidRDefault="00C47F47" w:rsidP="000C1C38">
                      <w:pPr>
                        <w:pStyle w:val="ListParagraph"/>
                        <w:numPr>
                          <w:ilvl w:val="0"/>
                          <w:numId w:val="6"/>
                        </w:numPr>
                        <w:spacing w:after="136"/>
                        <w:ind w:left="244" w:hanging="183"/>
                        <w:rPr>
                          <w:sz w:val="18"/>
                        </w:rPr>
                      </w:pPr>
                      <w:r w:rsidRPr="0004222B">
                        <w:rPr>
                          <w:rFonts w:ascii="Constantia" w:hAnsi="Constantia"/>
                          <w:sz w:val="18"/>
                        </w:rPr>
                        <w:t>súhrnná výročná správa</w:t>
                      </w:r>
                    </w:p>
                    <w:p w14:paraId="0F302015" w14:textId="77777777" w:rsidR="00C47F47" w:rsidRPr="000A28F8" w:rsidRDefault="00C47F47" w:rsidP="000C1C38">
                      <w:pPr>
                        <w:rPr>
                          <w:sz w:val="18"/>
                        </w:rPr>
                      </w:pPr>
                    </w:p>
                    <w:p w14:paraId="444B7582" w14:textId="77777777" w:rsidR="00C47F47" w:rsidRPr="00976A22" w:rsidRDefault="00C47F47" w:rsidP="000C1C38">
                      <w:pPr>
                        <w:rPr>
                          <w:sz w:val="16"/>
                        </w:rPr>
                      </w:pPr>
                    </w:p>
                  </w:txbxContent>
                </v:textbox>
              </v:shape>
            </w:pict>
          </mc:Fallback>
        </mc:AlternateContent>
      </w:r>
    </w:p>
    <w:p w14:paraId="6EC27D3A" w14:textId="77777777" w:rsidR="000C1C38" w:rsidRPr="00B81300" w:rsidRDefault="000C1C38" w:rsidP="000C1C38">
      <w:pPr>
        <w:jc w:val="both"/>
        <w:rPr>
          <w:highlight w:val="yellow"/>
        </w:rPr>
      </w:pPr>
    </w:p>
    <w:p w14:paraId="364B012C" w14:textId="77777777" w:rsidR="000C1C38" w:rsidRPr="00B81300" w:rsidRDefault="000C1C38" w:rsidP="000C1C38">
      <w:pPr>
        <w:jc w:val="both"/>
        <w:rPr>
          <w:highlight w:val="yellow"/>
        </w:rPr>
      </w:pPr>
    </w:p>
    <w:p w14:paraId="7678CC6C" w14:textId="77777777" w:rsidR="000C1C38" w:rsidRPr="00B81300" w:rsidRDefault="000C1C38" w:rsidP="000C1C38">
      <w:pPr>
        <w:jc w:val="both"/>
        <w:rPr>
          <w:highlight w:val="yellow"/>
        </w:rPr>
      </w:pPr>
    </w:p>
    <w:p w14:paraId="13474A77" w14:textId="77777777" w:rsidR="000C1C38" w:rsidRPr="00B81300" w:rsidRDefault="000C1C38" w:rsidP="000C1C38">
      <w:pPr>
        <w:jc w:val="both"/>
        <w:rPr>
          <w:highlight w:val="yellow"/>
        </w:rPr>
      </w:pPr>
    </w:p>
    <w:p w14:paraId="31007B31" w14:textId="08D80B94" w:rsidR="000C1C38" w:rsidRPr="00B81300" w:rsidRDefault="000C1C38" w:rsidP="000C1C38">
      <w:pPr>
        <w:jc w:val="both"/>
        <w:rPr>
          <w:highlight w:val="yellow"/>
        </w:rPr>
      </w:pPr>
    </w:p>
    <w:p w14:paraId="7A82D6F9" w14:textId="09EE14F6" w:rsidR="000C1C38" w:rsidRPr="00B81300" w:rsidRDefault="00825EB0" w:rsidP="000C1C38">
      <w:pPr>
        <w:jc w:val="both"/>
        <w:rPr>
          <w:highlight w:val="yellow"/>
        </w:rPr>
      </w:pPr>
      <w:r w:rsidRPr="00B81300">
        <w:rPr>
          <w:noProof/>
          <w:highlight w:val="yellow"/>
        </w:rPr>
        <mc:AlternateContent>
          <mc:Choice Requires="wps">
            <w:drawing>
              <wp:anchor distT="0" distB="0" distL="114300" distR="114300" simplePos="0" relativeHeight="251658251" behindDoc="0" locked="0" layoutInCell="1" allowOverlap="1" wp14:anchorId="20327C1C" wp14:editId="28A541A4">
                <wp:simplePos x="0" y="0"/>
                <wp:positionH relativeFrom="column">
                  <wp:posOffset>2974447</wp:posOffset>
                </wp:positionH>
                <wp:positionV relativeFrom="paragraph">
                  <wp:posOffset>83353</wp:posOffset>
                </wp:positionV>
                <wp:extent cx="2830830" cy="1228725"/>
                <wp:effectExtent l="0" t="0" r="26670" b="28575"/>
                <wp:wrapNone/>
                <wp:docPr id="27" name="Text Box 15"/>
                <wp:cNvGraphicFramePr/>
                <a:graphic xmlns:a="http://schemas.openxmlformats.org/drawingml/2006/main">
                  <a:graphicData uri="http://schemas.microsoft.com/office/word/2010/wordprocessingShape">
                    <wps:wsp>
                      <wps:cNvSpPr txBox="1"/>
                      <wps:spPr>
                        <a:xfrm>
                          <a:off x="0" y="0"/>
                          <a:ext cx="2830830" cy="1228725"/>
                        </a:xfrm>
                        <a:prstGeom prst="rect">
                          <a:avLst/>
                        </a:prstGeom>
                        <a:solidFill>
                          <a:schemeClr val="lt1"/>
                        </a:solidFill>
                        <a:ln w="6350">
                          <a:solidFill>
                            <a:srgbClr val="13B5EA"/>
                          </a:solidFill>
                        </a:ln>
                        <a:effectLst/>
                      </wps:spPr>
                      <wps:style>
                        <a:lnRef idx="0">
                          <a:schemeClr val="accent1"/>
                        </a:lnRef>
                        <a:fillRef idx="0">
                          <a:schemeClr val="accent1"/>
                        </a:fillRef>
                        <a:effectRef idx="0">
                          <a:schemeClr val="accent1"/>
                        </a:effectRef>
                        <a:fontRef idx="minor">
                          <a:schemeClr val="dk1"/>
                        </a:fontRef>
                      </wps:style>
                      <wps:txbx>
                        <w:txbxContent>
                          <w:p w14:paraId="6270B752" w14:textId="77777777" w:rsidR="00C47F47" w:rsidRPr="00976A22" w:rsidRDefault="00C47F47" w:rsidP="000C1C38">
                            <w:pPr>
                              <w:jc w:val="center"/>
                              <w:rPr>
                                <w:b/>
                                <w:sz w:val="18"/>
                              </w:rPr>
                            </w:pPr>
                            <w:r w:rsidRPr="00976A22">
                              <w:rPr>
                                <w:b/>
                                <w:sz w:val="18"/>
                              </w:rPr>
                              <w:t>Smernica 2011/85/EU</w:t>
                            </w:r>
                            <w:r>
                              <w:rPr>
                                <w:b/>
                                <w:sz w:val="18"/>
                              </w:rPr>
                              <w:t xml:space="preserve"> (súčasť Paktu stability a rastu)</w:t>
                            </w:r>
                          </w:p>
                          <w:p w14:paraId="1935A766" w14:textId="77777777" w:rsidR="00C47F47" w:rsidRDefault="00C47F47" w:rsidP="000C1C38">
                            <w:pPr>
                              <w:pStyle w:val="ListParagraph"/>
                              <w:spacing w:after="136"/>
                              <w:ind w:left="244"/>
                              <w:rPr>
                                <w:sz w:val="18"/>
                              </w:rPr>
                            </w:pPr>
                            <w:r>
                              <w:rPr>
                                <w:rFonts w:ascii="Constantia" w:hAnsi="Constantia"/>
                                <w:sz w:val="18"/>
                              </w:rPr>
                              <w:t>Požiadavky na národné rozpočtové rámce:</w:t>
                            </w:r>
                          </w:p>
                          <w:p w14:paraId="3A63A908"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účtovníctvo, štatistika, audit</w:t>
                            </w:r>
                          </w:p>
                          <w:p w14:paraId="1C585B7E"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nezávislé prognózy, citlivostné scenáre</w:t>
                            </w:r>
                          </w:p>
                          <w:p w14:paraId="04BAC479"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numerické pravidlá, strednodobé rámce</w:t>
                            </w:r>
                          </w:p>
                          <w:p w14:paraId="0C100551" w14:textId="77777777" w:rsidR="00C47F47" w:rsidRPr="00976A22" w:rsidRDefault="00C47F47" w:rsidP="000C1C38">
                            <w:pPr>
                              <w:pStyle w:val="ListParagraph"/>
                              <w:numPr>
                                <w:ilvl w:val="0"/>
                                <w:numId w:val="6"/>
                              </w:numPr>
                              <w:spacing w:after="136"/>
                              <w:ind w:left="244" w:hanging="183"/>
                              <w:rPr>
                                <w:sz w:val="18"/>
                              </w:rPr>
                            </w:pPr>
                            <w:r>
                              <w:rPr>
                                <w:rFonts w:ascii="Constantia" w:hAnsi="Constantia"/>
                                <w:sz w:val="18"/>
                              </w:rPr>
                              <w:t>transparentnosť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27C1C" id="Text Box 15" o:spid="_x0000_s1032" type="#_x0000_t202" style="position:absolute;left:0;text-align:left;margin-left:234.2pt;margin-top:6.55pt;width:222.9pt;height:96.7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" fillcolor="white [3201]" strokecolor="#13b5ea" strokeweight=".5pt">
                <v:textbox>
                  <w:txbxContent>
                    <w:p w14:paraId="6270B752" w14:textId="77777777" w:rsidR="00C47F47" w:rsidRPr="00976A22" w:rsidRDefault="00C47F47" w:rsidP="000C1C38">
                      <w:pPr>
                        <w:jc w:val="center"/>
                        <w:rPr>
                          <w:b/>
                          <w:sz w:val="18"/>
                        </w:rPr>
                      </w:pPr>
                      <w:r w:rsidRPr="00976A22">
                        <w:rPr>
                          <w:b/>
                          <w:sz w:val="18"/>
                        </w:rPr>
                        <w:t>Smernica 2011/85/EU</w:t>
                      </w:r>
                      <w:r>
                        <w:rPr>
                          <w:b/>
                          <w:sz w:val="18"/>
                        </w:rPr>
                        <w:t xml:space="preserve"> (súčasť Paktu stability a rastu)</w:t>
                      </w:r>
                    </w:p>
                    <w:p w14:paraId="1935A766" w14:textId="77777777" w:rsidR="00C47F47" w:rsidRDefault="00C47F47" w:rsidP="000C1C38">
                      <w:pPr>
                        <w:pStyle w:val="ListParagraph"/>
                        <w:spacing w:after="136"/>
                        <w:ind w:left="244"/>
                        <w:rPr>
                          <w:sz w:val="18"/>
                        </w:rPr>
                      </w:pPr>
                      <w:r>
                        <w:rPr>
                          <w:rFonts w:ascii="Constantia" w:hAnsi="Constantia"/>
                          <w:sz w:val="18"/>
                        </w:rPr>
                        <w:t>Požiadavky na národné rozpočtové rámce:</w:t>
                      </w:r>
                    </w:p>
                    <w:p w14:paraId="3A63A908"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účtovníctvo, štatistika, audit</w:t>
                      </w:r>
                    </w:p>
                    <w:p w14:paraId="1C585B7E"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nezávislé prognózy, citlivostné scenáre</w:t>
                      </w:r>
                    </w:p>
                    <w:p w14:paraId="04BAC479" w14:textId="77777777" w:rsidR="00C47F47" w:rsidRDefault="00C47F47" w:rsidP="000C1C38">
                      <w:pPr>
                        <w:pStyle w:val="ListParagraph"/>
                        <w:numPr>
                          <w:ilvl w:val="0"/>
                          <w:numId w:val="6"/>
                        </w:numPr>
                        <w:spacing w:after="136"/>
                        <w:ind w:left="244" w:hanging="183"/>
                        <w:rPr>
                          <w:sz w:val="18"/>
                        </w:rPr>
                      </w:pPr>
                      <w:r>
                        <w:rPr>
                          <w:rFonts w:ascii="Constantia" w:hAnsi="Constantia"/>
                          <w:sz w:val="18"/>
                        </w:rPr>
                        <w:t>numerické pravidlá, strednodobé rámce</w:t>
                      </w:r>
                    </w:p>
                    <w:p w14:paraId="0C100551" w14:textId="77777777" w:rsidR="00C47F47" w:rsidRPr="00976A22" w:rsidRDefault="00C47F47" w:rsidP="000C1C38">
                      <w:pPr>
                        <w:pStyle w:val="ListParagraph"/>
                        <w:numPr>
                          <w:ilvl w:val="0"/>
                          <w:numId w:val="6"/>
                        </w:numPr>
                        <w:spacing w:after="136"/>
                        <w:ind w:left="244" w:hanging="183"/>
                        <w:rPr>
                          <w:sz w:val="18"/>
                        </w:rPr>
                      </w:pPr>
                      <w:r>
                        <w:rPr>
                          <w:rFonts w:ascii="Constantia" w:hAnsi="Constantia"/>
                          <w:sz w:val="18"/>
                        </w:rPr>
                        <w:t>transparentnosť</w:t>
                      </w:r>
                    </w:p>
                  </w:txbxContent>
                </v:textbox>
              </v:shape>
            </w:pict>
          </mc:Fallback>
        </mc:AlternateContent>
      </w:r>
    </w:p>
    <w:p w14:paraId="087DF5F0" w14:textId="24B9E0B4" w:rsidR="000C1C38" w:rsidRPr="00B81300" w:rsidRDefault="000C1C38" w:rsidP="000C1C38">
      <w:pPr>
        <w:jc w:val="both"/>
        <w:rPr>
          <w:highlight w:val="yellow"/>
        </w:rPr>
      </w:pPr>
    </w:p>
    <w:p w14:paraId="6350A5D1" w14:textId="6EC44C55" w:rsidR="000C1C38" w:rsidRPr="00B81300" w:rsidRDefault="006C0382" w:rsidP="000C1C38">
      <w:pPr>
        <w:jc w:val="both"/>
        <w:rPr>
          <w:highlight w:val="yellow"/>
        </w:rPr>
      </w:pPr>
      <w:r w:rsidRPr="00B81300">
        <w:rPr>
          <w:noProof/>
          <w:highlight w:val="yellow"/>
        </w:rPr>
        <mc:AlternateContent>
          <mc:Choice Requires="wps">
            <w:drawing>
              <wp:anchor distT="0" distB="0" distL="114300" distR="114300" simplePos="0" relativeHeight="251658253" behindDoc="0" locked="0" layoutInCell="1" allowOverlap="1" wp14:anchorId="076CF154" wp14:editId="03A988A7">
                <wp:simplePos x="0" y="0"/>
                <wp:positionH relativeFrom="column">
                  <wp:posOffset>2157094</wp:posOffset>
                </wp:positionH>
                <wp:positionV relativeFrom="paragraph">
                  <wp:posOffset>26034</wp:posOffset>
                </wp:positionV>
                <wp:extent cx="885825" cy="1085850"/>
                <wp:effectExtent l="38100" t="38100" r="28575" b="19050"/>
                <wp:wrapNone/>
                <wp:docPr id="28" name="Straight Arrow Connector 28"/>
                <wp:cNvGraphicFramePr/>
                <a:graphic xmlns:a="http://schemas.openxmlformats.org/drawingml/2006/main">
                  <a:graphicData uri="http://schemas.microsoft.com/office/word/2010/wordprocessingShape">
                    <wps:wsp>
                      <wps:cNvCnPr/>
                      <wps:spPr>
                        <a:xfrm flipH="1" flipV="1">
                          <a:off x="0" y="0"/>
                          <a:ext cx="885825" cy="1085850"/>
                        </a:xfrm>
                        <a:prstGeom prst="straightConnector1">
                          <a:avLst/>
                        </a:prstGeom>
                        <a:ln w="19050">
                          <a:solidFill>
                            <a:srgbClr val="13B5EA"/>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arto="http://schemas.microsoft.com/office/word/2006/arto" xmlns:a14="http://schemas.microsoft.com/office/drawing/2010/main" xmlns:pic="http://schemas.openxmlformats.org/drawingml/2006/picture" xmlns:a="http://schemas.openxmlformats.org/drawingml/2006/main">
            <w:pict w14:anchorId="61F3CC32">
              <v:shapetype id="_x0000_t32" coordsize="21600,21600" o:oned="t" filled="f" o:spt="32" path="m,l21600,21600e" w14:anchorId="72BF0B9F">
                <v:path fillok="f" arrowok="t" o:connecttype="none"/>
                <o:lock v:ext="edit" shapetype="t"/>
              </v:shapetype>
              <v:shape id="Straight Arrow Connector 28" style="position:absolute;margin-left:169.85pt;margin-top:2.05pt;width:69.75pt;height:85.5pt;flip:x y;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13b5ea"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">
                <v:stroke endarrow="block"/>
              </v:shape>
            </w:pict>
          </mc:Fallback>
        </mc:AlternateContent>
      </w:r>
    </w:p>
    <w:p w14:paraId="27F63485" w14:textId="77777777" w:rsidR="000C1C38" w:rsidRPr="00B81300" w:rsidRDefault="000C1C38" w:rsidP="000C1C38">
      <w:pPr>
        <w:jc w:val="both"/>
        <w:rPr>
          <w:highlight w:val="yellow"/>
        </w:rPr>
      </w:pPr>
    </w:p>
    <w:p w14:paraId="2B4993E1" w14:textId="77777777" w:rsidR="000C1C38" w:rsidRPr="00B81300" w:rsidRDefault="000C1C38" w:rsidP="000C1C38">
      <w:pPr>
        <w:jc w:val="both"/>
        <w:rPr>
          <w:highlight w:val="yellow"/>
        </w:rPr>
      </w:pPr>
    </w:p>
    <w:p w14:paraId="40BAF61B" w14:textId="77777777" w:rsidR="000C1C38" w:rsidRPr="00B81300" w:rsidRDefault="000C1C38" w:rsidP="000C1C38">
      <w:pPr>
        <w:jc w:val="both"/>
        <w:rPr>
          <w:highlight w:val="yellow"/>
        </w:rPr>
      </w:pPr>
      <w:r w:rsidRPr="00B81300">
        <w:rPr>
          <w:noProof/>
          <w:highlight w:val="yellow"/>
        </w:rPr>
        <mc:AlternateContent>
          <mc:Choice Requires="wps">
            <w:drawing>
              <wp:anchor distT="0" distB="0" distL="114300" distR="114300" simplePos="0" relativeHeight="251658247" behindDoc="0" locked="0" layoutInCell="1" allowOverlap="1" wp14:anchorId="46133B6B" wp14:editId="6ADB5A8D">
                <wp:simplePos x="0" y="0"/>
                <wp:positionH relativeFrom="column">
                  <wp:posOffset>3810</wp:posOffset>
                </wp:positionH>
                <wp:positionV relativeFrom="paragraph">
                  <wp:posOffset>168910</wp:posOffset>
                </wp:positionV>
                <wp:extent cx="2781935" cy="709295"/>
                <wp:effectExtent l="0" t="0" r="18415" b="14605"/>
                <wp:wrapNone/>
                <wp:docPr id="29" name="Text Box 29"/>
                <wp:cNvGraphicFramePr/>
                <a:graphic xmlns:a="http://schemas.openxmlformats.org/drawingml/2006/main">
                  <a:graphicData uri="http://schemas.microsoft.com/office/word/2010/wordprocessingShape">
                    <wps:wsp>
                      <wps:cNvSpPr txBox="1"/>
                      <wps:spPr>
                        <a:xfrm>
                          <a:off x="0" y="0"/>
                          <a:ext cx="2781935" cy="709295"/>
                        </a:xfrm>
                        <a:prstGeom prst="rect">
                          <a:avLst/>
                        </a:prstGeom>
                        <a:solidFill>
                          <a:schemeClr val="lt1"/>
                        </a:solidFill>
                        <a:ln w="6350">
                          <a:solidFill>
                            <a:srgbClr val="13B5EA"/>
                          </a:solidFill>
                        </a:ln>
                        <a:effectLst/>
                      </wps:spPr>
                      <wps:style>
                        <a:lnRef idx="0">
                          <a:schemeClr val="accent1"/>
                        </a:lnRef>
                        <a:fillRef idx="0">
                          <a:schemeClr val="accent1"/>
                        </a:fillRef>
                        <a:effectRef idx="0">
                          <a:schemeClr val="accent1"/>
                        </a:effectRef>
                        <a:fontRef idx="minor">
                          <a:schemeClr val="dk1"/>
                        </a:fontRef>
                      </wps:style>
                      <wps:txbx>
                        <w:txbxContent>
                          <w:p w14:paraId="2913280B" w14:textId="77777777" w:rsidR="00C47F47" w:rsidRPr="00976A22" w:rsidRDefault="00C47F47" w:rsidP="000C1C38">
                            <w:pPr>
                              <w:jc w:val="center"/>
                              <w:rPr>
                                <w:b/>
                                <w:sz w:val="18"/>
                              </w:rPr>
                            </w:pPr>
                            <w:r w:rsidRPr="00976A22">
                              <w:rPr>
                                <w:b/>
                                <w:sz w:val="18"/>
                              </w:rPr>
                              <w:t>Zákon o štátnom rozpočte</w:t>
                            </w:r>
                          </w:p>
                          <w:p w14:paraId="5EF3E79D"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určuje príjmy, výdavky, maximálny schodok</w:t>
                            </w:r>
                          </w:p>
                          <w:p w14:paraId="4E096606"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výdavky môžu byť prekročené max. o 1 %</w:t>
                            </w:r>
                          </w:p>
                          <w:p w14:paraId="599BD4E9" w14:textId="77777777" w:rsidR="00C47F47" w:rsidRPr="00976A22"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platí vždy len na jeden rok</w:t>
                            </w:r>
                          </w:p>
                          <w:p w14:paraId="4A43DB97" w14:textId="77777777" w:rsidR="00C47F47" w:rsidRDefault="00C47F47" w:rsidP="000C1C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33B6B" id="Text Box 29" o:spid="_x0000_s1033" type="#_x0000_t202" style="position:absolute;left:0;text-align:left;margin-left:.3pt;margin-top:13.3pt;width:219.05pt;height:55.8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" fillcolor="white [3201]" strokecolor="#13b5ea" strokeweight=".5pt">
                <v:textbox>
                  <w:txbxContent>
                    <w:p w14:paraId="2913280B" w14:textId="77777777" w:rsidR="00C47F47" w:rsidRPr="00976A22" w:rsidRDefault="00C47F47" w:rsidP="000C1C38">
                      <w:pPr>
                        <w:jc w:val="center"/>
                        <w:rPr>
                          <w:b/>
                          <w:sz w:val="18"/>
                        </w:rPr>
                      </w:pPr>
                      <w:r w:rsidRPr="00976A22">
                        <w:rPr>
                          <w:b/>
                          <w:sz w:val="18"/>
                        </w:rPr>
                        <w:t>Zákon o štátnom rozpočte</w:t>
                      </w:r>
                    </w:p>
                    <w:p w14:paraId="5EF3E79D"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určuje príjmy, výdavky, maximálny schodok</w:t>
                      </w:r>
                    </w:p>
                    <w:p w14:paraId="4E096606"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výdavky môžu byť prekročené max. o 1 %</w:t>
                      </w:r>
                    </w:p>
                    <w:p w14:paraId="599BD4E9" w14:textId="77777777" w:rsidR="00C47F47" w:rsidRPr="00976A22"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platí vždy len na jeden rok</w:t>
                      </w:r>
                    </w:p>
                    <w:p w14:paraId="4A43DB97" w14:textId="77777777" w:rsidR="00C47F47" w:rsidRDefault="00C47F47" w:rsidP="000C1C38"/>
                  </w:txbxContent>
                </v:textbox>
              </v:shape>
            </w:pict>
          </mc:Fallback>
        </mc:AlternateContent>
      </w:r>
    </w:p>
    <w:p w14:paraId="5F803BB4" w14:textId="77777777" w:rsidR="000C1C38" w:rsidRPr="00B81300" w:rsidRDefault="000C1C38" w:rsidP="000C1C38">
      <w:pPr>
        <w:jc w:val="both"/>
        <w:rPr>
          <w:highlight w:val="yellow"/>
        </w:rPr>
      </w:pPr>
    </w:p>
    <w:p w14:paraId="557F56AF" w14:textId="77777777" w:rsidR="000C1C38" w:rsidRPr="00B81300" w:rsidRDefault="000C1C38" w:rsidP="000C1C38">
      <w:pPr>
        <w:jc w:val="both"/>
        <w:rPr>
          <w:highlight w:val="yellow"/>
        </w:rPr>
      </w:pPr>
    </w:p>
    <w:p w14:paraId="112D5FCD" w14:textId="77777777" w:rsidR="000C1C38" w:rsidRPr="00B81300" w:rsidRDefault="000C1C38" w:rsidP="000C1C38">
      <w:pPr>
        <w:jc w:val="both"/>
        <w:rPr>
          <w:highlight w:val="yellow"/>
        </w:rPr>
      </w:pPr>
      <w:r w:rsidRPr="00B81300">
        <w:rPr>
          <w:noProof/>
          <w:highlight w:val="yellow"/>
        </w:rPr>
        <mc:AlternateContent>
          <mc:Choice Requires="wps">
            <w:drawing>
              <wp:anchor distT="0" distB="0" distL="114300" distR="114300" simplePos="0" relativeHeight="251658252" behindDoc="0" locked="0" layoutInCell="1" allowOverlap="1" wp14:anchorId="7C2DB586" wp14:editId="0099E1E0">
                <wp:simplePos x="0" y="0"/>
                <wp:positionH relativeFrom="column">
                  <wp:posOffset>2954655</wp:posOffset>
                </wp:positionH>
                <wp:positionV relativeFrom="paragraph">
                  <wp:posOffset>12065</wp:posOffset>
                </wp:positionV>
                <wp:extent cx="2824480" cy="885825"/>
                <wp:effectExtent l="0" t="0" r="13970" b="28575"/>
                <wp:wrapNone/>
                <wp:docPr id="30" name="Text Box 17"/>
                <wp:cNvGraphicFramePr/>
                <a:graphic xmlns:a="http://schemas.openxmlformats.org/drawingml/2006/main">
                  <a:graphicData uri="http://schemas.microsoft.com/office/word/2010/wordprocessingShape">
                    <wps:wsp>
                      <wps:cNvSpPr txBox="1"/>
                      <wps:spPr>
                        <a:xfrm>
                          <a:off x="0" y="0"/>
                          <a:ext cx="2824480" cy="885825"/>
                        </a:xfrm>
                        <a:prstGeom prst="rect">
                          <a:avLst/>
                        </a:prstGeom>
                        <a:solidFill>
                          <a:schemeClr val="lt1"/>
                        </a:solidFill>
                        <a:ln w="6350">
                          <a:solidFill>
                            <a:srgbClr val="13B5EA"/>
                          </a:solidFill>
                        </a:ln>
                        <a:effectLst/>
                      </wps:spPr>
                      <wps:style>
                        <a:lnRef idx="0">
                          <a:schemeClr val="accent1"/>
                        </a:lnRef>
                        <a:fillRef idx="0">
                          <a:schemeClr val="accent1"/>
                        </a:fillRef>
                        <a:effectRef idx="0">
                          <a:schemeClr val="accent1"/>
                        </a:effectRef>
                        <a:fontRef idx="minor">
                          <a:schemeClr val="dk1"/>
                        </a:fontRef>
                      </wps:style>
                      <wps:txbx>
                        <w:txbxContent>
                          <w:p w14:paraId="08B7FC5B" w14:textId="77777777" w:rsidR="00C47F47" w:rsidRPr="00976A22" w:rsidRDefault="00C47F47" w:rsidP="000C1C38">
                            <w:pPr>
                              <w:jc w:val="center"/>
                              <w:rPr>
                                <w:b/>
                                <w:sz w:val="18"/>
                              </w:rPr>
                            </w:pPr>
                            <w:r w:rsidRPr="00976A22">
                              <w:rPr>
                                <w:b/>
                                <w:sz w:val="18"/>
                              </w:rPr>
                              <w:t>„Fiškálny kompakt“</w:t>
                            </w:r>
                          </w:p>
                          <w:p w14:paraId="1558E9BB"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pravidlo vyrovnaného rozpočtu</w:t>
                            </w:r>
                          </w:p>
                          <w:p w14:paraId="0F0B6708"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strednodobý cieľ do národnej legislatívy</w:t>
                            </w:r>
                          </w:p>
                          <w:p w14:paraId="437C44F2"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korekčný mechanizmus</w:t>
                            </w:r>
                          </w:p>
                          <w:p w14:paraId="116DC3BF" w14:textId="77777777" w:rsidR="00C47F47" w:rsidRPr="0004222B" w:rsidRDefault="00C47F47" w:rsidP="000C1C38">
                            <w:pPr>
                              <w:pStyle w:val="ListParagraph"/>
                              <w:numPr>
                                <w:ilvl w:val="0"/>
                                <w:numId w:val="6"/>
                              </w:numPr>
                              <w:spacing w:after="136"/>
                              <w:ind w:left="244" w:hanging="183"/>
                              <w:rPr>
                                <w:sz w:val="18"/>
                              </w:rPr>
                            </w:pPr>
                            <w:r w:rsidRPr="0004222B">
                              <w:rPr>
                                <w:rFonts w:ascii="Constantia" w:hAnsi="Constantia"/>
                                <w:sz w:val="18"/>
                              </w:rPr>
                              <w:t>znižovanie dlhu nad 60 % HDP o 1/20 ročne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DB586" id="Text Box 17" o:spid="_x0000_s1034" type="#_x0000_t202" style="position:absolute;left:0;text-align:left;margin-left:232.65pt;margin-top:.95pt;width:222.4pt;height:69.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" fillcolor="white [3201]" strokecolor="#13b5ea" strokeweight=".5pt">
                <v:textbox>
                  <w:txbxContent>
                    <w:p w14:paraId="08B7FC5B" w14:textId="77777777" w:rsidR="00C47F47" w:rsidRPr="00976A22" w:rsidRDefault="00C47F47" w:rsidP="000C1C38">
                      <w:pPr>
                        <w:jc w:val="center"/>
                        <w:rPr>
                          <w:b/>
                          <w:sz w:val="18"/>
                        </w:rPr>
                      </w:pPr>
                      <w:r w:rsidRPr="00976A22">
                        <w:rPr>
                          <w:b/>
                          <w:sz w:val="18"/>
                        </w:rPr>
                        <w:t>„Fiškálny kompakt“</w:t>
                      </w:r>
                    </w:p>
                    <w:p w14:paraId="1558E9BB"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pravidlo vyrovnaného rozpočtu</w:t>
                      </w:r>
                    </w:p>
                    <w:p w14:paraId="0F0B6708"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strednodobý cieľ do národnej legislatívy</w:t>
                      </w:r>
                    </w:p>
                    <w:p w14:paraId="437C44F2"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korekčný mechanizmus</w:t>
                      </w:r>
                    </w:p>
                    <w:p w14:paraId="116DC3BF" w14:textId="77777777" w:rsidR="00C47F47" w:rsidRPr="0004222B" w:rsidRDefault="00C47F47" w:rsidP="000C1C38">
                      <w:pPr>
                        <w:pStyle w:val="ListParagraph"/>
                        <w:numPr>
                          <w:ilvl w:val="0"/>
                          <w:numId w:val="6"/>
                        </w:numPr>
                        <w:spacing w:after="136"/>
                        <w:ind w:left="244" w:hanging="183"/>
                        <w:rPr>
                          <w:sz w:val="18"/>
                        </w:rPr>
                      </w:pPr>
                      <w:r w:rsidRPr="0004222B">
                        <w:rPr>
                          <w:rFonts w:ascii="Constantia" w:hAnsi="Constantia"/>
                          <w:sz w:val="18"/>
                        </w:rPr>
                        <w:t>znižovanie dlhu nad 60 % HDP o 1/20 ročne</w:t>
                      </w:r>
                    </w:p>
                  </w:txbxContent>
                </v:textbox>
              </v:shape>
            </w:pict>
          </mc:Fallback>
        </mc:AlternateContent>
      </w:r>
    </w:p>
    <w:p w14:paraId="14C1085A" w14:textId="77777777" w:rsidR="000C1C38" w:rsidRPr="00B81300" w:rsidRDefault="000C1C38" w:rsidP="000C1C38">
      <w:pPr>
        <w:jc w:val="both"/>
        <w:rPr>
          <w:highlight w:val="yellow"/>
        </w:rPr>
      </w:pPr>
    </w:p>
    <w:p w14:paraId="4C6A261B" w14:textId="77777777" w:rsidR="000C1C38" w:rsidRPr="00B81300" w:rsidRDefault="000C1C38" w:rsidP="000C1C38">
      <w:pPr>
        <w:jc w:val="both"/>
        <w:rPr>
          <w:highlight w:val="yellow"/>
        </w:rPr>
      </w:pPr>
    </w:p>
    <w:p w14:paraId="1F44C99B" w14:textId="77777777" w:rsidR="000C1C38" w:rsidRPr="00B81300" w:rsidRDefault="000C1C38" w:rsidP="000C1C38">
      <w:pPr>
        <w:jc w:val="both"/>
        <w:rPr>
          <w:highlight w:val="yellow"/>
        </w:rPr>
      </w:pPr>
      <w:r w:rsidRPr="00B81300">
        <w:rPr>
          <w:noProof/>
          <w:highlight w:val="yellow"/>
        </w:rPr>
        <mc:AlternateContent>
          <mc:Choice Requires="wps">
            <w:drawing>
              <wp:anchor distT="0" distB="0" distL="114300" distR="114300" simplePos="0" relativeHeight="251658244" behindDoc="0" locked="0" layoutInCell="1" allowOverlap="1" wp14:anchorId="2A7AFC28" wp14:editId="4B2863B2">
                <wp:simplePos x="0" y="0"/>
                <wp:positionH relativeFrom="column">
                  <wp:posOffset>5080</wp:posOffset>
                </wp:positionH>
                <wp:positionV relativeFrom="paragraph">
                  <wp:posOffset>15240</wp:posOffset>
                </wp:positionV>
                <wp:extent cx="2781935" cy="381000"/>
                <wp:effectExtent l="0" t="0" r="18415" b="19050"/>
                <wp:wrapNone/>
                <wp:docPr id="36" name="Text Box 14"/>
                <wp:cNvGraphicFramePr/>
                <a:graphic xmlns:a="http://schemas.openxmlformats.org/drawingml/2006/main">
                  <a:graphicData uri="http://schemas.microsoft.com/office/word/2010/wordprocessingShape">
                    <wps:wsp>
                      <wps:cNvSpPr txBox="1"/>
                      <wps:spPr>
                        <a:xfrm>
                          <a:off x="0" y="0"/>
                          <a:ext cx="2781935" cy="381000"/>
                        </a:xfrm>
                        <a:prstGeom prst="rect">
                          <a:avLst/>
                        </a:prstGeom>
                        <a:solidFill>
                          <a:schemeClr val="lt1"/>
                        </a:solidFill>
                        <a:ln w="6350">
                          <a:solidFill>
                            <a:srgbClr val="13B5EA"/>
                          </a:solidFill>
                        </a:ln>
                        <a:effectLst/>
                      </wps:spPr>
                      <wps:style>
                        <a:lnRef idx="0">
                          <a:schemeClr val="accent1"/>
                        </a:lnRef>
                        <a:fillRef idx="0">
                          <a:schemeClr val="accent1"/>
                        </a:fillRef>
                        <a:effectRef idx="0">
                          <a:schemeClr val="accent1"/>
                        </a:effectRef>
                        <a:fontRef idx="minor">
                          <a:schemeClr val="dk1"/>
                        </a:fontRef>
                      </wps:style>
                      <wps:txbx>
                        <w:txbxContent>
                          <w:p w14:paraId="4F7960DB" w14:textId="77777777" w:rsidR="00C47F47" w:rsidRPr="00976A22" w:rsidRDefault="00C47F47" w:rsidP="000C1C38">
                            <w:pPr>
                              <w:jc w:val="center"/>
                              <w:rPr>
                                <w:b/>
                                <w:sz w:val="18"/>
                              </w:rPr>
                            </w:pPr>
                            <w:r w:rsidRPr="00976A22">
                              <w:rPr>
                                <w:b/>
                                <w:sz w:val="18"/>
                              </w:rPr>
                              <w:t>Zákon o účtovníctve</w:t>
                            </w:r>
                          </w:p>
                          <w:p w14:paraId="7E858673"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definuje účtovné jednotky a účtovné povinnosti</w:t>
                            </w:r>
                          </w:p>
                          <w:p w14:paraId="6383E243" w14:textId="77777777" w:rsidR="00C47F47" w:rsidRDefault="00C47F47" w:rsidP="000C1C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AFC28" id="Text Box 14" o:spid="_x0000_s1035" type="#_x0000_t202" style="position:absolute;left:0;text-align:left;margin-left:.4pt;margin-top:1.2pt;width:219.05pt;height:30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" fillcolor="white [3201]" strokecolor="#13b5ea" strokeweight=".5pt">
                <v:textbox>
                  <w:txbxContent>
                    <w:p w14:paraId="4F7960DB" w14:textId="77777777" w:rsidR="00C47F47" w:rsidRPr="00976A22" w:rsidRDefault="00C47F47" w:rsidP="000C1C38">
                      <w:pPr>
                        <w:jc w:val="center"/>
                        <w:rPr>
                          <w:b/>
                          <w:sz w:val="18"/>
                        </w:rPr>
                      </w:pPr>
                      <w:r w:rsidRPr="00976A22">
                        <w:rPr>
                          <w:b/>
                          <w:sz w:val="18"/>
                        </w:rPr>
                        <w:t>Zákon o účtovníctve</w:t>
                      </w:r>
                    </w:p>
                    <w:p w14:paraId="7E858673" w14:textId="77777777" w:rsidR="00C47F47" w:rsidRDefault="00C47F47" w:rsidP="000C1C38">
                      <w:pPr>
                        <w:pStyle w:val="ListParagraph"/>
                        <w:numPr>
                          <w:ilvl w:val="0"/>
                          <w:numId w:val="6"/>
                        </w:numPr>
                        <w:spacing w:after="136"/>
                        <w:ind w:left="244" w:hanging="183"/>
                        <w:rPr>
                          <w:rFonts w:ascii="Constantia" w:hAnsi="Constantia"/>
                          <w:sz w:val="18"/>
                        </w:rPr>
                      </w:pPr>
                      <w:r>
                        <w:rPr>
                          <w:rFonts w:ascii="Constantia" w:hAnsi="Constantia"/>
                          <w:sz w:val="18"/>
                        </w:rPr>
                        <w:t>definuje účtovné jednotky a účtovné povinnosti</w:t>
                      </w:r>
                    </w:p>
                    <w:p w14:paraId="6383E243" w14:textId="77777777" w:rsidR="00C47F47" w:rsidRDefault="00C47F47" w:rsidP="000C1C38"/>
                  </w:txbxContent>
                </v:textbox>
              </v:shape>
            </w:pict>
          </mc:Fallback>
        </mc:AlternateContent>
      </w:r>
    </w:p>
    <w:p w14:paraId="2CF6F316" w14:textId="77777777" w:rsidR="000C1C38" w:rsidRPr="00B81300" w:rsidRDefault="000C1C38" w:rsidP="000C1C38">
      <w:pPr>
        <w:rPr>
          <w:color w:val="13B5EA"/>
          <w:sz w:val="16"/>
          <w:szCs w:val="16"/>
          <w:highlight w:val="yellow"/>
        </w:rPr>
      </w:pPr>
    </w:p>
    <w:p w14:paraId="18D85A2D" w14:textId="77777777" w:rsidR="000C1C38" w:rsidRPr="001E37DE" w:rsidRDefault="000C1C38" w:rsidP="000C1C38">
      <w:pPr>
        <w:ind w:left="6372"/>
        <w:jc w:val="right"/>
        <w:rPr>
          <w:i/>
          <w:color w:val="13B5EA"/>
          <w:sz w:val="16"/>
          <w:szCs w:val="16"/>
        </w:rPr>
      </w:pPr>
    </w:p>
    <w:p w14:paraId="3F083941" w14:textId="384DAB75" w:rsidR="000C1C38" w:rsidRPr="001E37DE" w:rsidRDefault="000C1C38" w:rsidP="000C1C38">
      <w:pPr>
        <w:jc w:val="both"/>
        <w:rPr>
          <w:i/>
          <w:color w:val="13B5EA"/>
          <w:sz w:val="16"/>
          <w:szCs w:val="16"/>
        </w:rPr>
      </w:pPr>
      <w:r w:rsidRPr="001E37DE">
        <w:rPr>
          <w:i/>
          <w:color w:val="13B5EA"/>
          <w:sz w:val="16"/>
          <w:szCs w:val="16"/>
        </w:rPr>
        <w:t>* Ide o dolný a horný limit dlhovej brzdy počas prechodného obdobia. Počnúc rokom 2018 klesajú o 1 perc</w:t>
      </w:r>
      <w:r w:rsidR="0008224D">
        <w:rPr>
          <w:i/>
          <w:color w:val="13B5EA"/>
          <w:sz w:val="16"/>
          <w:szCs w:val="16"/>
        </w:rPr>
        <w:t>entuálny</w:t>
      </w:r>
      <w:r w:rsidRPr="001E37DE">
        <w:rPr>
          <w:i/>
          <w:color w:val="13B5EA"/>
          <w:sz w:val="16"/>
          <w:szCs w:val="16"/>
        </w:rPr>
        <w:t xml:space="preserve"> bod ročne, až kým nedosiahnu 40 resp. 50 % HDP v roku 2027.</w:t>
      </w:r>
      <w:r w:rsidRPr="001E37DE">
        <w:rPr>
          <w:i/>
          <w:color w:val="13B5EA"/>
          <w:sz w:val="16"/>
          <w:szCs w:val="16"/>
        </w:rPr>
        <w:tab/>
      </w:r>
      <w:r w:rsidRPr="001E37DE">
        <w:rPr>
          <w:i/>
          <w:color w:val="13B5EA"/>
          <w:sz w:val="16"/>
          <w:szCs w:val="16"/>
        </w:rPr>
        <w:tab/>
      </w:r>
      <w:r w:rsidRPr="001E37DE">
        <w:rPr>
          <w:i/>
          <w:color w:val="13B5EA"/>
          <w:sz w:val="16"/>
          <w:szCs w:val="16"/>
        </w:rPr>
        <w:tab/>
      </w:r>
      <w:r w:rsidRPr="001E37DE">
        <w:rPr>
          <w:i/>
          <w:color w:val="13B5EA"/>
          <w:sz w:val="16"/>
          <w:szCs w:val="16"/>
        </w:rPr>
        <w:tab/>
      </w:r>
      <w:r w:rsidRPr="001E37DE">
        <w:rPr>
          <w:i/>
          <w:color w:val="13B5EA"/>
          <w:sz w:val="16"/>
          <w:szCs w:val="16"/>
        </w:rPr>
        <w:tab/>
        <w:t xml:space="preserve">                                                   Zdroj: RRZ</w:t>
      </w:r>
    </w:p>
    <w:p w14:paraId="39894256" w14:textId="77777777" w:rsidR="000C1C38" w:rsidRPr="00B81300" w:rsidRDefault="000C1C38" w:rsidP="000C1C38">
      <w:pPr>
        <w:jc w:val="both"/>
        <w:rPr>
          <w:highlight w:val="yellow"/>
        </w:rPr>
      </w:pPr>
    </w:p>
    <w:p w14:paraId="27A1B5FF" w14:textId="1C2CA8F7" w:rsidR="002230A3" w:rsidRDefault="00232C12" w:rsidP="00232C12">
      <w:pPr>
        <w:jc w:val="both"/>
        <w:rPr>
          <w:szCs w:val="22"/>
        </w:rPr>
      </w:pPr>
      <w:bookmarkStart w:id="414" w:name="_Toc358736841"/>
      <w:bookmarkStart w:id="415" w:name="_Toc358736868"/>
      <w:bookmarkStart w:id="416" w:name="_Toc358736944"/>
      <w:bookmarkStart w:id="417" w:name="_Toc359288684"/>
      <w:bookmarkStart w:id="418" w:name="_Toc359288718"/>
      <w:bookmarkStart w:id="419" w:name="_Toc359288749"/>
      <w:bookmarkStart w:id="420" w:name="_Toc359327616"/>
      <w:bookmarkStart w:id="421" w:name="_Toc359427369"/>
      <w:bookmarkEnd w:id="414"/>
      <w:bookmarkEnd w:id="415"/>
      <w:bookmarkEnd w:id="416"/>
      <w:bookmarkEnd w:id="417"/>
      <w:bookmarkEnd w:id="418"/>
      <w:bookmarkEnd w:id="419"/>
      <w:bookmarkEnd w:id="420"/>
      <w:bookmarkEnd w:id="421"/>
      <w:r w:rsidRPr="00565140">
        <w:rPr>
          <w:szCs w:val="22"/>
        </w:rPr>
        <w:lastRenderedPageBreak/>
        <w:t>V priebehu roku 201</w:t>
      </w:r>
      <w:r w:rsidR="00565140" w:rsidRPr="00565140">
        <w:rPr>
          <w:szCs w:val="22"/>
        </w:rPr>
        <w:t>9</w:t>
      </w:r>
      <w:r w:rsidRPr="00565140">
        <w:rPr>
          <w:szCs w:val="22"/>
        </w:rPr>
        <w:t xml:space="preserve"> bol</w:t>
      </w:r>
      <w:r w:rsidR="00565140" w:rsidRPr="00565140">
        <w:rPr>
          <w:szCs w:val="22"/>
        </w:rPr>
        <w:t>a</w:t>
      </w:r>
      <w:r w:rsidRPr="00565140">
        <w:rPr>
          <w:szCs w:val="22"/>
        </w:rPr>
        <w:t xml:space="preserve"> schválen</w:t>
      </w:r>
      <w:r w:rsidR="00565140" w:rsidRPr="00565140">
        <w:rPr>
          <w:szCs w:val="22"/>
        </w:rPr>
        <w:t>á</w:t>
      </w:r>
      <w:r w:rsidRPr="00565140">
        <w:rPr>
          <w:szCs w:val="22"/>
        </w:rPr>
        <w:t xml:space="preserve"> </w:t>
      </w:r>
      <w:r w:rsidR="00565140" w:rsidRPr="00565140">
        <w:rPr>
          <w:b/>
          <w:szCs w:val="22"/>
        </w:rPr>
        <w:t>jedna</w:t>
      </w:r>
      <w:r w:rsidRPr="00565140">
        <w:rPr>
          <w:b/>
          <w:szCs w:val="22"/>
        </w:rPr>
        <w:t xml:space="preserve"> novel</w:t>
      </w:r>
      <w:r w:rsidR="00565140" w:rsidRPr="00565140">
        <w:rPr>
          <w:b/>
          <w:szCs w:val="22"/>
        </w:rPr>
        <w:t>a</w:t>
      </w:r>
      <w:r w:rsidRPr="00565140">
        <w:rPr>
          <w:b/>
          <w:szCs w:val="22"/>
        </w:rPr>
        <w:t xml:space="preserve"> zákona o rozpočtových pravidlách verejnej správy</w:t>
      </w:r>
      <w:r w:rsidR="00565140" w:rsidRPr="00565140">
        <w:rPr>
          <w:szCs w:val="22"/>
        </w:rPr>
        <w:t xml:space="preserve"> a súvisela s prijatím zákona</w:t>
      </w:r>
      <w:r w:rsidR="00565140" w:rsidRPr="00565140">
        <w:rPr>
          <w:rStyle w:val="FootnoteReference"/>
          <w:szCs w:val="22"/>
        </w:rPr>
        <w:footnoteReference w:id="25"/>
      </w:r>
      <w:r w:rsidR="00565140" w:rsidRPr="00565140">
        <w:rPr>
          <w:szCs w:val="22"/>
        </w:rPr>
        <w:t xml:space="preserve"> na znižovanie administratívnej záťaže využívaním informačných systémov verejnej správy.</w:t>
      </w:r>
      <w:r w:rsidR="00D20363">
        <w:rPr>
          <w:szCs w:val="22"/>
        </w:rPr>
        <w:t xml:space="preserve"> Novelou sa zrušila povinnosť predkladať niektoré potvrdenia pri žiadosti o dotáciu zo štátneho rozpočtu, ktoré si vie štát zistiť zo svojich informačných systémov (od Finančnej správy SR, Sociálnej poisťovne a zdravotných poisťovní).</w:t>
      </w:r>
      <w:r w:rsidR="00565140" w:rsidRPr="00565140">
        <w:rPr>
          <w:szCs w:val="22"/>
        </w:rPr>
        <w:t xml:space="preserve"> Z pohľadu </w:t>
      </w:r>
      <w:r w:rsidR="00730412">
        <w:rPr>
          <w:szCs w:val="22"/>
        </w:rPr>
        <w:t>existujúcich</w:t>
      </w:r>
      <w:r w:rsidR="00565140" w:rsidRPr="00565140">
        <w:rPr>
          <w:szCs w:val="22"/>
        </w:rPr>
        <w:t xml:space="preserve"> rozpočtových pravidiel nedošlo k žiadnej zmene.</w:t>
      </w:r>
      <w:r w:rsidR="003800AF">
        <w:rPr>
          <w:szCs w:val="22"/>
        </w:rPr>
        <w:t xml:space="preserve"> </w:t>
      </w:r>
    </w:p>
    <w:p w14:paraId="1B1758D7" w14:textId="77777777" w:rsidR="002230A3" w:rsidRDefault="002230A3" w:rsidP="00232C12">
      <w:pPr>
        <w:jc w:val="both"/>
        <w:rPr>
          <w:szCs w:val="22"/>
        </w:rPr>
      </w:pPr>
    </w:p>
    <w:p w14:paraId="5E14AF31" w14:textId="57B43CBF" w:rsidR="00232C12" w:rsidRDefault="003800AF" w:rsidP="00232C12">
      <w:pPr>
        <w:jc w:val="both"/>
        <w:rPr>
          <w:szCs w:val="22"/>
        </w:rPr>
      </w:pPr>
      <w:r>
        <w:rPr>
          <w:szCs w:val="22"/>
        </w:rPr>
        <w:t>K </w:t>
      </w:r>
      <w:r w:rsidR="00D20363">
        <w:rPr>
          <w:szCs w:val="22"/>
        </w:rPr>
        <w:t xml:space="preserve">významnejším </w:t>
      </w:r>
      <w:r>
        <w:rPr>
          <w:szCs w:val="22"/>
        </w:rPr>
        <w:t xml:space="preserve">zmenám v rozpočtových pravidlách došlo v roku 2020, kedy v nadväznosti na ekonomické dôsledky pandémie koronavírusu Národná rada SR schválila </w:t>
      </w:r>
      <w:r w:rsidR="00D20363">
        <w:rPr>
          <w:szCs w:val="22"/>
        </w:rPr>
        <w:t xml:space="preserve">dočasné </w:t>
      </w:r>
      <w:r>
        <w:rPr>
          <w:szCs w:val="22"/>
        </w:rPr>
        <w:t xml:space="preserve">uvoľnenie pravidiel týkajúcich sa najmä </w:t>
      </w:r>
      <w:r w:rsidRPr="003800AF">
        <w:rPr>
          <w:szCs w:val="22"/>
        </w:rPr>
        <w:t>hospodárenia štátnych rozpočtových a príspevkových organizácií, obcí a</w:t>
      </w:r>
      <w:r w:rsidR="00320B5A">
        <w:rPr>
          <w:szCs w:val="22"/>
        </w:rPr>
        <w:t> </w:t>
      </w:r>
      <w:r w:rsidRPr="003800AF">
        <w:rPr>
          <w:szCs w:val="22"/>
        </w:rPr>
        <w:t>vyšších územných celkov</w:t>
      </w:r>
      <w:r>
        <w:rPr>
          <w:szCs w:val="22"/>
        </w:rPr>
        <w:t xml:space="preserve"> (viac v Boxe 1).</w:t>
      </w:r>
    </w:p>
    <w:p w14:paraId="0518C112" w14:textId="77777777" w:rsidR="00E45146" w:rsidRPr="00B81300" w:rsidRDefault="00E45146" w:rsidP="00E45146">
      <w:pPr>
        <w:jc w:val="both"/>
        <w:rPr>
          <w:highlight w:val="yellow"/>
        </w:rPr>
      </w:pPr>
    </w:p>
    <w:tbl>
      <w:tblPr>
        <w:tblW w:w="9072" w:type="dxa"/>
        <w:jc w:val="center"/>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shd w:val="clear" w:color="auto" w:fill="AAE4F8"/>
        <w:tblLayout w:type="fixed"/>
        <w:tblLook w:val="04A0" w:firstRow="1" w:lastRow="0" w:firstColumn="1" w:lastColumn="0" w:noHBand="0" w:noVBand="1"/>
      </w:tblPr>
      <w:tblGrid>
        <w:gridCol w:w="9072"/>
      </w:tblGrid>
      <w:tr w:rsidR="00E45146" w:rsidRPr="00B81300" w14:paraId="593A4AE6" w14:textId="77777777" w:rsidTr="001F2EF9">
        <w:trPr>
          <w:trHeight w:val="679"/>
          <w:jc w:val="center"/>
        </w:trPr>
        <w:tc>
          <w:tcPr>
            <w:tcW w:w="9072" w:type="dxa"/>
            <w:shd w:val="clear" w:color="auto" w:fill="AAE4F8"/>
          </w:tcPr>
          <w:p w14:paraId="21B3736F" w14:textId="77777777" w:rsidR="00E45146" w:rsidRPr="00B81300" w:rsidRDefault="00E45146" w:rsidP="001F2EF9">
            <w:pPr>
              <w:jc w:val="both"/>
              <w:rPr>
                <w:sz w:val="10"/>
                <w:szCs w:val="10"/>
                <w:highlight w:val="yellow"/>
              </w:rPr>
            </w:pPr>
          </w:p>
          <w:p w14:paraId="7C601D05" w14:textId="2C380F57" w:rsidR="00E45146" w:rsidRPr="00D6519F" w:rsidRDefault="00E45146" w:rsidP="001F2EF9">
            <w:pPr>
              <w:pStyle w:val="box"/>
              <w:rPr>
                <w:sz w:val="20"/>
                <w:lang w:val="sk-SK"/>
              </w:rPr>
            </w:pPr>
            <w:bookmarkStart w:id="422" w:name="_Toc49506891"/>
            <w:r w:rsidRPr="00D6519F">
              <w:rPr>
                <w:sz w:val="20"/>
                <w:lang w:val="sk-SK"/>
              </w:rPr>
              <w:t xml:space="preserve">Box 1: </w:t>
            </w:r>
            <w:r>
              <w:rPr>
                <w:sz w:val="20"/>
                <w:lang w:val="sk-SK"/>
              </w:rPr>
              <w:t>Prehľad legislatívnych zmien v</w:t>
            </w:r>
            <w:r w:rsidR="001F2EF9">
              <w:rPr>
                <w:sz w:val="20"/>
                <w:lang w:val="sk-SK"/>
              </w:rPr>
              <w:t> rozpočtových pravidlách v</w:t>
            </w:r>
            <w:r>
              <w:rPr>
                <w:sz w:val="20"/>
                <w:lang w:val="sk-SK"/>
              </w:rPr>
              <w:t> priebehu roku 2020</w:t>
            </w:r>
            <w:bookmarkEnd w:id="422"/>
          </w:p>
          <w:p w14:paraId="0E4655C3" w14:textId="77777777" w:rsidR="00E45146" w:rsidRPr="00B81300" w:rsidRDefault="00E45146" w:rsidP="001F2EF9">
            <w:pPr>
              <w:jc w:val="both"/>
              <w:rPr>
                <w:sz w:val="16"/>
                <w:highlight w:val="yellow"/>
              </w:rPr>
            </w:pPr>
          </w:p>
          <w:p w14:paraId="105D9C37" w14:textId="1C06E4BD" w:rsidR="00E35E94" w:rsidRDefault="00F10205" w:rsidP="001F2EF9">
            <w:pPr>
              <w:jc w:val="both"/>
              <w:rPr>
                <w:sz w:val="20"/>
                <w:szCs w:val="22"/>
              </w:rPr>
            </w:pPr>
            <w:r>
              <w:rPr>
                <w:sz w:val="20"/>
                <w:szCs w:val="22"/>
              </w:rPr>
              <w:t xml:space="preserve">V súvislosti s ekonomickými dôsledkami pandémie koronavírusu </w:t>
            </w:r>
            <w:r w:rsidR="00E35E94">
              <w:rPr>
                <w:sz w:val="20"/>
                <w:szCs w:val="22"/>
              </w:rPr>
              <w:t xml:space="preserve">Národná rada </w:t>
            </w:r>
            <w:r>
              <w:rPr>
                <w:sz w:val="20"/>
                <w:szCs w:val="22"/>
              </w:rPr>
              <w:t xml:space="preserve">SR </w:t>
            </w:r>
            <w:r w:rsidR="00E35E94">
              <w:rPr>
                <w:sz w:val="20"/>
                <w:szCs w:val="22"/>
              </w:rPr>
              <w:t>schválila z</w:t>
            </w:r>
            <w:r w:rsidR="00E35E94" w:rsidRPr="00E35E94">
              <w:rPr>
                <w:sz w:val="20"/>
                <w:szCs w:val="22"/>
              </w:rPr>
              <w:t xml:space="preserve">ákon </w:t>
            </w:r>
            <w:r w:rsidR="00E35E94">
              <w:rPr>
                <w:sz w:val="20"/>
                <w:szCs w:val="22"/>
              </w:rPr>
              <w:t>č.</w:t>
            </w:r>
            <w:r w:rsidR="00320B5A">
              <w:rPr>
                <w:sz w:val="20"/>
                <w:szCs w:val="22"/>
              </w:rPr>
              <w:t> </w:t>
            </w:r>
            <w:r w:rsidR="00E35E94">
              <w:rPr>
                <w:sz w:val="20"/>
                <w:szCs w:val="22"/>
              </w:rPr>
              <w:t xml:space="preserve">67/2020 Z.z. </w:t>
            </w:r>
            <w:r w:rsidR="00E35E94" w:rsidRPr="00E35E94">
              <w:rPr>
                <w:sz w:val="20"/>
                <w:szCs w:val="22"/>
              </w:rPr>
              <w:t>o niektorých mimoriadnych opatreniach vo finančnej oblasti v súvislosti so šírením nebezpečnej nákazlivej ľudskej choroby COVID-19</w:t>
            </w:r>
            <w:r>
              <w:rPr>
                <w:sz w:val="20"/>
                <w:szCs w:val="22"/>
              </w:rPr>
              <w:t>. Do dňa uzávierky tohto materiálu bol zákon päťkrát novelizovaný, pričom upravuje aj pravidlá rozpočtového hospodárenia počas obdobia pandémie.</w:t>
            </w:r>
          </w:p>
          <w:p w14:paraId="4D3E7487" w14:textId="6CDA867E" w:rsidR="00F10205" w:rsidRDefault="00F10205" w:rsidP="001F2EF9">
            <w:pPr>
              <w:jc w:val="both"/>
              <w:rPr>
                <w:sz w:val="20"/>
                <w:szCs w:val="22"/>
              </w:rPr>
            </w:pPr>
          </w:p>
          <w:p w14:paraId="16666F63" w14:textId="3D98DF7B" w:rsidR="00F10205" w:rsidRDefault="00F10205" w:rsidP="001F2EF9">
            <w:pPr>
              <w:jc w:val="both"/>
              <w:rPr>
                <w:sz w:val="20"/>
                <w:szCs w:val="22"/>
              </w:rPr>
            </w:pPr>
            <w:r>
              <w:rPr>
                <w:sz w:val="20"/>
                <w:szCs w:val="22"/>
              </w:rPr>
              <w:t xml:space="preserve">V oblasti rozpočtových pravidiel ide o ich dočasné uvoľnenie, ktoré </w:t>
            </w:r>
            <w:r w:rsidR="008C2316">
              <w:rPr>
                <w:sz w:val="20"/>
                <w:szCs w:val="22"/>
              </w:rPr>
              <w:t>sa týka najmä hospodárenia štátnych rozpočtových a príspevkových organizácií, obcí a vyšších územných celkov</w:t>
            </w:r>
            <w:r>
              <w:rPr>
                <w:sz w:val="20"/>
                <w:szCs w:val="22"/>
              </w:rPr>
              <w:t>:</w:t>
            </w:r>
          </w:p>
          <w:p w14:paraId="375C1E9D" w14:textId="3C0370D1" w:rsidR="00F10205" w:rsidRDefault="00F10205" w:rsidP="00F10205">
            <w:pPr>
              <w:pStyle w:val="ListParagraph"/>
              <w:numPr>
                <w:ilvl w:val="0"/>
                <w:numId w:val="46"/>
              </w:numPr>
              <w:spacing w:after="0" w:line="240" w:lineRule="auto"/>
              <w:ind w:left="714" w:hanging="357"/>
              <w:jc w:val="both"/>
              <w:rPr>
                <w:rFonts w:ascii="Constantia" w:hAnsi="Constantia"/>
                <w:sz w:val="20"/>
              </w:rPr>
            </w:pPr>
            <w:r w:rsidRPr="003800AF">
              <w:rPr>
                <w:rFonts w:ascii="Constantia" w:hAnsi="Constantia"/>
                <w:sz w:val="20"/>
              </w:rPr>
              <w:t>V roku 2020 má vláda možnosť prevziať úver nad rámec uvedený v zákone o štátnom rozpočte na rok 2020, takisto môže prekročiť objem zdrojov na krytie záväzkov štátu z emisií štátnych cenných papierov počas pandémie (maximálne o 10 mld. eur)</w:t>
            </w:r>
            <w:r w:rsidR="00302DC2">
              <w:rPr>
                <w:rFonts w:ascii="Constantia" w:hAnsi="Constantia"/>
                <w:sz w:val="20"/>
              </w:rPr>
              <w:t>.</w:t>
            </w:r>
          </w:p>
          <w:p w14:paraId="42DC823F" w14:textId="01406F52" w:rsidR="00F10205" w:rsidRDefault="00F10205" w:rsidP="00F10205">
            <w:pPr>
              <w:pStyle w:val="ListParagraph"/>
              <w:numPr>
                <w:ilvl w:val="0"/>
                <w:numId w:val="46"/>
              </w:numPr>
              <w:spacing w:after="0" w:line="240" w:lineRule="auto"/>
              <w:ind w:left="714" w:hanging="357"/>
              <w:jc w:val="both"/>
              <w:rPr>
                <w:rFonts w:ascii="Constantia" w:hAnsi="Constantia"/>
                <w:sz w:val="20"/>
              </w:rPr>
            </w:pPr>
            <w:r>
              <w:rPr>
                <w:rFonts w:ascii="Constantia" w:hAnsi="Constantia"/>
                <w:sz w:val="20"/>
              </w:rPr>
              <w:t>Uvoľ</w:t>
            </w:r>
            <w:r w:rsidR="00302DC2">
              <w:rPr>
                <w:rFonts w:ascii="Constantia" w:hAnsi="Constantia"/>
                <w:sz w:val="20"/>
              </w:rPr>
              <w:t>nili</w:t>
            </w:r>
            <w:r>
              <w:rPr>
                <w:rFonts w:ascii="Constantia" w:hAnsi="Constantia"/>
                <w:sz w:val="20"/>
              </w:rPr>
              <w:t xml:space="preserve"> sa pravidlá pre použitie bežných (možnosť ich použitia najneskôr dva mesiace po skončení pandémie</w:t>
            </w:r>
            <w:r w:rsidR="00D1650A">
              <w:rPr>
                <w:rStyle w:val="FootnoteReference"/>
                <w:rFonts w:ascii="Constantia" w:hAnsi="Constantia"/>
                <w:sz w:val="20"/>
              </w:rPr>
              <w:footnoteReference w:id="26"/>
            </w:r>
            <w:r>
              <w:rPr>
                <w:rFonts w:ascii="Constantia" w:hAnsi="Constantia"/>
                <w:sz w:val="20"/>
              </w:rPr>
              <w:t>) a kapitálových výdavkov štátneho rozpočtu (doteraz nepoužité výdavky rozpočtované na rok 2018 možno použiť až do konca roka 2021 – v štandardných podmienkach by sa mohli použiť do konca roku 2020)</w:t>
            </w:r>
            <w:r w:rsidR="00302DC2">
              <w:rPr>
                <w:rFonts w:ascii="Constantia" w:hAnsi="Constantia"/>
                <w:sz w:val="20"/>
              </w:rPr>
              <w:t>.</w:t>
            </w:r>
          </w:p>
          <w:p w14:paraId="369CEB21" w14:textId="3ADDCA8D" w:rsidR="00F10205" w:rsidRDefault="00302DC2" w:rsidP="00F10205">
            <w:pPr>
              <w:pStyle w:val="ListParagraph"/>
              <w:numPr>
                <w:ilvl w:val="0"/>
                <w:numId w:val="46"/>
              </w:numPr>
              <w:spacing w:after="0" w:line="240" w:lineRule="auto"/>
              <w:ind w:left="714" w:hanging="357"/>
              <w:jc w:val="both"/>
              <w:rPr>
                <w:rFonts w:ascii="Constantia" w:hAnsi="Constantia"/>
                <w:sz w:val="20"/>
              </w:rPr>
            </w:pPr>
            <w:r>
              <w:rPr>
                <w:rFonts w:ascii="Constantia" w:hAnsi="Constantia"/>
                <w:sz w:val="20"/>
              </w:rPr>
              <w:t>K</w:t>
            </w:r>
            <w:r w:rsidR="00F10205" w:rsidRPr="00F10205">
              <w:rPr>
                <w:rFonts w:ascii="Constantia" w:hAnsi="Constantia"/>
                <w:sz w:val="20"/>
              </w:rPr>
              <w:t>onania o uložení odvodu, penále a pokuty za porušenie finančnej disciplíny</w:t>
            </w:r>
            <w:r w:rsidR="00F10205">
              <w:rPr>
                <w:rFonts w:ascii="Constantia" w:hAnsi="Constantia"/>
                <w:sz w:val="20"/>
              </w:rPr>
              <w:t xml:space="preserve"> sa počas pandémie prerušili, v konaniach sa pokračuje od 21. mája 2020</w:t>
            </w:r>
            <w:r>
              <w:rPr>
                <w:rFonts w:ascii="Constantia" w:hAnsi="Constantia"/>
                <w:sz w:val="20"/>
              </w:rPr>
              <w:t>.</w:t>
            </w:r>
          </w:p>
          <w:p w14:paraId="592C53E7" w14:textId="4F81E06E" w:rsidR="008C2316" w:rsidRDefault="008C2316" w:rsidP="00F10205">
            <w:pPr>
              <w:pStyle w:val="ListParagraph"/>
              <w:numPr>
                <w:ilvl w:val="0"/>
                <w:numId w:val="46"/>
              </w:numPr>
              <w:spacing w:after="0" w:line="240" w:lineRule="auto"/>
              <w:ind w:left="714" w:hanging="357"/>
              <w:jc w:val="both"/>
              <w:rPr>
                <w:rFonts w:ascii="Constantia" w:hAnsi="Constantia"/>
                <w:sz w:val="20"/>
              </w:rPr>
            </w:pPr>
            <w:r>
              <w:rPr>
                <w:rFonts w:ascii="Constantia" w:hAnsi="Constantia"/>
                <w:sz w:val="20"/>
              </w:rPr>
              <w:t xml:space="preserve">Obec alebo vyšší územný celok môže počas obdobia pandémie až do konca roku 2021 použiť na bežné výdavky aj </w:t>
            </w:r>
            <w:r w:rsidRPr="008C2316">
              <w:rPr>
                <w:rFonts w:ascii="Constantia" w:hAnsi="Constantia"/>
                <w:sz w:val="20"/>
              </w:rPr>
              <w:t>prostriedky rezervného fondu, kapitálové príjmy a návratné zdroje financovania</w:t>
            </w:r>
            <w:r>
              <w:rPr>
                <w:rFonts w:ascii="Constantia" w:hAnsi="Constantia"/>
                <w:sz w:val="20"/>
              </w:rPr>
              <w:t xml:space="preserve">. </w:t>
            </w:r>
            <w:r w:rsidRPr="008C2316">
              <w:rPr>
                <w:rFonts w:ascii="Constantia" w:hAnsi="Constantia"/>
                <w:sz w:val="20"/>
              </w:rPr>
              <w:t>Ak obec alebo vyšší územný celok hospodári v rozpočtovom provizóriu, počas obdobia pandémie uhrádza výdavky bez obmedzení mesačného limitu výdavkov a</w:t>
            </w:r>
            <w:r w:rsidR="00320B5A">
              <w:rPr>
                <w:rFonts w:ascii="Constantia" w:hAnsi="Constantia"/>
                <w:sz w:val="20"/>
              </w:rPr>
              <w:t> </w:t>
            </w:r>
            <w:r w:rsidRPr="008C2316">
              <w:rPr>
                <w:rFonts w:ascii="Constantia" w:hAnsi="Constantia"/>
                <w:sz w:val="20"/>
              </w:rPr>
              <w:t>poskytovania dotácií</w:t>
            </w:r>
            <w:r w:rsidR="00302DC2">
              <w:rPr>
                <w:rFonts w:ascii="Constantia" w:hAnsi="Constantia"/>
                <w:sz w:val="20"/>
              </w:rPr>
              <w:t>.</w:t>
            </w:r>
          </w:p>
          <w:p w14:paraId="403D4C2F" w14:textId="723AE9E8" w:rsidR="00F10205" w:rsidRPr="003800AF" w:rsidRDefault="008C2316" w:rsidP="003800AF">
            <w:pPr>
              <w:pStyle w:val="ListParagraph"/>
              <w:numPr>
                <w:ilvl w:val="0"/>
                <w:numId w:val="46"/>
              </w:numPr>
              <w:spacing w:after="0" w:line="240" w:lineRule="auto"/>
              <w:ind w:left="714" w:hanging="357"/>
              <w:jc w:val="both"/>
              <w:rPr>
                <w:rFonts w:ascii="Constantia" w:hAnsi="Constantia"/>
                <w:sz w:val="20"/>
              </w:rPr>
            </w:pPr>
            <w:r>
              <w:rPr>
                <w:rFonts w:ascii="Constantia" w:hAnsi="Constantia"/>
                <w:sz w:val="20"/>
              </w:rPr>
              <w:t>Počas ozdravného režimu alebo nútenej správy môže obec alebo vyšší územný celok nad rámec schváleného rozpočtu použiť dodatočné prostriedky na úhradu výdavkov vyvolaných následkami pandémie.</w:t>
            </w:r>
          </w:p>
          <w:p w14:paraId="2CEC26DF" w14:textId="77777777" w:rsidR="00F10205" w:rsidRDefault="00F10205" w:rsidP="001F2EF9">
            <w:pPr>
              <w:jc w:val="both"/>
              <w:rPr>
                <w:sz w:val="20"/>
                <w:szCs w:val="22"/>
                <w:highlight w:val="yellow"/>
              </w:rPr>
            </w:pPr>
          </w:p>
          <w:p w14:paraId="1BCB16E7" w14:textId="77777777" w:rsidR="00E45146" w:rsidRPr="00B81300" w:rsidRDefault="00E45146" w:rsidP="00F10205">
            <w:pPr>
              <w:jc w:val="both"/>
              <w:rPr>
                <w:sz w:val="10"/>
                <w:highlight w:val="yellow"/>
              </w:rPr>
            </w:pPr>
          </w:p>
        </w:tc>
      </w:tr>
    </w:tbl>
    <w:p w14:paraId="2C582F20" w14:textId="77777777" w:rsidR="00E45146" w:rsidRPr="00B81300" w:rsidRDefault="00E45146" w:rsidP="00E45146">
      <w:pPr>
        <w:jc w:val="both"/>
        <w:rPr>
          <w:highlight w:val="yellow"/>
        </w:rPr>
      </w:pPr>
    </w:p>
    <w:p w14:paraId="32C33017" w14:textId="77777777" w:rsidR="00E45146" w:rsidRPr="00565140" w:rsidRDefault="00E45146" w:rsidP="00232C12">
      <w:pPr>
        <w:jc w:val="both"/>
      </w:pPr>
    </w:p>
    <w:p w14:paraId="48B2E0EB" w14:textId="77777777" w:rsidR="00232C12" w:rsidRPr="00B81300" w:rsidRDefault="00232C12" w:rsidP="003D6B3A">
      <w:pPr>
        <w:jc w:val="both"/>
        <w:rPr>
          <w:highlight w:val="yellow"/>
        </w:rPr>
      </w:pPr>
    </w:p>
    <w:p w14:paraId="74F86B67" w14:textId="387DAF17" w:rsidR="00F026B0" w:rsidRPr="00B81300" w:rsidRDefault="00F026B0" w:rsidP="003D6B3A">
      <w:pPr>
        <w:jc w:val="both"/>
        <w:rPr>
          <w:rFonts w:cs="Arial"/>
          <w:b/>
          <w:color w:val="59595B"/>
          <w:kern w:val="32"/>
          <w:sz w:val="32"/>
          <w:szCs w:val="32"/>
          <w:highlight w:val="yellow"/>
        </w:rPr>
      </w:pPr>
      <w:r w:rsidRPr="00B81300">
        <w:rPr>
          <w:highlight w:val="yellow"/>
        </w:rPr>
        <w:br w:type="page"/>
      </w:r>
    </w:p>
    <w:p w14:paraId="663B1F7D" w14:textId="7DC061F4" w:rsidR="00DC465B" w:rsidRPr="005E035C" w:rsidRDefault="00DC465B" w:rsidP="001C7FE8">
      <w:pPr>
        <w:pStyle w:val="Heading1"/>
        <w:numPr>
          <w:ilvl w:val="0"/>
          <w:numId w:val="3"/>
        </w:numPr>
        <w:ind w:left="426" w:hanging="426"/>
        <w:rPr>
          <w:b w:val="0"/>
        </w:rPr>
      </w:pPr>
      <w:bookmarkStart w:id="423" w:name="_Toc359425156"/>
      <w:bookmarkStart w:id="424" w:name="_Toc359427383"/>
      <w:bookmarkStart w:id="425" w:name="_Toc359589070"/>
      <w:bookmarkStart w:id="426" w:name="_Toc396319174"/>
      <w:bookmarkStart w:id="427" w:name="_Toc428351744"/>
      <w:bookmarkStart w:id="428" w:name="_Toc459208015"/>
      <w:bookmarkStart w:id="429" w:name="_Toc459275433"/>
      <w:bookmarkStart w:id="430" w:name="_Toc489954237"/>
      <w:bookmarkStart w:id="431" w:name="_Toc490143811"/>
      <w:bookmarkStart w:id="432" w:name="_Toc490642157"/>
      <w:bookmarkStart w:id="433" w:name="_Toc521678159"/>
      <w:bookmarkStart w:id="434" w:name="_Toc521679441"/>
      <w:bookmarkStart w:id="435" w:name="_Toc523390331"/>
      <w:bookmarkStart w:id="436" w:name="_Toc523390277"/>
      <w:bookmarkStart w:id="437" w:name="_Toc523391002"/>
      <w:bookmarkStart w:id="438" w:name="_Toc523391583"/>
      <w:bookmarkStart w:id="439" w:name="_Toc523392882"/>
      <w:bookmarkStart w:id="440" w:name="_Toc49506875"/>
      <w:r w:rsidRPr="005E035C">
        <w:lastRenderedPageBreak/>
        <w:t>Plnenie pravidiel rozpočtovej zodpovednosti</w:t>
      </w:r>
      <w:bookmarkEnd w:id="404"/>
      <w:bookmarkEnd w:id="405"/>
      <w:bookmarkEnd w:id="406"/>
      <w:bookmarkEnd w:id="407"/>
      <w:bookmarkEnd w:id="408"/>
      <w:bookmarkEnd w:id="409"/>
      <w:bookmarkEnd w:id="410"/>
      <w:bookmarkEnd w:id="411"/>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p>
    <w:p w14:paraId="234A99B3" w14:textId="77777777" w:rsidR="001E7633" w:rsidRPr="00B81300" w:rsidRDefault="001E7633" w:rsidP="00FA7F54">
      <w:pPr>
        <w:jc w:val="both"/>
        <w:rPr>
          <w:rFonts w:cs="Constantia"/>
          <w:color w:val="000000"/>
          <w:highlight w:val="yellow"/>
        </w:rPr>
      </w:pPr>
    </w:p>
    <w:p w14:paraId="21EFC66F" w14:textId="01239795" w:rsidR="005608E1" w:rsidRPr="00FC4908" w:rsidRDefault="005608E1" w:rsidP="005608E1">
      <w:pPr>
        <w:jc w:val="both"/>
        <w:rPr>
          <w:rFonts w:cs="Constantia"/>
          <w:color w:val="000000"/>
        </w:rPr>
      </w:pPr>
      <w:r w:rsidRPr="00FC4908">
        <w:rPr>
          <w:rFonts w:cs="Constantia"/>
          <w:color w:val="000000"/>
        </w:rPr>
        <w:t xml:space="preserve">Podľa zákona o rozpočtovej zodpovednosti sú pravidlá rozpočtovej zodpovednosti tvorené číselným pravidlom o výške hrubého dlhu verejnej správy (článok 5 a súvisiace prechodné ustanovenia v článkoch 11 až 13), osobitnými pravidlami pre územnú samosprávu (článok 6), ukazovateľom dlhodobej udržateľnosti a limitom na verejné výdavky (článok 7). </w:t>
      </w:r>
      <w:r w:rsidR="005E75C5">
        <w:rPr>
          <w:rFonts w:cs="Constantia"/>
          <w:color w:val="000000"/>
        </w:rPr>
        <w:t>P</w:t>
      </w:r>
      <w:r w:rsidR="002230A3">
        <w:rPr>
          <w:rFonts w:cs="Constantia"/>
          <w:color w:val="000000"/>
        </w:rPr>
        <w:t>ri vyhodnocovaní p</w:t>
      </w:r>
      <w:r w:rsidR="005E75C5">
        <w:rPr>
          <w:rFonts w:cs="Constantia"/>
          <w:color w:val="000000"/>
        </w:rPr>
        <w:t>lneni</w:t>
      </w:r>
      <w:r w:rsidR="002230A3">
        <w:rPr>
          <w:rFonts w:cs="Constantia"/>
          <w:color w:val="000000"/>
        </w:rPr>
        <w:t>a</w:t>
      </w:r>
      <w:r w:rsidR="005E75C5">
        <w:rPr>
          <w:rFonts w:cs="Constantia"/>
          <w:color w:val="000000"/>
        </w:rPr>
        <w:t xml:space="preserve"> jednotlivých ustanovení RRZ </w:t>
      </w:r>
      <w:r w:rsidR="002230A3">
        <w:rPr>
          <w:rFonts w:cs="Constantia"/>
          <w:color w:val="000000"/>
        </w:rPr>
        <w:t>vychádza zo</w:t>
      </w:r>
      <w:r w:rsidR="005B347F">
        <w:rPr>
          <w:rFonts w:cs="Constantia"/>
          <w:color w:val="000000"/>
        </w:rPr>
        <w:t xml:space="preserve"> záverov ústavnoprávnej analýzy, ktorú si RRZ dala vypracovať </w:t>
      </w:r>
      <w:r w:rsidR="002230A3">
        <w:rPr>
          <w:rFonts w:cs="Constantia"/>
          <w:color w:val="000000"/>
        </w:rPr>
        <w:t>s cieľom</w:t>
      </w:r>
      <w:r w:rsidR="005B347F">
        <w:rPr>
          <w:rFonts w:cs="Constantia"/>
          <w:color w:val="000000"/>
        </w:rPr>
        <w:t xml:space="preserve"> </w:t>
      </w:r>
      <w:r w:rsidR="002230A3">
        <w:rPr>
          <w:rFonts w:cs="Constantia"/>
          <w:color w:val="000000"/>
        </w:rPr>
        <w:t xml:space="preserve">podrobného vysvetlenia </w:t>
      </w:r>
      <w:r w:rsidR="005B347F">
        <w:rPr>
          <w:rFonts w:cs="Constantia"/>
          <w:color w:val="000000"/>
        </w:rPr>
        <w:t>niektorých ustanovení zákona</w:t>
      </w:r>
      <w:r w:rsidR="005E75C5">
        <w:rPr>
          <w:rStyle w:val="FootnoteReference"/>
          <w:rFonts w:cs="Constantia"/>
          <w:color w:val="000000"/>
        </w:rPr>
        <w:footnoteReference w:id="27"/>
      </w:r>
      <w:r w:rsidR="005B347F">
        <w:rPr>
          <w:rFonts w:cs="Constantia"/>
          <w:color w:val="000000"/>
        </w:rPr>
        <w:t>.</w:t>
      </w:r>
    </w:p>
    <w:p w14:paraId="32159440" w14:textId="77777777" w:rsidR="008D132F" w:rsidRPr="00FC4908" w:rsidRDefault="008D132F" w:rsidP="00FA7F54">
      <w:pPr>
        <w:jc w:val="both"/>
        <w:rPr>
          <w:rFonts w:cs="Constantia"/>
          <w:color w:val="000000"/>
        </w:rPr>
      </w:pPr>
    </w:p>
    <w:p w14:paraId="00E5206A" w14:textId="09B695D6" w:rsidR="00DC465B" w:rsidRPr="00FC4908" w:rsidRDefault="00A56428" w:rsidP="00FA7F54">
      <w:pPr>
        <w:pStyle w:val="Heading2"/>
        <w:numPr>
          <w:ilvl w:val="0"/>
          <w:numId w:val="4"/>
        </w:numPr>
        <w:spacing w:before="2" w:after="2" w:line="240" w:lineRule="auto"/>
        <w:ind w:left="567" w:hanging="567"/>
        <w:rPr>
          <w:b w:val="0"/>
        </w:rPr>
      </w:pPr>
      <w:bookmarkStart w:id="441" w:name="_Toc359425157"/>
      <w:bookmarkStart w:id="442" w:name="_Toc359427384"/>
      <w:bookmarkStart w:id="443" w:name="_Toc359589071"/>
      <w:bookmarkStart w:id="444" w:name="_Toc396319175"/>
      <w:bookmarkStart w:id="445" w:name="_Toc428351745"/>
      <w:bookmarkStart w:id="446" w:name="_Toc459208016"/>
      <w:bookmarkStart w:id="447" w:name="_Toc459275434"/>
      <w:bookmarkStart w:id="448" w:name="_Toc489954279"/>
      <w:bookmarkStart w:id="449" w:name="_Toc490143812"/>
      <w:bookmarkStart w:id="450" w:name="_Toc490642158"/>
      <w:bookmarkStart w:id="451" w:name="_Toc521678160"/>
      <w:bookmarkStart w:id="452" w:name="_Toc523390332"/>
      <w:bookmarkStart w:id="453" w:name="_Toc523390278"/>
      <w:bookmarkStart w:id="454" w:name="_Toc523391003"/>
      <w:bookmarkStart w:id="455" w:name="_Toc523391584"/>
      <w:bookmarkStart w:id="456" w:name="_Toc523392883"/>
      <w:bookmarkStart w:id="457" w:name="_Toc49506876"/>
      <w:r w:rsidRPr="00FC4908">
        <w:t>Limit dlhu verejnej správy</w:t>
      </w:r>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p>
    <w:p w14:paraId="28C0FE12" w14:textId="77777777" w:rsidR="001E7633" w:rsidRPr="00FC4908" w:rsidRDefault="001E7633" w:rsidP="00FA7F54">
      <w:pPr>
        <w:jc w:val="both"/>
      </w:pPr>
    </w:p>
    <w:p w14:paraId="0EF8CD5E" w14:textId="4D7ADD36" w:rsidR="00601165" w:rsidRPr="00FC4908" w:rsidRDefault="00601165" w:rsidP="00601165">
      <w:pPr>
        <w:jc w:val="both"/>
      </w:pPr>
      <w:bookmarkStart w:id="458" w:name="_Toc396317430"/>
      <w:bookmarkStart w:id="459" w:name="_Toc396317454"/>
      <w:bookmarkStart w:id="460" w:name="_Toc396317523"/>
      <w:bookmarkStart w:id="461" w:name="_Toc396317642"/>
      <w:bookmarkStart w:id="462" w:name="_Toc396318677"/>
      <w:bookmarkStart w:id="463" w:name="_Toc396318697"/>
      <w:bookmarkStart w:id="464" w:name="_Toc396318799"/>
      <w:bookmarkStart w:id="465" w:name="_Toc396318996"/>
      <w:bookmarkStart w:id="466" w:name="_Toc396319097"/>
      <w:bookmarkStart w:id="467" w:name="_Toc396319176"/>
      <w:bookmarkStart w:id="468" w:name="_Toc396319666"/>
      <w:bookmarkStart w:id="469" w:name="_Toc396319730"/>
      <w:bookmarkStart w:id="470" w:name="_Toc396322362"/>
      <w:bookmarkStart w:id="471" w:name="_Toc396322573"/>
      <w:bookmarkStart w:id="472" w:name="_Toc396323666"/>
      <w:bookmarkStart w:id="473" w:name="_Toc396324281"/>
      <w:bookmarkStart w:id="474" w:name="_Toc396324496"/>
      <w:bookmarkStart w:id="475" w:name="_Toc396317431"/>
      <w:bookmarkStart w:id="476" w:name="_Toc396317455"/>
      <w:bookmarkStart w:id="477" w:name="_Toc396317524"/>
      <w:bookmarkStart w:id="478" w:name="_Toc396317643"/>
      <w:bookmarkStart w:id="479" w:name="_Toc396318678"/>
      <w:bookmarkStart w:id="480" w:name="_Toc396318698"/>
      <w:bookmarkStart w:id="481" w:name="_Toc396318800"/>
      <w:bookmarkStart w:id="482" w:name="_Toc396318997"/>
      <w:bookmarkStart w:id="483" w:name="_Toc396319098"/>
      <w:bookmarkStart w:id="484" w:name="_Toc396319177"/>
      <w:bookmarkStart w:id="485" w:name="_Toc396319667"/>
      <w:bookmarkStart w:id="486" w:name="_Toc396319731"/>
      <w:bookmarkStart w:id="487" w:name="_Toc396322363"/>
      <w:bookmarkStart w:id="488" w:name="_Toc396322574"/>
      <w:bookmarkStart w:id="489" w:name="_Toc396323667"/>
      <w:bookmarkStart w:id="490" w:name="_Toc396324282"/>
      <w:bookmarkStart w:id="491" w:name="_Toc396324497"/>
      <w:bookmarkStart w:id="492" w:name="_Toc396317432"/>
      <w:bookmarkStart w:id="493" w:name="_Toc396317456"/>
      <w:bookmarkStart w:id="494" w:name="_Toc396317525"/>
      <w:bookmarkStart w:id="495" w:name="_Toc396317644"/>
      <w:bookmarkStart w:id="496" w:name="_Toc396318679"/>
      <w:bookmarkStart w:id="497" w:name="_Toc396318699"/>
      <w:bookmarkStart w:id="498" w:name="_Toc396318801"/>
      <w:bookmarkStart w:id="499" w:name="_Toc396318998"/>
      <w:bookmarkStart w:id="500" w:name="_Toc396319099"/>
      <w:bookmarkStart w:id="501" w:name="_Toc396319178"/>
      <w:bookmarkStart w:id="502" w:name="_Toc396319668"/>
      <w:bookmarkStart w:id="503" w:name="_Toc396319732"/>
      <w:bookmarkStart w:id="504" w:name="_Toc396322364"/>
      <w:bookmarkStart w:id="505" w:name="_Toc396322575"/>
      <w:bookmarkStart w:id="506" w:name="_Toc396323668"/>
      <w:bookmarkStart w:id="507" w:name="_Toc396324283"/>
      <w:bookmarkStart w:id="508" w:name="_Toc396324498"/>
      <w:bookmarkStart w:id="509" w:name="_Toc396319179"/>
      <w:bookmarkStart w:id="510" w:name="_Toc358360156"/>
      <w:bookmarkStart w:id="511" w:name="_Toc358367069"/>
      <w:bookmarkStart w:id="512" w:name="_Toc358367246"/>
      <w:bookmarkStart w:id="513" w:name="_Toc358367711"/>
      <w:bookmarkStart w:id="514" w:name="_Toc358381272"/>
      <w:bookmarkStart w:id="515" w:name="_Toc358385618"/>
      <w:bookmarkStart w:id="516" w:name="_Toc358641585"/>
      <w:bookmarkStart w:id="517" w:name="_Toc359425158"/>
      <w:bookmarkStart w:id="518" w:name="_Toc359427385"/>
      <w:bookmarkStart w:id="519" w:name="_Toc359589072"/>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r w:rsidRPr="00FC4908">
        <w:t xml:space="preserve">Skutočnú úroveň dlhu ku koncu predchádzajúceho roka zverejňuje Eurostat vždy dvakrát ročne: v apríli a októbri. Keďže správa RRZ z augusta </w:t>
      </w:r>
      <w:r w:rsidRPr="00FC4908">
        <w:rPr>
          <w:bCs/>
        </w:rPr>
        <w:t>201</w:t>
      </w:r>
      <w:r w:rsidR="00DC3C85" w:rsidRPr="00FC4908">
        <w:rPr>
          <w:bCs/>
        </w:rPr>
        <w:t>9</w:t>
      </w:r>
      <w:r w:rsidRPr="00FC4908">
        <w:t xml:space="preserve">, vzhľadom na termín jej prípravy, zachytávala iba aprílové zverejnenie výšky dlhu ku koncu roku </w:t>
      </w:r>
      <w:r w:rsidRPr="00FC4908">
        <w:rPr>
          <w:bCs/>
        </w:rPr>
        <w:t>201</w:t>
      </w:r>
      <w:r w:rsidR="00DC3C85" w:rsidRPr="00FC4908">
        <w:rPr>
          <w:bCs/>
        </w:rPr>
        <w:t>8</w:t>
      </w:r>
      <w:r w:rsidRPr="00FC4908">
        <w:t xml:space="preserve">, súčasťou tejto správy je aktualizácia hodnotenia na základe októbrového zverejnenia. Aktualizácia je potrebná aj z toho dôvodu, že sankčné mechanizmy ústavného zákona obsahujú opatrenia, ktoré je možné vyhodnotiť len s dlhším časovým odstupom. Správa takisto obsahuje predbežné hodnotenie dlhu ku koncu roku </w:t>
      </w:r>
      <w:r w:rsidRPr="00FC4908">
        <w:rPr>
          <w:bCs/>
        </w:rPr>
        <w:t>201</w:t>
      </w:r>
      <w:r w:rsidR="00FC4908" w:rsidRPr="00FC4908">
        <w:rPr>
          <w:bCs/>
        </w:rPr>
        <w:t>9</w:t>
      </w:r>
      <w:r w:rsidRPr="00FC4908">
        <w:t xml:space="preserve"> vychádzajúce z</w:t>
      </w:r>
      <w:r w:rsidR="002230A3">
        <w:t xml:space="preserve"> prvého</w:t>
      </w:r>
      <w:r w:rsidRPr="00FC4908">
        <w:t xml:space="preserve"> zverejnenia jeho výšky v apríli </w:t>
      </w:r>
      <w:r w:rsidRPr="00FC4908">
        <w:rPr>
          <w:bCs/>
        </w:rPr>
        <w:t>20</w:t>
      </w:r>
      <w:r w:rsidR="00FC4908" w:rsidRPr="00FC4908">
        <w:rPr>
          <w:bCs/>
        </w:rPr>
        <w:t>20</w:t>
      </w:r>
      <w:r w:rsidRPr="00FC4908">
        <w:rPr>
          <w:bCs/>
        </w:rPr>
        <w:t>.</w:t>
      </w:r>
      <w:r w:rsidRPr="00FC4908">
        <w:t xml:space="preserve"> RRZ popri vyjadrení názoru na to, či boli splnené požiadavky definované zákonom, posudzuje aj účinky sankcií, t.j. či viedli k zamýšľaným zmenám vo verejných financiách. </w:t>
      </w:r>
    </w:p>
    <w:p w14:paraId="30335C57" w14:textId="77777777" w:rsidR="00207080" w:rsidRPr="00B81300" w:rsidRDefault="00207080" w:rsidP="00207080">
      <w:pPr>
        <w:jc w:val="both"/>
        <w:rPr>
          <w:b/>
          <w:highlight w:val="yellow"/>
        </w:rPr>
      </w:pPr>
      <w:r w:rsidRPr="00B81300">
        <w:rPr>
          <w:sz w:val="18"/>
          <w:highlight w:val="yellow"/>
        </w:rPr>
        <w:t xml:space="preserve"> </w:t>
      </w:r>
    </w:p>
    <w:p w14:paraId="5DAED865" w14:textId="621D1990" w:rsidR="006B1802" w:rsidRPr="00AD7442" w:rsidRDefault="006B1802" w:rsidP="006B1802">
      <w:pPr>
        <w:jc w:val="both"/>
        <w:rPr>
          <w:b/>
        </w:rPr>
      </w:pPr>
      <w:r w:rsidRPr="00AD7442">
        <w:rPr>
          <w:b/>
        </w:rPr>
        <w:t xml:space="preserve">Aktualizácia hodnotenia za rok </w:t>
      </w:r>
      <w:r w:rsidRPr="00AD7442">
        <w:rPr>
          <w:b/>
          <w:bCs/>
        </w:rPr>
        <w:t>201</w:t>
      </w:r>
      <w:r w:rsidR="00FC4908" w:rsidRPr="00AD7442">
        <w:rPr>
          <w:b/>
          <w:bCs/>
        </w:rPr>
        <w:t>8</w:t>
      </w:r>
    </w:p>
    <w:p w14:paraId="64775F9B" w14:textId="77777777" w:rsidR="00DC5A63" w:rsidRPr="00AD7442" w:rsidRDefault="00DC5A63" w:rsidP="00DC5A63">
      <w:pPr>
        <w:jc w:val="both"/>
      </w:pPr>
    </w:p>
    <w:p w14:paraId="088C0D5D" w14:textId="3C2C84C5" w:rsidR="007D673C" w:rsidRPr="00AD7442" w:rsidRDefault="007D673C" w:rsidP="007D673C">
      <w:pPr>
        <w:jc w:val="both"/>
      </w:pPr>
      <w:r w:rsidRPr="00AD7442">
        <w:t xml:space="preserve">V apríli </w:t>
      </w:r>
      <w:r w:rsidRPr="00AD7442">
        <w:rPr>
          <w:bCs/>
        </w:rPr>
        <w:t>201</w:t>
      </w:r>
      <w:r w:rsidR="00FC4908" w:rsidRPr="00AD7442">
        <w:rPr>
          <w:bCs/>
        </w:rPr>
        <w:t>9</w:t>
      </w:r>
      <w:r w:rsidRPr="00AD7442">
        <w:t xml:space="preserve"> Eurostat zverejnil, že hrubý dlh verejnej správy v pomere k HDP dosiahol ku koncu roku </w:t>
      </w:r>
      <w:r w:rsidRPr="00AD7442">
        <w:rPr>
          <w:bCs/>
        </w:rPr>
        <w:t>201</w:t>
      </w:r>
      <w:r w:rsidR="006D69F0" w:rsidRPr="00AD7442">
        <w:rPr>
          <w:bCs/>
        </w:rPr>
        <w:t>8</w:t>
      </w:r>
      <w:r w:rsidRPr="00AD7442">
        <w:t xml:space="preserve"> úroveň </w:t>
      </w:r>
      <w:r w:rsidR="006D69F0" w:rsidRPr="00AD7442">
        <w:rPr>
          <w:bCs/>
        </w:rPr>
        <w:t>48</w:t>
      </w:r>
      <w:r w:rsidRPr="00AD7442">
        <w:t xml:space="preserve">,9 %, čo znamenalo, že dlh sa nachádzal </w:t>
      </w:r>
      <w:r w:rsidR="005F2664" w:rsidRPr="00AD7442">
        <w:t>tesne pod hranicou</w:t>
      </w:r>
      <w:r w:rsidRPr="00AD7442">
        <w:t> prv</w:t>
      </w:r>
      <w:r w:rsidR="005F2664" w:rsidRPr="00AD7442">
        <w:t>ého</w:t>
      </w:r>
      <w:r w:rsidRPr="00AD7442">
        <w:t xml:space="preserve"> sankčn</w:t>
      </w:r>
      <w:r w:rsidR="00C41E80" w:rsidRPr="00AD7442">
        <w:t>ého</w:t>
      </w:r>
      <w:r w:rsidRPr="00AD7442">
        <w:t xml:space="preserve"> pásm</w:t>
      </w:r>
      <w:r w:rsidR="00C41E80" w:rsidRPr="00AD7442">
        <w:t>a</w:t>
      </w:r>
      <w:r w:rsidRPr="00AD7442">
        <w:t xml:space="preserve"> definovan</w:t>
      </w:r>
      <w:r w:rsidR="00C41E80" w:rsidRPr="00AD7442">
        <w:t>ého</w:t>
      </w:r>
      <w:r w:rsidRPr="00AD7442">
        <w:t xml:space="preserve"> ústavným zákonom</w:t>
      </w:r>
      <w:r w:rsidRPr="00AD7442">
        <w:rPr>
          <w:rStyle w:val="FootnoteReference"/>
        </w:rPr>
        <w:footnoteReference w:id="28"/>
      </w:r>
      <w:r w:rsidRPr="00AD7442">
        <w:t xml:space="preserve">. </w:t>
      </w:r>
      <w:r w:rsidRPr="00AD7442">
        <w:rPr>
          <w:b/>
        </w:rPr>
        <w:t xml:space="preserve">V októbri </w:t>
      </w:r>
      <w:r w:rsidRPr="00E51AFE">
        <w:rPr>
          <w:b/>
        </w:rPr>
        <w:t>201</w:t>
      </w:r>
      <w:r w:rsidR="00E51AFE">
        <w:rPr>
          <w:b/>
        </w:rPr>
        <w:t>9</w:t>
      </w:r>
      <w:r w:rsidRPr="00AD7442">
        <w:rPr>
          <w:b/>
        </w:rPr>
        <w:t xml:space="preserve"> sa hrub</w:t>
      </w:r>
      <w:r w:rsidR="00895A22">
        <w:rPr>
          <w:b/>
        </w:rPr>
        <w:t>ý</w:t>
      </w:r>
      <w:r w:rsidRPr="00AD7442">
        <w:rPr>
          <w:b/>
        </w:rPr>
        <w:t xml:space="preserve"> dlh v pomere k HDP </w:t>
      </w:r>
      <w:r w:rsidR="00895A22">
        <w:rPr>
          <w:b/>
        </w:rPr>
        <w:t xml:space="preserve">zvýšil </w:t>
      </w:r>
      <w:r w:rsidRPr="00AD7442">
        <w:rPr>
          <w:b/>
        </w:rPr>
        <w:t>na úrov</w:t>
      </w:r>
      <w:r w:rsidR="00895A22">
        <w:rPr>
          <w:b/>
        </w:rPr>
        <w:t>eň</w:t>
      </w:r>
      <w:r w:rsidRPr="00AD7442">
        <w:rPr>
          <w:b/>
        </w:rPr>
        <w:t xml:space="preserve"> </w:t>
      </w:r>
      <w:r w:rsidR="00BE591C" w:rsidRPr="00AD7442">
        <w:rPr>
          <w:b/>
        </w:rPr>
        <w:t>49,4</w:t>
      </w:r>
      <w:r w:rsidRPr="00AD7442">
        <w:rPr>
          <w:b/>
        </w:rPr>
        <w:t> %</w:t>
      </w:r>
      <w:r w:rsidR="002A3B05">
        <w:rPr>
          <w:rStyle w:val="FootnoteReference"/>
          <w:b/>
        </w:rPr>
        <w:footnoteReference w:id="29"/>
      </w:r>
      <w:r w:rsidRPr="00AD7442">
        <w:rPr>
          <w:b/>
        </w:rPr>
        <w:t>, č</w:t>
      </w:r>
      <w:r w:rsidR="00FB14DC" w:rsidRPr="00AD7442">
        <w:rPr>
          <w:b/>
        </w:rPr>
        <w:t>o znamená</w:t>
      </w:r>
      <w:r w:rsidRPr="00AD7442">
        <w:rPr>
          <w:b/>
        </w:rPr>
        <w:t xml:space="preserve">, že dlh </w:t>
      </w:r>
      <w:r w:rsidR="00FB14DC" w:rsidRPr="00AD7442">
        <w:rPr>
          <w:b/>
        </w:rPr>
        <w:t>bol v roku 201</w:t>
      </w:r>
      <w:r w:rsidR="00BE591C" w:rsidRPr="00AD7442">
        <w:rPr>
          <w:b/>
        </w:rPr>
        <w:t>8</w:t>
      </w:r>
      <w:r w:rsidRPr="00AD7442">
        <w:rPr>
          <w:b/>
        </w:rPr>
        <w:t xml:space="preserve"> v prvom sankčnom pásme dlhového pravidla. </w:t>
      </w:r>
    </w:p>
    <w:p w14:paraId="69D2D994" w14:textId="77777777" w:rsidR="00207080" w:rsidRPr="00B81300" w:rsidRDefault="00207080" w:rsidP="00207080">
      <w:pPr>
        <w:jc w:val="both"/>
        <w:rPr>
          <w:highlight w:val="yellow"/>
        </w:rPr>
      </w:pPr>
    </w:p>
    <w:p w14:paraId="57885458" w14:textId="0810075E" w:rsidR="00207080" w:rsidRPr="00AA11A4" w:rsidRDefault="00BA16CE" w:rsidP="00207080">
      <w:pPr>
        <w:jc w:val="both"/>
      </w:pPr>
      <w:r w:rsidRPr="00AA11A4">
        <w:t>P</w:t>
      </w:r>
      <w:r w:rsidR="00DC5A63" w:rsidRPr="00AA11A4">
        <w:t>rvé sankčné pásm</w:t>
      </w:r>
      <w:r w:rsidRPr="00AA11A4">
        <w:t>o</w:t>
      </w:r>
      <w:r w:rsidR="00DC5A63" w:rsidRPr="00AA11A4">
        <w:t xml:space="preserve"> dlhu je spojené s nasledovnou sankciou:</w:t>
      </w:r>
    </w:p>
    <w:p w14:paraId="156A4645" w14:textId="77777777" w:rsidR="00DC5A63" w:rsidRPr="00AA11A4" w:rsidRDefault="00DC5A63" w:rsidP="00207080">
      <w:pPr>
        <w:jc w:val="both"/>
      </w:pPr>
    </w:p>
    <w:p w14:paraId="4CE4FA55" w14:textId="77777777" w:rsidR="00F864D5" w:rsidRPr="00AA11A4" w:rsidRDefault="00F864D5" w:rsidP="001B451E">
      <w:pPr>
        <w:pStyle w:val="ListParagraph"/>
        <w:numPr>
          <w:ilvl w:val="0"/>
          <w:numId w:val="9"/>
        </w:numPr>
        <w:spacing w:after="0" w:line="240" w:lineRule="auto"/>
        <w:jc w:val="both"/>
        <w:rPr>
          <w:rFonts w:ascii="Constantia" w:hAnsi="Constantia"/>
          <w:i/>
        </w:rPr>
      </w:pPr>
      <w:r w:rsidRPr="00AA11A4">
        <w:rPr>
          <w:rFonts w:ascii="Constantia" w:hAnsi="Constantia"/>
          <w:i/>
        </w:rPr>
        <w:t xml:space="preserve">ministerstvo financií zasiela národnej rade písomné zdôvodnenie výšky dlhu vrátane návrhu opatrení na jeho zníženie. Zákon nestanovuje termín predloženia tohto návrhu. </w:t>
      </w:r>
    </w:p>
    <w:p w14:paraId="5BE87CAC" w14:textId="77777777" w:rsidR="00207080" w:rsidRPr="00AA11A4" w:rsidRDefault="00207080" w:rsidP="00207080">
      <w:pPr>
        <w:ind w:left="708"/>
        <w:jc w:val="both"/>
        <w:rPr>
          <w:i/>
        </w:rPr>
      </w:pPr>
    </w:p>
    <w:p w14:paraId="1D31152E" w14:textId="736534EC" w:rsidR="00C93CAB" w:rsidRPr="00AA11A4" w:rsidRDefault="00C93CAB" w:rsidP="00C93CAB">
      <w:pPr>
        <w:ind w:left="708"/>
        <w:jc w:val="both"/>
        <w:rPr>
          <w:b/>
        </w:rPr>
      </w:pPr>
      <w:r w:rsidRPr="00AA11A4">
        <w:t>Materiál s názvom „Zdôvodnenie výšky dlhu a návrh opatrení na jeho zníženie“ bol predložený na rokovanie Výboru NR SR pre financie a rozpočet</w:t>
      </w:r>
      <w:r w:rsidRPr="00AA11A4">
        <w:rPr>
          <w:rStyle w:val="FootnoteReference"/>
        </w:rPr>
        <w:footnoteReference w:id="30"/>
      </w:r>
      <w:r w:rsidRPr="00AA11A4">
        <w:t xml:space="preserve">, ktorý ho </w:t>
      </w:r>
      <w:r w:rsidR="006E746F" w:rsidRPr="00AA11A4">
        <w:t>19</w:t>
      </w:r>
      <w:r w:rsidRPr="00AA11A4">
        <w:t>. novembra 201</w:t>
      </w:r>
      <w:r w:rsidR="006E746F" w:rsidRPr="00AA11A4">
        <w:t>9</w:t>
      </w:r>
      <w:r w:rsidRPr="00AA11A4">
        <w:t xml:space="preserve"> vzal na vedomie. </w:t>
      </w:r>
      <w:r w:rsidRPr="00AA11A4">
        <w:rPr>
          <w:b/>
        </w:rPr>
        <w:t>Táto požiadavka bola splnená.</w:t>
      </w:r>
    </w:p>
    <w:p w14:paraId="35F1808F" w14:textId="77777777" w:rsidR="00E35E94" w:rsidRPr="00D85100" w:rsidRDefault="00E35E94" w:rsidP="00E35E94">
      <w:pPr>
        <w:jc w:val="both"/>
        <w:rPr>
          <w:b/>
          <w:bCs/>
        </w:rPr>
      </w:pPr>
      <w:r w:rsidRPr="00D85100">
        <w:rPr>
          <w:b/>
          <w:bCs/>
        </w:rPr>
        <w:lastRenderedPageBreak/>
        <w:t>Hodnotenie za rok 2019</w:t>
      </w:r>
    </w:p>
    <w:p w14:paraId="0CDDC6BE" w14:textId="77777777" w:rsidR="00E35E94" w:rsidRPr="00D85100" w:rsidRDefault="00E35E94" w:rsidP="00E35E94">
      <w:pPr>
        <w:jc w:val="both"/>
      </w:pPr>
    </w:p>
    <w:p w14:paraId="331E23DE" w14:textId="3C9BB2F0" w:rsidR="00E35E94" w:rsidRPr="00B81300" w:rsidRDefault="00E35E94" w:rsidP="00E35E94">
      <w:pPr>
        <w:jc w:val="both"/>
        <w:rPr>
          <w:highlight w:val="yellow"/>
        </w:rPr>
      </w:pPr>
      <w:r w:rsidRPr="00BC5993">
        <w:t>Úroveň hrubého dlhu verejnej správy ku koncu roka 2019 zverejnil Eurostat</w:t>
      </w:r>
      <w:r w:rsidRPr="00BC5993">
        <w:rPr>
          <w:rStyle w:val="FootnoteReference"/>
        </w:rPr>
        <w:footnoteReference w:id="31"/>
      </w:r>
      <w:r w:rsidRPr="00BC5993">
        <w:t xml:space="preserve"> v apríli 2020. Podľa zverejnených predbežných údajov </w:t>
      </w:r>
      <w:r w:rsidR="002A3B05">
        <w:rPr>
          <w:b/>
        </w:rPr>
        <w:t>b</w:t>
      </w:r>
      <w:r w:rsidRPr="00BC5993">
        <w:rPr>
          <w:b/>
        </w:rPr>
        <w:t>ol jeho</w:t>
      </w:r>
      <w:r w:rsidRPr="00BC5993">
        <w:t xml:space="preserve"> </w:t>
      </w:r>
      <w:r w:rsidRPr="00BC5993">
        <w:rPr>
          <w:b/>
        </w:rPr>
        <w:t>pomer k</w:t>
      </w:r>
      <w:r w:rsidR="002A3B05">
        <w:rPr>
          <w:b/>
        </w:rPr>
        <w:t> </w:t>
      </w:r>
      <w:r w:rsidRPr="00BC5993">
        <w:rPr>
          <w:b/>
        </w:rPr>
        <w:t>HDP</w:t>
      </w:r>
      <w:r w:rsidR="002A3B05">
        <w:rPr>
          <w:b/>
        </w:rPr>
        <w:t xml:space="preserve"> tesne pod</w:t>
      </w:r>
      <w:r w:rsidRPr="00BC5993">
        <w:rPr>
          <w:b/>
        </w:rPr>
        <w:t xml:space="preserve"> </w:t>
      </w:r>
      <w:r w:rsidRPr="00CF4DAC">
        <w:rPr>
          <w:b/>
        </w:rPr>
        <w:t>48,0 %</w:t>
      </w:r>
      <w:r>
        <w:rPr>
          <w:rStyle w:val="FootnoteReference"/>
          <w:b/>
        </w:rPr>
        <w:footnoteReference w:id="32"/>
      </w:r>
      <w:r w:rsidRPr="00BC5993">
        <w:t xml:space="preserve">, čo znamená, že </w:t>
      </w:r>
      <w:r w:rsidRPr="00BC5993">
        <w:rPr>
          <w:b/>
        </w:rPr>
        <w:t>sa dlh nachádzal mimo sankčných pásiem dlhového pravidla</w:t>
      </w:r>
      <w:r>
        <w:rPr>
          <w:b/>
        </w:rPr>
        <w:t>.</w:t>
      </w:r>
      <w:r w:rsidRPr="00BC5993">
        <w:t xml:space="preserve"> </w:t>
      </w:r>
      <w:r>
        <w:t>Pri interpretácii výsledku RRZ vychádza z nezaokrúhlenej hodnoty dlhu v súlade so závermi právnej analýzy</w:t>
      </w:r>
      <w:r>
        <w:rPr>
          <w:rStyle w:val="FootnoteReference"/>
        </w:rPr>
        <w:footnoteReference w:id="33"/>
      </w:r>
      <w:r>
        <w:t xml:space="preserve">. </w:t>
      </w:r>
    </w:p>
    <w:p w14:paraId="2652C202" w14:textId="77777777" w:rsidR="00E35E94" w:rsidRPr="00B81300" w:rsidRDefault="00E35E94" w:rsidP="00E35E94">
      <w:pPr>
        <w:jc w:val="both"/>
        <w:rPr>
          <w:highlight w:val="yellow"/>
        </w:rPr>
      </w:pPr>
    </w:p>
    <w:p w14:paraId="4FE98FB5" w14:textId="77777777" w:rsidR="00E35E94" w:rsidRPr="00A74E6E" w:rsidRDefault="00E35E94" w:rsidP="00E35E94">
      <w:pPr>
        <w:jc w:val="both"/>
      </w:pPr>
      <w:r w:rsidRPr="00A74E6E">
        <w:t xml:space="preserve">K definitívnemu potvrdeniu poklesu dlhu mimo sankčných pásiem, resp. určeniu podoby sankcií v prípade preukázania prekročenia sankčných pásiem, dôjde v októbri, pričom splnenie prípadných sankcií bude možné vyhodnotiť až po skončení roku 2020. </w:t>
      </w:r>
      <w:r w:rsidRPr="00A74E6E">
        <w:rPr>
          <w:b/>
        </w:rPr>
        <w:t>V súčasnosti možno konštatovať, že dosiahnutá výška dlhu nie je spojená so sankciami.</w:t>
      </w:r>
    </w:p>
    <w:p w14:paraId="22ECAC07" w14:textId="6C905365" w:rsidR="00E35E94" w:rsidRDefault="00E35E94" w:rsidP="00A24A05">
      <w:pPr>
        <w:ind w:left="708"/>
        <w:jc w:val="both"/>
        <w:rPr>
          <w:highlight w:val="yellow"/>
        </w:rPr>
      </w:pPr>
    </w:p>
    <w:p w14:paraId="590C4D01" w14:textId="59E28A80" w:rsidR="00E35E94" w:rsidRDefault="00A906C6" w:rsidP="00E35E94">
      <w:pPr>
        <w:jc w:val="both"/>
        <w:rPr>
          <w:b/>
          <w:bCs/>
        </w:rPr>
      </w:pPr>
      <w:r w:rsidRPr="00A906C6">
        <w:rPr>
          <w:b/>
          <w:bCs/>
        </w:rPr>
        <w:t>Zhodnotenie fungovania</w:t>
      </w:r>
      <w:r w:rsidR="00E35E94" w:rsidRPr="00A906C6">
        <w:rPr>
          <w:b/>
        </w:rPr>
        <w:t xml:space="preserve"> dlhovej brzdy</w:t>
      </w:r>
    </w:p>
    <w:p w14:paraId="528DCC30" w14:textId="77777777" w:rsidR="00E35E94" w:rsidRPr="00B81300" w:rsidRDefault="00E35E94" w:rsidP="00E35E94">
      <w:pPr>
        <w:jc w:val="both"/>
        <w:rPr>
          <w:highlight w:val="yellow"/>
        </w:rPr>
      </w:pPr>
    </w:p>
    <w:p w14:paraId="50495B9B" w14:textId="13107D24" w:rsidR="00E33D97" w:rsidRDefault="00BD1B61" w:rsidP="00E35E94">
      <w:pPr>
        <w:jc w:val="both"/>
      </w:pPr>
      <w:r>
        <w:t>Dlhová brzda nadobudla účinnosť v roku 2012. V tom istom roku dlh</w:t>
      </w:r>
      <w:r w:rsidR="00FE2B41">
        <w:t xml:space="preserve"> v pomere k HDP dosiahol 51,8 % a</w:t>
      </w:r>
      <w:r w:rsidRPr="007C4C07">
        <w:t xml:space="preserve"> prvýkrát </w:t>
      </w:r>
      <w:r w:rsidR="00FE2B41">
        <w:t>sa dostal nad</w:t>
      </w:r>
      <w:r w:rsidRPr="007C4C07">
        <w:t xml:space="preserve"> hranicu sankčných pásiem dlhovej brzdy</w:t>
      </w:r>
      <w:r w:rsidR="00FE2B41">
        <w:t>.</w:t>
      </w:r>
      <w:r w:rsidR="00E33D97">
        <w:t xml:space="preserve"> Pod sankčné pásma klesol až v roku 2019, kedy sa znížil tesne pod 48,0 % HDP a v porovnaní s rokom 2012 bol nižší o 3,8 p.b. (graf 4).</w:t>
      </w:r>
    </w:p>
    <w:p w14:paraId="5A21872C" w14:textId="064F5B58" w:rsidR="00145C1E" w:rsidRDefault="00145C1E" w:rsidP="00E35E94">
      <w:pPr>
        <w:jc w:val="both"/>
      </w:pPr>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04"/>
      </w:tblGrid>
      <w:tr w:rsidR="00E33D97" w:rsidRPr="00B81300" w14:paraId="7870CD12" w14:textId="77777777" w:rsidTr="00120091">
        <w:trPr>
          <w:trHeight w:val="335"/>
          <w:jc w:val="center"/>
        </w:trPr>
        <w:tc>
          <w:tcPr>
            <w:tcW w:w="6804" w:type="dxa"/>
            <w:tcBorders>
              <w:top w:val="nil"/>
              <w:left w:val="nil"/>
              <w:bottom w:val="single" w:sz="4" w:space="0" w:color="13B5EA"/>
              <w:right w:val="nil"/>
            </w:tcBorders>
          </w:tcPr>
          <w:p w14:paraId="072D85C0" w14:textId="77777777" w:rsidR="00E33D97" w:rsidRPr="00B81300" w:rsidRDefault="00E33D97" w:rsidP="00877F86">
            <w:pPr>
              <w:jc w:val="both"/>
              <w:rPr>
                <w:color w:val="0000FF"/>
                <w:sz w:val="20"/>
                <w:highlight w:val="yellow"/>
              </w:rPr>
            </w:pPr>
            <w:bookmarkStart w:id="520" w:name="_Toc49506916"/>
            <w:r w:rsidRPr="00706B61">
              <w:rPr>
                <w:rStyle w:val="grafChar"/>
                <w:sz w:val="20"/>
              </w:rPr>
              <w:t>Graf 4: Vývoj dlhu a hranice stanovené zákonom o rozp</w:t>
            </w:r>
            <w:r>
              <w:rPr>
                <w:rStyle w:val="grafChar"/>
                <w:sz w:val="20"/>
              </w:rPr>
              <w:t>očtovej</w:t>
            </w:r>
            <w:r w:rsidRPr="00706B61">
              <w:rPr>
                <w:rStyle w:val="grafChar"/>
                <w:sz w:val="20"/>
              </w:rPr>
              <w:t xml:space="preserve"> zodpovednosti</w:t>
            </w:r>
            <w:bookmarkEnd w:id="520"/>
            <w:r w:rsidRPr="00706B61">
              <w:rPr>
                <w:color w:val="12BFEA"/>
                <w:sz w:val="16"/>
              </w:rPr>
              <w:t xml:space="preserve"> </w:t>
            </w:r>
            <w:r w:rsidRPr="00706B61">
              <w:rPr>
                <w:b/>
                <w:color w:val="13B5EA"/>
                <w:sz w:val="20"/>
              </w:rPr>
              <w:t xml:space="preserve">(% HDP) </w:t>
            </w:r>
          </w:p>
        </w:tc>
      </w:tr>
      <w:tr w:rsidR="00E33D97" w:rsidRPr="00F35BDF" w14:paraId="31806670" w14:textId="77777777" w:rsidTr="00120091">
        <w:trPr>
          <w:trHeight w:val="2277"/>
          <w:jc w:val="center"/>
        </w:trPr>
        <w:tc>
          <w:tcPr>
            <w:tcW w:w="6804" w:type="dxa"/>
            <w:tcBorders>
              <w:top w:val="single" w:sz="4" w:space="0" w:color="13B5EA"/>
              <w:left w:val="nil"/>
              <w:bottom w:val="single" w:sz="4" w:space="0" w:color="13B5EA"/>
              <w:right w:val="nil"/>
            </w:tcBorders>
            <w:vAlign w:val="center"/>
          </w:tcPr>
          <w:p w14:paraId="1A781FD5" w14:textId="77777777" w:rsidR="00E33D97" w:rsidRPr="00706B61" w:rsidRDefault="536D73C9" w:rsidP="00877F86">
            <w:pPr>
              <w:jc w:val="center"/>
            </w:pPr>
            <w:r>
              <w:rPr>
                <w:noProof/>
              </w:rPr>
              <w:drawing>
                <wp:inline distT="0" distB="0" distL="0" distR="0" wp14:anchorId="63E69F5B" wp14:editId="24ABB821">
                  <wp:extent cx="4234115" cy="2453640"/>
                  <wp:effectExtent l="0" t="0" r="0" b="3810"/>
                  <wp:docPr id="140222497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5">
                            <a:extLst>
                              <a:ext uri="{28A0092B-C50C-407E-A947-70E740481C1C}">
                                <a14:useLocalDpi xmlns:a14="http://schemas.microsoft.com/office/drawing/2010/main" val="0"/>
                              </a:ext>
                            </a:extLst>
                          </a:blip>
                          <a:stretch>
                            <a:fillRect/>
                          </a:stretch>
                        </pic:blipFill>
                        <pic:spPr>
                          <a:xfrm>
                            <a:off x="0" y="0"/>
                            <a:ext cx="4234115" cy="2453640"/>
                          </a:xfrm>
                          <a:prstGeom prst="rect">
                            <a:avLst/>
                          </a:prstGeom>
                        </pic:spPr>
                      </pic:pic>
                    </a:graphicData>
                  </a:graphic>
                </wp:inline>
              </w:drawing>
            </w:r>
          </w:p>
          <w:p w14:paraId="0D69DE43" w14:textId="77777777" w:rsidR="00E33D97" w:rsidRPr="00F35BDF" w:rsidRDefault="00E33D97" w:rsidP="00877F86">
            <w:pPr>
              <w:ind w:right="-207"/>
            </w:pPr>
          </w:p>
        </w:tc>
      </w:tr>
      <w:tr w:rsidR="00E33D97" w:rsidRPr="00B81300" w14:paraId="1EE3B326" w14:textId="77777777" w:rsidTr="00120091">
        <w:trPr>
          <w:jc w:val="center"/>
        </w:trPr>
        <w:tc>
          <w:tcPr>
            <w:tcW w:w="6804" w:type="dxa"/>
            <w:tcBorders>
              <w:top w:val="single" w:sz="4" w:space="0" w:color="13B5EA"/>
              <w:left w:val="nil"/>
              <w:bottom w:val="nil"/>
              <w:right w:val="nil"/>
            </w:tcBorders>
          </w:tcPr>
          <w:p w14:paraId="7F8A1061" w14:textId="1826C8E8" w:rsidR="00B44AAE" w:rsidRDefault="00E33D97" w:rsidP="00877F86">
            <w:pPr>
              <w:jc w:val="both"/>
              <w:rPr>
                <w:i/>
                <w:color w:val="00B0F0"/>
                <w:sz w:val="16"/>
                <w:szCs w:val="16"/>
              </w:rPr>
            </w:pPr>
            <w:r w:rsidRPr="00706B61">
              <w:rPr>
                <w:i/>
                <w:color w:val="00B0F0"/>
                <w:sz w:val="16"/>
                <w:szCs w:val="16"/>
              </w:rPr>
              <w:t>Pozn.: V grafe sú čiernou vyznačené jednotlivé hranice sankčných pásiem ústavného zákona (50</w:t>
            </w:r>
            <w:r w:rsidR="00B44AAE">
              <w:rPr>
                <w:i/>
                <w:color w:val="00B0F0"/>
                <w:sz w:val="16"/>
                <w:szCs w:val="16"/>
              </w:rPr>
              <w:t> </w:t>
            </w:r>
            <w:r w:rsidRPr="00706B61">
              <w:rPr>
                <w:i/>
                <w:color w:val="00B0F0"/>
                <w:sz w:val="16"/>
                <w:szCs w:val="16"/>
              </w:rPr>
              <w:t>%</w:t>
            </w:r>
            <w:r w:rsidR="006B5E81">
              <w:rPr>
                <w:i/>
                <w:color w:val="00B0F0"/>
                <w:sz w:val="16"/>
                <w:szCs w:val="16"/>
              </w:rPr>
              <w:t> </w:t>
            </w:r>
            <w:r w:rsidRPr="00706B61">
              <w:rPr>
                <w:i/>
                <w:color w:val="00B0F0"/>
                <w:sz w:val="16"/>
                <w:szCs w:val="16"/>
              </w:rPr>
              <w:t>HDP, 53 % HDP, 55 % HDP, 57 % HDP a 60 % HDP, od roku 2018 klesnú o 1 p.b</w:t>
            </w:r>
            <w:r w:rsidR="00C67832">
              <w:rPr>
                <w:i/>
                <w:color w:val="00B0F0"/>
                <w:sz w:val="16"/>
                <w:szCs w:val="16"/>
              </w:rPr>
              <w:t>.</w:t>
            </w:r>
            <w:r w:rsidRPr="00706B61">
              <w:rPr>
                <w:i/>
                <w:color w:val="00B0F0"/>
                <w:sz w:val="16"/>
                <w:szCs w:val="16"/>
              </w:rPr>
              <w:t xml:space="preserve"> ročne).</w:t>
            </w:r>
          </w:p>
          <w:p w14:paraId="25E6B613" w14:textId="1232286D" w:rsidR="00E33D97" w:rsidRPr="00F825EE" w:rsidRDefault="00E33D97" w:rsidP="004A79A6">
            <w:pPr>
              <w:jc w:val="right"/>
              <w:rPr>
                <w:i/>
                <w:color w:val="00B0F0"/>
                <w:sz w:val="16"/>
                <w:szCs w:val="16"/>
              </w:rPr>
            </w:pPr>
            <w:r w:rsidRPr="00706B61">
              <w:rPr>
                <w:i/>
                <w:color w:val="00B0F0"/>
                <w:sz w:val="16"/>
                <w:szCs w:val="16"/>
              </w:rPr>
              <w:t xml:space="preserve"> Zdroj: MF SR, ŠÚ SR</w:t>
            </w:r>
            <w:r>
              <w:rPr>
                <w:i/>
                <w:color w:val="00B0F0"/>
                <w:sz w:val="16"/>
                <w:szCs w:val="16"/>
              </w:rPr>
              <w:t>, RRZ</w:t>
            </w:r>
          </w:p>
        </w:tc>
      </w:tr>
    </w:tbl>
    <w:p w14:paraId="08042884" w14:textId="77777777" w:rsidR="00E33D97" w:rsidRDefault="00E33D97" w:rsidP="00E35E94">
      <w:pPr>
        <w:jc w:val="both"/>
      </w:pPr>
    </w:p>
    <w:p w14:paraId="2A795790" w14:textId="29882B5F" w:rsidR="00AF665B" w:rsidRPr="00FF17AB" w:rsidRDefault="00E33D97" w:rsidP="00E35E94">
      <w:pPr>
        <w:jc w:val="both"/>
      </w:pPr>
      <w:r>
        <w:rPr>
          <w:b/>
          <w:bCs/>
        </w:rPr>
        <w:lastRenderedPageBreak/>
        <w:t>N</w:t>
      </w:r>
      <w:r w:rsidR="00771C6C" w:rsidRPr="000326AC">
        <w:rPr>
          <w:b/>
        </w:rPr>
        <w:t>ajvyšš</w:t>
      </w:r>
      <w:r>
        <w:rPr>
          <w:b/>
        </w:rPr>
        <w:t>iu</w:t>
      </w:r>
      <w:r w:rsidR="00771C6C" w:rsidRPr="000326AC">
        <w:rPr>
          <w:b/>
        </w:rPr>
        <w:t xml:space="preserve"> hodnot</w:t>
      </w:r>
      <w:r>
        <w:rPr>
          <w:b/>
        </w:rPr>
        <w:t xml:space="preserve">u vo výške </w:t>
      </w:r>
      <w:r w:rsidR="00771C6C" w:rsidRPr="000326AC">
        <w:rPr>
          <w:b/>
        </w:rPr>
        <w:t xml:space="preserve">54,7 % HDP </w:t>
      </w:r>
      <w:r>
        <w:rPr>
          <w:b/>
        </w:rPr>
        <w:t xml:space="preserve">dosiahol dlh </w:t>
      </w:r>
      <w:r w:rsidR="00771C6C" w:rsidRPr="000326AC">
        <w:rPr>
          <w:b/>
        </w:rPr>
        <w:t>na konci roku 2013</w:t>
      </w:r>
      <w:r>
        <w:rPr>
          <w:b/>
        </w:rPr>
        <w:t xml:space="preserve"> a od tohto obdobia každoročne (s výnimkou roku 2016) tento podiel klesá. </w:t>
      </w:r>
      <w:r w:rsidR="00AF665B" w:rsidRPr="00821942">
        <w:t xml:space="preserve">V rokoch 2014 až </w:t>
      </w:r>
      <w:r w:rsidR="00877F86" w:rsidRPr="00821942">
        <w:t>201</w:t>
      </w:r>
      <w:r w:rsidR="00877F86">
        <w:t>5</w:t>
      </w:r>
      <w:r w:rsidR="00877F86" w:rsidRPr="00821942">
        <w:t xml:space="preserve"> </w:t>
      </w:r>
      <w:r w:rsidR="00AF665B" w:rsidRPr="00821942">
        <w:t xml:space="preserve">k poklesu podielu dlhu na HDP prispievali iba jednorazové opatrenia vlády a dočasné vplyvy mimo jej kontroly (zoznam a sumy jednorazových faktorov sú uvedené v prílohe č. </w:t>
      </w:r>
      <w:r w:rsidR="008F0DD5" w:rsidRPr="00821942">
        <w:t>3</w:t>
      </w:r>
      <w:r w:rsidR="00AF665B" w:rsidRPr="00821942">
        <w:t xml:space="preserve">, tabuľka </w:t>
      </w:r>
      <w:r w:rsidR="003E6411" w:rsidRPr="00821942">
        <w:t>7</w:t>
      </w:r>
      <w:r w:rsidR="00AF665B" w:rsidRPr="00821942">
        <w:t>).</w:t>
      </w:r>
      <w:r w:rsidR="00877F86">
        <w:t xml:space="preserve"> Platí to aj o roku 2016, kedy by sa dlh bez jednorazových faktorov výraznejšie zvýšil v porovnaní so skutočnosťou.</w:t>
      </w:r>
      <w:r w:rsidR="00AF665B" w:rsidRPr="00821942">
        <w:t xml:space="preserve"> </w:t>
      </w:r>
      <w:r w:rsidR="00AF665B" w:rsidRPr="00107898">
        <w:t>Tieto faktory nezlepšovali čisté bohatstvo verejného sektora</w:t>
      </w:r>
      <w:r w:rsidR="00AF665B" w:rsidRPr="00107898">
        <w:rPr>
          <w:rStyle w:val="FootnoteReference"/>
        </w:rPr>
        <w:footnoteReference w:id="34"/>
      </w:r>
      <w:r w:rsidR="00AF665B" w:rsidRPr="00107898">
        <w:t xml:space="preserve">, keďže pokles hrubého dlhu bol financovaný poklesom aktív a bol sprevádzaný nárastom implicitných záväzkov verejného sektora. </w:t>
      </w:r>
      <w:r w:rsidR="00345342" w:rsidRPr="00FF17AB">
        <w:rPr>
          <w:b/>
        </w:rPr>
        <w:t>V rokoch 2017</w:t>
      </w:r>
      <w:r w:rsidR="007A372A">
        <w:rPr>
          <w:b/>
        </w:rPr>
        <w:t xml:space="preserve"> až</w:t>
      </w:r>
      <w:r w:rsidR="00436E83" w:rsidRPr="00FF17AB">
        <w:rPr>
          <w:b/>
        </w:rPr>
        <w:t xml:space="preserve"> 2019</w:t>
      </w:r>
      <w:r w:rsidR="00345342" w:rsidRPr="00FF17AB">
        <w:rPr>
          <w:b/>
        </w:rPr>
        <w:t xml:space="preserve"> došlo k poklesu dlhu aj po </w:t>
      </w:r>
      <w:r w:rsidR="0049063E" w:rsidRPr="00FF17AB">
        <w:rPr>
          <w:b/>
        </w:rPr>
        <w:t>očistení o</w:t>
      </w:r>
      <w:r w:rsidR="00B34C21">
        <w:rPr>
          <w:b/>
        </w:rPr>
        <w:t> </w:t>
      </w:r>
      <w:r w:rsidR="00345342" w:rsidRPr="00FF17AB">
        <w:rPr>
          <w:b/>
        </w:rPr>
        <w:t>jednorazov</w:t>
      </w:r>
      <w:r w:rsidR="0049063E" w:rsidRPr="00FF17AB">
        <w:rPr>
          <w:b/>
        </w:rPr>
        <w:t>é</w:t>
      </w:r>
      <w:r w:rsidR="00345342" w:rsidRPr="00FF17AB">
        <w:rPr>
          <w:b/>
        </w:rPr>
        <w:t xml:space="preserve"> opatren</w:t>
      </w:r>
      <w:r w:rsidR="0049063E" w:rsidRPr="00FF17AB">
        <w:rPr>
          <w:b/>
        </w:rPr>
        <w:t>ia</w:t>
      </w:r>
      <w:r w:rsidR="00345342" w:rsidRPr="00FF17AB">
        <w:rPr>
          <w:b/>
        </w:rPr>
        <w:t xml:space="preserve"> vlády a in</w:t>
      </w:r>
      <w:r w:rsidR="0049063E" w:rsidRPr="00FF17AB">
        <w:rPr>
          <w:b/>
        </w:rPr>
        <w:t>é</w:t>
      </w:r>
      <w:r w:rsidR="00345342" w:rsidRPr="00FF17AB">
        <w:rPr>
          <w:b/>
        </w:rPr>
        <w:t xml:space="preserve"> dočasn</w:t>
      </w:r>
      <w:r w:rsidR="0049063E" w:rsidRPr="00FF17AB">
        <w:rPr>
          <w:b/>
        </w:rPr>
        <w:t>é</w:t>
      </w:r>
      <w:r w:rsidR="00345342" w:rsidRPr="00FF17AB">
        <w:rPr>
          <w:b/>
        </w:rPr>
        <w:t xml:space="preserve"> vplyv</w:t>
      </w:r>
      <w:r w:rsidR="0049063E" w:rsidRPr="00FF17AB">
        <w:rPr>
          <w:b/>
        </w:rPr>
        <w:t>y</w:t>
      </w:r>
      <w:r w:rsidR="00E55736" w:rsidRPr="00FF17AB">
        <w:rPr>
          <w:b/>
        </w:rPr>
        <w:t xml:space="preserve">, </w:t>
      </w:r>
      <w:r w:rsidR="00EE2030" w:rsidRPr="00FF17AB">
        <w:rPr>
          <w:b/>
        </w:rPr>
        <w:t>čo prispelo k zlepšeniu čistého bohatstva verejného sektora</w:t>
      </w:r>
      <w:r w:rsidR="00345342" w:rsidRPr="00FF17AB">
        <w:rPr>
          <w:b/>
        </w:rPr>
        <w:t>.</w:t>
      </w:r>
      <w:r w:rsidR="00345342" w:rsidRPr="00FF17AB">
        <w:t xml:space="preserve"> </w:t>
      </w:r>
      <w:r w:rsidR="00AF665B" w:rsidRPr="00FF17AB">
        <w:t>Bez zmien v hotovosti na účtoch štátu a</w:t>
      </w:r>
      <w:r w:rsidR="00B41332" w:rsidRPr="00FF17AB">
        <w:t xml:space="preserve"> </w:t>
      </w:r>
      <w:r w:rsidR="0049063E" w:rsidRPr="00FF17AB">
        <w:t>bez</w:t>
      </w:r>
      <w:r w:rsidR="00AF665B" w:rsidRPr="00FF17AB">
        <w:t> jednorazových vplyvov by dlh v roku 201</w:t>
      </w:r>
      <w:r w:rsidR="0008172C" w:rsidRPr="00FF17AB">
        <w:t>9</w:t>
      </w:r>
      <w:r w:rsidR="00AF665B" w:rsidRPr="00FF17AB">
        <w:t xml:space="preserve"> klesol o </w:t>
      </w:r>
      <w:r w:rsidR="0008172C" w:rsidRPr="00FF17AB">
        <w:t>0,</w:t>
      </w:r>
      <w:r w:rsidR="007A1D7D">
        <w:t>3</w:t>
      </w:r>
      <w:r w:rsidR="003D6177" w:rsidRPr="00FF17AB">
        <w:t> </w:t>
      </w:r>
      <w:r w:rsidR="00AF665B" w:rsidRPr="00FF17AB">
        <w:t>p.b. (graf 5).</w:t>
      </w:r>
    </w:p>
    <w:p w14:paraId="0A639F07" w14:textId="77777777" w:rsidR="00207080" w:rsidRPr="00B81300" w:rsidRDefault="00207080" w:rsidP="00207080">
      <w:pPr>
        <w:ind w:left="708"/>
        <w:jc w:val="both"/>
        <w:rPr>
          <w:highlight w:val="yellow"/>
        </w:rPr>
      </w:pPr>
    </w:p>
    <w:p w14:paraId="79DDE91D" w14:textId="444B4EFF" w:rsidR="00584FE7" w:rsidRPr="00B81300" w:rsidRDefault="004D30F9" w:rsidP="00163A0C">
      <w:pPr>
        <w:jc w:val="both"/>
        <w:rPr>
          <w:b/>
          <w:highlight w:val="yellow"/>
        </w:rPr>
      </w:pPr>
      <w:r w:rsidRPr="004A79A6">
        <w:t xml:space="preserve">Pri podrobnom pohľade na jednotlivé faktory vidno (graf 6), že </w:t>
      </w:r>
      <w:r w:rsidRPr="004A79A6">
        <w:rPr>
          <w:b/>
          <w:bCs/>
        </w:rPr>
        <w:t>pokles dlhu medzi rokmi 2012 až 2019</w:t>
      </w:r>
      <w:r w:rsidRPr="004A79A6">
        <w:t xml:space="preserve"> (</w:t>
      </w:r>
      <w:r w:rsidRPr="004A79A6">
        <w:rPr>
          <w:b/>
          <w:bCs/>
        </w:rPr>
        <w:t>celkovo o 3,8 p.b</w:t>
      </w:r>
      <w:r w:rsidRPr="004A79A6">
        <w:t xml:space="preserve">.) </w:t>
      </w:r>
      <w:r w:rsidR="00584FE7" w:rsidRPr="00163A0C">
        <w:rPr>
          <w:b/>
        </w:rPr>
        <w:t>bol spôsobený najmä priaznivým ekonomickým vývojom</w:t>
      </w:r>
      <w:r w:rsidRPr="00163A0C">
        <w:rPr>
          <w:b/>
        </w:rPr>
        <w:t xml:space="preserve"> a</w:t>
      </w:r>
      <w:r w:rsidR="00B34C21">
        <w:rPr>
          <w:b/>
        </w:rPr>
        <w:t> </w:t>
      </w:r>
      <w:r w:rsidR="00F14232" w:rsidRPr="00163A0C">
        <w:rPr>
          <w:b/>
        </w:rPr>
        <w:t>podstatný vplyv mali aj</w:t>
      </w:r>
      <w:r w:rsidR="00584FE7" w:rsidRPr="00163A0C">
        <w:rPr>
          <w:b/>
        </w:rPr>
        <w:t xml:space="preserve"> jednorazové opatrenia vlády</w:t>
      </w:r>
      <w:r w:rsidR="00584FE7" w:rsidRPr="00163A0C">
        <w:t>. Naopak úrokové náklady</w:t>
      </w:r>
      <w:r>
        <w:t>,</w:t>
      </w:r>
      <w:r w:rsidR="00584FE7" w:rsidRPr="00163A0C">
        <w:t xml:space="preserve"> ako aj hospodárenie vlády po zohľadnení jednorazových vplyvov (vyjadrené cez príspevok primárneho salda) navyšovali úroveň dlhu na horizonte rokov 2012 až 201</w:t>
      </w:r>
      <w:r w:rsidR="007C4C07" w:rsidRPr="00163A0C">
        <w:t>9</w:t>
      </w:r>
      <w:r w:rsidR="00584FE7" w:rsidRPr="00163A0C">
        <w:t>.</w:t>
      </w:r>
    </w:p>
    <w:p w14:paraId="6282970A" w14:textId="77777777" w:rsidR="00B04904" w:rsidRPr="00B81300" w:rsidRDefault="00B04904" w:rsidP="00187384">
      <w:pPr>
        <w:ind w:left="708"/>
        <w:jc w:val="both"/>
        <w:rPr>
          <w:b/>
          <w:highlight w:val="yellow"/>
        </w:rPr>
      </w:pPr>
    </w:p>
    <w:tbl>
      <w:tblPr>
        <w:tblW w:w="9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5"/>
        <w:gridCol w:w="283"/>
        <w:gridCol w:w="4408"/>
      </w:tblGrid>
      <w:tr w:rsidR="00584FE7" w:rsidRPr="00B81300" w14:paraId="505D46AF" w14:textId="77777777" w:rsidTr="00FA67C0">
        <w:trPr>
          <w:trHeight w:val="397"/>
          <w:jc w:val="center"/>
        </w:trPr>
        <w:tc>
          <w:tcPr>
            <w:tcW w:w="4395" w:type="dxa"/>
            <w:tcBorders>
              <w:top w:val="nil"/>
              <w:left w:val="nil"/>
              <w:bottom w:val="single" w:sz="4" w:space="0" w:color="13B5EA"/>
              <w:right w:val="nil"/>
            </w:tcBorders>
          </w:tcPr>
          <w:p w14:paraId="27711C92" w14:textId="04F78213" w:rsidR="00584FE7" w:rsidRPr="007B2348" w:rsidRDefault="00FE2B41" w:rsidP="00584FE7">
            <w:pPr>
              <w:jc w:val="both"/>
              <w:rPr>
                <w:color w:val="12BFEA"/>
                <w:sz w:val="20"/>
              </w:rPr>
            </w:pPr>
            <w:bookmarkStart w:id="521" w:name="_Toc49506917"/>
            <w:r w:rsidRPr="0038272D">
              <w:rPr>
                <w:rStyle w:val="grafChar"/>
                <w:sz w:val="20"/>
              </w:rPr>
              <w:t>Graf 5: Medziročná zmena dlhu</w:t>
            </w:r>
            <w:r w:rsidR="00E33D97">
              <w:rPr>
                <w:rStyle w:val="grafChar"/>
                <w:sz w:val="20"/>
              </w:rPr>
              <w:t xml:space="preserve"> z pohľadu čistého bohatstva</w:t>
            </w:r>
            <w:bookmarkEnd w:id="521"/>
            <w:r w:rsidRPr="0038272D">
              <w:rPr>
                <w:rStyle w:val="grafChar"/>
                <w:sz w:val="18"/>
              </w:rPr>
              <w:t xml:space="preserve"> </w:t>
            </w:r>
            <w:r w:rsidRPr="0038272D">
              <w:rPr>
                <w:b/>
                <w:color w:val="13B5EA"/>
                <w:sz w:val="20"/>
              </w:rPr>
              <w:t>(p.b. HDP)</w:t>
            </w:r>
          </w:p>
        </w:tc>
        <w:tc>
          <w:tcPr>
            <w:tcW w:w="283" w:type="dxa"/>
            <w:tcBorders>
              <w:top w:val="nil"/>
              <w:left w:val="nil"/>
              <w:bottom w:val="nil"/>
              <w:right w:val="nil"/>
            </w:tcBorders>
            <w:vAlign w:val="center"/>
          </w:tcPr>
          <w:p w14:paraId="3961DA71" w14:textId="77777777" w:rsidR="00584FE7" w:rsidRPr="00B81300" w:rsidRDefault="00584FE7" w:rsidP="00171FF1">
            <w:pPr>
              <w:rPr>
                <w:color w:val="0000FF"/>
                <w:sz w:val="20"/>
                <w:highlight w:val="yellow"/>
              </w:rPr>
            </w:pPr>
          </w:p>
        </w:tc>
        <w:tc>
          <w:tcPr>
            <w:tcW w:w="4408" w:type="dxa"/>
            <w:tcBorders>
              <w:top w:val="nil"/>
              <w:left w:val="nil"/>
              <w:bottom w:val="single" w:sz="4" w:space="0" w:color="13B5EA"/>
              <w:right w:val="nil"/>
            </w:tcBorders>
          </w:tcPr>
          <w:p w14:paraId="7A05ECE0" w14:textId="228C5B63" w:rsidR="00584FE7" w:rsidRPr="00B00509" w:rsidRDefault="00584FE7" w:rsidP="00584FE7">
            <w:pPr>
              <w:jc w:val="both"/>
              <w:rPr>
                <w:color w:val="0000FF"/>
                <w:sz w:val="20"/>
              </w:rPr>
            </w:pPr>
            <w:bookmarkStart w:id="522" w:name="_Toc49506918"/>
            <w:r w:rsidRPr="00B00509">
              <w:rPr>
                <w:rStyle w:val="grafChar"/>
                <w:sz w:val="20"/>
              </w:rPr>
              <w:t xml:space="preserve">Graf </w:t>
            </w:r>
            <w:r w:rsidR="00FE2B41">
              <w:rPr>
                <w:rStyle w:val="grafChar"/>
                <w:sz w:val="20"/>
              </w:rPr>
              <w:t>6</w:t>
            </w:r>
            <w:r w:rsidRPr="00B00509">
              <w:rPr>
                <w:rStyle w:val="grafChar"/>
                <w:sz w:val="20"/>
              </w:rPr>
              <w:t xml:space="preserve">: </w:t>
            </w:r>
            <w:r w:rsidR="00FE2B41" w:rsidRPr="007B2348">
              <w:rPr>
                <w:rStyle w:val="grafChar"/>
                <w:sz w:val="20"/>
              </w:rPr>
              <w:t>Príspevky vybraných faktorov k zmene dlhu v rokoch 201</w:t>
            </w:r>
            <w:r w:rsidR="00FE2B41">
              <w:rPr>
                <w:rStyle w:val="grafChar"/>
                <w:sz w:val="20"/>
              </w:rPr>
              <w:t>2</w:t>
            </w:r>
            <w:r w:rsidR="00FE2B41" w:rsidRPr="007B2348">
              <w:rPr>
                <w:rStyle w:val="grafChar"/>
                <w:sz w:val="20"/>
              </w:rPr>
              <w:t>-201</w:t>
            </w:r>
            <w:r w:rsidR="00FE2B41">
              <w:rPr>
                <w:rStyle w:val="grafChar"/>
                <w:sz w:val="20"/>
              </w:rPr>
              <w:t>9</w:t>
            </w:r>
            <w:bookmarkEnd w:id="522"/>
            <w:r w:rsidR="00FE2B41" w:rsidRPr="007B2348">
              <w:rPr>
                <w:color w:val="12BFEA"/>
                <w:sz w:val="16"/>
              </w:rPr>
              <w:t xml:space="preserve"> </w:t>
            </w:r>
            <w:r w:rsidR="00FE2B41" w:rsidRPr="007B2348">
              <w:rPr>
                <w:b/>
                <w:color w:val="13B5EA"/>
                <w:sz w:val="20"/>
              </w:rPr>
              <w:t>(kumulatívne, v p.b. HDP)</w:t>
            </w:r>
          </w:p>
        </w:tc>
      </w:tr>
      <w:tr w:rsidR="00584FE7" w:rsidRPr="00B81300" w14:paraId="44B61ADB" w14:textId="77777777" w:rsidTr="00FA67C0">
        <w:trPr>
          <w:trHeight w:val="2277"/>
          <w:jc w:val="center"/>
        </w:trPr>
        <w:tc>
          <w:tcPr>
            <w:tcW w:w="4395" w:type="dxa"/>
            <w:tcBorders>
              <w:top w:val="single" w:sz="4" w:space="0" w:color="13B5EA"/>
              <w:left w:val="nil"/>
              <w:bottom w:val="single" w:sz="4" w:space="0" w:color="13B5EA"/>
              <w:right w:val="nil"/>
            </w:tcBorders>
            <w:vAlign w:val="center"/>
          </w:tcPr>
          <w:p w14:paraId="256D846A" w14:textId="3097648D" w:rsidR="00584FE7" w:rsidRPr="007B2348" w:rsidRDefault="779B35B2" w:rsidP="00171FF1">
            <w:r>
              <w:rPr>
                <w:noProof/>
              </w:rPr>
              <w:drawing>
                <wp:inline distT="0" distB="0" distL="0" distR="0" wp14:anchorId="5FE1A629" wp14:editId="1775705E">
                  <wp:extent cx="2737485" cy="1670685"/>
                  <wp:effectExtent l="0" t="0" r="571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16">
                            <a:extLst>
                              <a:ext uri="{28A0092B-C50C-407E-A947-70E740481C1C}">
                                <a14:useLocalDpi xmlns:a14="http://schemas.microsoft.com/office/drawing/2010/main" val="0"/>
                              </a:ext>
                            </a:extLst>
                          </a:blip>
                          <a:stretch>
                            <a:fillRect/>
                          </a:stretch>
                        </pic:blipFill>
                        <pic:spPr>
                          <a:xfrm>
                            <a:off x="0" y="0"/>
                            <a:ext cx="2737485" cy="1670685"/>
                          </a:xfrm>
                          <a:prstGeom prst="rect">
                            <a:avLst/>
                          </a:prstGeom>
                        </pic:spPr>
                      </pic:pic>
                    </a:graphicData>
                  </a:graphic>
                </wp:inline>
              </w:drawing>
            </w:r>
          </w:p>
        </w:tc>
        <w:tc>
          <w:tcPr>
            <w:tcW w:w="283" w:type="dxa"/>
            <w:tcBorders>
              <w:top w:val="nil"/>
              <w:left w:val="nil"/>
              <w:bottom w:val="nil"/>
              <w:right w:val="nil"/>
            </w:tcBorders>
            <w:vAlign w:val="center"/>
          </w:tcPr>
          <w:p w14:paraId="757D8C01" w14:textId="77777777" w:rsidR="00584FE7" w:rsidRPr="00B81300" w:rsidRDefault="00584FE7" w:rsidP="00171FF1">
            <w:pPr>
              <w:rPr>
                <w:highlight w:val="yellow"/>
              </w:rPr>
            </w:pPr>
          </w:p>
        </w:tc>
        <w:tc>
          <w:tcPr>
            <w:tcW w:w="4408" w:type="dxa"/>
            <w:tcBorders>
              <w:top w:val="single" w:sz="4" w:space="0" w:color="13B5EA"/>
              <w:left w:val="nil"/>
              <w:bottom w:val="single" w:sz="4" w:space="0" w:color="13B5EA"/>
              <w:right w:val="nil"/>
            </w:tcBorders>
            <w:vAlign w:val="center"/>
          </w:tcPr>
          <w:p w14:paraId="6C70F6B9" w14:textId="3AF931B1" w:rsidR="00584FE7" w:rsidRPr="00B00509" w:rsidRDefault="300ECB50" w:rsidP="00171FF1">
            <w:pPr>
              <w:ind w:right="-207"/>
            </w:pPr>
            <w:r>
              <w:rPr>
                <w:noProof/>
              </w:rPr>
              <w:drawing>
                <wp:inline distT="0" distB="0" distL="0" distR="0" wp14:anchorId="08135489" wp14:editId="332CFBBE">
                  <wp:extent cx="2590800" cy="1627505"/>
                  <wp:effectExtent l="0" t="0" r="0" b="0"/>
                  <wp:docPr id="146567622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17">
                            <a:extLst>
                              <a:ext uri="{28A0092B-C50C-407E-A947-70E740481C1C}">
                                <a14:useLocalDpi xmlns:a14="http://schemas.microsoft.com/office/drawing/2010/main" val="0"/>
                              </a:ext>
                            </a:extLst>
                          </a:blip>
                          <a:stretch>
                            <a:fillRect/>
                          </a:stretch>
                        </pic:blipFill>
                        <pic:spPr>
                          <a:xfrm>
                            <a:off x="0" y="0"/>
                            <a:ext cx="2590800" cy="1627505"/>
                          </a:xfrm>
                          <a:prstGeom prst="rect">
                            <a:avLst/>
                          </a:prstGeom>
                        </pic:spPr>
                      </pic:pic>
                    </a:graphicData>
                  </a:graphic>
                </wp:inline>
              </w:drawing>
            </w:r>
          </w:p>
        </w:tc>
      </w:tr>
      <w:tr w:rsidR="00584FE7" w:rsidRPr="00B81300" w14:paraId="2A3BAD99" w14:textId="77777777" w:rsidTr="00FA67C0">
        <w:trPr>
          <w:jc w:val="center"/>
        </w:trPr>
        <w:tc>
          <w:tcPr>
            <w:tcW w:w="4395" w:type="dxa"/>
            <w:tcBorders>
              <w:top w:val="single" w:sz="4" w:space="0" w:color="13B5EA"/>
              <w:left w:val="nil"/>
              <w:bottom w:val="nil"/>
              <w:right w:val="nil"/>
            </w:tcBorders>
          </w:tcPr>
          <w:p w14:paraId="193122F2" w14:textId="4DC238CE" w:rsidR="00584FE7" w:rsidRPr="007B2348" w:rsidRDefault="00FE2B41" w:rsidP="004A79A6">
            <w:pPr>
              <w:rPr>
                <w:i/>
                <w:color w:val="00B0F0"/>
                <w:sz w:val="16"/>
                <w:szCs w:val="16"/>
              </w:rPr>
            </w:pPr>
            <w:r w:rsidRPr="00F825EE">
              <w:rPr>
                <w:i/>
                <w:color w:val="00B0F0"/>
                <w:sz w:val="16"/>
                <w:szCs w:val="16"/>
              </w:rPr>
              <w:t xml:space="preserve">Pozn.: V rokoch 2020 až 2023 ide o prognózu </w:t>
            </w:r>
            <w:r w:rsidRPr="00A906C6">
              <w:rPr>
                <w:i/>
                <w:color w:val="00B0F0"/>
                <w:sz w:val="16"/>
                <w:szCs w:val="16"/>
              </w:rPr>
              <w:t xml:space="preserve">RRZ </w:t>
            </w:r>
            <w:r w:rsidR="00A906C6">
              <w:rPr>
                <w:i/>
                <w:color w:val="00B0F0"/>
                <w:sz w:val="16"/>
                <w:szCs w:val="16"/>
              </w:rPr>
              <w:t xml:space="preserve">v </w:t>
            </w:r>
            <w:r w:rsidRPr="00A906C6">
              <w:rPr>
                <w:i/>
                <w:color w:val="00B0F0"/>
                <w:sz w:val="16"/>
                <w:szCs w:val="16"/>
              </w:rPr>
              <w:t>scenár</w:t>
            </w:r>
            <w:r w:rsidR="00A906C6">
              <w:rPr>
                <w:i/>
                <w:color w:val="00B0F0"/>
                <w:sz w:val="16"/>
                <w:szCs w:val="16"/>
              </w:rPr>
              <w:t>i</w:t>
            </w:r>
            <w:r w:rsidRPr="00A906C6">
              <w:rPr>
                <w:i/>
                <w:color w:val="00B0F0"/>
                <w:sz w:val="16"/>
                <w:szCs w:val="16"/>
              </w:rPr>
              <w:t xml:space="preserve"> </w:t>
            </w:r>
            <w:r w:rsidR="00561A05" w:rsidRPr="00A906C6">
              <w:rPr>
                <w:i/>
                <w:color w:val="00B0F0"/>
                <w:sz w:val="16"/>
                <w:szCs w:val="16"/>
              </w:rPr>
              <w:t>nezmene</w:t>
            </w:r>
            <w:r w:rsidR="00345238" w:rsidRPr="00A906C6">
              <w:rPr>
                <w:i/>
                <w:color w:val="00B0F0"/>
                <w:sz w:val="16"/>
                <w:szCs w:val="16"/>
              </w:rPr>
              <w:t xml:space="preserve">ných </w:t>
            </w:r>
            <w:r w:rsidRPr="00A906C6">
              <w:rPr>
                <w:i/>
                <w:color w:val="00B0F0"/>
                <w:sz w:val="16"/>
                <w:szCs w:val="16"/>
              </w:rPr>
              <w:t>politík,</w:t>
            </w:r>
            <w:r w:rsidRPr="00F825EE">
              <w:rPr>
                <w:i/>
                <w:color w:val="00B0F0"/>
                <w:sz w:val="16"/>
                <w:szCs w:val="16"/>
              </w:rPr>
              <w:t xml:space="preserve"> NPC scenár</w:t>
            </w:r>
            <w:r w:rsidR="00A906C6">
              <w:rPr>
                <w:i/>
                <w:color w:val="00B0F0"/>
                <w:sz w:val="16"/>
                <w:szCs w:val="16"/>
              </w:rPr>
              <w:t>i</w:t>
            </w:r>
            <w:r w:rsidRPr="00F825EE">
              <w:rPr>
                <w:i/>
                <w:color w:val="00B0F0"/>
                <w:sz w:val="16"/>
                <w:szCs w:val="16"/>
              </w:rPr>
              <w:t>.             Zdroj: MF SR, RRZ</w:t>
            </w:r>
          </w:p>
        </w:tc>
        <w:tc>
          <w:tcPr>
            <w:tcW w:w="283" w:type="dxa"/>
            <w:tcBorders>
              <w:top w:val="nil"/>
              <w:left w:val="nil"/>
              <w:bottom w:val="nil"/>
              <w:right w:val="nil"/>
            </w:tcBorders>
            <w:vAlign w:val="center"/>
          </w:tcPr>
          <w:p w14:paraId="0D165A29" w14:textId="77777777" w:rsidR="00584FE7" w:rsidRPr="00B81300" w:rsidRDefault="00584FE7" w:rsidP="00171FF1">
            <w:pPr>
              <w:rPr>
                <w:i/>
                <w:color w:val="00B0F0"/>
                <w:sz w:val="16"/>
                <w:szCs w:val="16"/>
                <w:highlight w:val="yellow"/>
              </w:rPr>
            </w:pPr>
          </w:p>
        </w:tc>
        <w:tc>
          <w:tcPr>
            <w:tcW w:w="4408" w:type="dxa"/>
            <w:tcBorders>
              <w:top w:val="single" w:sz="4" w:space="0" w:color="13B5EA"/>
              <w:left w:val="nil"/>
              <w:bottom w:val="nil"/>
              <w:right w:val="nil"/>
            </w:tcBorders>
          </w:tcPr>
          <w:p w14:paraId="2D8D8BDF" w14:textId="3E3D1C4B" w:rsidR="00584FE7" w:rsidRPr="00B00509" w:rsidRDefault="00584FE7" w:rsidP="00BF3551">
            <w:pPr>
              <w:tabs>
                <w:tab w:val="left" w:pos="579"/>
                <w:tab w:val="right" w:pos="3602"/>
              </w:tabs>
              <w:jc w:val="right"/>
              <w:rPr>
                <w:i/>
                <w:color w:val="00B0F0"/>
                <w:sz w:val="16"/>
                <w:szCs w:val="16"/>
              </w:rPr>
            </w:pPr>
            <w:r w:rsidRPr="00B00509">
              <w:rPr>
                <w:i/>
                <w:color w:val="00B0F0"/>
                <w:sz w:val="16"/>
                <w:szCs w:val="16"/>
              </w:rPr>
              <w:t>Zdroj: ŠÚ SR, MF SR, RRZ</w:t>
            </w:r>
          </w:p>
        </w:tc>
      </w:tr>
    </w:tbl>
    <w:p w14:paraId="5C93A6C1" w14:textId="77777777" w:rsidR="001710B2" w:rsidRDefault="001710B2" w:rsidP="003C30A9">
      <w:pPr>
        <w:jc w:val="both"/>
        <w:rPr>
          <w:b/>
          <w:highlight w:val="yellow"/>
        </w:rPr>
      </w:pPr>
    </w:p>
    <w:p w14:paraId="362AEB05" w14:textId="7CAD51DE" w:rsidR="003C30A9" w:rsidRPr="004A79A6" w:rsidRDefault="00841BC4" w:rsidP="003C30A9">
      <w:pPr>
        <w:jc w:val="both"/>
        <w:rPr>
          <w:b/>
        </w:rPr>
      </w:pPr>
      <w:r>
        <w:rPr>
          <w:b/>
        </w:rPr>
        <w:t>Priaznivé ekonomické obdobie v rokoch 2012 až 2019 vláda nevyužila na podstatné zníženie podielu dlhu na HDP.</w:t>
      </w:r>
      <w:r w:rsidR="007B0A77" w:rsidRPr="004A79A6">
        <w:rPr>
          <w:bCs/>
        </w:rPr>
        <w:t xml:space="preserve"> </w:t>
      </w:r>
      <w:r w:rsidR="003D0E73">
        <w:rPr>
          <w:bCs/>
        </w:rPr>
        <w:t xml:space="preserve">Stanovené rozpočtové ciele sa napriek </w:t>
      </w:r>
      <w:r w:rsidR="003C504B">
        <w:rPr>
          <w:bCs/>
        </w:rPr>
        <w:t xml:space="preserve">postupnému </w:t>
      </w:r>
      <w:r w:rsidR="003D0E73">
        <w:rPr>
          <w:bCs/>
        </w:rPr>
        <w:t xml:space="preserve">zlepšovaniu ekonomického </w:t>
      </w:r>
      <w:r>
        <w:rPr>
          <w:bCs/>
        </w:rPr>
        <w:t>vývoja</w:t>
      </w:r>
      <w:r w:rsidR="003C504B">
        <w:rPr>
          <w:bCs/>
        </w:rPr>
        <w:t xml:space="preserve"> po roku 2013</w:t>
      </w:r>
      <w:r w:rsidR="003D0E73">
        <w:rPr>
          <w:bCs/>
        </w:rPr>
        <w:t xml:space="preserve"> stali menej ambiciózne, keďže vláda posunula termín </w:t>
      </w:r>
      <w:r w:rsidR="003C504B">
        <w:rPr>
          <w:bCs/>
        </w:rPr>
        <w:t>dosiahnutia</w:t>
      </w:r>
      <w:r w:rsidR="003D0E73">
        <w:rPr>
          <w:bCs/>
        </w:rPr>
        <w:t xml:space="preserve"> vyrovnaného rozpočtu z roku 2017 na 2019. </w:t>
      </w:r>
      <w:r w:rsidR="003C504B">
        <w:rPr>
          <w:bCs/>
        </w:rPr>
        <w:t>Z</w:t>
      </w:r>
      <w:r w:rsidR="003D0E73">
        <w:rPr>
          <w:bCs/>
        </w:rPr>
        <w:t xml:space="preserve">ároveň však </w:t>
      </w:r>
      <w:r w:rsidR="003C504B">
        <w:rPr>
          <w:bCs/>
        </w:rPr>
        <w:t>tieto ciele neboli</w:t>
      </w:r>
      <w:r w:rsidR="003D0E73">
        <w:rPr>
          <w:bCs/>
        </w:rPr>
        <w:t xml:space="preserve"> s výnimkou rokov 2013 a 2017 </w:t>
      </w:r>
      <w:r w:rsidR="003C504B">
        <w:rPr>
          <w:bCs/>
        </w:rPr>
        <w:t>splnené (graf 7)</w:t>
      </w:r>
      <w:r w:rsidR="003D0E73">
        <w:rPr>
          <w:bCs/>
        </w:rPr>
        <w:t>. Ak by</w:t>
      </w:r>
      <w:r>
        <w:rPr>
          <w:bCs/>
        </w:rPr>
        <w:t xml:space="preserve"> sa vláda pridržiavala svojho pôvodného zámeru dosiahnuť vyrovnaný rozpočet v roku 2017 a</w:t>
      </w:r>
      <w:r w:rsidR="003D0E73">
        <w:rPr>
          <w:bCs/>
        </w:rPr>
        <w:t xml:space="preserve"> využila </w:t>
      </w:r>
      <w:r>
        <w:rPr>
          <w:bCs/>
        </w:rPr>
        <w:t xml:space="preserve">by </w:t>
      </w:r>
      <w:r w:rsidR="003D0E73">
        <w:rPr>
          <w:bCs/>
        </w:rPr>
        <w:t>neočakávané pozitívne vplyvy (najmä vyššie daňové príjmy, úspora úrokových nákladov</w:t>
      </w:r>
      <w:r>
        <w:rPr>
          <w:bCs/>
        </w:rPr>
        <w:t xml:space="preserve"> v porovnaní s predpokladmi rozpočtu</w:t>
      </w:r>
      <w:r w:rsidR="003D0E73">
        <w:rPr>
          <w:bCs/>
        </w:rPr>
        <w:t>)</w:t>
      </w:r>
      <w:r w:rsidR="003C504B">
        <w:rPr>
          <w:bCs/>
        </w:rPr>
        <w:t xml:space="preserve"> </w:t>
      </w:r>
      <w:r w:rsidR="003C504B">
        <w:rPr>
          <w:bCs/>
        </w:rPr>
        <w:lastRenderedPageBreak/>
        <w:t>na zlepšenie deficitu a</w:t>
      </w:r>
      <w:r>
        <w:rPr>
          <w:bCs/>
        </w:rPr>
        <w:t> </w:t>
      </w:r>
      <w:r w:rsidR="003C504B">
        <w:rPr>
          <w:bCs/>
        </w:rPr>
        <w:t>dlhu</w:t>
      </w:r>
      <w:r>
        <w:rPr>
          <w:bCs/>
        </w:rPr>
        <w:t xml:space="preserve">, hrubý dlh mohol byť na konci roku 2019 nižší o viac ako 10 p.b. v porovnaní so </w:t>
      </w:r>
      <w:r w:rsidR="00A906C6">
        <w:rPr>
          <w:bCs/>
        </w:rPr>
        <w:t>skutočnosťou</w:t>
      </w:r>
      <w:r>
        <w:rPr>
          <w:rStyle w:val="FootnoteReference"/>
          <w:bCs/>
        </w:rPr>
        <w:footnoteReference w:id="35"/>
      </w:r>
      <w:r>
        <w:rPr>
          <w:bCs/>
        </w:rPr>
        <w:t xml:space="preserve"> (graf 8).</w:t>
      </w:r>
    </w:p>
    <w:p w14:paraId="00DE4C9F" w14:textId="6B2E1440" w:rsidR="003C30A9" w:rsidRDefault="003C30A9" w:rsidP="003C30A9">
      <w:pPr>
        <w:jc w:val="both"/>
        <w:rPr>
          <w:b/>
          <w:highlight w:val="yellow"/>
        </w:rPr>
      </w:pPr>
    </w:p>
    <w:tbl>
      <w:tblPr>
        <w:tblW w:w="9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283"/>
        <w:gridCol w:w="4550"/>
      </w:tblGrid>
      <w:tr w:rsidR="003C30A9" w:rsidRPr="00B81300" w14:paraId="4DC1A5EB" w14:textId="77777777" w:rsidTr="00FA67C0">
        <w:trPr>
          <w:trHeight w:val="397"/>
          <w:jc w:val="center"/>
        </w:trPr>
        <w:tc>
          <w:tcPr>
            <w:tcW w:w="4253" w:type="dxa"/>
            <w:tcBorders>
              <w:top w:val="nil"/>
              <w:left w:val="nil"/>
              <w:bottom w:val="single" w:sz="4" w:space="0" w:color="13B5EA"/>
              <w:right w:val="nil"/>
            </w:tcBorders>
          </w:tcPr>
          <w:p w14:paraId="29611C65" w14:textId="376A5F45" w:rsidR="003C30A9" w:rsidRPr="007B2348" w:rsidRDefault="003C30A9" w:rsidP="00D75161">
            <w:pPr>
              <w:jc w:val="both"/>
              <w:rPr>
                <w:color w:val="12BFEA"/>
                <w:sz w:val="20"/>
              </w:rPr>
            </w:pPr>
            <w:bookmarkStart w:id="523" w:name="_Toc49506919"/>
            <w:r w:rsidRPr="007B2348">
              <w:rPr>
                <w:rStyle w:val="grafChar"/>
                <w:sz w:val="20"/>
              </w:rPr>
              <w:t xml:space="preserve">Graf </w:t>
            </w:r>
            <w:r w:rsidR="00FE2B41">
              <w:rPr>
                <w:rStyle w:val="grafChar"/>
                <w:sz w:val="20"/>
              </w:rPr>
              <w:t>7</w:t>
            </w:r>
            <w:r w:rsidRPr="007B2348">
              <w:rPr>
                <w:rStyle w:val="grafChar"/>
                <w:sz w:val="20"/>
              </w:rPr>
              <w:t xml:space="preserve">: </w:t>
            </w:r>
            <w:r w:rsidR="00D75161">
              <w:rPr>
                <w:rStyle w:val="grafChar"/>
                <w:sz w:val="20"/>
              </w:rPr>
              <w:t>Saldo verejnej správy pri využití neočakávaných vplyvov na jeho zlepšenie</w:t>
            </w:r>
            <w:bookmarkEnd w:id="523"/>
            <w:r w:rsidRPr="007B2348">
              <w:rPr>
                <w:color w:val="12BFEA"/>
                <w:sz w:val="16"/>
              </w:rPr>
              <w:t xml:space="preserve"> </w:t>
            </w:r>
            <w:r w:rsidRPr="007B2348">
              <w:rPr>
                <w:b/>
                <w:color w:val="13B5EA"/>
                <w:sz w:val="20"/>
              </w:rPr>
              <w:t>(</w:t>
            </w:r>
            <w:r w:rsidR="00D75161">
              <w:rPr>
                <w:b/>
                <w:color w:val="13B5EA"/>
                <w:sz w:val="20"/>
              </w:rPr>
              <w:t>%</w:t>
            </w:r>
            <w:r w:rsidRPr="007B2348">
              <w:rPr>
                <w:b/>
                <w:color w:val="13B5EA"/>
                <w:sz w:val="20"/>
              </w:rPr>
              <w:t xml:space="preserve"> HDP) </w:t>
            </w:r>
          </w:p>
        </w:tc>
        <w:tc>
          <w:tcPr>
            <w:tcW w:w="283" w:type="dxa"/>
            <w:tcBorders>
              <w:top w:val="nil"/>
              <w:left w:val="nil"/>
              <w:bottom w:val="nil"/>
              <w:right w:val="nil"/>
            </w:tcBorders>
            <w:vAlign w:val="center"/>
          </w:tcPr>
          <w:p w14:paraId="0D8B259D" w14:textId="77777777" w:rsidR="003C30A9" w:rsidRPr="00B81300" w:rsidRDefault="003C30A9" w:rsidP="00D75161">
            <w:pPr>
              <w:rPr>
                <w:color w:val="0000FF"/>
                <w:sz w:val="20"/>
                <w:highlight w:val="yellow"/>
              </w:rPr>
            </w:pPr>
          </w:p>
        </w:tc>
        <w:tc>
          <w:tcPr>
            <w:tcW w:w="4550" w:type="dxa"/>
            <w:tcBorders>
              <w:top w:val="nil"/>
              <w:left w:val="nil"/>
              <w:bottom w:val="single" w:sz="4" w:space="0" w:color="13B5EA"/>
              <w:right w:val="nil"/>
            </w:tcBorders>
          </w:tcPr>
          <w:p w14:paraId="2E2EA020" w14:textId="4E276B2E" w:rsidR="003C30A9" w:rsidRPr="00B00509" w:rsidRDefault="003C30A9" w:rsidP="00D75161">
            <w:pPr>
              <w:jc w:val="both"/>
              <w:rPr>
                <w:color w:val="0000FF"/>
                <w:sz w:val="20"/>
              </w:rPr>
            </w:pPr>
            <w:bookmarkStart w:id="524" w:name="_Toc49506920"/>
            <w:r w:rsidRPr="00B00509">
              <w:rPr>
                <w:rStyle w:val="grafChar"/>
                <w:sz w:val="20"/>
              </w:rPr>
              <w:t xml:space="preserve">Graf </w:t>
            </w:r>
            <w:r w:rsidR="00FE2B41">
              <w:rPr>
                <w:rStyle w:val="grafChar"/>
                <w:sz w:val="20"/>
              </w:rPr>
              <w:t>8</w:t>
            </w:r>
            <w:r w:rsidRPr="00B00509">
              <w:rPr>
                <w:rStyle w:val="grafChar"/>
                <w:sz w:val="20"/>
              </w:rPr>
              <w:t xml:space="preserve">: </w:t>
            </w:r>
            <w:r w:rsidR="00D75161">
              <w:rPr>
                <w:rStyle w:val="grafChar"/>
                <w:sz w:val="20"/>
              </w:rPr>
              <w:t>Hrubý dlh pri využití neočakávaných vplyvov na jeho zlepšenie</w:t>
            </w:r>
            <w:bookmarkEnd w:id="524"/>
            <w:r w:rsidR="00D75161">
              <w:rPr>
                <w:rStyle w:val="grafChar"/>
                <w:sz w:val="20"/>
              </w:rPr>
              <w:t xml:space="preserve"> </w:t>
            </w:r>
            <w:r w:rsidRPr="00B00509">
              <w:rPr>
                <w:b/>
                <w:color w:val="13B5EA"/>
                <w:sz w:val="20"/>
              </w:rPr>
              <w:t>(</w:t>
            </w:r>
            <w:r w:rsidR="00D75161">
              <w:rPr>
                <w:b/>
                <w:color w:val="13B5EA"/>
                <w:sz w:val="20"/>
              </w:rPr>
              <w:t xml:space="preserve">% </w:t>
            </w:r>
            <w:r w:rsidRPr="00B00509">
              <w:rPr>
                <w:b/>
                <w:color w:val="13B5EA"/>
                <w:sz w:val="20"/>
              </w:rPr>
              <w:t>HDP)</w:t>
            </w:r>
          </w:p>
        </w:tc>
      </w:tr>
      <w:tr w:rsidR="003C30A9" w:rsidRPr="00B81300" w14:paraId="3DD73781" w14:textId="77777777" w:rsidTr="00FA67C0">
        <w:trPr>
          <w:trHeight w:val="2277"/>
          <w:jc w:val="center"/>
        </w:trPr>
        <w:tc>
          <w:tcPr>
            <w:tcW w:w="4253" w:type="dxa"/>
            <w:tcBorders>
              <w:top w:val="single" w:sz="4" w:space="0" w:color="13B5EA"/>
              <w:left w:val="nil"/>
              <w:bottom w:val="single" w:sz="4" w:space="0" w:color="13B5EA"/>
              <w:right w:val="nil"/>
            </w:tcBorders>
            <w:vAlign w:val="center"/>
          </w:tcPr>
          <w:p w14:paraId="19070E5A" w14:textId="77777777" w:rsidR="003C30A9" w:rsidRPr="007B2348" w:rsidRDefault="1FE5BA66" w:rsidP="00D75161">
            <w:r>
              <w:rPr>
                <w:noProof/>
              </w:rPr>
              <w:drawing>
                <wp:inline distT="0" distB="0" distL="0" distR="0" wp14:anchorId="2940B548" wp14:editId="515B3EED">
                  <wp:extent cx="2591435" cy="1558244"/>
                  <wp:effectExtent l="0" t="0" r="0" b="4445"/>
                  <wp:docPr id="17668951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18">
                            <a:extLst>
                              <a:ext uri="{28A0092B-C50C-407E-A947-70E740481C1C}">
                                <a14:useLocalDpi xmlns:a14="http://schemas.microsoft.com/office/drawing/2010/main" val="0"/>
                              </a:ext>
                            </a:extLst>
                          </a:blip>
                          <a:stretch>
                            <a:fillRect/>
                          </a:stretch>
                        </pic:blipFill>
                        <pic:spPr>
                          <a:xfrm>
                            <a:off x="0" y="0"/>
                            <a:ext cx="2591435" cy="1558244"/>
                          </a:xfrm>
                          <a:prstGeom prst="rect">
                            <a:avLst/>
                          </a:prstGeom>
                        </pic:spPr>
                      </pic:pic>
                    </a:graphicData>
                  </a:graphic>
                </wp:inline>
              </w:drawing>
            </w:r>
          </w:p>
        </w:tc>
        <w:tc>
          <w:tcPr>
            <w:tcW w:w="283" w:type="dxa"/>
            <w:tcBorders>
              <w:top w:val="nil"/>
              <w:left w:val="nil"/>
              <w:bottom w:val="nil"/>
              <w:right w:val="nil"/>
            </w:tcBorders>
            <w:vAlign w:val="center"/>
          </w:tcPr>
          <w:p w14:paraId="3EBE4E57" w14:textId="77777777" w:rsidR="003C30A9" w:rsidRPr="00B81300" w:rsidRDefault="003C30A9" w:rsidP="00D75161">
            <w:pPr>
              <w:rPr>
                <w:highlight w:val="yellow"/>
              </w:rPr>
            </w:pPr>
          </w:p>
        </w:tc>
        <w:tc>
          <w:tcPr>
            <w:tcW w:w="4550" w:type="dxa"/>
            <w:tcBorders>
              <w:top w:val="single" w:sz="4" w:space="0" w:color="13B5EA"/>
              <w:left w:val="nil"/>
              <w:bottom w:val="single" w:sz="4" w:space="0" w:color="13B5EA"/>
              <w:right w:val="nil"/>
            </w:tcBorders>
            <w:vAlign w:val="center"/>
          </w:tcPr>
          <w:p w14:paraId="25D02990" w14:textId="77777777" w:rsidR="003C30A9" w:rsidRPr="00B00509" w:rsidRDefault="1FE5BA66" w:rsidP="00D75161">
            <w:pPr>
              <w:ind w:right="-207"/>
            </w:pPr>
            <w:r>
              <w:rPr>
                <w:noProof/>
              </w:rPr>
              <w:drawing>
                <wp:inline distT="0" distB="0" distL="0" distR="0" wp14:anchorId="229FB9FB" wp14:editId="5BCFB75B">
                  <wp:extent cx="2743835" cy="1646072"/>
                  <wp:effectExtent l="0" t="0" r="0" b="0"/>
                  <wp:docPr id="122412991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19">
                            <a:extLst>
                              <a:ext uri="{28A0092B-C50C-407E-A947-70E740481C1C}">
                                <a14:useLocalDpi xmlns:a14="http://schemas.microsoft.com/office/drawing/2010/main" val="0"/>
                              </a:ext>
                            </a:extLst>
                          </a:blip>
                          <a:stretch>
                            <a:fillRect/>
                          </a:stretch>
                        </pic:blipFill>
                        <pic:spPr>
                          <a:xfrm>
                            <a:off x="0" y="0"/>
                            <a:ext cx="2743835" cy="1646072"/>
                          </a:xfrm>
                          <a:prstGeom prst="rect">
                            <a:avLst/>
                          </a:prstGeom>
                        </pic:spPr>
                      </pic:pic>
                    </a:graphicData>
                  </a:graphic>
                </wp:inline>
              </w:drawing>
            </w:r>
          </w:p>
        </w:tc>
      </w:tr>
      <w:tr w:rsidR="003C30A9" w:rsidRPr="00B81300" w14:paraId="521D7361" w14:textId="77777777" w:rsidTr="00FA67C0">
        <w:trPr>
          <w:jc w:val="center"/>
        </w:trPr>
        <w:tc>
          <w:tcPr>
            <w:tcW w:w="4253" w:type="dxa"/>
            <w:tcBorders>
              <w:top w:val="single" w:sz="4" w:space="0" w:color="13B5EA"/>
              <w:left w:val="nil"/>
              <w:bottom w:val="nil"/>
              <w:right w:val="nil"/>
            </w:tcBorders>
          </w:tcPr>
          <w:p w14:paraId="171E0FB5" w14:textId="09AA4DBA" w:rsidR="003C504B" w:rsidRDefault="003C504B" w:rsidP="004A79A6">
            <w:pPr>
              <w:rPr>
                <w:i/>
                <w:color w:val="00B0F0"/>
                <w:sz w:val="16"/>
                <w:szCs w:val="16"/>
              </w:rPr>
            </w:pPr>
            <w:r>
              <w:rPr>
                <w:i/>
                <w:color w:val="00B0F0"/>
                <w:sz w:val="16"/>
                <w:szCs w:val="16"/>
              </w:rPr>
              <w:t>* MTO 2017 – dosiahnutie strednodobého rozpočtového cieľa (štrukturálny deficit do 0,5 % HDP) v roku 2017.</w:t>
            </w:r>
          </w:p>
          <w:p w14:paraId="04792091" w14:textId="39193549" w:rsidR="003C30A9" w:rsidRPr="007B2348" w:rsidRDefault="003C504B" w:rsidP="00D75161">
            <w:pPr>
              <w:jc w:val="right"/>
              <w:rPr>
                <w:i/>
                <w:color w:val="00B0F0"/>
                <w:sz w:val="16"/>
                <w:szCs w:val="16"/>
              </w:rPr>
            </w:pPr>
            <w:r>
              <w:rPr>
                <w:i/>
                <w:color w:val="00B0F0"/>
                <w:sz w:val="16"/>
                <w:szCs w:val="16"/>
              </w:rPr>
              <w:t xml:space="preserve">                   </w:t>
            </w:r>
            <w:r w:rsidR="003C30A9" w:rsidRPr="007B2348">
              <w:rPr>
                <w:i/>
                <w:color w:val="00B0F0"/>
                <w:sz w:val="16"/>
                <w:szCs w:val="16"/>
              </w:rPr>
              <w:t>Zdroj: ŠÚ SR, MF SR, RRZ</w:t>
            </w:r>
          </w:p>
        </w:tc>
        <w:tc>
          <w:tcPr>
            <w:tcW w:w="283" w:type="dxa"/>
            <w:tcBorders>
              <w:top w:val="nil"/>
              <w:left w:val="nil"/>
              <w:bottom w:val="nil"/>
              <w:right w:val="nil"/>
            </w:tcBorders>
            <w:vAlign w:val="center"/>
          </w:tcPr>
          <w:p w14:paraId="35E2FFD7" w14:textId="77777777" w:rsidR="003C30A9" w:rsidRPr="00B81300" w:rsidRDefault="003C30A9" w:rsidP="00D75161">
            <w:pPr>
              <w:rPr>
                <w:i/>
                <w:color w:val="00B0F0"/>
                <w:sz w:val="16"/>
                <w:szCs w:val="16"/>
                <w:highlight w:val="yellow"/>
              </w:rPr>
            </w:pPr>
          </w:p>
        </w:tc>
        <w:tc>
          <w:tcPr>
            <w:tcW w:w="4550" w:type="dxa"/>
            <w:tcBorders>
              <w:top w:val="single" w:sz="4" w:space="0" w:color="13B5EA"/>
              <w:left w:val="nil"/>
              <w:bottom w:val="nil"/>
              <w:right w:val="nil"/>
            </w:tcBorders>
          </w:tcPr>
          <w:p w14:paraId="607DB88A" w14:textId="77777777" w:rsidR="003C30A9" w:rsidRPr="00B00509" w:rsidRDefault="003C30A9" w:rsidP="00D75161">
            <w:pPr>
              <w:tabs>
                <w:tab w:val="left" w:pos="579"/>
                <w:tab w:val="right" w:pos="3602"/>
              </w:tabs>
              <w:jc w:val="right"/>
              <w:rPr>
                <w:i/>
                <w:color w:val="00B0F0"/>
                <w:sz w:val="16"/>
                <w:szCs w:val="16"/>
              </w:rPr>
            </w:pPr>
            <w:r w:rsidRPr="00B00509">
              <w:rPr>
                <w:i/>
                <w:color w:val="00B0F0"/>
                <w:sz w:val="16"/>
                <w:szCs w:val="16"/>
              </w:rPr>
              <w:t>Zdroj: ŠÚ SR, MF SR, RRZ</w:t>
            </w:r>
          </w:p>
        </w:tc>
      </w:tr>
    </w:tbl>
    <w:p w14:paraId="61CBC6B2" w14:textId="77777777" w:rsidR="003C30A9" w:rsidRPr="00B81300" w:rsidRDefault="003C30A9" w:rsidP="004A79A6">
      <w:pPr>
        <w:jc w:val="both"/>
        <w:rPr>
          <w:b/>
          <w:highlight w:val="yellow"/>
        </w:rPr>
      </w:pPr>
    </w:p>
    <w:p w14:paraId="6623C83F" w14:textId="2F501F8F" w:rsidR="00FB6B71" w:rsidRDefault="00183677" w:rsidP="00E35E94">
      <w:pPr>
        <w:jc w:val="both"/>
        <w:rPr>
          <w:b/>
        </w:rPr>
      </w:pPr>
      <w:r w:rsidRPr="00A906C6">
        <w:rPr>
          <w:b/>
          <w:szCs w:val="22"/>
        </w:rPr>
        <w:t>Nedostatočné znižovanie úrov</w:t>
      </w:r>
      <w:r w:rsidRPr="00A906C6">
        <w:rPr>
          <w:b/>
        </w:rPr>
        <w:t>ne</w:t>
      </w:r>
      <w:r w:rsidRPr="00A906C6">
        <w:rPr>
          <w:b/>
          <w:szCs w:val="22"/>
        </w:rPr>
        <w:t xml:space="preserve"> dlhu po roku 2012 je potrebné vnímať aj v</w:t>
      </w:r>
      <w:r w:rsidRPr="00A906C6">
        <w:rPr>
          <w:b/>
        </w:rPr>
        <w:t xml:space="preserve"> </w:t>
      </w:r>
      <w:r w:rsidRPr="00A906C6">
        <w:rPr>
          <w:b/>
          <w:szCs w:val="22"/>
        </w:rPr>
        <w:t xml:space="preserve">kontexte </w:t>
      </w:r>
      <w:r w:rsidR="00A906C6">
        <w:rPr>
          <w:b/>
          <w:bCs/>
        </w:rPr>
        <w:t>pravdepodobného</w:t>
      </w:r>
      <w:r w:rsidR="009C0A20" w:rsidRPr="00A906C6">
        <w:rPr>
          <w:b/>
          <w:bCs/>
        </w:rPr>
        <w:t xml:space="preserve"> výskytu </w:t>
      </w:r>
      <w:r w:rsidR="00A906C6">
        <w:rPr>
          <w:b/>
          <w:bCs/>
        </w:rPr>
        <w:t>ďalších</w:t>
      </w:r>
      <w:r w:rsidR="00A906C6">
        <w:rPr>
          <w:b/>
        </w:rPr>
        <w:t xml:space="preserve"> </w:t>
      </w:r>
      <w:r w:rsidR="001E4949" w:rsidRPr="00A906C6">
        <w:rPr>
          <w:b/>
        </w:rPr>
        <w:t>kríz a</w:t>
      </w:r>
      <w:r w:rsidRPr="00A906C6">
        <w:rPr>
          <w:b/>
          <w:szCs w:val="22"/>
        </w:rPr>
        <w:t xml:space="preserve"> šokov</w:t>
      </w:r>
      <w:r w:rsidR="001E4949" w:rsidRPr="00A906C6">
        <w:rPr>
          <w:b/>
        </w:rPr>
        <w:t>,</w:t>
      </w:r>
      <w:r w:rsidRPr="00A906C6">
        <w:rPr>
          <w:b/>
        </w:rPr>
        <w:t xml:space="preserve"> ktorým bude musieť slovenská ekonomika čeliť.</w:t>
      </w:r>
      <w:r w:rsidR="00FB6B71" w:rsidRPr="00316692">
        <w:rPr>
          <w:szCs w:val="22"/>
        </w:rPr>
        <w:t xml:space="preserve"> Vplyvom finančnej krízy narástol dlh Slovenska o viac ako 20 p.b., z úrovne pod 30</w:t>
      </w:r>
      <w:r w:rsidR="00C64FDE">
        <w:rPr>
          <w:szCs w:val="22"/>
        </w:rPr>
        <w:t> </w:t>
      </w:r>
      <w:r w:rsidR="00FB6B71" w:rsidRPr="00316692">
        <w:rPr>
          <w:szCs w:val="22"/>
        </w:rPr>
        <w:t>%</w:t>
      </w:r>
      <w:r w:rsidR="00FB6B71" w:rsidRPr="00316692">
        <w:t xml:space="preserve"> HDP</w:t>
      </w:r>
      <w:r w:rsidR="00FB6B71" w:rsidRPr="00316692">
        <w:rPr>
          <w:szCs w:val="22"/>
        </w:rPr>
        <w:t xml:space="preserve"> v roku 20</w:t>
      </w:r>
      <w:r w:rsidR="00FB6B71" w:rsidRPr="00316692">
        <w:t>0</w:t>
      </w:r>
      <w:r w:rsidR="00FB6B71" w:rsidRPr="00316692">
        <w:rPr>
          <w:szCs w:val="22"/>
        </w:rPr>
        <w:t>8 nad hranicu 50</w:t>
      </w:r>
      <w:r w:rsidR="00C64FDE">
        <w:rPr>
          <w:szCs w:val="22"/>
        </w:rPr>
        <w:t> </w:t>
      </w:r>
      <w:r w:rsidR="00FB6B71" w:rsidRPr="00316692">
        <w:rPr>
          <w:szCs w:val="22"/>
        </w:rPr>
        <w:t>%</w:t>
      </w:r>
      <w:r w:rsidR="00FB6B71" w:rsidRPr="00316692">
        <w:t xml:space="preserve"> HDP</w:t>
      </w:r>
      <w:r w:rsidR="00FB6B71" w:rsidRPr="00316692">
        <w:rPr>
          <w:szCs w:val="22"/>
        </w:rPr>
        <w:t xml:space="preserve"> do roku 2012. Počas nasledujúcich rokov </w:t>
      </w:r>
      <w:r w:rsidR="00FB6B71" w:rsidRPr="00316692">
        <w:t xml:space="preserve">prevažne </w:t>
      </w:r>
      <w:r w:rsidR="00FB6B71" w:rsidRPr="00316692">
        <w:rPr>
          <w:szCs w:val="22"/>
        </w:rPr>
        <w:t>priaznivého ekonomického rastu došlo k zníženiu dlhu len o 3,8 p.b. Práve toto obdobie malo byť využité na výrazne</w:t>
      </w:r>
      <w:r w:rsidR="00FB6B71" w:rsidRPr="00316692">
        <w:t>jšie</w:t>
      </w:r>
      <w:r w:rsidR="00FB6B71" w:rsidRPr="00316692">
        <w:rPr>
          <w:szCs w:val="22"/>
        </w:rPr>
        <w:t xml:space="preserve"> zníženie dlhu, aby v prípade ďalšej krízy alebo </w:t>
      </w:r>
      <w:r w:rsidR="00FB6B71" w:rsidRPr="003F1A51">
        <w:rPr>
          <w:szCs w:val="22"/>
        </w:rPr>
        <w:t>nečakanej udalosti bol vytvorený priestor na absorbovanie šoku bez toho, aby došlo k zása</w:t>
      </w:r>
      <w:r w:rsidR="00FB6B71" w:rsidRPr="001B2E81">
        <w:rPr>
          <w:szCs w:val="22"/>
        </w:rPr>
        <w:t>dnému vplyvu na sta</w:t>
      </w:r>
      <w:r w:rsidR="00FB6B71" w:rsidRPr="006A70FE">
        <w:rPr>
          <w:szCs w:val="22"/>
        </w:rPr>
        <w:t>bilitu a udržateľnosť vere</w:t>
      </w:r>
      <w:r w:rsidR="00FB6B71" w:rsidRPr="00D1750C">
        <w:rPr>
          <w:szCs w:val="22"/>
        </w:rPr>
        <w:t>jných financií a</w:t>
      </w:r>
      <w:r w:rsidR="003F1A51" w:rsidRPr="003F1A51">
        <w:rPr>
          <w:szCs w:val="22"/>
        </w:rPr>
        <w:t xml:space="preserve"> bolo </w:t>
      </w:r>
      <w:r w:rsidR="00FB6B71" w:rsidRPr="003F1A51">
        <w:rPr>
          <w:szCs w:val="22"/>
        </w:rPr>
        <w:t>nutn</w:t>
      </w:r>
      <w:r w:rsidR="003F1A51" w:rsidRPr="003F1A51">
        <w:rPr>
          <w:szCs w:val="22"/>
        </w:rPr>
        <w:t>é</w:t>
      </w:r>
      <w:r w:rsidR="00FB6B71" w:rsidRPr="003F1A51">
        <w:rPr>
          <w:szCs w:val="22"/>
        </w:rPr>
        <w:t xml:space="preserve"> aktivova</w:t>
      </w:r>
      <w:r w:rsidR="00FB6B71" w:rsidRPr="00316692">
        <w:rPr>
          <w:szCs w:val="22"/>
        </w:rPr>
        <w:t xml:space="preserve">ť </w:t>
      </w:r>
      <w:r w:rsidR="00FB6B71" w:rsidRPr="00316692">
        <w:t>prísnejšie</w:t>
      </w:r>
      <w:r w:rsidR="00FB6B71" w:rsidRPr="00316692">
        <w:rPr>
          <w:szCs w:val="22"/>
        </w:rPr>
        <w:t xml:space="preserve"> sankcie dlhovej brzdy.</w:t>
      </w:r>
    </w:p>
    <w:p w14:paraId="39E6881D" w14:textId="77777777" w:rsidR="00FB6B71" w:rsidRPr="00163A0C" w:rsidRDefault="00FB6B71" w:rsidP="00E35E94">
      <w:pPr>
        <w:jc w:val="both"/>
        <w:rPr>
          <w:b/>
        </w:rPr>
      </w:pPr>
    </w:p>
    <w:p w14:paraId="23D78B2E" w14:textId="7E76D570" w:rsidR="00195B0E" w:rsidRPr="00163A0C" w:rsidRDefault="0002733C" w:rsidP="00E35E94">
      <w:pPr>
        <w:jc w:val="both"/>
        <w:rPr>
          <w:bCs/>
        </w:rPr>
      </w:pPr>
      <w:r w:rsidRPr="00163A0C">
        <w:rPr>
          <w:b/>
        </w:rPr>
        <w:t xml:space="preserve">V roku 2020 </w:t>
      </w:r>
      <w:r w:rsidR="00113ADE" w:rsidRPr="00163A0C">
        <w:rPr>
          <w:b/>
        </w:rPr>
        <w:t>RRZ aj MF SR</w:t>
      </w:r>
      <w:r w:rsidRPr="00163A0C">
        <w:rPr>
          <w:b/>
        </w:rPr>
        <w:t xml:space="preserve"> očakáva</w:t>
      </w:r>
      <w:r w:rsidR="00113ADE" w:rsidRPr="00163A0C">
        <w:rPr>
          <w:b/>
        </w:rPr>
        <w:t>jú</w:t>
      </w:r>
      <w:r w:rsidRPr="00163A0C">
        <w:rPr>
          <w:b/>
        </w:rPr>
        <w:t xml:space="preserve"> prudký nárast dlhu </w:t>
      </w:r>
      <w:r w:rsidR="00F90582" w:rsidRPr="00163A0C">
        <w:rPr>
          <w:b/>
        </w:rPr>
        <w:t xml:space="preserve">nad úroveň 60 % HDP </w:t>
      </w:r>
      <w:r w:rsidRPr="00163A0C">
        <w:rPr>
          <w:b/>
        </w:rPr>
        <w:t>v dôsledku ekonomického poklesu na Slovensku vplyvom pandémie koronavírusu, pričom dlh sa dostane nad najvyššie sankčné pásm</w:t>
      </w:r>
      <w:r w:rsidR="0031649C">
        <w:rPr>
          <w:b/>
        </w:rPr>
        <w:t>o</w:t>
      </w:r>
      <w:r w:rsidRPr="00163A0C">
        <w:rPr>
          <w:b/>
        </w:rPr>
        <w:t xml:space="preserve"> dlhovej brzdy.</w:t>
      </w:r>
      <w:r w:rsidR="00F90582" w:rsidRPr="00163A0C">
        <w:rPr>
          <w:bCs/>
        </w:rPr>
        <w:t xml:space="preserve"> Bez prijatia dodatočných opatrení by sa dlh do roku 2023 priblížil podľa RRZ k hranici 70 % HDP</w:t>
      </w:r>
      <w:r w:rsidR="003C30A9" w:rsidRPr="00163A0C">
        <w:rPr>
          <w:bCs/>
        </w:rPr>
        <w:t xml:space="preserve"> (graf 4)</w:t>
      </w:r>
      <w:r w:rsidR="00F90582" w:rsidRPr="00163A0C">
        <w:rPr>
          <w:bCs/>
        </w:rPr>
        <w:t>.</w:t>
      </w:r>
      <w:r w:rsidRPr="00163A0C">
        <w:rPr>
          <w:bCs/>
        </w:rPr>
        <w:t xml:space="preserve"> </w:t>
      </w:r>
      <w:r w:rsidR="00F90582" w:rsidRPr="00163A0C">
        <w:rPr>
          <w:bCs/>
        </w:rPr>
        <w:t>Splnenie</w:t>
      </w:r>
      <w:r w:rsidR="00D377B8" w:rsidRPr="00163A0C">
        <w:rPr>
          <w:bCs/>
        </w:rPr>
        <w:t xml:space="preserve"> rozpočtových cieľov vlády </w:t>
      </w:r>
      <w:r w:rsidR="00F90582" w:rsidRPr="00163A0C">
        <w:rPr>
          <w:bCs/>
        </w:rPr>
        <w:t xml:space="preserve">v strednodobom horizonte by </w:t>
      </w:r>
      <w:r w:rsidR="00195B0E" w:rsidRPr="00163A0C">
        <w:rPr>
          <w:bCs/>
        </w:rPr>
        <w:t>podľa prognózy MF</w:t>
      </w:r>
      <w:r w:rsidR="00B44AAE">
        <w:t> </w:t>
      </w:r>
      <w:r w:rsidR="00195B0E" w:rsidRPr="00163A0C">
        <w:rPr>
          <w:bCs/>
        </w:rPr>
        <w:t>SR</w:t>
      </w:r>
      <w:r w:rsidR="008417FC" w:rsidRPr="00163A0C">
        <w:rPr>
          <w:bCs/>
        </w:rPr>
        <w:t xml:space="preserve"> </w:t>
      </w:r>
      <w:r w:rsidR="00F90582" w:rsidRPr="00163A0C">
        <w:rPr>
          <w:bCs/>
        </w:rPr>
        <w:t xml:space="preserve">uvedenej v Programe stability Slovenska na roky 2020 až 2023 malo viesť </w:t>
      </w:r>
      <w:r w:rsidR="00E35E94" w:rsidRPr="00163A0C">
        <w:rPr>
          <w:bCs/>
        </w:rPr>
        <w:t>k</w:t>
      </w:r>
      <w:r w:rsidR="00F90582" w:rsidRPr="00163A0C">
        <w:rPr>
          <w:bCs/>
        </w:rPr>
        <w:t xml:space="preserve"> stabilizácii vývoja dlhu, pričom na konci roku 2023 by bol tesne nad úrovňou 60 % HDP. Dlh aj vzhľadom na pokračujúci pokles sankčných pásiem by </w:t>
      </w:r>
      <w:r w:rsidR="008417FC" w:rsidRPr="00163A0C">
        <w:rPr>
          <w:bCs/>
        </w:rPr>
        <w:t>zotrv</w:t>
      </w:r>
      <w:r w:rsidR="00F90582" w:rsidRPr="00163A0C">
        <w:rPr>
          <w:bCs/>
        </w:rPr>
        <w:t>al</w:t>
      </w:r>
      <w:r w:rsidR="008417FC" w:rsidRPr="00163A0C">
        <w:rPr>
          <w:bCs/>
        </w:rPr>
        <w:t xml:space="preserve"> </w:t>
      </w:r>
      <w:r w:rsidR="00C306B3" w:rsidRPr="00163A0C">
        <w:rPr>
          <w:bCs/>
        </w:rPr>
        <w:t xml:space="preserve">nad horným </w:t>
      </w:r>
      <w:r w:rsidR="001D733D" w:rsidRPr="00163A0C">
        <w:rPr>
          <w:bCs/>
        </w:rPr>
        <w:t>limitom</w:t>
      </w:r>
      <w:r w:rsidR="008417FC" w:rsidRPr="00163A0C">
        <w:rPr>
          <w:bCs/>
        </w:rPr>
        <w:t xml:space="preserve"> sankčných pásiem ústavného zákona počas celého horizontu prognózy</w:t>
      </w:r>
      <w:r w:rsidR="001E5757" w:rsidRPr="00163A0C">
        <w:rPr>
          <w:bCs/>
        </w:rPr>
        <w:t>,</w:t>
      </w:r>
      <w:r w:rsidR="008417FC" w:rsidRPr="00163A0C">
        <w:rPr>
          <w:bCs/>
        </w:rPr>
        <w:t xml:space="preserve"> t.j. v rokoch 20</w:t>
      </w:r>
      <w:r w:rsidR="001D733D" w:rsidRPr="00163A0C">
        <w:rPr>
          <w:bCs/>
        </w:rPr>
        <w:t>20</w:t>
      </w:r>
      <w:r w:rsidR="008417FC" w:rsidRPr="00163A0C">
        <w:rPr>
          <w:bCs/>
        </w:rPr>
        <w:t xml:space="preserve"> až 202</w:t>
      </w:r>
      <w:r w:rsidR="001D733D" w:rsidRPr="00163A0C">
        <w:rPr>
          <w:bCs/>
        </w:rPr>
        <w:t>3</w:t>
      </w:r>
      <w:r w:rsidR="001E5757" w:rsidRPr="00163A0C">
        <w:rPr>
          <w:bCs/>
        </w:rPr>
        <w:t xml:space="preserve"> (</w:t>
      </w:r>
      <w:r w:rsidR="00163A0C">
        <w:rPr>
          <w:bCs/>
        </w:rPr>
        <w:t>b</w:t>
      </w:r>
      <w:r w:rsidR="001E5757" w:rsidRPr="00163A0C">
        <w:rPr>
          <w:bCs/>
        </w:rPr>
        <w:t xml:space="preserve">ox </w:t>
      </w:r>
      <w:r w:rsidR="001F2EF9" w:rsidRPr="00163A0C">
        <w:rPr>
          <w:bCs/>
        </w:rPr>
        <w:t>2</w:t>
      </w:r>
      <w:r w:rsidR="008417FC" w:rsidRPr="00163A0C">
        <w:rPr>
          <w:bCs/>
        </w:rPr>
        <w:t>)</w:t>
      </w:r>
      <w:r w:rsidR="002F0D0E" w:rsidRPr="00163A0C">
        <w:rPr>
          <w:rStyle w:val="FootnoteReference"/>
          <w:bCs/>
        </w:rPr>
        <w:footnoteReference w:id="36"/>
      </w:r>
      <w:r w:rsidR="008417FC" w:rsidRPr="00163A0C">
        <w:rPr>
          <w:bCs/>
        </w:rPr>
        <w:t>.</w:t>
      </w:r>
      <w:r w:rsidR="00045E92" w:rsidRPr="00163A0C">
        <w:rPr>
          <w:bCs/>
        </w:rPr>
        <w:t xml:space="preserve"> </w:t>
      </w:r>
    </w:p>
    <w:p w14:paraId="4D69167F" w14:textId="0D9EC54D" w:rsidR="008C6223" w:rsidRDefault="008C6223" w:rsidP="008C6223">
      <w:pPr>
        <w:jc w:val="both"/>
      </w:pPr>
    </w:p>
    <w:p w14:paraId="2C588CF4" w14:textId="65DC94C8" w:rsidR="00D313A3" w:rsidRPr="0010089F" w:rsidRDefault="00D313A3" w:rsidP="00D313A3">
      <w:pPr>
        <w:jc w:val="both"/>
      </w:pPr>
      <w:r w:rsidRPr="004A79A6">
        <w:rPr>
          <w:b/>
          <w:bCs/>
        </w:rPr>
        <w:t>Celkovo možno konštatovať</w:t>
      </w:r>
      <w:r w:rsidR="0010089F" w:rsidRPr="004A79A6">
        <w:rPr>
          <w:b/>
          <w:bCs/>
        </w:rPr>
        <w:t xml:space="preserve">, že </w:t>
      </w:r>
      <w:r w:rsidR="0010089F" w:rsidRPr="00163A0C">
        <w:rPr>
          <w:b/>
          <w:bCs/>
        </w:rPr>
        <w:t>z</w:t>
      </w:r>
      <w:r w:rsidR="0010089F" w:rsidRPr="0010089F">
        <w:rPr>
          <w:b/>
          <w:bCs/>
        </w:rPr>
        <w:t>nižovanie podielu dlhu na HDP do roku 2019 nebolo dostatočné</w:t>
      </w:r>
      <w:r>
        <w:rPr>
          <w:b/>
          <w:bCs/>
        </w:rPr>
        <w:t>.</w:t>
      </w:r>
      <w:r>
        <w:rPr>
          <w:rFonts w:eastAsia="Cambria"/>
        </w:rPr>
        <w:t xml:space="preserve"> </w:t>
      </w:r>
      <w:r w:rsidRPr="005C4BDB">
        <w:rPr>
          <w:rFonts w:eastAsia="Cambria"/>
          <w:bCs/>
          <w:szCs w:val="22"/>
        </w:rPr>
        <w:t>P</w:t>
      </w:r>
      <w:r>
        <w:rPr>
          <w:rFonts w:eastAsia="Cambria"/>
          <w:bCs/>
          <w:szCs w:val="22"/>
        </w:rPr>
        <w:t>riaznivý ekonomický vývoj do roku 2019 nebol využitý na podstatné zníženie pomeru dlhu k HDP. S</w:t>
      </w:r>
      <w:r w:rsidRPr="006C5E6B">
        <w:rPr>
          <w:rFonts w:eastAsia="Cambria"/>
          <w:szCs w:val="22"/>
        </w:rPr>
        <w:t xml:space="preserve">trednodobý rozpočtový cieľ </w:t>
      </w:r>
      <w:r>
        <w:rPr>
          <w:rFonts w:eastAsia="Cambria"/>
          <w:szCs w:val="22"/>
        </w:rPr>
        <w:t xml:space="preserve">v podobe vyrovnaného rozpočtu vláda do </w:t>
      </w:r>
      <w:r>
        <w:rPr>
          <w:rFonts w:eastAsia="Cambria"/>
          <w:szCs w:val="22"/>
        </w:rPr>
        <w:lastRenderedPageBreak/>
        <w:t>roku 2019 nedosiahla a výrazne sa od neho odchýlila napriek n</w:t>
      </w:r>
      <w:r w:rsidRPr="006C5E6B">
        <w:rPr>
          <w:rFonts w:eastAsia="Cambria"/>
          <w:szCs w:val="22"/>
        </w:rPr>
        <w:t>eočakávan</w:t>
      </w:r>
      <w:r>
        <w:rPr>
          <w:rFonts w:eastAsia="Cambria"/>
          <w:szCs w:val="22"/>
        </w:rPr>
        <w:t>ým</w:t>
      </w:r>
      <w:r w:rsidRPr="006C5E6B">
        <w:rPr>
          <w:rFonts w:eastAsia="Cambria"/>
          <w:szCs w:val="22"/>
        </w:rPr>
        <w:t xml:space="preserve"> daňov</w:t>
      </w:r>
      <w:r>
        <w:rPr>
          <w:rFonts w:eastAsia="Cambria"/>
          <w:szCs w:val="22"/>
        </w:rPr>
        <w:t>ým</w:t>
      </w:r>
      <w:r w:rsidRPr="006C5E6B">
        <w:rPr>
          <w:rFonts w:eastAsia="Cambria"/>
          <w:szCs w:val="22"/>
        </w:rPr>
        <w:t xml:space="preserve"> príjm</w:t>
      </w:r>
      <w:r>
        <w:rPr>
          <w:rFonts w:eastAsia="Cambria"/>
          <w:szCs w:val="22"/>
        </w:rPr>
        <w:t>om</w:t>
      </w:r>
      <w:r w:rsidRPr="006C5E6B">
        <w:rPr>
          <w:rFonts w:eastAsia="Cambria"/>
          <w:szCs w:val="22"/>
        </w:rPr>
        <w:t xml:space="preserve"> a pokles</w:t>
      </w:r>
      <w:r>
        <w:rPr>
          <w:rFonts w:eastAsia="Cambria"/>
          <w:szCs w:val="22"/>
        </w:rPr>
        <w:t>u</w:t>
      </w:r>
      <w:r w:rsidRPr="006C5E6B">
        <w:rPr>
          <w:rFonts w:eastAsia="Cambria"/>
          <w:szCs w:val="22"/>
        </w:rPr>
        <w:t xml:space="preserve"> úrokových nákladov.</w:t>
      </w:r>
      <w:r w:rsidRPr="005C4BDB">
        <w:rPr>
          <w:rFonts w:eastAsia="Cambria"/>
          <w:bCs/>
          <w:szCs w:val="22"/>
        </w:rPr>
        <w:t xml:space="preserve"> </w:t>
      </w:r>
      <w:r>
        <w:rPr>
          <w:rFonts w:eastAsia="Cambria"/>
          <w:bCs/>
          <w:szCs w:val="22"/>
        </w:rPr>
        <w:t>K</w:t>
      </w:r>
      <w:r w:rsidRPr="00160A5B">
        <w:rPr>
          <w:rFonts w:eastAsia="Cambria"/>
          <w:szCs w:val="22"/>
        </w:rPr>
        <w:t> rýchlejšiemu poklesu dlhu mimo sankčných pásiem v porovnaní s aktuálnym vývojom</w:t>
      </w:r>
      <w:r w:rsidRPr="00160A5B">
        <w:rPr>
          <w:szCs w:val="22"/>
        </w:rPr>
        <w:t xml:space="preserve"> </w:t>
      </w:r>
      <w:r w:rsidRPr="00160A5B">
        <w:rPr>
          <w:rFonts w:eastAsia="Cambria"/>
          <w:szCs w:val="22"/>
        </w:rPr>
        <w:t>mohli prispieť aj</w:t>
      </w:r>
      <w:r w:rsidRPr="00160A5B">
        <w:rPr>
          <w:szCs w:val="22"/>
        </w:rPr>
        <w:t xml:space="preserve"> </w:t>
      </w:r>
      <w:r>
        <w:rPr>
          <w:szCs w:val="22"/>
        </w:rPr>
        <w:t>e</w:t>
      </w:r>
      <w:r w:rsidRPr="00160A5B">
        <w:rPr>
          <w:rFonts w:eastAsia="Cambria"/>
          <w:szCs w:val="22"/>
        </w:rPr>
        <w:t>fektívne fungujúce výdavkové limity</w:t>
      </w:r>
      <w:r>
        <w:rPr>
          <w:rFonts w:eastAsia="Cambria"/>
          <w:szCs w:val="22"/>
        </w:rPr>
        <w:t>, ktoré však neboli zavedené</w:t>
      </w:r>
      <w:r w:rsidRPr="00160A5B">
        <w:rPr>
          <w:rFonts w:eastAsia="Cambria"/>
        </w:rPr>
        <w:t>.</w:t>
      </w:r>
      <w:r w:rsidRPr="00D313A3">
        <w:rPr>
          <w:bCs/>
        </w:rPr>
        <w:t xml:space="preserve"> </w:t>
      </w:r>
      <w:r w:rsidRPr="004A79A6">
        <w:rPr>
          <w:b/>
        </w:rPr>
        <w:t>Dôležitosť využitia dobrých ekonomický</w:t>
      </w:r>
      <w:r w:rsidR="00A063E3">
        <w:rPr>
          <w:b/>
        </w:rPr>
        <w:t>ch</w:t>
      </w:r>
      <w:r w:rsidRPr="004A79A6">
        <w:rPr>
          <w:b/>
        </w:rPr>
        <w:t xml:space="preserve"> časov na zlepšenie stavu verejných financií sa prejavila v čase krízy.</w:t>
      </w:r>
      <w:r w:rsidRPr="00D313A3">
        <w:rPr>
          <w:b/>
          <w:bCs/>
        </w:rPr>
        <w:t xml:space="preserve"> </w:t>
      </w:r>
      <w:r>
        <w:rPr>
          <w:b/>
          <w:bCs/>
        </w:rPr>
        <w:t>O</w:t>
      </w:r>
      <w:r w:rsidRPr="0010089F">
        <w:rPr>
          <w:b/>
          <w:bCs/>
        </w:rPr>
        <w:t>dhadovaný nárast dlhu v roku 2020</w:t>
      </w:r>
      <w:r>
        <w:rPr>
          <w:b/>
          <w:bCs/>
        </w:rPr>
        <w:t xml:space="preserve"> vplyvom krízy</w:t>
      </w:r>
      <w:r w:rsidRPr="0010089F">
        <w:rPr>
          <w:b/>
          <w:bCs/>
        </w:rPr>
        <w:t xml:space="preserve"> výrazne prevyšuje jeho pokles v období rokov 2013 až 2019</w:t>
      </w:r>
      <w:r>
        <w:rPr>
          <w:b/>
          <w:bCs/>
        </w:rPr>
        <w:t>, čím</w:t>
      </w:r>
      <w:r w:rsidRPr="0010089F">
        <w:rPr>
          <w:b/>
          <w:bCs/>
        </w:rPr>
        <w:t xml:space="preserve"> </w:t>
      </w:r>
      <w:r>
        <w:rPr>
          <w:b/>
          <w:bCs/>
        </w:rPr>
        <w:t>s</w:t>
      </w:r>
      <w:r w:rsidRPr="0010089F">
        <w:rPr>
          <w:b/>
          <w:bCs/>
        </w:rPr>
        <w:t>a dlh dostane nad horný limit definovaný ústavným zákonom</w:t>
      </w:r>
      <w:r w:rsidRPr="0010089F">
        <w:t>.</w:t>
      </w:r>
      <w:r>
        <w:t xml:space="preserve"> </w:t>
      </w:r>
    </w:p>
    <w:p w14:paraId="191116A9" w14:textId="10DF8B65" w:rsidR="00FF4844" w:rsidRPr="00B81300" w:rsidRDefault="00FF4844" w:rsidP="00FF4844">
      <w:pPr>
        <w:jc w:val="both"/>
        <w:rPr>
          <w:highlight w:val="yellow"/>
        </w:rPr>
      </w:pPr>
    </w:p>
    <w:tbl>
      <w:tblPr>
        <w:tblW w:w="9072" w:type="dxa"/>
        <w:jc w:val="center"/>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shd w:val="clear" w:color="auto" w:fill="AAE4F8"/>
        <w:tblLayout w:type="fixed"/>
        <w:tblLook w:val="04A0" w:firstRow="1" w:lastRow="0" w:firstColumn="1" w:lastColumn="0" w:noHBand="0" w:noVBand="1"/>
      </w:tblPr>
      <w:tblGrid>
        <w:gridCol w:w="9072"/>
      </w:tblGrid>
      <w:tr w:rsidR="00FF4844" w:rsidRPr="00B81300" w14:paraId="3F33505C" w14:textId="77777777" w:rsidTr="00753D06">
        <w:trPr>
          <w:trHeight w:val="679"/>
          <w:jc w:val="center"/>
        </w:trPr>
        <w:tc>
          <w:tcPr>
            <w:tcW w:w="9072" w:type="dxa"/>
            <w:shd w:val="clear" w:color="auto" w:fill="AAE4F8"/>
          </w:tcPr>
          <w:p w14:paraId="3F9EFF1A" w14:textId="77777777" w:rsidR="00FF4844" w:rsidRPr="00B81300" w:rsidRDefault="00FF4844" w:rsidP="00FF4844">
            <w:pPr>
              <w:jc w:val="both"/>
              <w:rPr>
                <w:sz w:val="10"/>
                <w:szCs w:val="10"/>
                <w:highlight w:val="yellow"/>
              </w:rPr>
            </w:pPr>
          </w:p>
          <w:p w14:paraId="39626C12" w14:textId="2DE3E6F4" w:rsidR="009954A1" w:rsidRPr="00D6519F" w:rsidRDefault="009954A1" w:rsidP="009954A1">
            <w:pPr>
              <w:pStyle w:val="box"/>
              <w:rPr>
                <w:sz w:val="20"/>
                <w:lang w:val="sk-SK"/>
              </w:rPr>
            </w:pPr>
            <w:bookmarkStart w:id="525" w:name="_Toc49506892"/>
            <w:bookmarkStart w:id="526" w:name="_Toc522105443"/>
            <w:bookmarkStart w:id="527" w:name="_Toc522200683"/>
            <w:bookmarkStart w:id="528" w:name="_Toc523390269"/>
            <w:bookmarkStart w:id="529" w:name="_Toc523392874"/>
            <w:bookmarkStart w:id="530" w:name="_Toc490642147"/>
            <w:bookmarkStart w:id="531" w:name="_Toc490653562"/>
            <w:bookmarkStart w:id="532" w:name="_Toc491246261"/>
            <w:r w:rsidRPr="00D6519F">
              <w:rPr>
                <w:sz w:val="20"/>
                <w:lang w:val="sk-SK"/>
              </w:rPr>
              <w:t xml:space="preserve">Box </w:t>
            </w:r>
            <w:r w:rsidR="001F2EF9">
              <w:rPr>
                <w:sz w:val="20"/>
                <w:lang w:val="sk-SK"/>
              </w:rPr>
              <w:t>2</w:t>
            </w:r>
            <w:r w:rsidRPr="00D6519F">
              <w:rPr>
                <w:sz w:val="20"/>
                <w:lang w:val="sk-SK"/>
              </w:rPr>
              <w:t>: Očakávaný vývoj dlhu do roku 202</w:t>
            </w:r>
            <w:r w:rsidR="00575102" w:rsidRPr="00D6519F">
              <w:rPr>
                <w:sz w:val="20"/>
                <w:lang w:val="sk-SK"/>
              </w:rPr>
              <w:t>3</w:t>
            </w:r>
            <w:bookmarkEnd w:id="525"/>
          </w:p>
          <w:p w14:paraId="0FD8BF77" w14:textId="77777777" w:rsidR="009954A1" w:rsidRPr="00B81300" w:rsidRDefault="009954A1" w:rsidP="009954A1">
            <w:pPr>
              <w:jc w:val="both"/>
              <w:rPr>
                <w:sz w:val="16"/>
                <w:highlight w:val="yellow"/>
              </w:rPr>
            </w:pPr>
          </w:p>
          <w:p w14:paraId="0935F24E" w14:textId="75DE4D44" w:rsidR="009954A1" w:rsidRPr="006725D1" w:rsidRDefault="009954A1" w:rsidP="009954A1">
            <w:pPr>
              <w:jc w:val="both"/>
              <w:rPr>
                <w:sz w:val="20"/>
                <w:szCs w:val="22"/>
              </w:rPr>
            </w:pPr>
            <w:r w:rsidRPr="006725D1">
              <w:rPr>
                <w:sz w:val="20"/>
                <w:szCs w:val="22"/>
              </w:rPr>
              <w:t xml:space="preserve">Prognózy MF SR prvýkrát v priebehu roku 2015 predpokladali zníženie dlhu pod sankčné pásma dlhového pravidla. Malo sa tak stať v poslednom roku prognózy, t.j. v roku 2018 (schéma vývoja prognóz dlhu je uvedená v prílohe č. </w:t>
            </w:r>
            <w:r w:rsidR="00A4280B" w:rsidRPr="006725D1">
              <w:rPr>
                <w:sz w:val="20"/>
                <w:szCs w:val="22"/>
              </w:rPr>
              <w:t>4</w:t>
            </w:r>
            <w:r w:rsidRPr="006725D1">
              <w:rPr>
                <w:sz w:val="20"/>
                <w:szCs w:val="22"/>
              </w:rPr>
              <w:t xml:space="preserve">). Neskôr s aktualizáciou prognóz a rozpočtových cieľov došlo k posunu za horizont alebo do predposledného či posledného roku prognózy. V priebehu roku 2018 očakávalo MF SR zníženie dlhu pod sankčné pásma v roku 2019. </w:t>
            </w:r>
          </w:p>
          <w:p w14:paraId="759D450B" w14:textId="77777777" w:rsidR="009954A1" w:rsidRPr="00B81300" w:rsidRDefault="009954A1" w:rsidP="009954A1">
            <w:pPr>
              <w:jc w:val="both"/>
              <w:rPr>
                <w:sz w:val="20"/>
                <w:szCs w:val="22"/>
                <w:highlight w:val="yellow"/>
              </w:rPr>
            </w:pPr>
          </w:p>
          <w:p w14:paraId="39FA95C3" w14:textId="158487C1" w:rsidR="003E479A" w:rsidRDefault="00A1240B" w:rsidP="009954A1">
            <w:pPr>
              <w:jc w:val="both"/>
              <w:rPr>
                <w:sz w:val="20"/>
                <w:szCs w:val="22"/>
              </w:rPr>
            </w:pPr>
            <w:r>
              <w:rPr>
                <w:sz w:val="20"/>
                <w:szCs w:val="22"/>
              </w:rPr>
              <w:t>P</w:t>
            </w:r>
            <w:r w:rsidR="009954A1" w:rsidRPr="00B1365B">
              <w:rPr>
                <w:sz w:val="20"/>
                <w:szCs w:val="22"/>
              </w:rPr>
              <w:t>rognóza dlhu zverejnená v Programe stability na roky 20</w:t>
            </w:r>
            <w:r w:rsidR="00883822" w:rsidRPr="00B1365B">
              <w:rPr>
                <w:sz w:val="20"/>
                <w:szCs w:val="22"/>
              </w:rPr>
              <w:t>20</w:t>
            </w:r>
            <w:r w:rsidR="009954A1" w:rsidRPr="00B1365B">
              <w:rPr>
                <w:sz w:val="20"/>
                <w:szCs w:val="22"/>
              </w:rPr>
              <w:t xml:space="preserve"> až 202</w:t>
            </w:r>
            <w:r w:rsidR="00883822" w:rsidRPr="00B1365B">
              <w:rPr>
                <w:sz w:val="20"/>
                <w:szCs w:val="22"/>
              </w:rPr>
              <w:t>3</w:t>
            </w:r>
            <w:r w:rsidR="009954A1" w:rsidRPr="00B1365B">
              <w:rPr>
                <w:sz w:val="20"/>
                <w:szCs w:val="22"/>
              </w:rPr>
              <w:t xml:space="preserve"> z </w:t>
            </w:r>
            <w:r w:rsidR="00883822" w:rsidRPr="00B1365B">
              <w:rPr>
                <w:sz w:val="20"/>
                <w:szCs w:val="22"/>
              </w:rPr>
              <w:t>mája 2020</w:t>
            </w:r>
            <w:r w:rsidR="00EC258E" w:rsidRPr="00B1365B">
              <w:rPr>
                <w:sz w:val="20"/>
                <w:szCs w:val="22"/>
              </w:rPr>
              <w:t xml:space="preserve"> </w:t>
            </w:r>
            <w:r w:rsidR="008234D5" w:rsidRPr="00B1365B">
              <w:rPr>
                <w:sz w:val="20"/>
                <w:szCs w:val="22"/>
              </w:rPr>
              <w:t xml:space="preserve">zahŕňa </w:t>
            </w:r>
            <w:r w:rsidR="003E7BD0" w:rsidRPr="00B1365B">
              <w:rPr>
                <w:sz w:val="20"/>
                <w:szCs w:val="22"/>
              </w:rPr>
              <w:t xml:space="preserve">odhady </w:t>
            </w:r>
            <w:r w:rsidR="00847325">
              <w:rPr>
                <w:sz w:val="20"/>
                <w:szCs w:val="22"/>
              </w:rPr>
              <w:t xml:space="preserve">vplyvov </w:t>
            </w:r>
            <w:r w:rsidR="003E7BD0" w:rsidRPr="00B1365B">
              <w:rPr>
                <w:sz w:val="20"/>
                <w:szCs w:val="22"/>
              </w:rPr>
              <w:t>spojené s pandémiou koronavírusu na základe mimoriadnych</w:t>
            </w:r>
            <w:r w:rsidR="00C355AE" w:rsidRPr="00B1365B">
              <w:rPr>
                <w:sz w:val="20"/>
                <w:szCs w:val="22"/>
              </w:rPr>
              <w:t xml:space="preserve"> prognóz Výbor</w:t>
            </w:r>
            <w:r w:rsidR="002E7B04">
              <w:rPr>
                <w:sz w:val="20"/>
                <w:szCs w:val="22"/>
              </w:rPr>
              <w:t>u</w:t>
            </w:r>
            <w:r w:rsidR="00C355AE" w:rsidRPr="00B1365B">
              <w:rPr>
                <w:sz w:val="20"/>
                <w:szCs w:val="22"/>
              </w:rPr>
              <w:t xml:space="preserve"> pre makroekonomické prognózy a Výboru pre daňové prognózy</w:t>
            </w:r>
            <w:r w:rsidR="003872D1">
              <w:rPr>
                <w:sz w:val="20"/>
                <w:szCs w:val="22"/>
              </w:rPr>
              <w:t xml:space="preserve"> z apríla 2020</w:t>
            </w:r>
            <w:r w:rsidR="003E479A" w:rsidRPr="00B1365B">
              <w:rPr>
                <w:sz w:val="20"/>
                <w:szCs w:val="22"/>
              </w:rPr>
              <w:t>.</w:t>
            </w:r>
            <w:r w:rsidR="00A8577A">
              <w:rPr>
                <w:sz w:val="20"/>
                <w:szCs w:val="22"/>
              </w:rPr>
              <w:t xml:space="preserve"> </w:t>
            </w:r>
            <w:r w:rsidR="008E74F2">
              <w:rPr>
                <w:sz w:val="20"/>
                <w:szCs w:val="22"/>
              </w:rPr>
              <w:t>V</w:t>
            </w:r>
            <w:r w:rsidR="00C07DF5">
              <w:rPr>
                <w:sz w:val="20"/>
                <w:szCs w:val="22"/>
              </w:rPr>
              <w:t>láda predpokl</w:t>
            </w:r>
            <w:r w:rsidR="00016889">
              <w:rPr>
                <w:sz w:val="20"/>
                <w:szCs w:val="22"/>
              </w:rPr>
              <w:t>adá významné</w:t>
            </w:r>
            <w:r w:rsidR="0075049B">
              <w:rPr>
                <w:sz w:val="20"/>
                <w:szCs w:val="22"/>
              </w:rPr>
              <w:t xml:space="preserve"> zhoršenie hospodárenia</w:t>
            </w:r>
            <w:r w:rsidR="00F90582">
              <w:rPr>
                <w:sz w:val="20"/>
                <w:szCs w:val="22"/>
              </w:rPr>
              <w:t>, ktoré povedie k zvýšeniu</w:t>
            </w:r>
            <w:r w:rsidR="0075049B">
              <w:rPr>
                <w:sz w:val="20"/>
                <w:szCs w:val="22"/>
              </w:rPr>
              <w:t xml:space="preserve"> hrub</w:t>
            </w:r>
            <w:r w:rsidR="00F90582">
              <w:rPr>
                <w:sz w:val="20"/>
                <w:szCs w:val="22"/>
              </w:rPr>
              <w:t xml:space="preserve">ého </w:t>
            </w:r>
            <w:r w:rsidR="0075049B">
              <w:rPr>
                <w:sz w:val="20"/>
                <w:szCs w:val="22"/>
              </w:rPr>
              <w:t>dlh</w:t>
            </w:r>
            <w:r w:rsidR="00F90582">
              <w:rPr>
                <w:sz w:val="20"/>
                <w:szCs w:val="22"/>
              </w:rPr>
              <w:t>u</w:t>
            </w:r>
            <w:r w:rsidR="0075049B">
              <w:rPr>
                <w:sz w:val="20"/>
                <w:szCs w:val="22"/>
              </w:rPr>
              <w:t xml:space="preserve"> verejnej správy </w:t>
            </w:r>
            <w:r w:rsidR="00DD0AB2">
              <w:rPr>
                <w:sz w:val="20"/>
                <w:szCs w:val="22"/>
              </w:rPr>
              <w:t>z</w:t>
            </w:r>
            <w:r w:rsidR="006B422E">
              <w:rPr>
                <w:sz w:val="20"/>
                <w:szCs w:val="22"/>
              </w:rPr>
              <w:t xml:space="preserve"> </w:t>
            </w:r>
            <w:r w:rsidR="00DD0AB2">
              <w:rPr>
                <w:sz w:val="20"/>
                <w:szCs w:val="22"/>
              </w:rPr>
              <w:t xml:space="preserve">48,0 % </w:t>
            </w:r>
            <w:r w:rsidR="00D3524B">
              <w:rPr>
                <w:sz w:val="20"/>
                <w:szCs w:val="22"/>
              </w:rPr>
              <w:t xml:space="preserve">HDP </w:t>
            </w:r>
            <w:r w:rsidR="00351B5E">
              <w:rPr>
                <w:sz w:val="20"/>
                <w:szCs w:val="22"/>
              </w:rPr>
              <w:t>v roku 2019 na 61,2</w:t>
            </w:r>
            <w:r w:rsidR="00F90582">
              <w:rPr>
                <w:sz w:val="20"/>
                <w:szCs w:val="22"/>
              </w:rPr>
              <w:t> </w:t>
            </w:r>
            <w:r w:rsidR="00351B5E">
              <w:rPr>
                <w:sz w:val="20"/>
                <w:szCs w:val="22"/>
              </w:rPr>
              <w:t xml:space="preserve">% </w:t>
            </w:r>
            <w:r w:rsidR="00D3524B">
              <w:rPr>
                <w:sz w:val="20"/>
                <w:szCs w:val="22"/>
              </w:rPr>
              <w:t xml:space="preserve">HDP </w:t>
            </w:r>
            <w:r w:rsidR="00351B5E">
              <w:rPr>
                <w:sz w:val="20"/>
                <w:szCs w:val="22"/>
              </w:rPr>
              <w:t>v roku 2020</w:t>
            </w:r>
            <w:r w:rsidR="00D551E8">
              <w:rPr>
                <w:sz w:val="20"/>
                <w:szCs w:val="22"/>
              </w:rPr>
              <w:t xml:space="preserve">. </w:t>
            </w:r>
            <w:r w:rsidR="00EC2210">
              <w:rPr>
                <w:sz w:val="20"/>
                <w:szCs w:val="22"/>
              </w:rPr>
              <w:t>Zhoršenie výhľadu pre odha</w:t>
            </w:r>
            <w:r w:rsidR="005661F9">
              <w:rPr>
                <w:sz w:val="20"/>
                <w:szCs w:val="22"/>
              </w:rPr>
              <w:t>d</w:t>
            </w:r>
            <w:r w:rsidR="00EC2210">
              <w:rPr>
                <w:sz w:val="20"/>
                <w:szCs w:val="22"/>
              </w:rPr>
              <w:t xml:space="preserve"> hodnoty hrubého dlhu </w:t>
            </w:r>
            <w:r w:rsidR="00952005">
              <w:rPr>
                <w:sz w:val="20"/>
                <w:szCs w:val="22"/>
              </w:rPr>
              <w:t>pokračuje v roku 2021</w:t>
            </w:r>
            <w:r w:rsidR="005D1559">
              <w:rPr>
                <w:sz w:val="20"/>
                <w:szCs w:val="22"/>
              </w:rPr>
              <w:t xml:space="preserve">, kedy má dosiahnuť </w:t>
            </w:r>
            <w:r w:rsidR="005157ED">
              <w:rPr>
                <w:sz w:val="20"/>
                <w:szCs w:val="22"/>
              </w:rPr>
              <w:t>61,9 % HDP</w:t>
            </w:r>
            <w:r w:rsidR="00C414CC">
              <w:rPr>
                <w:sz w:val="20"/>
                <w:szCs w:val="22"/>
              </w:rPr>
              <w:t>, potom vláda oč</w:t>
            </w:r>
            <w:r w:rsidR="0040338B">
              <w:rPr>
                <w:sz w:val="20"/>
                <w:szCs w:val="22"/>
              </w:rPr>
              <w:t>akáva stabilizáciu dlhu a jeho postupné znižovanie na 61</w:t>
            </w:r>
            <w:r w:rsidR="009A1EC3">
              <w:rPr>
                <w:sz w:val="20"/>
                <w:szCs w:val="22"/>
              </w:rPr>
              <w:t xml:space="preserve">,4 % HDP </w:t>
            </w:r>
            <w:r w:rsidR="00B52D0C">
              <w:rPr>
                <w:sz w:val="20"/>
                <w:szCs w:val="22"/>
              </w:rPr>
              <w:t>v roku 2022 a 60,</w:t>
            </w:r>
            <w:r w:rsidR="00FA7F67">
              <w:rPr>
                <w:sz w:val="20"/>
                <w:szCs w:val="22"/>
              </w:rPr>
              <w:t xml:space="preserve">1 % HDP v roku 2023. </w:t>
            </w:r>
            <w:r w:rsidR="00965600">
              <w:rPr>
                <w:sz w:val="20"/>
                <w:szCs w:val="22"/>
              </w:rPr>
              <w:t xml:space="preserve">Naplnenie týchto </w:t>
            </w:r>
            <w:r w:rsidR="004826AB">
              <w:rPr>
                <w:sz w:val="20"/>
                <w:szCs w:val="22"/>
              </w:rPr>
              <w:t xml:space="preserve">odhadov je </w:t>
            </w:r>
            <w:r w:rsidR="005B552F">
              <w:rPr>
                <w:sz w:val="20"/>
                <w:szCs w:val="22"/>
              </w:rPr>
              <w:t xml:space="preserve">podmienené splnením </w:t>
            </w:r>
            <w:r w:rsidR="00D37D7E">
              <w:rPr>
                <w:sz w:val="20"/>
                <w:szCs w:val="22"/>
              </w:rPr>
              <w:t xml:space="preserve">stanovených rozpočtových cieľov </w:t>
            </w:r>
            <w:r w:rsidR="00F90582">
              <w:rPr>
                <w:sz w:val="20"/>
                <w:szCs w:val="22"/>
              </w:rPr>
              <w:t>(</w:t>
            </w:r>
            <w:r w:rsidR="00AB4A95">
              <w:rPr>
                <w:sz w:val="20"/>
                <w:szCs w:val="22"/>
              </w:rPr>
              <w:t xml:space="preserve">postupné </w:t>
            </w:r>
            <w:r w:rsidR="00F90582">
              <w:rPr>
                <w:sz w:val="20"/>
                <w:szCs w:val="22"/>
              </w:rPr>
              <w:t>zníženie deficitu verejnej správy z odhadovaných 8,4</w:t>
            </w:r>
            <w:r w:rsidR="00DD3F9E">
              <w:rPr>
                <w:sz w:val="20"/>
                <w:szCs w:val="22"/>
              </w:rPr>
              <w:t> </w:t>
            </w:r>
            <w:r w:rsidR="00F90582">
              <w:rPr>
                <w:sz w:val="20"/>
                <w:szCs w:val="22"/>
              </w:rPr>
              <w:t>%</w:t>
            </w:r>
            <w:r w:rsidR="00DD3F9E">
              <w:rPr>
                <w:sz w:val="20"/>
                <w:szCs w:val="22"/>
              </w:rPr>
              <w:t> </w:t>
            </w:r>
            <w:r w:rsidR="00F90582">
              <w:rPr>
                <w:sz w:val="20"/>
                <w:szCs w:val="22"/>
              </w:rPr>
              <w:t>HDP</w:t>
            </w:r>
            <w:r w:rsidR="00536A8F">
              <w:rPr>
                <w:sz w:val="20"/>
                <w:szCs w:val="22"/>
              </w:rPr>
              <w:t xml:space="preserve"> </w:t>
            </w:r>
            <w:r w:rsidR="00F90582">
              <w:rPr>
                <w:sz w:val="20"/>
                <w:szCs w:val="22"/>
              </w:rPr>
              <w:t>v roku 2020 na 2,9 % HDP v roku 2023)</w:t>
            </w:r>
            <w:r w:rsidR="00D37D7E">
              <w:rPr>
                <w:sz w:val="20"/>
                <w:szCs w:val="22"/>
              </w:rPr>
              <w:t xml:space="preserve"> a použitia časti likvidných </w:t>
            </w:r>
            <w:r w:rsidR="00945ECA">
              <w:rPr>
                <w:sz w:val="20"/>
                <w:szCs w:val="22"/>
              </w:rPr>
              <w:t>finančnýc</w:t>
            </w:r>
            <w:r w:rsidR="002868BA">
              <w:rPr>
                <w:sz w:val="20"/>
                <w:szCs w:val="22"/>
              </w:rPr>
              <w:t>h</w:t>
            </w:r>
            <w:r w:rsidR="00945ECA">
              <w:rPr>
                <w:sz w:val="20"/>
                <w:szCs w:val="22"/>
              </w:rPr>
              <w:t xml:space="preserve"> aktív</w:t>
            </w:r>
            <w:r w:rsidR="00F10CA1">
              <w:rPr>
                <w:sz w:val="20"/>
                <w:szCs w:val="22"/>
              </w:rPr>
              <w:t xml:space="preserve"> na zníženie dlhu</w:t>
            </w:r>
            <w:r w:rsidR="00945ECA">
              <w:rPr>
                <w:sz w:val="20"/>
                <w:szCs w:val="22"/>
              </w:rPr>
              <w:t>.</w:t>
            </w:r>
            <w:r w:rsidR="002B7CB4">
              <w:rPr>
                <w:sz w:val="20"/>
                <w:szCs w:val="22"/>
              </w:rPr>
              <w:t xml:space="preserve"> </w:t>
            </w:r>
            <w:r w:rsidR="004723F4">
              <w:rPr>
                <w:sz w:val="20"/>
                <w:szCs w:val="22"/>
              </w:rPr>
              <w:t>Aj z</w:t>
            </w:r>
            <w:r w:rsidR="001D0F93">
              <w:rPr>
                <w:sz w:val="20"/>
                <w:szCs w:val="22"/>
              </w:rPr>
              <w:t xml:space="preserve">a predpokladu </w:t>
            </w:r>
            <w:r w:rsidR="00C86B73">
              <w:rPr>
                <w:sz w:val="20"/>
                <w:szCs w:val="22"/>
              </w:rPr>
              <w:t>s</w:t>
            </w:r>
            <w:r w:rsidR="001D0F93">
              <w:rPr>
                <w:sz w:val="20"/>
                <w:szCs w:val="22"/>
              </w:rPr>
              <w:t>p</w:t>
            </w:r>
            <w:r w:rsidR="00E53B3D">
              <w:rPr>
                <w:sz w:val="20"/>
                <w:szCs w:val="22"/>
              </w:rPr>
              <w:t>lneni</w:t>
            </w:r>
            <w:r w:rsidR="00C86B73">
              <w:rPr>
                <w:sz w:val="20"/>
                <w:szCs w:val="22"/>
              </w:rPr>
              <w:t>a</w:t>
            </w:r>
            <w:r w:rsidR="00E53B3D">
              <w:rPr>
                <w:sz w:val="20"/>
                <w:szCs w:val="22"/>
              </w:rPr>
              <w:t xml:space="preserve"> </w:t>
            </w:r>
            <w:r w:rsidR="00074FC7">
              <w:rPr>
                <w:sz w:val="20"/>
                <w:szCs w:val="22"/>
              </w:rPr>
              <w:t xml:space="preserve">rozpočtových cieľov dlh </w:t>
            </w:r>
            <w:r w:rsidR="00AD0E28">
              <w:rPr>
                <w:sz w:val="20"/>
                <w:szCs w:val="22"/>
              </w:rPr>
              <w:t xml:space="preserve">podľa </w:t>
            </w:r>
            <w:r w:rsidR="0052466D">
              <w:rPr>
                <w:sz w:val="20"/>
                <w:szCs w:val="22"/>
              </w:rPr>
              <w:t xml:space="preserve">vlády </w:t>
            </w:r>
            <w:r w:rsidR="002B7CB4">
              <w:rPr>
                <w:sz w:val="20"/>
                <w:szCs w:val="22"/>
              </w:rPr>
              <w:t xml:space="preserve">naďalej </w:t>
            </w:r>
            <w:r w:rsidR="00074FC7">
              <w:rPr>
                <w:sz w:val="20"/>
                <w:szCs w:val="22"/>
              </w:rPr>
              <w:t xml:space="preserve">zotrvá nad </w:t>
            </w:r>
            <w:r w:rsidR="00E46502">
              <w:rPr>
                <w:sz w:val="20"/>
                <w:szCs w:val="22"/>
              </w:rPr>
              <w:t>hornou hranicou limitu dlhu počas celého prognózovaného obdobia.</w:t>
            </w:r>
            <w:r w:rsidR="00D33B80">
              <w:t xml:space="preserve"> </w:t>
            </w:r>
            <w:r w:rsidR="00D33B80" w:rsidRPr="00D33B80">
              <w:rPr>
                <w:sz w:val="20"/>
                <w:szCs w:val="22"/>
              </w:rPr>
              <w:t>V súčasnosti</w:t>
            </w:r>
            <w:r w:rsidR="00D33B80" w:rsidRPr="00F90582">
              <w:rPr>
                <w:rStyle w:val="FootnoteReference"/>
                <w:sz w:val="20"/>
                <w:szCs w:val="22"/>
              </w:rPr>
              <w:footnoteReference w:id="37"/>
            </w:r>
            <w:r w:rsidR="00D33B80">
              <w:rPr>
                <w:sz w:val="20"/>
                <w:szCs w:val="22"/>
              </w:rPr>
              <w:t xml:space="preserve"> </w:t>
            </w:r>
            <w:r w:rsidR="00D33B80" w:rsidRPr="00D33B80">
              <w:rPr>
                <w:sz w:val="20"/>
                <w:szCs w:val="22"/>
              </w:rPr>
              <w:t>MF SR odhaduje schodok rozpočtu verejnej správy na úrovni 11,58 % HDP v roku 2020</w:t>
            </w:r>
            <w:r w:rsidR="00D33B80">
              <w:rPr>
                <w:sz w:val="20"/>
                <w:szCs w:val="22"/>
              </w:rPr>
              <w:t xml:space="preserve">, čo </w:t>
            </w:r>
            <w:r w:rsidR="002E40BC">
              <w:rPr>
                <w:sz w:val="20"/>
                <w:szCs w:val="22"/>
              </w:rPr>
              <w:t xml:space="preserve">zvyšuje riziká </w:t>
            </w:r>
            <w:r w:rsidR="00EE1627">
              <w:rPr>
                <w:sz w:val="20"/>
                <w:szCs w:val="22"/>
              </w:rPr>
              <w:t>pre vývoj dlhu</w:t>
            </w:r>
            <w:r w:rsidR="00D33B80" w:rsidRPr="00D33B80">
              <w:rPr>
                <w:sz w:val="20"/>
                <w:szCs w:val="22"/>
              </w:rPr>
              <w:t>.</w:t>
            </w:r>
          </w:p>
          <w:p w14:paraId="42530716" w14:textId="772C57B6" w:rsidR="00032386" w:rsidRPr="00B81300" w:rsidRDefault="00032386" w:rsidP="009954A1">
            <w:pPr>
              <w:jc w:val="both"/>
              <w:rPr>
                <w:sz w:val="20"/>
                <w:szCs w:val="22"/>
                <w:highlight w:val="yellow"/>
              </w:rPr>
            </w:pPr>
          </w:p>
          <w:p w14:paraId="45DC7157" w14:textId="5158EBEC" w:rsidR="00E12CC3" w:rsidRPr="00B23B1F" w:rsidRDefault="00032386" w:rsidP="009954A1">
            <w:pPr>
              <w:jc w:val="both"/>
              <w:rPr>
                <w:sz w:val="20"/>
                <w:szCs w:val="22"/>
              </w:rPr>
            </w:pPr>
            <w:r w:rsidRPr="00B23B1F">
              <w:rPr>
                <w:sz w:val="20"/>
                <w:szCs w:val="22"/>
              </w:rPr>
              <w:t>RRZ v </w:t>
            </w:r>
            <w:hyperlink r:id="rId20" w:history="1">
              <w:r w:rsidRPr="00B23B1F">
                <w:rPr>
                  <w:rStyle w:val="Hyperlink"/>
                  <w:color w:val="13B5EA"/>
                  <w:sz w:val="20"/>
                  <w:szCs w:val="22"/>
                </w:rPr>
                <w:t>hodnotení</w:t>
              </w:r>
            </w:hyperlink>
            <w:r w:rsidRPr="00B23B1F">
              <w:rPr>
                <w:sz w:val="20"/>
                <w:szCs w:val="22"/>
              </w:rPr>
              <w:t xml:space="preserve"> strednodobých rozpočtových cieľov na roky 20</w:t>
            </w:r>
            <w:r w:rsidR="00E12CC3" w:rsidRPr="00B23B1F">
              <w:rPr>
                <w:sz w:val="20"/>
                <w:szCs w:val="22"/>
              </w:rPr>
              <w:t>20</w:t>
            </w:r>
            <w:r w:rsidRPr="00B23B1F">
              <w:rPr>
                <w:sz w:val="20"/>
                <w:szCs w:val="22"/>
              </w:rPr>
              <w:t xml:space="preserve"> až 202</w:t>
            </w:r>
            <w:r w:rsidR="00E12CC3" w:rsidRPr="00B23B1F">
              <w:rPr>
                <w:sz w:val="20"/>
                <w:szCs w:val="22"/>
              </w:rPr>
              <w:t>3</w:t>
            </w:r>
            <w:r w:rsidRPr="00B23B1F">
              <w:rPr>
                <w:sz w:val="20"/>
                <w:szCs w:val="22"/>
              </w:rPr>
              <w:t xml:space="preserve"> </w:t>
            </w:r>
            <w:r w:rsidR="00131630" w:rsidRPr="00B23B1F">
              <w:rPr>
                <w:sz w:val="20"/>
                <w:szCs w:val="22"/>
              </w:rPr>
              <w:t>nedok</w:t>
            </w:r>
            <w:r w:rsidR="00131630">
              <w:rPr>
                <w:sz w:val="20"/>
                <w:szCs w:val="22"/>
              </w:rPr>
              <w:t>ázala</w:t>
            </w:r>
            <w:r w:rsidR="00131630" w:rsidRPr="00B23B1F">
              <w:rPr>
                <w:sz w:val="20"/>
                <w:szCs w:val="22"/>
              </w:rPr>
              <w:t xml:space="preserve"> posúdiť reálnosť</w:t>
            </w:r>
            <w:r w:rsidR="007C74D1" w:rsidRPr="00B23B1F">
              <w:rPr>
                <w:sz w:val="20"/>
                <w:szCs w:val="22"/>
              </w:rPr>
              <w:t xml:space="preserve"> </w:t>
            </w:r>
            <w:r w:rsidR="001A0730" w:rsidRPr="00B23B1F">
              <w:rPr>
                <w:sz w:val="20"/>
                <w:szCs w:val="22"/>
              </w:rPr>
              <w:t>vládou st</w:t>
            </w:r>
            <w:r w:rsidR="002868BA">
              <w:rPr>
                <w:sz w:val="20"/>
                <w:szCs w:val="22"/>
              </w:rPr>
              <w:t>a</w:t>
            </w:r>
            <w:r w:rsidR="001A0730" w:rsidRPr="00B23B1F">
              <w:rPr>
                <w:sz w:val="20"/>
                <w:szCs w:val="22"/>
              </w:rPr>
              <w:t xml:space="preserve">novených </w:t>
            </w:r>
            <w:r w:rsidR="009609DA" w:rsidRPr="00B23B1F">
              <w:rPr>
                <w:sz w:val="20"/>
                <w:szCs w:val="22"/>
              </w:rPr>
              <w:t>rozpočtových cieľov</w:t>
            </w:r>
            <w:r w:rsidR="0010089F">
              <w:rPr>
                <w:sz w:val="20"/>
                <w:szCs w:val="22"/>
              </w:rPr>
              <w:t xml:space="preserve">, keďže v programe stability </w:t>
            </w:r>
            <w:r w:rsidR="00AA7145" w:rsidRPr="00B23B1F">
              <w:rPr>
                <w:sz w:val="20"/>
                <w:szCs w:val="22"/>
              </w:rPr>
              <w:t>chýba</w:t>
            </w:r>
            <w:r w:rsidR="0010089F">
              <w:rPr>
                <w:sz w:val="20"/>
                <w:szCs w:val="22"/>
              </w:rPr>
              <w:t>li</w:t>
            </w:r>
            <w:r w:rsidR="00AA7145" w:rsidRPr="00B23B1F">
              <w:rPr>
                <w:sz w:val="20"/>
                <w:szCs w:val="22"/>
              </w:rPr>
              <w:t xml:space="preserve"> konkrétne opatrenia</w:t>
            </w:r>
            <w:r w:rsidR="0010089F">
              <w:rPr>
                <w:sz w:val="20"/>
                <w:szCs w:val="22"/>
              </w:rPr>
              <w:t xml:space="preserve"> na ich splnenie a aktuálny stav verejných financií je výrazne vzdialený od týchto cieľov (RRZ vyčíslila, že na splnenie stanovených rozpočtových cieľov sú v rokoch 2021 až 2023 potrebné opatrenia s celkovým vplyvom vo výške 4 % HDP)</w:t>
            </w:r>
            <w:r w:rsidR="00AA7145" w:rsidRPr="00B23B1F">
              <w:rPr>
                <w:sz w:val="20"/>
                <w:szCs w:val="22"/>
              </w:rPr>
              <w:t>.</w:t>
            </w:r>
            <w:r w:rsidR="00B53552" w:rsidRPr="00B23B1F">
              <w:rPr>
                <w:sz w:val="20"/>
                <w:szCs w:val="22"/>
              </w:rPr>
              <w:t xml:space="preserve"> </w:t>
            </w:r>
            <w:r w:rsidR="00B53552" w:rsidRPr="003F1A51">
              <w:rPr>
                <w:sz w:val="20"/>
                <w:szCs w:val="22"/>
              </w:rPr>
              <w:t>Z </w:t>
            </w:r>
            <w:r w:rsidR="0010089F" w:rsidRPr="003F1A51">
              <w:rPr>
                <w:sz w:val="20"/>
                <w:szCs w:val="22"/>
              </w:rPr>
              <w:t>tohto dôvodu RRZ v </w:t>
            </w:r>
            <w:r w:rsidR="006A70FE">
              <w:rPr>
                <w:sz w:val="20"/>
                <w:szCs w:val="22"/>
              </w:rPr>
              <w:t>tejto časti</w:t>
            </w:r>
            <w:r w:rsidR="0010089F" w:rsidRPr="003F1A51">
              <w:rPr>
                <w:sz w:val="20"/>
                <w:szCs w:val="22"/>
              </w:rPr>
              <w:t xml:space="preserve"> materiálu</w:t>
            </w:r>
            <w:r w:rsidR="00D1750C">
              <w:rPr>
                <w:sz w:val="20"/>
                <w:szCs w:val="22"/>
              </w:rPr>
              <w:t xml:space="preserve"> (kapitola 2.1)</w:t>
            </w:r>
            <w:r w:rsidR="0010089F" w:rsidRPr="003F1A51">
              <w:rPr>
                <w:sz w:val="20"/>
                <w:szCs w:val="22"/>
              </w:rPr>
              <w:t xml:space="preserve"> použ</w:t>
            </w:r>
            <w:r w:rsidR="003F1A51" w:rsidRPr="003F1A51">
              <w:rPr>
                <w:sz w:val="20"/>
                <w:szCs w:val="22"/>
              </w:rPr>
              <w:t>íva</w:t>
            </w:r>
            <w:r w:rsidR="0010089F" w:rsidRPr="003F1A51">
              <w:rPr>
                <w:sz w:val="20"/>
                <w:szCs w:val="22"/>
              </w:rPr>
              <w:t xml:space="preserve"> na ilustráciu možného budúceho vývoja dlhu v strednodobom horizonte svoju</w:t>
            </w:r>
            <w:r w:rsidR="0010089F" w:rsidRPr="001B2E81">
              <w:rPr>
                <w:sz w:val="20"/>
                <w:szCs w:val="22"/>
              </w:rPr>
              <w:t xml:space="preserve"> prognózu hrubého dlhu za pre</w:t>
            </w:r>
            <w:r w:rsidR="0010089F" w:rsidRPr="006A70FE">
              <w:rPr>
                <w:sz w:val="20"/>
                <w:szCs w:val="22"/>
              </w:rPr>
              <w:t>dpokladu nezmenených politík.</w:t>
            </w:r>
            <w:r w:rsidR="0010089F">
              <w:rPr>
                <w:sz w:val="20"/>
                <w:szCs w:val="22"/>
              </w:rPr>
              <w:t xml:space="preserve"> Na základe nej by hrubý dlh na konci roku 2023 dosiah</w:t>
            </w:r>
            <w:r w:rsidR="00AB4A95">
              <w:rPr>
                <w:sz w:val="20"/>
                <w:szCs w:val="22"/>
              </w:rPr>
              <w:t>ol</w:t>
            </w:r>
            <w:r w:rsidR="0010089F">
              <w:rPr>
                <w:sz w:val="20"/>
                <w:szCs w:val="22"/>
              </w:rPr>
              <w:t xml:space="preserve"> 69,1</w:t>
            </w:r>
            <w:r w:rsidR="00A34451">
              <w:rPr>
                <w:sz w:val="20"/>
                <w:szCs w:val="22"/>
              </w:rPr>
              <w:t> </w:t>
            </w:r>
            <w:r w:rsidR="0010089F">
              <w:rPr>
                <w:sz w:val="20"/>
                <w:szCs w:val="22"/>
              </w:rPr>
              <w:t>%</w:t>
            </w:r>
            <w:r w:rsidR="00A34451">
              <w:rPr>
                <w:sz w:val="20"/>
                <w:szCs w:val="22"/>
              </w:rPr>
              <w:t> </w:t>
            </w:r>
            <w:r w:rsidR="0010089F">
              <w:rPr>
                <w:sz w:val="20"/>
                <w:szCs w:val="22"/>
              </w:rPr>
              <w:t>HDP.</w:t>
            </w:r>
          </w:p>
          <w:bookmarkEnd w:id="526"/>
          <w:bookmarkEnd w:id="527"/>
          <w:bookmarkEnd w:id="528"/>
          <w:bookmarkEnd w:id="529"/>
          <w:bookmarkEnd w:id="530"/>
          <w:bookmarkEnd w:id="531"/>
          <w:bookmarkEnd w:id="532"/>
          <w:p w14:paraId="7679F184" w14:textId="6450DDAE" w:rsidR="008F0BA3" w:rsidRPr="00B81300" w:rsidRDefault="008F0BA3" w:rsidP="009451B2">
            <w:pPr>
              <w:jc w:val="both"/>
              <w:rPr>
                <w:sz w:val="10"/>
                <w:highlight w:val="yellow"/>
              </w:rPr>
            </w:pPr>
          </w:p>
        </w:tc>
      </w:tr>
    </w:tbl>
    <w:p w14:paraId="09A398B4" w14:textId="77777777" w:rsidR="00944E4D" w:rsidRPr="00B81300" w:rsidRDefault="00944E4D" w:rsidP="00944E4D">
      <w:pPr>
        <w:jc w:val="both"/>
        <w:rPr>
          <w:highlight w:val="yellow"/>
        </w:rPr>
      </w:pPr>
    </w:p>
    <w:p w14:paraId="2647067A" w14:textId="77777777" w:rsidR="00354F1C" w:rsidRPr="00B81300" w:rsidRDefault="00354F1C" w:rsidP="00354F1C">
      <w:pPr>
        <w:jc w:val="both"/>
        <w:rPr>
          <w:highlight w:val="yellow"/>
        </w:rPr>
      </w:pPr>
    </w:p>
    <w:p w14:paraId="0E3386FE" w14:textId="0FF5F65F" w:rsidR="00DC465B" w:rsidRPr="00D60B86" w:rsidRDefault="00DC465B" w:rsidP="001C7FE8">
      <w:pPr>
        <w:pStyle w:val="Heading2"/>
        <w:numPr>
          <w:ilvl w:val="0"/>
          <w:numId w:val="4"/>
        </w:numPr>
        <w:spacing w:before="2" w:after="2"/>
        <w:ind w:left="567" w:right="1854" w:hanging="567"/>
        <w:jc w:val="left"/>
        <w:rPr>
          <w:b w:val="0"/>
        </w:rPr>
      </w:pPr>
      <w:bookmarkStart w:id="533" w:name="_Toc428351746"/>
      <w:bookmarkStart w:id="534" w:name="_Toc459208017"/>
      <w:bookmarkStart w:id="535" w:name="_Toc459275435"/>
      <w:bookmarkStart w:id="536" w:name="_Toc489954280"/>
      <w:bookmarkStart w:id="537" w:name="_Toc490143813"/>
      <w:bookmarkStart w:id="538" w:name="_Toc490642159"/>
      <w:bookmarkStart w:id="539" w:name="_Toc521678161"/>
      <w:bookmarkStart w:id="540" w:name="_Toc523390333"/>
      <w:bookmarkStart w:id="541" w:name="_Toc523390279"/>
      <w:bookmarkStart w:id="542" w:name="_Toc523391004"/>
      <w:bookmarkStart w:id="543" w:name="_Toc523391585"/>
      <w:bookmarkStart w:id="544" w:name="_Toc523392884"/>
      <w:bookmarkStart w:id="545" w:name="_Toc49506877"/>
      <w:r w:rsidRPr="00D60B86">
        <w:t>Osobitné ustanovenia pre územnú samosprávu</w:t>
      </w:r>
      <w:bookmarkEnd w:id="509"/>
      <w:bookmarkEnd w:id="533"/>
      <w:bookmarkEnd w:id="534"/>
      <w:bookmarkEnd w:id="535"/>
      <w:bookmarkEnd w:id="536"/>
      <w:bookmarkEnd w:id="537"/>
      <w:bookmarkEnd w:id="538"/>
      <w:bookmarkEnd w:id="539"/>
      <w:bookmarkEnd w:id="540"/>
      <w:bookmarkEnd w:id="541"/>
      <w:bookmarkEnd w:id="542"/>
      <w:bookmarkEnd w:id="543"/>
      <w:bookmarkEnd w:id="544"/>
      <w:bookmarkEnd w:id="545"/>
      <w:r w:rsidR="00E26ECB" w:rsidRPr="00D60B86">
        <w:t xml:space="preserve"> </w:t>
      </w:r>
      <w:bookmarkEnd w:id="510"/>
      <w:bookmarkEnd w:id="511"/>
      <w:bookmarkEnd w:id="512"/>
      <w:bookmarkEnd w:id="513"/>
      <w:bookmarkEnd w:id="514"/>
      <w:bookmarkEnd w:id="515"/>
      <w:bookmarkEnd w:id="516"/>
      <w:bookmarkEnd w:id="517"/>
      <w:bookmarkEnd w:id="518"/>
      <w:bookmarkEnd w:id="519"/>
    </w:p>
    <w:p w14:paraId="47EF75D8" w14:textId="77777777" w:rsidR="001E7633" w:rsidRPr="00B81300" w:rsidRDefault="001E7633" w:rsidP="00DC465B">
      <w:pPr>
        <w:jc w:val="both"/>
        <w:rPr>
          <w:rFonts w:eastAsia="Cambria"/>
          <w:highlight w:val="yellow"/>
        </w:rPr>
      </w:pPr>
    </w:p>
    <w:p w14:paraId="5DE2044A" w14:textId="34209B43" w:rsidR="00E013C2" w:rsidRPr="00B23E66" w:rsidRDefault="00E013C2" w:rsidP="00E013C2">
      <w:pPr>
        <w:jc w:val="both"/>
        <w:rPr>
          <w:rFonts w:eastAsia="Cambria"/>
        </w:rPr>
      </w:pPr>
      <w:r w:rsidRPr="0018797C">
        <w:rPr>
          <w:rFonts w:eastAsia="Cambria"/>
        </w:rPr>
        <w:t xml:space="preserve">Osobitné ustanovenia pre územnú samosprávu sa týkajú oddelenia zodpovednosti za platobnú schopnosť samosprávy od štátu, zabezpečenia financovania ich nových úloh zo strany štátu a uloženia pokuty pri prekročení limitu dlhu. Za účelom získania podkladov pre hodnotenie ich plnenia RRZ listom oslovila Ministerstvo financií SR, Združenie miest a obcí Slovenska (ZMOS), </w:t>
      </w:r>
      <w:r w:rsidRPr="0018797C">
        <w:rPr>
          <w:rFonts w:eastAsia="Cambria"/>
        </w:rPr>
        <w:lastRenderedPageBreak/>
        <w:t>Úniu miest Slovenska</w:t>
      </w:r>
      <w:r w:rsidR="00CF5155" w:rsidRPr="0018797C">
        <w:rPr>
          <w:rFonts w:eastAsia="Cambria"/>
        </w:rPr>
        <w:t xml:space="preserve"> (</w:t>
      </w:r>
      <w:r w:rsidR="008079EC">
        <w:rPr>
          <w:rFonts w:eastAsia="Cambria"/>
        </w:rPr>
        <w:t>Ú</w:t>
      </w:r>
      <w:r w:rsidR="00CF5155" w:rsidRPr="0018797C">
        <w:rPr>
          <w:rFonts w:eastAsia="Cambria"/>
        </w:rPr>
        <w:t>MS)</w:t>
      </w:r>
      <w:r w:rsidRPr="0018797C">
        <w:rPr>
          <w:rFonts w:eastAsia="Cambria"/>
        </w:rPr>
        <w:t xml:space="preserve"> a Združenie samosprávnych krajov (SK8)</w:t>
      </w:r>
      <w:r w:rsidR="00E81C92">
        <w:rPr>
          <w:rFonts w:eastAsia="Cambria"/>
        </w:rPr>
        <w:t xml:space="preserve">, </w:t>
      </w:r>
      <w:r w:rsidRPr="00AD6511">
        <w:rPr>
          <w:rFonts w:eastAsia="Cambria"/>
        </w:rPr>
        <w:t xml:space="preserve">prehľad odpovedí je uvedený v prílohe č. </w:t>
      </w:r>
      <w:r w:rsidR="00A4280B" w:rsidRPr="00AD6511">
        <w:rPr>
          <w:rFonts w:eastAsia="Cambria"/>
        </w:rPr>
        <w:t>5</w:t>
      </w:r>
      <w:r w:rsidRPr="00AD6511">
        <w:rPr>
          <w:rFonts w:eastAsia="Cambria"/>
        </w:rPr>
        <w:t xml:space="preserve">. </w:t>
      </w:r>
      <w:r w:rsidRPr="00B23E66">
        <w:rPr>
          <w:rFonts w:eastAsia="Cambria"/>
        </w:rPr>
        <w:t>Ministerstvo financií poskytlo aj informácie o vyhodnotení uloženia pokút za roky 201</w:t>
      </w:r>
      <w:r w:rsidR="00232102" w:rsidRPr="00B23E66">
        <w:rPr>
          <w:rFonts w:eastAsia="Cambria"/>
        </w:rPr>
        <w:t>7</w:t>
      </w:r>
      <w:r w:rsidR="00713B9D" w:rsidRPr="00B23E66">
        <w:rPr>
          <w:rFonts w:eastAsia="Cambria"/>
        </w:rPr>
        <w:t xml:space="preserve"> a 2018</w:t>
      </w:r>
      <w:r w:rsidRPr="00B23E66">
        <w:rPr>
          <w:rFonts w:eastAsia="Cambria"/>
        </w:rPr>
        <w:t>, ako aj údaje, z ktorých vychádzalo pri identifikácii obcí, ktorých dlh prekročil zákonom stanovený limit za rok 201</w:t>
      </w:r>
      <w:r w:rsidR="00AD6511" w:rsidRPr="00B23E66">
        <w:rPr>
          <w:rFonts w:eastAsia="Cambria"/>
        </w:rPr>
        <w:t>9</w:t>
      </w:r>
      <w:r w:rsidRPr="00B23E66">
        <w:rPr>
          <w:rFonts w:eastAsia="Cambria"/>
        </w:rPr>
        <w:t xml:space="preserve">. </w:t>
      </w:r>
    </w:p>
    <w:p w14:paraId="6E9A5AD2" w14:textId="77777777" w:rsidR="0073119E" w:rsidRPr="00B81300" w:rsidRDefault="0073119E" w:rsidP="00DC465B">
      <w:pPr>
        <w:jc w:val="both"/>
        <w:rPr>
          <w:rFonts w:eastAsia="Cambria"/>
          <w:highlight w:val="yellow"/>
        </w:rPr>
      </w:pPr>
    </w:p>
    <w:p w14:paraId="20EBEFBB" w14:textId="1EC6FC94" w:rsidR="001E5A08" w:rsidRPr="00A473CF" w:rsidRDefault="001E5A08" w:rsidP="00DC465B">
      <w:pPr>
        <w:jc w:val="both"/>
        <w:rPr>
          <w:rFonts w:eastAsia="Cambria"/>
          <w:b/>
        </w:rPr>
      </w:pPr>
      <w:r w:rsidRPr="00A473CF">
        <w:rPr>
          <w:rFonts w:eastAsia="Cambria"/>
          <w:b/>
        </w:rPr>
        <w:t>Zabezpečenie platobnej schopnosti samospráv</w:t>
      </w:r>
    </w:p>
    <w:p w14:paraId="01D73942" w14:textId="77777777" w:rsidR="00695A13" w:rsidRPr="00B81300" w:rsidRDefault="00695A13" w:rsidP="00DC465B">
      <w:pPr>
        <w:jc w:val="both"/>
        <w:rPr>
          <w:rFonts w:eastAsia="Cambria"/>
          <w:highlight w:val="yellow"/>
        </w:rPr>
      </w:pPr>
    </w:p>
    <w:p w14:paraId="3DA97332" w14:textId="16F9AB02" w:rsidR="0055540B" w:rsidRPr="00B81300" w:rsidRDefault="0055540B" w:rsidP="0055540B">
      <w:pPr>
        <w:jc w:val="both"/>
        <w:rPr>
          <w:rFonts w:eastAsia="Cambria"/>
          <w:highlight w:val="yellow"/>
        </w:rPr>
      </w:pPr>
      <w:r w:rsidRPr="00053018">
        <w:rPr>
          <w:rFonts w:eastAsia="Cambria"/>
        </w:rPr>
        <w:t xml:space="preserve">Na základe získaných podkladov je možné konštatovať, že </w:t>
      </w:r>
      <w:r w:rsidRPr="00053018">
        <w:rPr>
          <w:rFonts w:eastAsia="Cambria"/>
          <w:b/>
        </w:rPr>
        <w:t>štát v roku 201</w:t>
      </w:r>
      <w:r w:rsidR="004F4430" w:rsidRPr="00053018">
        <w:rPr>
          <w:rFonts w:eastAsia="Cambria"/>
          <w:b/>
        </w:rPr>
        <w:t>9</w:t>
      </w:r>
      <w:r w:rsidRPr="00053018">
        <w:rPr>
          <w:rFonts w:eastAsia="Cambria"/>
          <w:b/>
        </w:rPr>
        <w:t xml:space="preserve"> finančne nezabezpečoval platobnú schopnosť samospráv</w:t>
      </w:r>
      <w:r w:rsidRPr="00053018">
        <w:rPr>
          <w:rFonts w:eastAsia="Cambria"/>
        </w:rPr>
        <w:t>. Vláda však pokračovala</w:t>
      </w:r>
      <w:r w:rsidRPr="00053018">
        <w:rPr>
          <w:rStyle w:val="FootnoteReference"/>
          <w:rFonts w:eastAsia="Cambria"/>
        </w:rPr>
        <w:footnoteReference w:id="38"/>
      </w:r>
      <w:r w:rsidRPr="00053018">
        <w:rPr>
          <w:rFonts w:eastAsia="Cambria"/>
        </w:rPr>
        <w:t xml:space="preserve"> v </w:t>
      </w:r>
      <w:r w:rsidRPr="00053018">
        <w:rPr>
          <w:rFonts w:eastAsia="Cambria"/>
          <w:b/>
        </w:rPr>
        <w:t>zlepšovaní finančnej pozície vybraných samospráv</w:t>
      </w:r>
      <w:r w:rsidRPr="00053018">
        <w:rPr>
          <w:rFonts w:eastAsia="Cambria"/>
        </w:rPr>
        <w:t xml:space="preserve"> prostredníctvom poskytnutia návratných finančných výpomocí zo štátnych finančných aktív bez úročenia a bez zabezpečenia proti nesplateniu </w:t>
      </w:r>
      <w:r w:rsidRPr="00F66D89">
        <w:rPr>
          <w:rFonts w:eastAsia="Cambria"/>
        </w:rPr>
        <w:t>(</w:t>
      </w:r>
      <w:r w:rsidRPr="00A473CF">
        <w:rPr>
          <w:rFonts w:eastAsia="Cambria"/>
        </w:rPr>
        <w:t>Ke</w:t>
      </w:r>
      <w:r w:rsidRPr="00F66D89">
        <w:rPr>
          <w:rFonts w:eastAsia="Cambria"/>
        </w:rPr>
        <w:t>žmarok, Banskobystrický, Prešovský, Trnavský</w:t>
      </w:r>
      <w:r w:rsidR="00937184" w:rsidRPr="00F66D89">
        <w:rPr>
          <w:rFonts w:eastAsia="Cambria"/>
        </w:rPr>
        <w:t xml:space="preserve">, Nitriansky </w:t>
      </w:r>
      <w:r w:rsidRPr="00F66D89">
        <w:rPr>
          <w:rFonts w:eastAsia="Cambria"/>
        </w:rPr>
        <w:t>a Žilinský samosprávny kraj)</w:t>
      </w:r>
      <w:r w:rsidR="00EC4477">
        <w:rPr>
          <w:rFonts w:eastAsia="Cambria"/>
        </w:rPr>
        <w:t xml:space="preserve"> a odpustením dvoch</w:t>
      </w:r>
      <w:r w:rsidRPr="00F66D89">
        <w:rPr>
          <w:rFonts w:eastAsia="Cambria"/>
        </w:rPr>
        <w:t xml:space="preserve"> výpomocí </w:t>
      </w:r>
      <w:r w:rsidR="00EC4477">
        <w:rPr>
          <w:rFonts w:eastAsia="Cambria"/>
        </w:rPr>
        <w:t>poskytnutých mestu Bratislava</w:t>
      </w:r>
      <w:r w:rsidRPr="00F66D89">
        <w:rPr>
          <w:rFonts w:eastAsia="Cambria"/>
        </w:rPr>
        <w:t>. Prehľad je uvedený v boxe č. </w:t>
      </w:r>
      <w:r w:rsidR="00163A0C">
        <w:rPr>
          <w:rFonts w:eastAsia="Cambria"/>
        </w:rPr>
        <w:t>3</w:t>
      </w:r>
      <w:r w:rsidRPr="00F66D89">
        <w:rPr>
          <w:rFonts w:eastAsia="Cambria"/>
        </w:rPr>
        <w:t xml:space="preserve">. </w:t>
      </w:r>
    </w:p>
    <w:p w14:paraId="42234FF7" w14:textId="77777777" w:rsidR="00B413CD" w:rsidRPr="00B81300" w:rsidRDefault="00B413CD" w:rsidP="00B413CD">
      <w:pPr>
        <w:jc w:val="both"/>
        <w:rPr>
          <w:highlight w:val="yellow"/>
        </w:rPr>
      </w:pPr>
    </w:p>
    <w:tbl>
      <w:tblPr>
        <w:tblW w:w="9072" w:type="dxa"/>
        <w:jc w:val="center"/>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shd w:val="clear" w:color="auto" w:fill="AAE4F8"/>
        <w:tblLayout w:type="fixed"/>
        <w:tblLook w:val="04A0" w:firstRow="1" w:lastRow="0" w:firstColumn="1" w:lastColumn="0" w:noHBand="0" w:noVBand="1"/>
      </w:tblPr>
      <w:tblGrid>
        <w:gridCol w:w="9072"/>
      </w:tblGrid>
      <w:tr w:rsidR="00B413CD" w:rsidRPr="00B81300" w14:paraId="611F3843" w14:textId="77777777" w:rsidTr="004A79A6">
        <w:trPr>
          <w:trHeight w:val="3373"/>
          <w:jc w:val="center"/>
        </w:trPr>
        <w:tc>
          <w:tcPr>
            <w:tcW w:w="9483" w:type="dxa"/>
            <w:shd w:val="clear" w:color="auto" w:fill="AAE4F8"/>
          </w:tcPr>
          <w:p w14:paraId="5FBF919E" w14:textId="4FAB89DF" w:rsidR="00B413CD" w:rsidRPr="00B81300" w:rsidRDefault="00B413CD" w:rsidP="00810AED">
            <w:pPr>
              <w:jc w:val="both"/>
              <w:rPr>
                <w:sz w:val="10"/>
                <w:szCs w:val="10"/>
                <w:highlight w:val="yellow"/>
              </w:rPr>
            </w:pPr>
          </w:p>
          <w:p w14:paraId="534240E6" w14:textId="032230BD" w:rsidR="00B413CD" w:rsidRPr="00A473CF" w:rsidRDefault="00B413CD" w:rsidP="00810AED">
            <w:pPr>
              <w:pStyle w:val="box"/>
              <w:rPr>
                <w:sz w:val="20"/>
                <w:lang w:val="sk-SK"/>
              </w:rPr>
            </w:pPr>
            <w:bookmarkStart w:id="546" w:name="_Toc426548390"/>
            <w:bookmarkStart w:id="547" w:name="_Toc428178604"/>
            <w:bookmarkStart w:id="548" w:name="_Toc428351634"/>
            <w:bookmarkStart w:id="549" w:name="_Toc428535445"/>
            <w:bookmarkStart w:id="550" w:name="_Toc428535777"/>
            <w:bookmarkStart w:id="551" w:name="_Toc458502432"/>
            <w:bookmarkStart w:id="552" w:name="_Toc459208008"/>
            <w:bookmarkStart w:id="553" w:name="_Toc459275426"/>
            <w:bookmarkStart w:id="554" w:name="_Toc489954228"/>
            <w:bookmarkStart w:id="555" w:name="_Toc490143825"/>
            <w:bookmarkStart w:id="556" w:name="_Toc490642148"/>
            <w:bookmarkStart w:id="557" w:name="_Toc490653563"/>
            <w:bookmarkStart w:id="558" w:name="_Toc491246262"/>
            <w:bookmarkStart w:id="559" w:name="_Toc522105444"/>
            <w:bookmarkStart w:id="560" w:name="_Toc522200684"/>
            <w:bookmarkStart w:id="561" w:name="_Toc523390270"/>
            <w:bookmarkStart w:id="562" w:name="_Toc523392875"/>
            <w:bookmarkStart w:id="563" w:name="_Toc523393473"/>
            <w:bookmarkStart w:id="564" w:name="_Toc49506893"/>
            <w:r w:rsidRPr="00A473CF">
              <w:rPr>
                <w:sz w:val="20"/>
                <w:lang w:val="sk-SK"/>
              </w:rPr>
              <w:t xml:space="preserve">Box </w:t>
            </w:r>
            <w:r w:rsidR="00163A0C">
              <w:rPr>
                <w:sz w:val="20"/>
                <w:lang w:val="sk-SK"/>
              </w:rPr>
              <w:t>3</w:t>
            </w:r>
            <w:r w:rsidRPr="00A473CF">
              <w:rPr>
                <w:sz w:val="20"/>
                <w:lang w:val="sk-SK"/>
              </w:rPr>
              <w:t>: Poskytovanie návratných finančných výpomocí samosprávam</w:t>
            </w:r>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p w14:paraId="2FC0A3FA" w14:textId="1BAC2871" w:rsidR="00B413CD" w:rsidRPr="00B81300" w:rsidRDefault="00B413CD" w:rsidP="00810AED">
            <w:pPr>
              <w:jc w:val="both"/>
              <w:rPr>
                <w:sz w:val="16"/>
                <w:highlight w:val="yellow"/>
              </w:rPr>
            </w:pPr>
          </w:p>
          <w:p w14:paraId="75AB6A6E" w14:textId="6C03BA34" w:rsidR="002373B8" w:rsidRPr="00FF6974" w:rsidRDefault="002373B8" w:rsidP="002373B8">
            <w:pPr>
              <w:jc w:val="both"/>
              <w:rPr>
                <w:sz w:val="20"/>
                <w:szCs w:val="22"/>
              </w:rPr>
            </w:pPr>
            <w:r w:rsidRPr="00FF6974">
              <w:rPr>
                <w:sz w:val="20"/>
                <w:szCs w:val="22"/>
              </w:rPr>
              <w:t xml:space="preserve">V súčasnosti sú zo štátnych finančných aktív poskytnuté viaceré návratné finančné výpomoci samosprávam. Hlavnou motiváciou ich získania zo strany </w:t>
            </w:r>
            <w:r w:rsidR="00661E0D" w:rsidRPr="00FF6974">
              <w:rPr>
                <w:sz w:val="20"/>
                <w:szCs w:val="22"/>
              </w:rPr>
              <w:t xml:space="preserve">vyšších územných celkov, </w:t>
            </w:r>
            <w:r w:rsidRPr="00FF6974">
              <w:rPr>
                <w:sz w:val="20"/>
                <w:szCs w:val="22"/>
              </w:rPr>
              <w:t>miest a obcí sú výhodnejšie podmienky financovania svojich aktivít v porovnaní s podmienkami na finančných trhoch. Vo väčšine prípadov ide o bezúročné úvery bez adekvátneho zabezpečenia istiny. Pomoc samosprávam spočíva v dotovaní úrokových nákladov a v prípade neplatenia zo strany prijímateľa môže dôjsť aj k relatívne jednoduchému predĺženiu</w:t>
            </w:r>
            <w:r w:rsidR="004D754C" w:rsidRPr="00FF6974">
              <w:rPr>
                <w:sz w:val="20"/>
                <w:szCs w:val="22"/>
              </w:rPr>
              <w:t xml:space="preserve"> obdobia</w:t>
            </w:r>
            <w:r w:rsidRPr="00FF6974">
              <w:rPr>
                <w:sz w:val="20"/>
                <w:szCs w:val="22"/>
              </w:rPr>
              <w:t xml:space="preserve"> splá</w:t>
            </w:r>
            <w:r w:rsidR="004D754C" w:rsidRPr="00FF6974">
              <w:rPr>
                <w:sz w:val="20"/>
                <w:szCs w:val="22"/>
              </w:rPr>
              <w:t>cania</w:t>
            </w:r>
            <w:r w:rsidRPr="00FF6974">
              <w:rPr>
                <w:sz w:val="20"/>
                <w:szCs w:val="22"/>
              </w:rPr>
              <w:t>, prípadne a</w:t>
            </w:r>
            <w:r w:rsidR="00BB4A16" w:rsidRPr="00FF6974">
              <w:rPr>
                <w:sz w:val="20"/>
                <w:szCs w:val="22"/>
              </w:rPr>
              <w:t>ž</w:t>
            </w:r>
            <w:r w:rsidRPr="00FF6974">
              <w:rPr>
                <w:sz w:val="20"/>
                <w:szCs w:val="22"/>
              </w:rPr>
              <w:t xml:space="preserve"> k odpusteniu záväzku.</w:t>
            </w:r>
          </w:p>
          <w:p w14:paraId="21645034" w14:textId="36983923" w:rsidR="00E013C2" w:rsidRPr="00B81300" w:rsidRDefault="00E013C2" w:rsidP="00E013C2">
            <w:pPr>
              <w:jc w:val="both"/>
              <w:rPr>
                <w:sz w:val="20"/>
                <w:szCs w:val="22"/>
                <w:highlight w:val="yellow"/>
              </w:rPr>
            </w:pPr>
          </w:p>
          <w:p w14:paraId="408FACD7" w14:textId="51B4814D" w:rsidR="008E74F5" w:rsidRPr="003D7B13" w:rsidRDefault="003C0520" w:rsidP="008E74F5">
            <w:pPr>
              <w:jc w:val="both"/>
              <w:rPr>
                <w:sz w:val="20"/>
                <w:szCs w:val="22"/>
              </w:rPr>
            </w:pPr>
            <w:r w:rsidRPr="003D7B13">
              <w:rPr>
                <w:sz w:val="20"/>
                <w:szCs w:val="22"/>
              </w:rPr>
              <w:t>Koncom roku</w:t>
            </w:r>
            <w:r w:rsidR="008E74F5" w:rsidRPr="003D7B13">
              <w:rPr>
                <w:sz w:val="20"/>
                <w:szCs w:val="22"/>
              </w:rPr>
              <w:t xml:space="preserve"> 201</w:t>
            </w:r>
            <w:r w:rsidR="00CC0E71" w:rsidRPr="003D7B13">
              <w:rPr>
                <w:sz w:val="20"/>
                <w:szCs w:val="22"/>
              </w:rPr>
              <w:t>9</w:t>
            </w:r>
            <w:r w:rsidR="008E74F5" w:rsidRPr="003D7B13">
              <w:rPr>
                <w:sz w:val="20"/>
                <w:szCs w:val="22"/>
              </w:rPr>
              <w:t xml:space="preserve"> bola </w:t>
            </w:r>
            <w:r w:rsidR="00545027" w:rsidRPr="003D7B13">
              <w:rPr>
                <w:b/>
                <w:sz w:val="20"/>
                <w:szCs w:val="22"/>
              </w:rPr>
              <w:t>mestu Bratislava</w:t>
            </w:r>
            <w:r w:rsidR="004B4C5F" w:rsidRPr="003D7B13">
              <w:rPr>
                <w:rStyle w:val="FootnoteReference"/>
                <w:b/>
                <w:sz w:val="20"/>
                <w:szCs w:val="22"/>
              </w:rPr>
              <w:footnoteReference w:id="39"/>
            </w:r>
            <w:r w:rsidR="00D970BC">
              <w:rPr>
                <w:b/>
                <w:sz w:val="20"/>
                <w:szCs w:val="22"/>
              </w:rPr>
              <w:t xml:space="preserve"> </w:t>
            </w:r>
            <w:r w:rsidR="001960FF" w:rsidRPr="003D7B13">
              <w:rPr>
                <w:sz w:val="20"/>
                <w:szCs w:val="22"/>
              </w:rPr>
              <w:t>odpustená</w:t>
            </w:r>
            <w:r w:rsidR="008E74F5" w:rsidRPr="003D7B13">
              <w:rPr>
                <w:sz w:val="20"/>
                <w:szCs w:val="22"/>
              </w:rPr>
              <w:t xml:space="preserve"> poskytnutá návratná finančná výpomoc vo výške 2</w:t>
            </w:r>
            <w:r w:rsidR="00545027" w:rsidRPr="003D7B13">
              <w:rPr>
                <w:sz w:val="20"/>
                <w:szCs w:val="22"/>
              </w:rPr>
              <w:t>,5</w:t>
            </w:r>
            <w:r w:rsidR="008E74F5" w:rsidRPr="003D7B13">
              <w:rPr>
                <w:sz w:val="20"/>
                <w:szCs w:val="22"/>
              </w:rPr>
              <w:t xml:space="preserve"> mil. eur</w:t>
            </w:r>
            <w:r w:rsidR="002D3C2C" w:rsidRPr="003D7B13">
              <w:rPr>
                <w:sz w:val="20"/>
                <w:szCs w:val="22"/>
              </w:rPr>
              <w:t>, ktorá bola mestu poskytnutá na základe</w:t>
            </w:r>
            <w:r w:rsidR="007D4A39" w:rsidRPr="003D7B13">
              <w:rPr>
                <w:sz w:val="20"/>
                <w:szCs w:val="22"/>
              </w:rPr>
              <w:t xml:space="preserve"> </w:t>
            </w:r>
            <w:r w:rsidR="001B13BC" w:rsidRPr="003D7B13">
              <w:rPr>
                <w:sz w:val="20"/>
                <w:szCs w:val="22"/>
              </w:rPr>
              <w:t>zmluvy</w:t>
            </w:r>
            <w:r w:rsidR="000A1E22">
              <w:rPr>
                <w:sz w:val="20"/>
                <w:szCs w:val="22"/>
              </w:rPr>
              <w:t xml:space="preserve"> s MF SR </w:t>
            </w:r>
            <w:r w:rsidR="001B13BC" w:rsidRPr="003D7B13">
              <w:rPr>
                <w:sz w:val="20"/>
                <w:szCs w:val="22"/>
              </w:rPr>
              <w:t>zo dňa 12.5.2014</w:t>
            </w:r>
            <w:r w:rsidR="00C917F8">
              <w:rPr>
                <w:sz w:val="20"/>
                <w:szCs w:val="22"/>
              </w:rPr>
              <w:t xml:space="preserve"> s</w:t>
            </w:r>
            <w:r w:rsidR="003E7FF6">
              <w:rPr>
                <w:sz w:val="20"/>
                <w:szCs w:val="22"/>
              </w:rPr>
              <w:t xml:space="preserve"> upravenou splatnosťou </w:t>
            </w:r>
            <w:r w:rsidR="008C29B7">
              <w:rPr>
                <w:sz w:val="20"/>
                <w:szCs w:val="22"/>
              </w:rPr>
              <w:t xml:space="preserve">dňa </w:t>
            </w:r>
            <w:r w:rsidR="008165AB">
              <w:rPr>
                <w:sz w:val="20"/>
                <w:szCs w:val="22"/>
              </w:rPr>
              <w:t xml:space="preserve">31.12.2020 </w:t>
            </w:r>
            <w:r w:rsidR="00291FA4" w:rsidRPr="003D7B13">
              <w:rPr>
                <w:sz w:val="20"/>
                <w:szCs w:val="22"/>
              </w:rPr>
              <w:t xml:space="preserve">a taktiež bola </w:t>
            </w:r>
            <w:r w:rsidR="0048138B" w:rsidRPr="003D7B13">
              <w:rPr>
                <w:sz w:val="20"/>
                <w:szCs w:val="22"/>
              </w:rPr>
              <w:t xml:space="preserve">odpustená </w:t>
            </w:r>
            <w:r w:rsidR="008E74F5" w:rsidRPr="003D7B13">
              <w:rPr>
                <w:sz w:val="20"/>
                <w:szCs w:val="22"/>
              </w:rPr>
              <w:t xml:space="preserve">návratná finančná výpomoc vo výške </w:t>
            </w:r>
            <w:r w:rsidR="0048138B" w:rsidRPr="003D7B13">
              <w:rPr>
                <w:sz w:val="20"/>
                <w:szCs w:val="22"/>
              </w:rPr>
              <w:t>7,</w:t>
            </w:r>
            <w:r w:rsidR="008E74F5" w:rsidRPr="003D7B13">
              <w:rPr>
                <w:sz w:val="20"/>
                <w:szCs w:val="22"/>
              </w:rPr>
              <w:t xml:space="preserve">5 mil. eur </w:t>
            </w:r>
            <w:r w:rsidR="00E7094B" w:rsidRPr="003D7B13">
              <w:rPr>
                <w:sz w:val="20"/>
                <w:szCs w:val="22"/>
              </w:rPr>
              <w:t xml:space="preserve">poskytnutá na základe zmluvy </w:t>
            </w:r>
            <w:r w:rsidR="000A1E22">
              <w:rPr>
                <w:sz w:val="20"/>
                <w:szCs w:val="22"/>
              </w:rPr>
              <w:t xml:space="preserve">s MF SR </w:t>
            </w:r>
            <w:r w:rsidR="00E7094B" w:rsidRPr="003D7B13">
              <w:rPr>
                <w:sz w:val="20"/>
                <w:szCs w:val="22"/>
              </w:rPr>
              <w:t>z dňa 27.7.2015</w:t>
            </w:r>
            <w:r w:rsidR="008165AB">
              <w:rPr>
                <w:sz w:val="20"/>
                <w:szCs w:val="22"/>
              </w:rPr>
              <w:t xml:space="preserve"> s</w:t>
            </w:r>
            <w:r w:rsidR="00573F98">
              <w:rPr>
                <w:sz w:val="20"/>
                <w:szCs w:val="22"/>
              </w:rPr>
              <w:t xml:space="preserve"> upravenou </w:t>
            </w:r>
            <w:r w:rsidR="008165AB">
              <w:rPr>
                <w:sz w:val="20"/>
                <w:szCs w:val="22"/>
              </w:rPr>
              <w:t>splatnos</w:t>
            </w:r>
            <w:r w:rsidR="00E90CE9">
              <w:rPr>
                <w:sz w:val="20"/>
                <w:szCs w:val="22"/>
              </w:rPr>
              <w:t>ťou</w:t>
            </w:r>
            <w:r w:rsidR="00573F98">
              <w:rPr>
                <w:sz w:val="20"/>
                <w:szCs w:val="22"/>
              </w:rPr>
              <w:t xml:space="preserve"> k 31.12.2023</w:t>
            </w:r>
            <w:r w:rsidR="00B62919" w:rsidRPr="003D7B13">
              <w:rPr>
                <w:sz w:val="20"/>
                <w:szCs w:val="22"/>
              </w:rPr>
              <w:t>, ktorej účel</w:t>
            </w:r>
            <w:r w:rsidR="000A1E22">
              <w:rPr>
                <w:sz w:val="20"/>
                <w:szCs w:val="22"/>
              </w:rPr>
              <w:t>om</w:t>
            </w:r>
            <w:r w:rsidR="00B62919" w:rsidRPr="003D7B13">
              <w:rPr>
                <w:sz w:val="20"/>
                <w:szCs w:val="22"/>
              </w:rPr>
              <w:t xml:space="preserve"> bol</w:t>
            </w:r>
            <w:r w:rsidR="000A1E22">
              <w:rPr>
                <w:sz w:val="20"/>
                <w:szCs w:val="22"/>
              </w:rPr>
              <w:t>o</w:t>
            </w:r>
            <w:r w:rsidR="00B62919" w:rsidRPr="003D7B13">
              <w:rPr>
                <w:sz w:val="20"/>
                <w:szCs w:val="22"/>
              </w:rPr>
              <w:t xml:space="preserve"> spolufinancovanie rozvojových projektov </w:t>
            </w:r>
            <w:r w:rsidR="00036EAC" w:rsidRPr="003D7B13">
              <w:rPr>
                <w:sz w:val="20"/>
                <w:szCs w:val="22"/>
              </w:rPr>
              <w:t>a podpor</w:t>
            </w:r>
            <w:r w:rsidR="006A17E6">
              <w:rPr>
                <w:sz w:val="20"/>
                <w:szCs w:val="22"/>
              </w:rPr>
              <w:t>a</w:t>
            </w:r>
            <w:r w:rsidR="00036EAC" w:rsidRPr="003D7B13">
              <w:rPr>
                <w:sz w:val="20"/>
                <w:szCs w:val="22"/>
              </w:rPr>
              <w:t xml:space="preserve"> plnenia funkcií Bratislavy ako hlavného mesta Slovenskej republiky. </w:t>
            </w:r>
          </w:p>
          <w:p w14:paraId="29739FC5" w14:textId="53C5203B" w:rsidR="005277B1" w:rsidRDefault="005277B1" w:rsidP="008E74F5">
            <w:pPr>
              <w:jc w:val="both"/>
              <w:rPr>
                <w:sz w:val="20"/>
                <w:szCs w:val="22"/>
                <w:highlight w:val="yellow"/>
              </w:rPr>
            </w:pPr>
          </w:p>
          <w:p w14:paraId="77A24EEE" w14:textId="5CF157BB" w:rsidR="00C43196" w:rsidRDefault="00E919F9" w:rsidP="008E74F5">
            <w:pPr>
              <w:jc w:val="both"/>
              <w:rPr>
                <w:b/>
                <w:sz w:val="20"/>
                <w:highlight w:val="yellow"/>
              </w:rPr>
            </w:pPr>
            <w:r w:rsidRPr="00E45089">
              <w:rPr>
                <w:sz w:val="20"/>
                <w:szCs w:val="22"/>
              </w:rPr>
              <w:t xml:space="preserve">Návratná finančná výpomoc bola udelená </w:t>
            </w:r>
            <w:r w:rsidRPr="00E45089">
              <w:rPr>
                <w:b/>
                <w:bCs/>
                <w:sz w:val="20"/>
                <w:szCs w:val="22"/>
              </w:rPr>
              <w:t>mes</w:t>
            </w:r>
            <w:r w:rsidR="003324F6" w:rsidRPr="00E45089">
              <w:rPr>
                <w:b/>
                <w:bCs/>
                <w:sz w:val="20"/>
                <w:szCs w:val="22"/>
              </w:rPr>
              <w:t>t</w:t>
            </w:r>
            <w:r w:rsidRPr="00E45089">
              <w:rPr>
                <w:b/>
                <w:bCs/>
                <w:sz w:val="20"/>
                <w:szCs w:val="22"/>
              </w:rPr>
              <w:t>u</w:t>
            </w:r>
            <w:r w:rsidRPr="00E45089">
              <w:rPr>
                <w:sz w:val="20"/>
                <w:szCs w:val="22"/>
              </w:rPr>
              <w:t xml:space="preserve"> </w:t>
            </w:r>
            <w:r w:rsidRPr="00E45089">
              <w:rPr>
                <w:b/>
                <w:bCs/>
                <w:sz w:val="20"/>
                <w:szCs w:val="22"/>
              </w:rPr>
              <w:t>Kežmarok</w:t>
            </w:r>
            <w:r w:rsidR="005424E3">
              <w:rPr>
                <w:rStyle w:val="FootnoteReference"/>
                <w:b/>
                <w:bCs/>
                <w:sz w:val="20"/>
                <w:szCs w:val="22"/>
              </w:rPr>
              <w:footnoteReference w:id="40"/>
            </w:r>
            <w:r w:rsidRPr="00E45089">
              <w:rPr>
                <w:sz w:val="20"/>
                <w:szCs w:val="22"/>
              </w:rPr>
              <w:t xml:space="preserve"> vo výške 3,5 mil. eur</w:t>
            </w:r>
            <w:r w:rsidR="00E32BE3" w:rsidRPr="00E45089">
              <w:rPr>
                <w:sz w:val="20"/>
                <w:szCs w:val="22"/>
              </w:rPr>
              <w:t xml:space="preserve"> s 10-ročnou splatnosťou</w:t>
            </w:r>
            <w:r w:rsidR="00911E9A" w:rsidRPr="00E45089">
              <w:rPr>
                <w:sz w:val="20"/>
                <w:szCs w:val="22"/>
              </w:rPr>
              <w:t xml:space="preserve"> na dobudovanie zimného štadióna a na Centrum </w:t>
            </w:r>
            <w:r w:rsidR="003324F6" w:rsidRPr="00E45089">
              <w:rPr>
                <w:sz w:val="20"/>
                <w:szCs w:val="22"/>
              </w:rPr>
              <w:t>integrovanej zdravotnej starostlivosti v Kežmarku.</w:t>
            </w:r>
            <w:r w:rsidR="00C43196" w:rsidRPr="00B81300">
              <w:rPr>
                <w:b/>
                <w:sz w:val="20"/>
                <w:highlight w:val="yellow"/>
              </w:rPr>
              <w:t xml:space="preserve"> </w:t>
            </w:r>
          </w:p>
          <w:p w14:paraId="17AE1633" w14:textId="267B10C4" w:rsidR="00BA253C" w:rsidRDefault="00BA253C" w:rsidP="008E74F5">
            <w:pPr>
              <w:jc w:val="both"/>
              <w:rPr>
                <w:b/>
                <w:sz w:val="20"/>
                <w:highlight w:val="yellow"/>
              </w:rPr>
            </w:pPr>
          </w:p>
          <w:p w14:paraId="5A3EE680" w14:textId="1B8FA04C" w:rsidR="00BA253C" w:rsidRPr="004A79A6" w:rsidRDefault="00BA253C" w:rsidP="008E74F5">
            <w:pPr>
              <w:jc w:val="both"/>
              <w:rPr>
                <w:sz w:val="20"/>
              </w:rPr>
            </w:pPr>
            <w:r w:rsidRPr="004A79A6">
              <w:rPr>
                <w:b/>
                <w:sz w:val="20"/>
              </w:rPr>
              <w:t>Mesto Košice</w:t>
            </w:r>
            <w:r w:rsidRPr="004A79A6">
              <w:rPr>
                <w:rStyle w:val="FootnoteReference"/>
                <w:b/>
                <w:sz w:val="20"/>
              </w:rPr>
              <w:footnoteReference w:id="41"/>
            </w:r>
            <w:r w:rsidRPr="004A79A6">
              <w:rPr>
                <w:sz w:val="20"/>
              </w:rPr>
              <w:t xml:space="preserve"> ku dňu 19.12.2019 splatilo úver v objeme 14,5 mil. eur, ktorý bol mestu poskytnutý </w:t>
            </w:r>
            <w:r w:rsidR="00AC13D4">
              <w:rPr>
                <w:sz w:val="20"/>
              </w:rPr>
              <w:t>na</w:t>
            </w:r>
            <w:r w:rsidRPr="004A79A6">
              <w:rPr>
                <w:sz w:val="20"/>
              </w:rPr>
              <w:t xml:space="preserve"> preklenuti</w:t>
            </w:r>
            <w:r w:rsidR="00AC13D4">
              <w:rPr>
                <w:sz w:val="20"/>
              </w:rPr>
              <w:t>e</w:t>
            </w:r>
            <w:r w:rsidRPr="004A79A6">
              <w:rPr>
                <w:sz w:val="20"/>
              </w:rPr>
              <w:t xml:space="preserve"> spolufinancovania projektu „Modernizácia električ</w:t>
            </w:r>
            <w:r w:rsidR="00B9788F" w:rsidRPr="004A79A6">
              <w:rPr>
                <w:sz w:val="20"/>
              </w:rPr>
              <w:t>k</w:t>
            </w:r>
            <w:r w:rsidRPr="004A79A6">
              <w:rPr>
                <w:sz w:val="20"/>
              </w:rPr>
              <w:t>ových tratí v Košiciach – 2. etapa – 1.</w:t>
            </w:r>
            <w:r w:rsidR="00DD3F9E">
              <w:rPr>
                <w:sz w:val="20"/>
              </w:rPr>
              <w:t> </w:t>
            </w:r>
            <w:r w:rsidRPr="004A79A6">
              <w:rPr>
                <w:sz w:val="20"/>
              </w:rPr>
              <w:t>časť“</w:t>
            </w:r>
            <w:r w:rsidR="0096461A" w:rsidRPr="004A79A6">
              <w:rPr>
                <w:sz w:val="20"/>
              </w:rPr>
              <w:t xml:space="preserve"> </w:t>
            </w:r>
            <w:r w:rsidR="00B9788F" w:rsidRPr="004A79A6">
              <w:rPr>
                <w:sz w:val="20"/>
              </w:rPr>
              <w:t>s jednorazovou</w:t>
            </w:r>
            <w:r w:rsidR="0096461A" w:rsidRPr="004A79A6">
              <w:rPr>
                <w:sz w:val="20"/>
              </w:rPr>
              <w:t xml:space="preserve"> splatnosťou do 31. decembra 2019</w:t>
            </w:r>
            <w:r w:rsidR="00B9788F" w:rsidRPr="004A79A6">
              <w:rPr>
                <w:sz w:val="20"/>
              </w:rPr>
              <w:t>.</w:t>
            </w:r>
          </w:p>
          <w:p w14:paraId="31BF8317" w14:textId="77777777" w:rsidR="00C43196" w:rsidRDefault="00C43196" w:rsidP="008E74F5">
            <w:pPr>
              <w:jc w:val="both"/>
              <w:rPr>
                <w:b/>
                <w:sz w:val="20"/>
                <w:highlight w:val="yellow"/>
              </w:rPr>
            </w:pPr>
          </w:p>
          <w:p w14:paraId="5F6E3DEB" w14:textId="0E597730" w:rsidR="00F40AAA" w:rsidRPr="00E45089" w:rsidRDefault="00C43196" w:rsidP="008E74F5">
            <w:pPr>
              <w:jc w:val="both"/>
              <w:rPr>
                <w:sz w:val="20"/>
                <w:szCs w:val="22"/>
              </w:rPr>
            </w:pPr>
            <w:r w:rsidRPr="00F67415">
              <w:rPr>
                <w:b/>
                <w:sz w:val="20"/>
              </w:rPr>
              <w:t>Prešovskému samosprávnemu kraju</w:t>
            </w:r>
            <w:r w:rsidRPr="00F67415">
              <w:rPr>
                <w:rStyle w:val="FootnoteReference"/>
                <w:sz w:val="20"/>
              </w:rPr>
              <w:footnoteReference w:id="42"/>
            </w:r>
            <w:r w:rsidRPr="00F67415">
              <w:rPr>
                <w:sz w:val="20"/>
              </w:rPr>
              <w:t xml:space="preserve"> </w:t>
            </w:r>
            <w:r w:rsidR="00EC1239">
              <w:rPr>
                <w:sz w:val="20"/>
              </w:rPr>
              <w:t xml:space="preserve">bola udelená návratná finančná výpomoc </w:t>
            </w:r>
            <w:r w:rsidRPr="00F67415">
              <w:rPr>
                <w:sz w:val="20"/>
              </w:rPr>
              <w:t>v sume 1 mil. eur s</w:t>
            </w:r>
            <w:r w:rsidR="00667C97">
              <w:rPr>
                <w:sz w:val="20"/>
              </w:rPr>
              <w:t>o</w:t>
            </w:r>
            <w:r w:rsidRPr="00F67415">
              <w:rPr>
                <w:sz w:val="20"/>
              </w:rPr>
              <w:t> 4-ročnou splatnosťou,</w:t>
            </w:r>
            <w:r w:rsidR="00D005A1">
              <w:rPr>
                <w:sz w:val="20"/>
              </w:rPr>
              <w:t xml:space="preserve"> určená</w:t>
            </w:r>
            <w:r w:rsidR="00CA23DA">
              <w:rPr>
                <w:sz w:val="20"/>
              </w:rPr>
              <w:t xml:space="preserve"> na financovanie projektov</w:t>
            </w:r>
            <w:r w:rsidR="002E2025">
              <w:rPr>
                <w:sz w:val="20"/>
              </w:rPr>
              <w:t>ej</w:t>
            </w:r>
            <w:r w:rsidR="00CA23DA">
              <w:rPr>
                <w:sz w:val="20"/>
              </w:rPr>
              <w:t xml:space="preserve"> dokumentácie pre vybudovanie envir</w:t>
            </w:r>
            <w:r w:rsidR="00485A42">
              <w:rPr>
                <w:sz w:val="20"/>
              </w:rPr>
              <w:t>o</w:t>
            </w:r>
            <w:r w:rsidR="00AA7796">
              <w:rPr>
                <w:sz w:val="20"/>
              </w:rPr>
              <w:t>n</w:t>
            </w:r>
            <w:r w:rsidR="00CA23DA">
              <w:rPr>
                <w:sz w:val="20"/>
              </w:rPr>
              <w:t>mentálnej infraštrukt</w:t>
            </w:r>
            <w:r w:rsidR="00F714A2">
              <w:rPr>
                <w:sz w:val="20"/>
              </w:rPr>
              <w:t xml:space="preserve">úry v okrese </w:t>
            </w:r>
            <w:r w:rsidR="0002192F">
              <w:rPr>
                <w:sz w:val="20"/>
              </w:rPr>
              <w:t>S</w:t>
            </w:r>
            <w:r w:rsidR="00F714A2">
              <w:rPr>
                <w:sz w:val="20"/>
              </w:rPr>
              <w:t>nina</w:t>
            </w:r>
            <w:r w:rsidR="0002192F">
              <w:rPr>
                <w:sz w:val="20"/>
              </w:rPr>
              <w:t xml:space="preserve"> v Prešovskom samosprávnom kraji</w:t>
            </w:r>
            <w:r w:rsidR="00F714A2">
              <w:rPr>
                <w:sz w:val="20"/>
              </w:rPr>
              <w:t>.</w:t>
            </w:r>
          </w:p>
          <w:p w14:paraId="43AC39E5" w14:textId="77777777" w:rsidR="008E74F5" w:rsidRPr="00B81300" w:rsidRDefault="008E74F5" w:rsidP="008E74F5">
            <w:pPr>
              <w:jc w:val="both"/>
              <w:rPr>
                <w:sz w:val="20"/>
                <w:highlight w:val="yellow"/>
              </w:rPr>
            </w:pPr>
          </w:p>
          <w:p w14:paraId="49BB31C5" w14:textId="20941EF6" w:rsidR="008E74F5" w:rsidRPr="00F67415" w:rsidRDefault="008E74F5" w:rsidP="00C43196">
            <w:pPr>
              <w:jc w:val="both"/>
              <w:rPr>
                <w:sz w:val="20"/>
              </w:rPr>
            </w:pPr>
            <w:r w:rsidRPr="00F67415">
              <w:rPr>
                <w:sz w:val="20"/>
              </w:rPr>
              <w:lastRenderedPageBreak/>
              <w:t xml:space="preserve">Napokon boli </w:t>
            </w:r>
            <w:r w:rsidR="00250FA3">
              <w:rPr>
                <w:sz w:val="20"/>
              </w:rPr>
              <w:t>počas</w:t>
            </w:r>
            <w:r w:rsidRPr="00F67415">
              <w:rPr>
                <w:sz w:val="20"/>
              </w:rPr>
              <w:t xml:space="preserve"> roku 201</w:t>
            </w:r>
            <w:r w:rsidR="00156A1A" w:rsidRPr="00F67415">
              <w:rPr>
                <w:sz w:val="20"/>
              </w:rPr>
              <w:t>9</w:t>
            </w:r>
            <w:r w:rsidRPr="00F67415">
              <w:rPr>
                <w:sz w:val="20"/>
              </w:rPr>
              <w:t xml:space="preserve"> a v prvej polovici roku 20</w:t>
            </w:r>
            <w:r w:rsidR="00156A1A" w:rsidRPr="00F67415">
              <w:rPr>
                <w:sz w:val="20"/>
              </w:rPr>
              <w:t>20</w:t>
            </w:r>
            <w:r w:rsidRPr="00F67415">
              <w:rPr>
                <w:sz w:val="20"/>
              </w:rPr>
              <w:t xml:space="preserve"> zo štátnych finančných aktív poskytnuté </w:t>
            </w:r>
            <w:r w:rsidRPr="00F67415">
              <w:rPr>
                <w:b/>
                <w:sz w:val="20"/>
              </w:rPr>
              <w:t>návratné finančné výpomoci bez úročenia a zabezpečenia</w:t>
            </w:r>
            <w:r w:rsidRPr="00F67415">
              <w:rPr>
                <w:sz w:val="20"/>
              </w:rPr>
              <w:t xml:space="preserve"> viacerým samosprávnym krajom na rekonštrukciu ciest II. a III. triedy. Išlo o nasledovné výpomoci:</w:t>
            </w:r>
          </w:p>
          <w:p w14:paraId="2D712A4F" w14:textId="77777777" w:rsidR="008E74F5" w:rsidRPr="00F67415" w:rsidRDefault="008E74F5" w:rsidP="008E74F5">
            <w:pPr>
              <w:pStyle w:val="ListParagraph"/>
              <w:numPr>
                <w:ilvl w:val="0"/>
                <w:numId w:val="21"/>
              </w:numPr>
              <w:jc w:val="both"/>
              <w:rPr>
                <w:rFonts w:ascii="Constantia" w:hAnsi="Constantia"/>
                <w:sz w:val="20"/>
                <w:szCs w:val="20"/>
              </w:rPr>
            </w:pPr>
            <w:r w:rsidRPr="00F67415">
              <w:rPr>
                <w:rFonts w:ascii="Constantia" w:hAnsi="Constantia"/>
                <w:b/>
                <w:sz w:val="20"/>
                <w:szCs w:val="20"/>
              </w:rPr>
              <w:t>Banskobystrickému samosprávnemu kraju</w:t>
            </w:r>
            <w:r w:rsidRPr="00F67415">
              <w:rPr>
                <w:rStyle w:val="FootnoteReference"/>
                <w:rFonts w:ascii="Constantia" w:hAnsi="Constantia"/>
                <w:sz w:val="20"/>
              </w:rPr>
              <w:footnoteReference w:id="43"/>
            </w:r>
            <w:r w:rsidRPr="00F67415">
              <w:rPr>
                <w:rFonts w:ascii="Constantia" w:hAnsi="Constantia"/>
                <w:sz w:val="20"/>
                <w:szCs w:val="20"/>
              </w:rPr>
              <w:t xml:space="preserve"> v sume 25 mil. eur s 11-ročnou splatnosťou,</w:t>
            </w:r>
          </w:p>
          <w:p w14:paraId="6970E712" w14:textId="77777777" w:rsidR="008E74F5" w:rsidRPr="00F67415" w:rsidRDefault="008E74F5" w:rsidP="008E74F5">
            <w:pPr>
              <w:pStyle w:val="ListParagraph"/>
              <w:numPr>
                <w:ilvl w:val="0"/>
                <w:numId w:val="21"/>
              </w:numPr>
              <w:jc w:val="both"/>
              <w:rPr>
                <w:rFonts w:ascii="Constantia" w:hAnsi="Constantia"/>
                <w:sz w:val="20"/>
                <w:szCs w:val="20"/>
              </w:rPr>
            </w:pPr>
            <w:r w:rsidRPr="00F67415">
              <w:rPr>
                <w:rFonts w:ascii="Constantia" w:hAnsi="Constantia"/>
                <w:b/>
                <w:sz w:val="20"/>
                <w:szCs w:val="20"/>
              </w:rPr>
              <w:t>Banskobystrickému samosprávnemu kraju</w:t>
            </w:r>
            <w:r w:rsidRPr="00F67415">
              <w:rPr>
                <w:rStyle w:val="FootnoteReference"/>
                <w:rFonts w:ascii="Constantia" w:hAnsi="Constantia"/>
                <w:sz w:val="20"/>
              </w:rPr>
              <w:footnoteReference w:id="44"/>
            </w:r>
            <w:r w:rsidRPr="00F67415">
              <w:rPr>
                <w:rFonts w:ascii="Constantia" w:hAnsi="Constantia"/>
                <w:sz w:val="20"/>
                <w:szCs w:val="20"/>
              </w:rPr>
              <w:t xml:space="preserve"> vo výške 8 mil. eur s 11-ročnou splatnosťou,</w:t>
            </w:r>
          </w:p>
          <w:p w14:paraId="2B5D9D98" w14:textId="77777777" w:rsidR="008E74F5" w:rsidRPr="00F67415" w:rsidRDefault="008E74F5" w:rsidP="008E74F5">
            <w:pPr>
              <w:pStyle w:val="ListParagraph"/>
              <w:numPr>
                <w:ilvl w:val="0"/>
                <w:numId w:val="21"/>
              </w:numPr>
              <w:jc w:val="both"/>
              <w:rPr>
                <w:rFonts w:ascii="Constantia" w:hAnsi="Constantia"/>
                <w:sz w:val="20"/>
                <w:szCs w:val="20"/>
              </w:rPr>
            </w:pPr>
            <w:r w:rsidRPr="00F67415">
              <w:rPr>
                <w:rFonts w:ascii="Constantia" w:hAnsi="Constantia"/>
                <w:b/>
                <w:sz w:val="20"/>
                <w:szCs w:val="20"/>
              </w:rPr>
              <w:t>Trnavskému samosprávnemu kraju</w:t>
            </w:r>
            <w:r w:rsidRPr="00F67415">
              <w:rPr>
                <w:rStyle w:val="FootnoteReference"/>
                <w:rFonts w:ascii="Constantia" w:hAnsi="Constantia"/>
                <w:sz w:val="20"/>
              </w:rPr>
              <w:footnoteReference w:id="45"/>
            </w:r>
            <w:r w:rsidRPr="00F67415">
              <w:rPr>
                <w:rFonts w:ascii="Constantia" w:hAnsi="Constantia"/>
                <w:sz w:val="20"/>
                <w:szCs w:val="20"/>
              </w:rPr>
              <w:t xml:space="preserve"> v objeme 15 mil. eur s 12-ročnou splatnosťou,</w:t>
            </w:r>
          </w:p>
          <w:p w14:paraId="417393F4" w14:textId="3EF2A2CC" w:rsidR="008E74F5" w:rsidRPr="00F67415" w:rsidRDefault="008E74F5" w:rsidP="008E74F5">
            <w:pPr>
              <w:pStyle w:val="ListParagraph"/>
              <w:numPr>
                <w:ilvl w:val="0"/>
                <w:numId w:val="21"/>
              </w:numPr>
              <w:jc w:val="both"/>
              <w:rPr>
                <w:rFonts w:ascii="Constantia" w:hAnsi="Constantia"/>
                <w:sz w:val="20"/>
                <w:szCs w:val="20"/>
              </w:rPr>
            </w:pPr>
            <w:r w:rsidRPr="00F67415">
              <w:rPr>
                <w:rFonts w:ascii="Constantia" w:hAnsi="Constantia"/>
                <w:b/>
                <w:sz w:val="20"/>
                <w:szCs w:val="20"/>
              </w:rPr>
              <w:t>Žilinskému samosprávnemu kraju</w:t>
            </w:r>
            <w:r w:rsidRPr="00F67415">
              <w:rPr>
                <w:rStyle w:val="FootnoteReference"/>
                <w:rFonts w:ascii="Constantia" w:hAnsi="Constantia"/>
                <w:sz w:val="20"/>
              </w:rPr>
              <w:footnoteReference w:id="46"/>
            </w:r>
            <w:r w:rsidRPr="00F67415">
              <w:rPr>
                <w:rFonts w:ascii="Constantia" w:hAnsi="Constantia"/>
                <w:sz w:val="20"/>
                <w:szCs w:val="20"/>
              </w:rPr>
              <w:t xml:space="preserve"> v sume 15 mil. eur s 13-ročnou splatnosťou.</w:t>
            </w:r>
          </w:p>
          <w:p w14:paraId="416C9D65" w14:textId="77777777" w:rsidR="001108F6" w:rsidRDefault="006C190D" w:rsidP="001108F6">
            <w:pPr>
              <w:pStyle w:val="ListParagraph"/>
              <w:numPr>
                <w:ilvl w:val="0"/>
                <w:numId w:val="21"/>
              </w:numPr>
              <w:jc w:val="both"/>
              <w:rPr>
                <w:rFonts w:ascii="Constantia" w:hAnsi="Constantia"/>
                <w:bCs/>
                <w:sz w:val="20"/>
                <w:szCs w:val="20"/>
              </w:rPr>
            </w:pPr>
            <w:r w:rsidRPr="00F67415">
              <w:rPr>
                <w:rFonts w:ascii="Constantia" w:hAnsi="Constantia"/>
                <w:b/>
                <w:sz w:val="20"/>
                <w:szCs w:val="20"/>
              </w:rPr>
              <w:t>Nitrianskemu samosprávnemu kraju</w:t>
            </w:r>
            <w:r w:rsidR="00DB0CA4" w:rsidRPr="00DA6ADA">
              <w:rPr>
                <w:rStyle w:val="FootnoteReference"/>
                <w:rFonts w:ascii="Constantia" w:hAnsi="Constantia"/>
                <w:bCs/>
                <w:sz w:val="20"/>
                <w:szCs w:val="20"/>
              </w:rPr>
              <w:footnoteReference w:id="47"/>
            </w:r>
            <w:r w:rsidRPr="00F67415">
              <w:rPr>
                <w:rFonts w:ascii="Constantia" w:hAnsi="Constantia"/>
                <w:b/>
                <w:sz w:val="20"/>
                <w:szCs w:val="20"/>
              </w:rPr>
              <w:t xml:space="preserve"> </w:t>
            </w:r>
            <w:r w:rsidRPr="00F67415">
              <w:rPr>
                <w:rFonts w:ascii="Constantia" w:hAnsi="Constantia"/>
                <w:bCs/>
                <w:sz w:val="20"/>
                <w:szCs w:val="20"/>
              </w:rPr>
              <w:t>v sume 15 mil. eur s 13-ročnou splatnosťou</w:t>
            </w:r>
            <w:r w:rsidR="00AE0A55" w:rsidRPr="00F67415">
              <w:rPr>
                <w:rFonts w:ascii="Constantia" w:hAnsi="Constantia"/>
                <w:bCs/>
                <w:sz w:val="20"/>
                <w:szCs w:val="20"/>
              </w:rPr>
              <w:t>.</w:t>
            </w:r>
          </w:p>
          <w:p w14:paraId="60798764" w14:textId="77777777" w:rsidR="00B05E60" w:rsidRDefault="001108F6" w:rsidP="004A79A6">
            <w:pPr>
              <w:jc w:val="both"/>
              <w:rPr>
                <w:bCs/>
                <w:sz w:val="20"/>
              </w:rPr>
            </w:pPr>
            <w:r>
              <w:rPr>
                <w:bCs/>
                <w:sz w:val="20"/>
              </w:rPr>
              <w:t xml:space="preserve">Pandémia koronavírusu a prijaté epidemiologické opatrenia znížili ekonomickú aktivitu, čo sa prejavilo vo výpadku príjmov z daní a odvodov. Podľa prognózy MF SR z júna 2020 </w:t>
            </w:r>
            <w:r w:rsidR="005E616E">
              <w:rPr>
                <w:bCs/>
                <w:sz w:val="20"/>
              </w:rPr>
              <w:t xml:space="preserve">sa odhaduje </w:t>
            </w:r>
            <w:r>
              <w:rPr>
                <w:bCs/>
                <w:sz w:val="20"/>
              </w:rPr>
              <w:t>výpad</w:t>
            </w:r>
            <w:r w:rsidR="005E616E">
              <w:rPr>
                <w:bCs/>
                <w:sz w:val="20"/>
              </w:rPr>
              <w:t>o</w:t>
            </w:r>
            <w:r>
              <w:rPr>
                <w:bCs/>
                <w:sz w:val="20"/>
              </w:rPr>
              <w:t>k dane z</w:t>
            </w:r>
            <w:r w:rsidR="00DD3F9E">
              <w:rPr>
                <w:bCs/>
                <w:sz w:val="20"/>
              </w:rPr>
              <w:t> </w:t>
            </w:r>
            <w:r>
              <w:rPr>
                <w:bCs/>
                <w:sz w:val="20"/>
              </w:rPr>
              <w:t>príjmov fyzických osôb oproti schválenému rozpočtu verejnej správy na rok 2020 v objeme 121,5 mil. eur u obcí a 52,1 mil. eur u vyšších územných celkov</w:t>
            </w:r>
            <w:r w:rsidR="00D478D1">
              <w:rPr>
                <w:bCs/>
                <w:sz w:val="20"/>
              </w:rPr>
              <w:t>. Vláda</w:t>
            </w:r>
            <w:r w:rsidR="00816662">
              <w:rPr>
                <w:rStyle w:val="FootnoteReference"/>
                <w:bCs/>
                <w:sz w:val="20"/>
              </w:rPr>
              <w:footnoteReference w:id="48"/>
            </w:r>
            <w:r w:rsidR="00816662">
              <w:rPr>
                <w:bCs/>
                <w:sz w:val="20"/>
              </w:rPr>
              <w:t xml:space="preserve"> </w:t>
            </w:r>
            <w:r w:rsidR="00D478D1">
              <w:rPr>
                <w:bCs/>
                <w:sz w:val="20"/>
              </w:rPr>
              <w:t xml:space="preserve">schválila návrh MF SR na poskytnutie </w:t>
            </w:r>
            <w:r w:rsidR="005E616E">
              <w:rPr>
                <w:bCs/>
                <w:sz w:val="20"/>
              </w:rPr>
              <w:t xml:space="preserve">bezúročných </w:t>
            </w:r>
            <w:r w:rsidR="00D478D1">
              <w:rPr>
                <w:bCs/>
                <w:sz w:val="20"/>
              </w:rPr>
              <w:t xml:space="preserve">návratných finančných výpomocí obciam a VÚC na kompenzáciu výpadku dane z príjmov fyzických osôb v roku 2020. </w:t>
            </w:r>
            <w:r w:rsidR="00816662">
              <w:rPr>
                <w:bCs/>
                <w:sz w:val="20"/>
              </w:rPr>
              <w:t>Návratná finančná výpomoc sa poskytne na základe</w:t>
            </w:r>
            <w:r w:rsidR="00281966">
              <w:rPr>
                <w:bCs/>
                <w:sz w:val="20"/>
              </w:rPr>
              <w:t xml:space="preserve"> </w:t>
            </w:r>
            <w:r w:rsidR="00816662">
              <w:rPr>
                <w:bCs/>
                <w:sz w:val="20"/>
              </w:rPr>
              <w:t>žiadosti obce alebo vyššieho úz</w:t>
            </w:r>
            <w:r w:rsidR="005E616E">
              <w:rPr>
                <w:bCs/>
                <w:sz w:val="20"/>
              </w:rPr>
              <w:t>e</w:t>
            </w:r>
            <w:r w:rsidR="00816662">
              <w:rPr>
                <w:bCs/>
                <w:sz w:val="20"/>
              </w:rPr>
              <w:t xml:space="preserve">mného celku maximálne do výšky výpadku dane z príjmov fyzických osôb za rok 2020 (podľa prognózy MF SR z júna 2020) so sedemročnou splatnosťou v rovnomerných splátkach, pričom prvá splátka bude uhradená v roku 2024. </w:t>
            </w:r>
            <w:r w:rsidR="00422198">
              <w:rPr>
                <w:bCs/>
                <w:sz w:val="20"/>
              </w:rPr>
              <w:t xml:space="preserve">Jej poskytnutie je podmienené plnením dlhového pravidla (dlh do výšky 50 % bežných príjmov predchádzajúceho roka) a pravidla na splátky dlhu (splátky návratných zdrojov financovania a úhrady výnosov do výšky 25 % bežných príjmov predchádzajúceho roka). </w:t>
            </w:r>
          </w:p>
          <w:p w14:paraId="553B5B02" w14:textId="2292454E" w:rsidR="00B05E60" w:rsidRPr="008525A3" w:rsidRDefault="00B05E60" w:rsidP="004A79A6">
            <w:pPr>
              <w:jc w:val="both"/>
              <w:rPr>
                <w:sz w:val="10"/>
                <w:szCs w:val="10"/>
              </w:rPr>
            </w:pPr>
          </w:p>
        </w:tc>
      </w:tr>
    </w:tbl>
    <w:p w14:paraId="17D39B55" w14:textId="77777777" w:rsidR="008A0FDB" w:rsidRDefault="008A0FDB" w:rsidP="00DC465B">
      <w:pPr>
        <w:jc w:val="both"/>
        <w:rPr>
          <w:rFonts w:eastAsia="Cambria"/>
          <w:b/>
          <w:highlight w:val="yellow"/>
        </w:rPr>
      </w:pPr>
    </w:p>
    <w:p w14:paraId="52D47303" w14:textId="5024335F" w:rsidR="001E5A08" w:rsidRPr="00032835" w:rsidRDefault="001E5A08" w:rsidP="00DC465B">
      <w:pPr>
        <w:jc w:val="both"/>
        <w:rPr>
          <w:rFonts w:eastAsia="Cambria"/>
          <w:b/>
        </w:rPr>
      </w:pPr>
      <w:r w:rsidRPr="00032835">
        <w:rPr>
          <w:rFonts w:eastAsia="Cambria"/>
          <w:b/>
        </w:rPr>
        <w:t>Financovanie nových úloh samospráv</w:t>
      </w:r>
    </w:p>
    <w:p w14:paraId="59B9ED6C" w14:textId="77777777" w:rsidR="001E5A08" w:rsidRPr="00032835" w:rsidRDefault="001E5A08" w:rsidP="00DC465B">
      <w:pPr>
        <w:jc w:val="both"/>
        <w:rPr>
          <w:rFonts w:eastAsia="Cambria"/>
          <w:b/>
        </w:rPr>
      </w:pPr>
    </w:p>
    <w:p w14:paraId="1FF9D849" w14:textId="6702D460" w:rsidR="006F6230" w:rsidRPr="00317F0F" w:rsidRDefault="007801FF" w:rsidP="00DC465B">
      <w:pPr>
        <w:jc w:val="both"/>
      </w:pPr>
      <w:bookmarkStart w:id="565" w:name="_Hlk16172777"/>
      <w:r w:rsidRPr="00317F0F">
        <w:rPr>
          <w:rFonts w:eastAsia="Cambria"/>
          <w:b/>
        </w:rPr>
        <w:t xml:space="preserve">Hodnotenie </w:t>
      </w:r>
      <w:r w:rsidR="00757FC6" w:rsidRPr="00317F0F">
        <w:rPr>
          <w:rFonts w:eastAsia="Cambria"/>
          <w:b/>
        </w:rPr>
        <w:t>toho, či úprava pôsobností samosprávy bola spojená s adekvátnym financovaním zo strany štátu</w:t>
      </w:r>
      <w:bookmarkEnd w:id="565"/>
      <w:r w:rsidR="00AC32C2" w:rsidRPr="00317F0F">
        <w:rPr>
          <w:rFonts w:eastAsia="Cambria"/>
          <w:b/>
        </w:rPr>
        <w:t>,</w:t>
      </w:r>
      <w:r w:rsidR="00E84243" w:rsidRPr="00317F0F">
        <w:rPr>
          <w:rFonts w:eastAsia="Cambria"/>
          <w:b/>
        </w:rPr>
        <w:t xml:space="preserve"> je možné len v obmedzenej miere.</w:t>
      </w:r>
      <w:r w:rsidR="00757FC6" w:rsidRPr="00317F0F">
        <w:rPr>
          <w:rFonts w:eastAsia="Cambria"/>
        </w:rPr>
        <w:t xml:space="preserve"> </w:t>
      </w:r>
      <w:r w:rsidR="008E4370" w:rsidRPr="00317F0F">
        <w:t>A</w:t>
      </w:r>
      <w:r w:rsidR="0073119E" w:rsidRPr="00317F0F">
        <w:t>udit kompetencií samospráv</w:t>
      </w:r>
      <w:r w:rsidR="008E4370" w:rsidRPr="00317F0F">
        <w:t xml:space="preserve"> z mája roku 2014 nepriniesol žiadny objektívny spôsob hodnotenia ustanovení ústavného zákona</w:t>
      </w:r>
      <w:r w:rsidR="000E11F9" w:rsidRPr="00317F0F">
        <w:t xml:space="preserve">. </w:t>
      </w:r>
      <w:r w:rsidR="00757FC6" w:rsidRPr="00317F0F">
        <w:t xml:space="preserve">Chýba v </w:t>
      </w:r>
      <w:r w:rsidR="008E4370" w:rsidRPr="00317F0F">
        <w:t>ňom</w:t>
      </w:r>
      <w:r w:rsidR="000E11F9" w:rsidRPr="00317F0F">
        <w:t xml:space="preserve"> </w:t>
      </w:r>
      <w:r w:rsidR="00757FC6" w:rsidRPr="00317F0F">
        <w:t>zhodnotenie existujúceho stavu a</w:t>
      </w:r>
      <w:r w:rsidR="00995493" w:rsidRPr="00317F0F">
        <w:t xml:space="preserve"> chýbajú </w:t>
      </w:r>
      <w:r w:rsidR="000E11F9" w:rsidRPr="00317F0F">
        <w:t>odporúčania pre</w:t>
      </w:r>
      <w:r w:rsidR="00BA6E57" w:rsidRPr="00317F0F">
        <w:t> </w:t>
      </w:r>
      <w:r w:rsidR="000E11F9" w:rsidRPr="00317F0F">
        <w:t>oblasť financovania kompetencií obcí a vyšších územných celkov</w:t>
      </w:r>
      <w:r w:rsidR="00757FC6" w:rsidRPr="00317F0F">
        <w:t xml:space="preserve"> do budúcnosti</w:t>
      </w:r>
      <w:r w:rsidR="000E11F9" w:rsidRPr="00317F0F">
        <w:t xml:space="preserve">. </w:t>
      </w:r>
      <w:r w:rsidR="008E4370" w:rsidRPr="00317F0F">
        <w:t>Odvtedy sa</w:t>
      </w:r>
      <w:r w:rsidR="00563D56" w:rsidRPr="00317F0F">
        <w:t> </w:t>
      </w:r>
      <w:r w:rsidR="008E4370" w:rsidRPr="00317F0F">
        <w:t>v tejto oblasti neudiali žiadne zmeny</w:t>
      </w:r>
      <w:r w:rsidR="006F6230" w:rsidRPr="00317F0F">
        <w:t>.</w:t>
      </w:r>
      <w:r w:rsidR="000E11F9" w:rsidRPr="00317F0F">
        <w:t xml:space="preserve"> </w:t>
      </w:r>
      <w:r w:rsidR="00995493" w:rsidRPr="00317F0F">
        <w:rPr>
          <w:b/>
        </w:rPr>
        <w:t xml:space="preserve">Bolo by </w:t>
      </w:r>
      <w:r w:rsidR="00FB6242" w:rsidRPr="00317F0F">
        <w:rPr>
          <w:b/>
        </w:rPr>
        <w:t xml:space="preserve">preto </w:t>
      </w:r>
      <w:r w:rsidR="00995493" w:rsidRPr="00317F0F">
        <w:rPr>
          <w:b/>
        </w:rPr>
        <w:t>potrebné uskutočniť audit, ktorý by</w:t>
      </w:r>
      <w:r w:rsidR="007401A4" w:rsidRPr="00317F0F">
        <w:rPr>
          <w:b/>
        </w:rPr>
        <w:t> </w:t>
      </w:r>
      <w:r w:rsidR="00486676" w:rsidRPr="00317F0F">
        <w:rPr>
          <w:b/>
        </w:rPr>
        <w:t>vytvoril</w:t>
      </w:r>
      <w:r w:rsidR="00FB6242" w:rsidRPr="00317F0F">
        <w:rPr>
          <w:b/>
        </w:rPr>
        <w:t xml:space="preserve"> porovnávac</w:t>
      </w:r>
      <w:r w:rsidR="00486676" w:rsidRPr="00317F0F">
        <w:rPr>
          <w:b/>
        </w:rPr>
        <w:t>i</w:t>
      </w:r>
      <w:r w:rsidR="00FB6242" w:rsidRPr="00317F0F">
        <w:rPr>
          <w:b/>
        </w:rPr>
        <w:t>u základňu pre hodnotenie RRZ v tejto oblasti</w:t>
      </w:r>
      <w:r w:rsidR="00995493" w:rsidRPr="00317F0F">
        <w:rPr>
          <w:b/>
        </w:rPr>
        <w:t>.</w:t>
      </w:r>
    </w:p>
    <w:p w14:paraId="2C2ADC7C" w14:textId="77777777" w:rsidR="006F6230" w:rsidRPr="00B81300" w:rsidRDefault="006F6230" w:rsidP="00DC465B">
      <w:pPr>
        <w:jc w:val="both"/>
        <w:rPr>
          <w:highlight w:val="yellow"/>
        </w:rPr>
      </w:pPr>
    </w:p>
    <w:p w14:paraId="27CA6BA8" w14:textId="627B81A3" w:rsidR="002A0394" w:rsidRPr="00317F0F" w:rsidRDefault="00381BD5" w:rsidP="00903B7A">
      <w:pPr>
        <w:jc w:val="both"/>
      </w:pPr>
      <w:r>
        <w:t>V</w:t>
      </w:r>
      <w:r w:rsidR="002E67B7" w:rsidRPr="00317F0F">
        <w:t xml:space="preserve"> ďalšej časti </w:t>
      </w:r>
      <w:r>
        <w:t>sú</w:t>
      </w:r>
      <w:r w:rsidR="00A509A3" w:rsidRPr="00317F0F">
        <w:t xml:space="preserve"> </w:t>
      </w:r>
      <w:r w:rsidR="002E67B7" w:rsidRPr="00317F0F">
        <w:t>pop</w:t>
      </w:r>
      <w:r>
        <w:t>ísané</w:t>
      </w:r>
      <w:r w:rsidR="002E67B7" w:rsidRPr="00317F0F">
        <w:t xml:space="preserve"> identifikované oblasti </w:t>
      </w:r>
      <w:r w:rsidR="00187AE4" w:rsidRPr="00317F0F">
        <w:t xml:space="preserve">s nedostatočným financovaním </w:t>
      </w:r>
      <w:r w:rsidR="000E11F9" w:rsidRPr="00317F0F">
        <w:t>z podkladov oslovených subjektov</w:t>
      </w:r>
      <w:r>
        <w:t xml:space="preserve">, pričom </w:t>
      </w:r>
      <w:r w:rsidRPr="002C0960">
        <w:rPr>
          <w:b/>
          <w:bCs/>
        </w:rPr>
        <w:t xml:space="preserve">zámerom RRZ je ich zhodnotenie z hľadiska </w:t>
      </w:r>
      <w:r w:rsidR="009B3F49" w:rsidRPr="002C0960">
        <w:rPr>
          <w:b/>
          <w:bCs/>
        </w:rPr>
        <w:t xml:space="preserve">záverov </w:t>
      </w:r>
      <w:r w:rsidRPr="002C0960">
        <w:rPr>
          <w:b/>
          <w:bCs/>
        </w:rPr>
        <w:t>právnej analýzy</w:t>
      </w:r>
      <w:r w:rsidR="009B3F49" w:rsidRPr="002C0960">
        <w:rPr>
          <w:rStyle w:val="FootnoteReference"/>
          <w:b/>
          <w:bCs/>
        </w:rPr>
        <w:footnoteReference w:id="49"/>
      </w:r>
      <w:r w:rsidRPr="002C0960">
        <w:rPr>
          <w:b/>
          <w:bCs/>
        </w:rPr>
        <w:t xml:space="preserve"> príslušného ustanovenia ústavného zákona</w:t>
      </w:r>
      <w:r w:rsidR="000E11F9" w:rsidRPr="00317F0F">
        <w:t>.</w:t>
      </w:r>
    </w:p>
    <w:p w14:paraId="4AFCE894" w14:textId="77777777" w:rsidR="001A7878" w:rsidRPr="00B81300" w:rsidRDefault="001A7878" w:rsidP="006E7C22">
      <w:pPr>
        <w:jc w:val="both"/>
        <w:rPr>
          <w:highlight w:val="yellow"/>
        </w:rPr>
      </w:pPr>
    </w:p>
    <w:p w14:paraId="66EFC95B" w14:textId="1203DE2F" w:rsidR="001A7878" w:rsidRPr="00856844" w:rsidRDefault="006B7434" w:rsidP="006E7C22">
      <w:pPr>
        <w:jc w:val="both"/>
      </w:pPr>
      <w:r w:rsidRPr="00856844">
        <w:lastRenderedPageBreak/>
        <w:t>M</w:t>
      </w:r>
      <w:r w:rsidR="008E5104" w:rsidRPr="00856844">
        <w:t>inisterstv</w:t>
      </w:r>
      <w:r w:rsidRPr="00856844">
        <w:t>o</w:t>
      </w:r>
      <w:r w:rsidR="008E5104" w:rsidRPr="00856844">
        <w:t xml:space="preserve"> financií </w:t>
      </w:r>
      <w:r w:rsidR="00CF5155" w:rsidRPr="00856844">
        <w:t xml:space="preserve">v nadväznosti na doložky vplyvov legislatívnych opatrení </w:t>
      </w:r>
      <w:r w:rsidRPr="00856844">
        <w:t xml:space="preserve">neeviduje žiadnu </w:t>
      </w:r>
      <w:r w:rsidR="00DC7DB3" w:rsidRPr="00856844">
        <w:t>úpravu pôsobností, ktorá by ustanovovala nové úlohy pre obce alebo vyššie územné celky</w:t>
      </w:r>
      <w:r w:rsidR="00734F41" w:rsidRPr="00856844">
        <w:t>, na</w:t>
      </w:r>
      <w:r w:rsidR="00DD3F9E">
        <w:t> </w:t>
      </w:r>
      <w:r w:rsidR="00734F41" w:rsidRPr="00856844">
        <w:t>ktoré by bolo potrebné zabezpečiť zo štátneho rozpočtu zodpovedajúce finančné prostriedky</w:t>
      </w:r>
      <w:r w:rsidR="00A750A1" w:rsidRPr="00856844">
        <w:t>.</w:t>
      </w:r>
    </w:p>
    <w:p w14:paraId="3E49BB54" w14:textId="77777777" w:rsidR="001A7878" w:rsidRPr="00B81300" w:rsidRDefault="001A7878" w:rsidP="006E7C22">
      <w:pPr>
        <w:jc w:val="both"/>
        <w:rPr>
          <w:highlight w:val="yellow"/>
        </w:rPr>
      </w:pPr>
    </w:p>
    <w:p w14:paraId="07F5FBAC" w14:textId="00E48245" w:rsidR="000863D4" w:rsidRPr="00700FA3" w:rsidRDefault="00FF0836" w:rsidP="008C62CF">
      <w:pPr>
        <w:jc w:val="both"/>
      </w:pPr>
      <w:r w:rsidRPr="003E2DAE">
        <w:t>M</w:t>
      </w:r>
      <w:r w:rsidR="00875584" w:rsidRPr="003E2DAE">
        <w:t>está</w:t>
      </w:r>
      <w:r w:rsidR="006E7C22" w:rsidRPr="003E2DAE">
        <w:t xml:space="preserve"> </w:t>
      </w:r>
      <w:r w:rsidRPr="003E2DAE">
        <w:t xml:space="preserve">a obce </w:t>
      </w:r>
      <w:r w:rsidR="006E7C22" w:rsidRPr="003E2DAE">
        <w:t>identifikovali</w:t>
      </w:r>
      <w:r w:rsidR="00875584" w:rsidRPr="003E2DAE">
        <w:t xml:space="preserve"> viacero </w:t>
      </w:r>
      <w:r w:rsidR="007A662F" w:rsidRPr="003E2DAE">
        <w:rPr>
          <w:rFonts w:eastAsia="Cambria"/>
        </w:rPr>
        <w:t xml:space="preserve">legislatívnych zmien </w:t>
      </w:r>
      <w:r w:rsidR="00FD0359" w:rsidRPr="003E2DAE">
        <w:rPr>
          <w:rFonts w:eastAsia="Cambria"/>
        </w:rPr>
        <w:t xml:space="preserve">prijatých </w:t>
      </w:r>
      <w:r w:rsidR="007A662F" w:rsidRPr="003E2DAE">
        <w:rPr>
          <w:rFonts w:eastAsia="Cambria"/>
        </w:rPr>
        <w:t xml:space="preserve">v priebehu </w:t>
      </w:r>
      <w:r w:rsidR="003E2DAE" w:rsidRPr="003E2DAE">
        <w:rPr>
          <w:rFonts w:eastAsia="Cambria"/>
        </w:rPr>
        <w:t>rokov</w:t>
      </w:r>
      <w:r w:rsidR="007A662F" w:rsidRPr="003E2DAE">
        <w:rPr>
          <w:rFonts w:eastAsia="Cambria"/>
        </w:rPr>
        <w:t xml:space="preserve"> 201</w:t>
      </w:r>
      <w:r w:rsidR="00FD0359" w:rsidRPr="003E2DAE">
        <w:rPr>
          <w:rFonts w:eastAsia="Cambria"/>
        </w:rPr>
        <w:t xml:space="preserve">8 </w:t>
      </w:r>
      <w:r w:rsidR="003E2DAE" w:rsidRPr="003E2DAE">
        <w:rPr>
          <w:rFonts w:eastAsia="Cambria"/>
        </w:rPr>
        <w:t>a 2019</w:t>
      </w:r>
      <w:r w:rsidR="000863D4" w:rsidRPr="003E2DAE">
        <w:rPr>
          <w:rFonts w:eastAsia="Cambria"/>
        </w:rPr>
        <w:t xml:space="preserve">, </w:t>
      </w:r>
      <w:r w:rsidR="003E2DAE" w:rsidRPr="003E2DAE">
        <w:rPr>
          <w:rFonts w:eastAsia="Cambria"/>
        </w:rPr>
        <w:t xml:space="preserve">ktoré ovplyvnili vývoj ich </w:t>
      </w:r>
      <w:r w:rsidR="000863D4" w:rsidRPr="003E2DAE">
        <w:rPr>
          <w:rFonts w:eastAsia="Cambria"/>
        </w:rPr>
        <w:t xml:space="preserve">príjmov </w:t>
      </w:r>
      <w:r w:rsidR="003E2DAE" w:rsidRPr="003E2DAE">
        <w:rPr>
          <w:rFonts w:eastAsia="Cambria"/>
        </w:rPr>
        <w:t>a </w:t>
      </w:r>
      <w:r w:rsidR="000863D4" w:rsidRPr="003E2DAE">
        <w:rPr>
          <w:rFonts w:eastAsia="Cambria"/>
        </w:rPr>
        <w:t xml:space="preserve">výdavkov </w:t>
      </w:r>
      <w:r w:rsidR="004A3ED7" w:rsidRPr="003E2DAE">
        <w:rPr>
          <w:rFonts w:eastAsia="Cambria"/>
        </w:rPr>
        <w:t>(bližšie informácie</w:t>
      </w:r>
      <w:r w:rsidR="003E2DAE">
        <w:rPr>
          <w:rFonts w:eastAsia="Cambria"/>
        </w:rPr>
        <w:t>, vrátane vyčíslenia ich vplyvov,</w:t>
      </w:r>
      <w:r w:rsidR="003E2DAE" w:rsidRPr="003E2DAE">
        <w:rPr>
          <w:rFonts w:eastAsia="Cambria"/>
        </w:rPr>
        <w:t xml:space="preserve"> </w:t>
      </w:r>
      <w:r w:rsidR="004A3ED7" w:rsidRPr="003E2DAE">
        <w:rPr>
          <w:rFonts w:eastAsia="Cambria"/>
        </w:rPr>
        <w:t xml:space="preserve">sú uvedené v prílohe č. </w:t>
      </w:r>
      <w:r w:rsidR="00A4280B" w:rsidRPr="003E2DAE">
        <w:rPr>
          <w:rFonts w:eastAsia="Cambria"/>
        </w:rPr>
        <w:t>5</w:t>
      </w:r>
      <w:r w:rsidR="004A3ED7" w:rsidRPr="003E2DAE">
        <w:rPr>
          <w:rFonts w:eastAsia="Cambria"/>
        </w:rPr>
        <w:t>)</w:t>
      </w:r>
      <w:r w:rsidR="0082192C" w:rsidRPr="003E2DAE">
        <w:t>.</w:t>
      </w:r>
      <w:r w:rsidR="00AC13D4">
        <w:t xml:space="preserve"> </w:t>
      </w:r>
      <w:r w:rsidR="000863D4" w:rsidRPr="007A662F">
        <w:t>Niektoré zmeny súvisia s bežným fungovaním samosprávy</w:t>
      </w:r>
      <w:r w:rsidR="00175DAC" w:rsidRPr="007A662F">
        <w:t xml:space="preserve"> </w:t>
      </w:r>
      <w:r w:rsidR="00B41332" w:rsidRPr="007A662F">
        <w:t>a</w:t>
      </w:r>
      <w:r w:rsidR="00175DAC" w:rsidRPr="007A662F">
        <w:t xml:space="preserve"> vedú k nárastu mzdových výdavkov</w:t>
      </w:r>
      <w:r w:rsidR="00592EE1" w:rsidRPr="007A662F">
        <w:t>. Ide</w:t>
      </w:r>
      <w:r w:rsidR="000863D4" w:rsidRPr="007A662F">
        <w:t xml:space="preserve"> </w:t>
      </w:r>
      <w:r w:rsidR="00592EE1" w:rsidRPr="007A662F">
        <w:t xml:space="preserve">o </w:t>
      </w:r>
      <w:r w:rsidR="000863D4" w:rsidRPr="007A662F">
        <w:t>zmeny v systéme odmeňovania zamestnancov vo verejnej správe</w:t>
      </w:r>
      <w:r w:rsidR="005D60D9">
        <w:t>, zvyšovanie minimálnej mzdy a jej naviazanie na vývoj priemernej mzdy v ekonomike</w:t>
      </w:r>
      <w:r w:rsidR="0081209F">
        <w:t xml:space="preserve"> </w:t>
      </w:r>
      <w:r w:rsidR="00592EE1" w:rsidRPr="007A662F">
        <w:t>a</w:t>
      </w:r>
      <w:r w:rsidR="00A34451">
        <w:t> </w:t>
      </w:r>
      <w:r w:rsidR="009A035C" w:rsidRPr="007A662F">
        <w:t>financovanie</w:t>
      </w:r>
      <w:r w:rsidR="000863D4" w:rsidRPr="007A662F">
        <w:t xml:space="preserve"> rekreačných poukážok</w:t>
      </w:r>
      <w:r w:rsidR="00592EE1" w:rsidRPr="007A662F">
        <w:t xml:space="preserve">. </w:t>
      </w:r>
      <w:r w:rsidR="003E2DAE">
        <w:t>Zmeny sa týkajú aj odmeňovania pedagogických zamestnancov v regionálnom školstve, ktoré je v kompetencii samospráv.</w:t>
      </w:r>
      <w:r w:rsidR="00592EE1" w:rsidRPr="007A662F">
        <w:t xml:space="preserve"> </w:t>
      </w:r>
      <w:r w:rsidR="00592EE1" w:rsidRPr="00700FA3">
        <w:t>Ďalši</w:t>
      </w:r>
      <w:r w:rsidR="003E2DAE" w:rsidRPr="00700FA3">
        <w:t>a skupina zmien</w:t>
      </w:r>
      <w:r w:rsidR="00592EE1" w:rsidRPr="00700FA3">
        <w:t xml:space="preserve"> poved</w:t>
      </w:r>
      <w:r w:rsidR="003E2DAE" w:rsidRPr="00700FA3">
        <w:t>ie</w:t>
      </w:r>
      <w:r w:rsidR="00592EE1" w:rsidRPr="00700FA3">
        <w:t xml:space="preserve"> k</w:t>
      </w:r>
      <w:r w:rsidR="00175DAC" w:rsidRPr="00700FA3">
        <w:t> vyšším prevádzkovým výdavkom vrátane potreby dodatočných investícií</w:t>
      </w:r>
      <w:r w:rsidR="00EE714D" w:rsidRPr="00700FA3">
        <w:t xml:space="preserve"> </w:t>
      </w:r>
      <w:r w:rsidR="00175DAC" w:rsidRPr="00700FA3">
        <w:t xml:space="preserve">(zabezpečenie </w:t>
      </w:r>
      <w:r w:rsidR="003E2DAE" w:rsidRPr="00700FA3">
        <w:t>povinného predprimárneho vzdelávania od 1. januára 2021</w:t>
      </w:r>
      <w:r w:rsidR="00700FA3" w:rsidRPr="00700FA3">
        <w:t xml:space="preserve">, </w:t>
      </w:r>
      <w:r w:rsidR="00700FA3">
        <w:t>obedy zadarmo</w:t>
      </w:r>
      <w:r w:rsidR="00175DAC">
        <w:t xml:space="preserve"> v </w:t>
      </w:r>
      <w:r w:rsidR="00700FA3">
        <w:t xml:space="preserve">materských a základných </w:t>
      </w:r>
      <w:r w:rsidR="00175DAC">
        <w:t>školách</w:t>
      </w:r>
      <w:r w:rsidR="00700FA3">
        <w:t xml:space="preserve">, starostlivosť o chodníky, </w:t>
      </w:r>
      <w:r w:rsidR="00700FA3" w:rsidRPr="00700FA3">
        <w:t>splnenie štandardov pre informačné systémy, kybernetická bezpečnosť</w:t>
      </w:r>
      <w:r w:rsidR="003E2DAE" w:rsidRPr="00700FA3">
        <w:t>)</w:t>
      </w:r>
      <w:r w:rsidR="00700FA3" w:rsidRPr="00700FA3">
        <w:t xml:space="preserve"> a nárast výdavkov na bežné transfery (zvýšené platby pre neverejných poskytovateľov sociálnych služieb)</w:t>
      </w:r>
      <w:r w:rsidR="00175DAC" w:rsidRPr="00700FA3">
        <w:t xml:space="preserve">. </w:t>
      </w:r>
      <w:r w:rsidR="00592EE1" w:rsidRPr="00700FA3">
        <w:t>Tretia skupina zmien</w:t>
      </w:r>
      <w:r w:rsidR="000863D4" w:rsidRPr="00700FA3">
        <w:t xml:space="preserve"> ovplyvnil</w:t>
      </w:r>
      <w:r w:rsidR="00592EE1" w:rsidRPr="00700FA3">
        <w:t>a</w:t>
      </w:r>
      <w:r w:rsidR="000863D4" w:rsidRPr="00700FA3">
        <w:t xml:space="preserve"> výnos dane z príjmov fyzických osôb, ktorá je zdrojom financovania samospráv (</w:t>
      </w:r>
      <w:r w:rsidR="00700FA3" w:rsidRPr="00700FA3">
        <w:t>najvýznamnejší vplyv malo</w:t>
      </w:r>
      <w:r w:rsidR="000863D4" w:rsidRPr="00700FA3">
        <w:t xml:space="preserve"> zvýšenie daňového bonusu pre rodičov detí do 6 rokov, vyplácanie daňovo oslobodeného 13. a 14. platu</w:t>
      </w:r>
      <w:r w:rsidR="003E2DAE" w:rsidRPr="00700FA3">
        <w:t>, úprava súm životného minima</w:t>
      </w:r>
      <w:r w:rsidR="000863D4" w:rsidRPr="00700FA3">
        <w:t xml:space="preserve">). </w:t>
      </w:r>
    </w:p>
    <w:p w14:paraId="4DFA3262" w14:textId="77777777" w:rsidR="000863D4" w:rsidRPr="004A79A6" w:rsidRDefault="000863D4" w:rsidP="008C62CF">
      <w:pPr>
        <w:jc w:val="both"/>
      </w:pPr>
    </w:p>
    <w:p w14:paraId="6E24D612" w14:textId="41CDEC46" w:rsidR="009B3F49" w:rsidRPr="00D97ED6" w:rsidRDefault="009B3F49" w:rsidP="00EE1735">
      <w:pPr>
        <w:jc w:val="both"/>
      </w:pPr>
      <w:r w:rsidRPr="00D97ED6">
        <w:rPr>
          <w:b/>
        </w:rPr>
        <w:t>Ustanovenie ústavného zákona o rozpočtovej zodpovednosti o zabezpečení primeraného financovania samospráv pri nových úlohách sa vzťahuje na nové úlohy</w:t>
      </w:r>
      <w:r w:rsidR="002A2C0B" w:rsidRPr="00D97ED6">
        <w:rPr>
          <w:rStyle w:val="FootnoteReference"/>
          <w:b/>
        </w:rPr>
        <w:footnoteReference w:id="50"/>
      </w:r>
      <w:r w:rsidRPr="00D97ED6">
        <w:rPr>
          <w:b/>
        </w:rPr>
        <w:t xml:space="preserve"> pri výkone originálnej právomoci územnej samosprávy</w:t>
      </w:r>
      <w:r w:rsidRPr="00D97ED6">
        <w:rPr>
          <w:rStyle w:val="FootnoteReference"/>
        </w:rPr>
        <w:footnoteReference w:id="51"/>
      </w:r>
      <w:r w:rsidRPr="00D97ED6">
        <w:t>.</w:t>
      </w:r>
      <w:r w:rsidR="002A2C0B" w:rsidRPr="00D97ED6">
        <w:t xml:space="preserve"> Nie každá legislatívna zmena ovplyvňujúca rozpočty samospráv spadá pod toto ustanovenie. Príkladom je zvyšovanie minimálnej mzdy, ktorá sa síce dotkne aj samosprávy, ale ovplyvňuje aj iné subjekty v</w:t>
      </w:r>
      <w:r w:rsidR="00E8012A" w:rsidRPr="00D97ED6">
        <w:t> </w:t>
      </w:r>
      <w:r w:rsidR="002A2C0B" w:rsidRPr="00D97ED6">
        <w:t>ekonomike</w:t>
      </w:r>
      <w:r w:rsidR="00E8012A" w:rsidRPr="00D97ED6">
        <w:t xml:space="preserve"> (ďalšie príklady sú popísané v boxe </w:t>
      </w:r>
      <w:r w:rsidR="00163A0C" w:rsidRPr="004A79A6">
        <w:t>4</w:t>
      </w:r>
      <w:r w:rsidR="00E8012A" w:rsidRPr="00D97ED6">
        <w:t>)</w:t>
      </w:r>
      <w:r w:rsidR="002A2C0B" w:rsidRPr="00D97ED6">
        <w:t>. Hraničným prípadom je situácia, ke</w:t>
      </w:r>
      <w:r w:rsidR="006C2DA0" w:rsidRPr="00D97ED6">
        <w:t>dy</w:t>
      </w:r>
      <w:r w:rsidR="002A2C0B" w:rsidRPr="00D97ED6">
        <w:t xml:space="preserve"> </w:t>
      </w:r>
      <w:r w:rsidR="006C2DA0" w:rsidRPr="00D97ED6">
        <w:t xml:space="preserve">sa obsah existujúcej úlohy tak zmení, že si vyžiada adekvátnu finančnú kompenzáciu v zmysle ústavného zákona. </w:t>
      </w:r>
      <w:r w:rsidR="00E8012A" w:rsidRPr="00D97ED6">
        <w:t>Túto situáciu by však mohol definitívne posúdiť len Ústavný súd SR</w:t>
      </w:r>
      <w:r w:rsidR="00E8012A" w:rsidRPr="00D97ED6">
        <w:rPr>
          <w:rStyle w:val="FootnoteReference"/>
        </w:rPr>
        <w:footnoteReference w:id="52"/>
      </w:r>
      <w:r w:rsidR="00E8012A" w:rsidRPr="00D97ED6">
        <w:t>.</w:t>
      </w:r>
      <w:r w:rsidR="006C2DA0" w:rsidRPr="00D97ED6">
        <w:t xml:space="preserve"> </w:t>
      </w:r>
    </w:p>
    <w:p w14:paraId="4753A019" w14:textId="6E31BCBD" w:rsidR="003E2DAE" w:rsidRPr="00D97ED6" w:rsidRDefault="003E2DAE" w:rsidP="00EE1735">
      <w:pPr>
        <w:jc w:val="both"/>
      </w:pPr>
    </w:p>
    <w:p w14:paraId="0522A0D1" w14:textId="53F5C1D4" w:rsidR="003E2DAE" w:rsidRDefault="00963672" w:rsidP="00EE1735">
      <w:pPr>
        <w:jc w:val="both"/>
        <w:rPr>
          <w:b/>
        </w:rPr>
      </w:pPr>
      <w:r w:rsidRPr="00D97ED6">
        <w:rPr>
          <w:b/>
        </w:rPr>
        <w:lastRenderedPageBreak/>
        <w:t xml:space="preserve">Pri použití tejto interpretácie príslušného ustanovenia </w:t>
      </w:r>
      <w:r w:rsidR="003E2DAE" w:rsidRPr="00D97ED6">
        <w:rPr>
          <w:b/>
        </w:rPr>
        <w:t>ústavného zákona o rozpočtovej zodpovednosti nedošlo podľa RRZ v priebehu roku 2019 k vytvoreniu nových úloh pre samosprávu, ktorá by si vyžadovala zabezpečenie jej financovania zo strany štátu.</w:t>
      </w:r>
    </w:p>
    <w:p w14:paraId="1619D0C3" w14:textId="776A8E25" w:rsidR="00E35E94" w:rsidRDefault="00E35E94" w:rsidP="00EE1735">
      <w:pPr>
        <w:jc w:val="both"/>
        <w:rPr>
          <w:b/>
        </w:rPr>
      </w:pPr>
    </w:p>
    <w:p w14:paraId="46C0C303" w14:textId="77B0AF27" w:rsidR="00FA084A" w:rsidRDefault="00257591" w:rsidP="00EE1735">
      <w:pPr>
        <w:jc w:val="both"/>
        <w:rPr>
          <w:b/>
        </w:rPr>
      </w:pPr>
      <w:r w:rsidRPr="004A79A6">
        <w:rPr>
          <w:bCs/>
        </w:rPr>
        <w:t xml:space="preserve">Ústavný zákon o rozpočtovej zodpovednosti ochraňuje samosprávy </w:t>
      </w:r>
      <w:r w:rsidR="00FA084A" w:rsidRPr="004A79A6">
        <w:rPr>
          <w:bCs/>
        </w:rPr>
        <w:t>v</w:t>
      </w:r>
      <w:r w:rsidR="00FA084A">
        <w:rPr>
          <w:bCs/>
        </w:rPr>
        <w:t> </w:t>
      </w:r>
      <w:r w:rsidRPr="004A79A6">
        <w:rPr>
          <w:bCs/>
        </w:rPr>
        <w:t>situáciách</w:t>
      </w:r>
      <w:r w:rsidR="00FA084A">
        <w:rPr>
          <w:bCs/>
        </w:rPr>
        <w:t>,</w:t>
      </w:r>
      <w:r w:rsidRPr="004A79A6">
        <w:rPr>
          <w:bCs/>
        </w:rPr>
        <w:t xml:space="preserve"> keď je im zákonom priradená nová kompetencia a keď dochádza k narušeniu ich financovania vo veľkom rozsahu, či už cez daňové príjmy alebo potrebu navyšovania výdavkov v rámci existujúcich kompetencií. Nezahŕňa</w:t>
      </w:r>
      <w:r w:rsidR="00FA084A">
        <w:rPr>
          <w:bCs/>
        </w:rPr>
        <w:t xml:space="preserve"> však</w:t>
      </w:r>
      <w:r w:rsidRPr="004A79A6">
        <w:rPr>
          <w:bCs/>
        </w:rPr>
        <w:t xml:space="preserve"> </w:t>
      </w:r>
      <w:r w:rsidR="00FA084A">
        <w:rPr>
          <w:bCs/>
        </w:rPr>
        <w:t>zmeny v kompetenciách, ktoré nemajú významné finančné vplyvy</w:t>
      </w:r>
      <w:r w:rsidR="00025202">
        <w:rPr>
          <w:bCs/>
        </w:rPr>
        <w:t xml:space="preserve">, pričom samotné posúdenie </w:t>
      </w:r>
      <w:r w:rsidR="00D63BA5">
        <w:rPr>
          <w:bCs/>
        </w:rPr>
        <w:t>významnosti</w:t>
      </w:r>
      <w:r w:rsidR="00025202">
        <w:rPr>
          <w:bCs/>
        </w:rPr>
        <w:t xml:space="preserve"> </w:t>
      </w:r>
      <w:r w:rsidR="00987FA0">
        <w:rPr>
          <w:bCs/>
        </w:rPr>
        <w:t>nie je možné jednoznačne vyhodnotiť</w:t>
      </w:r>
      <w:r w:rsidRPr="004A79A6">
        <w:rPr>
          <w:bCs/>
        </w:rPr>
        <w:t>.</w:t>
      </w:r>
      <w:r w:rsidRPr="00257591">
        <w:rPr>
          <w:b/>
        </w:rPr>
        <w:t xml:space="preserve"> </w:t>
      </w:r>
      <w:r w:rsidR="00FA084A" w:rsidRPr="004A79A6">
        <w:rPr>
          <w:bCs/>
        </w:rPr>
        <w:t xml:space="preserve">Z tohto pohľadu je potrebné pozrieť sa </w:t>
      </w:r>
      <w:r w:rsidR="00FA084A">
        <w:rPr>
          <w:bCs/>
        </w:rPr>
        <w:t xml:space="preserve">na </w:t>
      </w:r>
      <w:r w:rsidR="00FA084A" w:rsidRPr="004A79A6">
        <w:rPr>
          <w:bCs/>
        </w:rPr>
        <w:t>vývoj ich úloh v kontexte dlhšieho časového obdobia a tiež toho, ako sa v čase tieto úlohy menia aj vo vzťahu k ich finančným zdrojom.</w:t>
      </w:r>
      <w:r w:rsidR="00FA084A">
        <w:rPr>
          <w:b/>
        </w:rPr>
        <w:t xml:space="preserve"> </w:t>
      </w:r>
    </w:p>
    <w:p w14:paraId="53D16BC9" w14:textId="77777777" w:rsidR="00D54C8A" w:rsidRDefault="00D54C8A" w:rsidP="00EE1735">
      <w:pPr>
        <w:jc w:val="both"/>
        <w:rPr>
          <w:b/>
        </w:rPr>
      </w:pPr>
    </w:p>
    <w:tbl>
      <w:tblPr>
        <w:tblW w:w="9072" w:type="dxa"/>
        <w:jc w:val="center"/>
        <w:tblBorders>
          <w:top w:val="single" w:sz="12" w:space="0" w:color="00B0F0"/>
          <w:left w:val="single" w:sz="12" w:space="0" w:color="00B0F0"/>
          <w:bottom w:val="single" w:sz="12" w:space="0" w:color="00B0F0"/>
          <w:right w:val="single" w:sz="12" w:space="0" w:color="00B0F0"/>
          <w:insideH w:val="single" w:sz="12" w:space="0" w:color="00B0F0"/>
          <w:insideV w:val="single" w:sz="12" w:space="0" w:color="00B0F0"/>
        </w:tblBorders>
        <w:shd w:val="clear" w:color="auto" w:fill="AAE4F8"/>
        <w:tblLayout w:type="fixed"/>
        <w:tblLook w:val="04A0" w:firstRow="1" w:lastRow="0" w:firstColumn="1" w:lastColumn="0" w:noHBand="0" w:noVBand="1"/>
      </w:tblPr>
      <w:tblGrid>
        <w:gridCol w:w="9072"/>
      </w:tblGrid>
      <w:tr w:rsidR="006A17E6" w:rsidRPr="00B81300" w14:paraId="7FC5E7F0" w14:textId="77777777" w:rsidTr="002C0960">
        <w:trPr>
          <w:trHeight w:val="1246"/>
          <w:jc w:val="center"/>
        </w:trPr>
        <w:tc>
          <w:tcPr>
            <w:tcW w:w="9072" w:type="dxa"/>
            <w:shd w:val="clear" w:color="auto" w:fill="AAE4F8"/>
          </w:tcPr>
          <w:p w14:paraId="45F15E2B" w14:textId="77777777" w:rsidR="006A17E6" w:rsidRPr="00B81300" w:rsidRDefault="006A17E6" w:rsidP="0018276F">
            <w:pPr>
              <w:jc w:val="both"/>
              <w:rPr>
                <w:sz w:val="10"/>
                <w:szCs w:val="10"/>
                <w:highlight w:val="yellow"/>
              </w:rPr>
            </w:pPr>
          </w:p>
          <w:p w14:paraId="57B67C19" w14:textId="28581D85" w:rsidR="006A17E6" w:rsidRPr="00A473CF" w:rsidRDefault="006A17E6" w:rsidP="0018276F">
            <w:pPr>
              <w:pStyle w:val="box"/>
              <w:rPr>
                <w:sz w:val="20"/>
                <w:lang w:val="sk-SK"/>
              </w:rPr>
            </w:pPr>
            <w:bookmarkStart w:id="566" w:name="_Toc49506894"/>
            <w:r w:rsidRPr="00027581">
              <w:rPr>
                <w:sz w:val="20"/>
                <w:lang w:val="sk-SK"/>
              </w:rPr>
              <w:t xml:space="preserve">Box </w:t>
            </w:r>
            <w:r w:rsidR="00163A0C">
              <w:rPr>
                <w:sz w:val="20"/>
                <w:lang w:val="sk-SK"/>
              </w:rPr>
              <w:t>4</w:t>
            </w:r>
            <w:r w:rsidRPr="00027581">
              <w:rPr>
                <w:sz w:val="20"/>
                <w:lang w:val="sk-SK"/>
              </w:rPr>
              <w:t>:</w:t>
            </w:r>
            <w:r w:rsidRPr="00A473CF">
              <w:rPr>
                <w:sz w:val="20"/>
                <w:lang w:val="sk-SK"/>
              </w:rPr>
              <w:t xml:space="preserve"> </w:t>
            </w:r>
            <w:r>
              <w:rPr>
                <w:sz w:val="20"/>
                <w:lang w:val="sk-SK"/>
              </w:rPr>
              <w:t>Vybrané opatrenia ovplyvňujúce hospodárenie samospráv</w:t>
            </w:r>
            <w:bookmarkEnd w:id="566"/>
          </w:p>
          <w:p w14:paraId="0EC3BB2E" w14:textId="77777777" w:rsidR="006A17E6" w:rsidRPr="00B81300" w:rsidRDefault="006A17E6" w:rsidP="0018276F">
            <w:pPr>
              <w:jc w:val="both"/>
              <w:rPr>
                <w:sz w:val="16"/>
                <w:highlight w:val="yellow"/>
              </w:rPr>
            </w:pPr>
          </w:p>
          <w:p w14:paraId="30390D1E" w14:textId="23E110F2" w:rsidR="006A17E6" w:rsidRPr="0068335B" w:rsidRDefault="009B3F49" w:rsidP="006A17E6">
            <w:pPr>
              <w:jc w:val="both"/>
              <w:rPr>
                <w:sz w:val="20"/>
                <w:szCs w:val="36"/>
                <w:highlight w:val="green"/>
              </w:rPr>
            </w:pPr>
            <w:r w:rsidRPr="001809A7">
              <w:rPr>
                <w:sz w:val="20"/>
                <w:szCs w:val="36"/>
              </w:rPr>
              <w:t xml:space="preserve">V minuloročnej správe z augusta 2019 RRZ uviedla príklad dvoch legislatívnych zmien, v ktorých </w:t>
            </w:r>
            <w:r w:rsidR="001809A7" w:rsidRPr="001809A7">
              <w:rPr>
                <w:sz w:val="20"/>
                <w:szCs w:val="36"/>
              </w:rPr>
              <w:t xml:space="preserve">chýbali vyčíslenia </w:t>
            </w:r>
            <w:r w:rsidR="001809A7">
              <w:rPr>
                <w:sz w:val="20"/>
                <w:szCs w:val="36"/>
              </w:rPr>
              <w:t>ich vplyvov na verejné financie</w:t>
            </w:r>
            <w:r w:rsidR="001809A7" w:rsidRPr="001809A7">
              <w:rPr>
                <w:sz w:val="20"/>
                <w:szCs w:val="36"/>
              </w:rPr>
              <w:t xml:space="preserve">, </w:t>
            </w:r>
            <w:r w:rsidR="001809A7">
              <w:rPr>
                <w:sz w:val="20"/>
                <w:szCs w:val="36"/>
              </w:rPr>
              <w:t>pričom</w:t>
            </w:r>
            <w:r w:rsidR="001809A7" w:rsidRPr="001809A7">
              <w:rPr>
                <w:sz w:val="20"/>
                <w:szCs w:val="36"/>
              </w:rPr>
              <w:t xml:space="preserve"> </w:t>
            </w:r>
            <w:r w:rsidR="001809A7">
              <w:rPr>
                <w:sz w:val="20"/>
                <w:szCs w:val="36"/>
              </w:rPr>
              <w:t>zvyšovali finančnú záťaž</w:t>
            </w:r>
            <w:r w:rsidR="001809A7" w:rsidRPr="001809A7">
              <w:rPr>
                <w:sz w:val="20"/>
                <w:szCs w:val="36"/>
              </w:rPr>
              <w:t xml:space="preserve"> samospráv.</w:t>
            </w:r>
            <w:r>
              <w:rPr>
                <w:sz w:val="20"/>
                <w:szCs w:val="36"/>
                <w:highlight w:val="green"/>
              </w:rPr>
              <w:t xml:space="preserve"> </w:t>
            </w:r>
            <w:r w:rsidR="001809A7">
              <w:rPr>
                <w:sz w:val="20"/>
                <w:szCs w:val="36"/>
              </w:rPr>
              <w:t>Konkrétne išlo o</w:t>
            </w:r>
            <w:r w:rsidR="001809A7" w:rsidRPr="001809A7">
              <w:rPr>
                <w:rFonts w:cs="Arial"/>
                <w:sz w:val="20"/>
              </w:rPr>
              <w:t xml:space="preserve"> odhad vplyvu</w:t>
            </w:r>
            <w:r w:rsidR="001809A7">
              <w:rPr>
                <w:rFonts w:cs="Arial"/>
                <w:sz w:val="20"/>
              </w:rPr>
              <w:t xml:space="preserve"> </w:t>
            </w:r>
            <w:r w:rsidR="001809A7" w:rsidRPr="001809A7">
              <w:rPr>
                <w:rFonts w:cs="Arial"/>
                <w:sz w:val="20"/>
              </w:rPr>
              <w:t>prenesenia</w:t>
            </w:r>
            <w:r w:rsidR="001809A7">
              <w:rPr>
                <w:rFonts w:cs="Arial"/>
                <w:sz w:val="20"/>
              </w:rPr>
              <w:t xml:space="preserve"> </w:t>
            </w:r>
            <w:r w:rsidR="001809A7" w:rsidRPr="001809A7">
              <w:rPr>
                <w:rFonts w:cs="Arial"/>
                <w:sz w:val="20"/>
              </w:rPr>
              <w:t>zodpovednosti pri starostlivosti o</w:t>
            </w:r>
            <w:r w:rsidR="001809A7">
              <w:rPr>
                <w:rFonts w:cs="Arial"/>
                <w:sz w:val="20"/>
              </w:rPr>
              <w:t xml:space="preserve"> </w:t>
            </w:r>
            <w:r w:rsidR="001809A7" w:rsidRPr="001809A7">
              <w:rPr>
                <w:rFonts w:cs="Arial"/>
                <w:sz w:val="20"/>
              </w:rPr>
              <w:t>chodníky vo svojom vlastníctve na</w:t>
            </w:r>
            <w:r w:rsidR="001809A7">
              <w:rPr>
                <w:rFonts w:cs="Arial"/>
                <w:sz w:val="20"/>
              </w:rPr>
              <w:t xml:space="preserve"> </w:t>
            </w:r>
            <w:r w:rsidR="001809A7" w:rsidRPr="001809A7">
              <w:rPr>
                <w:rFonts w:cs="Arial"/>
                <w:sz w:val="20"/>
              </w:rPr>
              <w:t>samospráv</w:t>
            </w:r>
            <w:r w:rsidR="001809A7">
              <w:rPr>
                <w:rFonts w:cs="Arial"/>
                <w:sz w:val="20"/>
              </w:rPr>
              <w:t xml:space="preserve">u (tzv. chodníková novela) </w:t>
            </w:r>
            <w:r w:rsidR="001809A7" w:rsidRPr="001809A7">
              <w:rPr>
                <w:rFonts w:cs="Arial"/>
                <w:sz w:val="20"/>
              </w:rPr>
              <w:t>a</w:t>
            </w:r>
            <w:r w:rsidR="001809A7">
              <w:rPr>
                <w:rFonts w:cs="Arial"/>
                <w:sz w:val="20"/>
              </w:rPr>
              <w:t xml:space="preserve"> n</w:t>
            </w:r>
            <w:r w:rsidR="001809A7" w:rsidRPr="001809A7">
              <w:rPr>
                <w:rFonts w:cs="Arial"/>
                <w:sz w:val="20"/>
              </w:rPr>
              <w:t>egatívne rozpočtové vplyvy</w:t>
            </w:r>
            <w:r w:rsidR="001809A7">
              <w:rPr>
                <w:rFonts w:cs="Arial"/>
                <w:sz w:val="20"/>
              </w:rPr>
              <w:t xml:space="preserve"> </w:t>
            </w:r>
            <w:r w:rsidR="001809A7" w:rsidRPr="001809A7">
              <w:rPr>
                <w:rFonts w:cs="Arial"/>
                <w:sz w:val="20"/>
              </w:rPr>
              <w:t>zabezpečenia</w:t>
            </w:r>
            <w:r w:rsidR="001809A7">
              <w:rPr>
                <w:rFonts w:cs="Arial"/>
                <w:sz w:val="20"/>
              </w:rPr>
              <w:t xml:space="preserve"> </w:t>
            </w:r>
            <w:r w:rsidR="001809A7" w:rsidRPr="001809A7">
              <w:rPr>
                <w:rFonts w:cs="Arial"/>
                <w:sz w:val="20"/>
              </w:rPr>
              <w:t>bezplatného stravovania v</w:t>
            </w:r>
            <w:r w:rsidR="001809A7">
              <w:rPr>
                <w:rFonts w:cs="Arial"/>
                <w:sz w:val="20"/>
              </w:rPr>
              <w:t xml:space="preserve"> </w:t>
            </w:r>
            <w:r w:rsidR="001809A7" w:rsidRPr="001809A7">
              <w:rPr>
                <w:rFonts w:cs="Arial"/>
                <w:sz w:val="20"/>
              </w:rPr>
              <w:t>základných školách</w:t>
            </w:r>
            <w:r w:rsidR="001809A7">
              <w:rPr>
                <w:rFonts w:cs="Arial"/>
                <w:sz w:val="20"/>
              </w:rPr>
              <w:t xml:space="preserve"> </w:t>
            </w:r>
            <w:r w:rsidR="001809A7" w:rsidRPr="001809A7">
              <w:rPr>
                <w:rFonts w:cs="Arial"/>
                <w:sz w:val="20"/>
              </w:rPr>
              <w:t>a</w:t>
            </w:r>
            <w:r w:rsidR="001809A7">
              <w:rPr>
                <w:rFonts w:cs="Arial"/>
                <w:sz w:val="20"/>
              </w:rPr>
              <w:t> </w:t>
            </w:r>
            <w:r w:rsidR="001809A7" w:rsidRPr="001809A7">
              <w:rPr>
                <w:rFonts w:cs="Arial"/>
                <w:sz w:val="20"/>
              </w:rPr>
              <w:t>v</w:t>
            </w:r>
            <w:r w:rsidR="001809A7">
              <w:rPr>
                <w:rFonts w:cs="Arial"/>
                <w:sz w:val="20"/>
              </w:rPr>
              <w:t xml:space="preserve"> </w:t>
            </w:r>
            <w:r w:rsidR="001809A7" w:rsidRPr="001809A7">
              <w:rPr>
                <w:rFonts w:cs="Arial"/>
                <w:sz w:val="20"/>
              </w:rPr>
              <w:t>poslednom roku materských škôl</w:t>
            </w:r>
            <w:r w:rsidR="0097317F">
              <w:rPr>
                <w:rStyle w:val="FootnoteReference"/>
                <w:rFonts w:cs="Arial"/>
                <w:sz w:val="20"/>
              </w:rPr>
              <w:footnoteReference w:id="53"/>
            </w:r>
            <w:r w:rsidR="001809A7" w:rsidRPr="001809A7">
              <w:rPr>
                <w:rFonts w:cs="Arial"/>
                <w:sz w:val="20"/>
              </w:rPr>
              <w:t xml:space="preserve">. RRZ sa na tieto opatrenia pozrela aj z hľadiska </w:t>
            </w:r>
            <w:r w:rsidR="001809A7">
              <w:rPr>
                <w:rFonts w:cs="Arial"/>
                <w:sz w:val="20"/>
              </w:rPr>
              <w:t xml:space="preserve">záverov </w:t>
            </w:r>
            <w:r w:rsidR="001809A7" w:rsidRPr="001809A7">
              <w:rPr>
                <w:rFonts w:cs="Arial"/>
                <w:sz w:val="20"/>
              </w:rPr>
              <w:t>právnej analýzy.</w:t>
            </w:r>
          </w:p>
          <w:p w14:paraId="2DC5A10E" w14:textId="77777777" w:rsidR="00985214" w:rsidRPr="0068335B" w:rsidRDefault="00985214" w:rsidP="006A17E6">
            <w:pPr>
              <w:jc w:val="both"/>
              <w:rPr>
                <w:sz w:val="20"/>
                <w:highlight w:val="green"/>
              </w:rPr>
            </w:pPr>
          </w:p>
          <w:p w14:paraId="1F1C425E" w14:textId="64938AA4" w:rsidR="00985214" w:rsidRPr="0068335B" w:rsidRDefault="00985214" w:rsidP="006A17E6">
            <w:pPr>
              <w:jc w:val="both"/>
              <w:rPr>
                <w:b/>
                <w:sz w:val="20"/>
                <w:highlight w:val="green"/>
              </w:rPr>
            </w:pPr>
            <w:r w:rsidRPr="00604BCF">
              <w:rPr>
                <w:b/>
                <w:sz w:val="20"/>
              </w:rPr>
              <w:t>Chodníková novela</w:t>
            </w:r>
          </w:p>
          <w:p w14:paraId="72115548" w14:textId="070382C2" w:rsidR="00773ED6" w:rsidRPr="0097317F" w:rsidRDefault="00604BCF" w:rsidP="006A17E6">
            <w:pPr>
              <w:jc w:val="both"/>
              <w:rPr>
                <w:sz w:val="20"/>
              </w:rPr>
            </w:pPr>
            <w:r w:rsidRPr="0097317F">
              <w:rPr>
                <w:sz w:val="20"/>
              </w:rPr>
              <w:t xml:space="preserve">Do nadobudnutia účinnosti tejto novely (do 20. </w:t>
            </w:r>
            <w:r w:rsidR="00985214" w:rsidRPr="0097317F">
              <w:rPr>
                <w:sz w:val="20"/>
              </w:rPr>
              <w:t>mája 2018</w:t>
            </w:r>
            <w:r w:rsidRPr="0097317F">
              <w:rPr>
                <w:sz w:val="20"/>
              </w:rPr>
              <w:t>) existovala</w:t>
            </w:r>
            <w:r w:rsidR="00985214" w:rsidRPr="0097317F">
              <w:rPr>
                <w:sz w:val="20"/>
              </w:rPr>
              <w:t xml:space="preserve"> povinnosť, že </w:t>
            </w:r>
            <w:r w:rsidRPr="0097317F">
              <w:rPr>
                <w:sz w:val="20"/>
              </w:rPr>
              <w:t>nedostatky</w:t>
            </w:r>
            <w:r w:rsidR="00985214" w:rsidRPr="0097317F">
              <w:rPr>
                <w:sz w:val="20"/>
              </w:rPr>
              <w:t xml:space="preserve"> v</w:t>
            </w:r>
            <w:r w:rsidR="00A34451">
              <w:rPr>
                <w:sz w:val="20"/>
              </w:rPr>
              <w:t> </w:t>
            </w:r>
            <w:r w:rsidR="00985214" w:rsidRPr="0097317F">
              <w:rPr>
                <w:sz w:val="20"/>
              </w:rPr>
              <w:t>schodnosti chodníkov priľahlých k nehnuteľnosti, ktorá sa nachádza v súvisle zastavanom území a</w:t>
            </w:r>
            <w:r w:rsidR="00A34451">
              <w:rPr>
                <w:sz w:val="20"/>
              </w:rPr>
              <w:t> </w:t>
            </w:r>
            <w:r w:rsidR="00985214" w:rsidRPr="0097317F">
              <w:rPr>
                <w:sz w:val="20"/>
              </w:rPr>
              <w:t xml:space="preserve">hraničí s cestou alebo miestnou komunikáciou, sú povinní bez prieťahov odstraňovať vlastníci, správcovia alebo užívatelia nehnuteľností, pokiaľ tieto </w:t>
            </w:r>
            <w:r w:rsidRPr="0097317F">
              <w:rPr>
                <w:sz w:val="20"/>
              </w:rPr>
              <w:t>ned</w:t>
            </w:r>
            <w:r w:rsidR="0097317F" w:rsidRPr="0097317F">
              <w:rPr>
                <w:sz w:val="20"/>
              </w:rPr>
              <w:t>o</w:t>
            </w:r>
            <w:r w:rsidRPr="0097317F">
              <w:rPr>
                <w:sz w:val="20"/>
              </w:rPr>
              <w:t>statky</w:t>
            </w:r>
            <w:r w:rsidR="00985214" w:rsidRPr="0097317F">
              <w:rPr>
                <w:sz w:val="20"/>
              </w:rPr>
              <w:t xml:space="preserve"> vznikli znečistením, poľadovicou alebo snehom. </w:t>
            </w:r>
          </w:p>
          <w:p w14:paraId="3F3D6F95" w14:textId="77777777" w:rsidR="00773ED6" w:rsidRPr="00604BCF" w:rsidRDefault="00773ED6" w:rsidP="006A17E6">
            <w:pPr>
              <w:jc w:val="both"/>
              <w:rPr>
                <w:sz w:val="20"/>
              </w:rPr>
            </w:pPr>
          </w:p>
          <w:p w14:paraId="791E2B9A" w14:textId="10E4B281" w:rsidR="00985214" w:rsidRPr="00604BCF" w:rsidRDefault="00604BCF" w:rsidP="006A17E6">
            <w:pPr>
              <w:jc w:val="both"/>
              <w:rPr>
                <w:sz w:val="20"/>
              </w:rPr>
            </w:pPr>
            <w:r w:rsidRPr="00604BCF">
              <w:rPr>
                <w:sz w:val="20"/>
              </w:rPr>
              <w:t xml:space="preserve">Podľa </w:t>
            </w:r>
            <w:r w:rsidRPr="004A79A6">
              <w:rPr>
                <w:sz w:val="20"/>
              </w:rPr>
              <w:t>právnej analýzy</w:t>
            </w:r>
            <w:r w:rsidR="00257591" w:rsidRPr="004A79A6">
              <w:rPr>
                <w:rStyle w:val="FootnoteReference"/>
                <w:sz w:val="20"/>
              </w:rPr>
              <w:footnoteReference w:id="54"/>
            </w:r>
            <w:r w:rsidRPr="00604BCF">
              <w:rPr>
                <w:sz w:val="20"/>
              </w:rPr>
              <w:t xml:space="preserve">: </w:t>
            </w:r>
            <w:r w:rsidR="00773ED6" w:rsidRPr="00604BCF">
              <w:rPr>
                <w:sz w:val="20"/>
              </w:rPr>
              <w:t>„</w:t>
            </w:r>
            <w:r w:rsidR="00985214" w:rsidRPr="00604BCF">
              <w:rPr>
                <w:sz w:val="20"/>
              </w:rPr>
              <w:t>Zákonná úprava predstavovala precedens spočívajúci v tom, že zaväzovala určitú skupinu subjektov starať sa o veci patriace do vlastníctva iných subjektov, a to bezodplatne.</w:t>
            </w:r>
            <w:r w:rsidR="00773ED6" w:rsidRPr="00604BCF">
              <w:rPr>
                <w:sz w:val="20"/>
              </w:rPr>
              <w:t xml:space="preserve"> </w:t>
            </w:r>
            <w:r w:rsidR="00985214" w:rsidRPr="00604BCF">
              <w:rPr>
                <w:sz w:val="20"/>
              </w:rPr>
              <w:t>Ak</w:t>
            </w:r>
            <w:r w:rsidR="00172836">
              <w:rPr>
                <w:sz w:val="20"/>
              </w:rPr>
              <w:t> </w:t>
            </w:r>
            <w:r w:rsidR="00985214" w:rsidRPr="00604BCF">
              <w:rPr>
                <w:sz w:val="20"/>
              </w:rPr>
              <w:t>je</w:t>
            </w:r>
            <w:r w:rsidR="00172836">
              <w:rPr>
                <w:sz w:val="20"/>
              </w:rPr>
              <w:t> </w:t>
            </w:r>
            <w:r w:rsidR="00985214" w:rsidRPr="00604BCF">
              <w:rPr>
                <w:sz w:val="20"/>
              </w:rPr>
              <w:t>istému vlastníkovi poskytované zákonné dobrodenie, ktoré môže podľa svojej úvahy zákonodarca zrušiť, pretože na neho neexistuje ústavný nárok, návrat do štandardného režimu nemožno hodnotiť ako novú úlohu územnej samosprávy</w:t>
            </w:r>
            <w:r w:rsidR="00773ED6" w:rsidRPr="00604BCF">
              <w:rPr>
                <w:sz w:val="20"/>
              </w:rPr>
              <w:t>.“</w:t>
            </w:r>
          </w:p>
          <w:p w14:paraId="4CF08F61" w14:textId="43B95015" w:rsidR="00985214" w:rsidRPr="004A79A6" w:rsidRDefault="00985214" w:rsidP="006A17E6">
            <w:pPr>
              <w:jc w:val="both"/>
              <w:rPr>
                <w:sz w:val="20"/>
              </w:rPr>
            </w:pPr>
          </w:p>
          <w:p w14:paraId="6D57C351" w14:textId="2087145E" w:rsidR="00985214" w:rsidRPr="0097317F" w:rsidRDefault="00985214" w:rsidP="006A17E6">
            <w:pPr>
              <w:jc w:val="both"/>
              <w:rPr>
                <w:b/>
                <w:sz w:val="20"/>
              </w:rPr>
            </w:pPr>
            <w:r w:rsidRPr="0097317F">
              <w:rPr>
                <w:b/>
                <w:sz w:val="20"/>
              </w:rPr>
              <w:t>Bezplatné stravovanie v materských a základných školách</w:t>
            </w:r>
          </w:p>
          <w:p w14:paraId="6228AD52" w14:textId="4D9521FA" w:rsidR="00985214" w:rsidRPr="004A79A6" w:rsidRDefault="00E95F79" w:rsidP="006A17E6">
            <w:pPr>
              <w:jc w:val="both"/>
              <w:rPr>
                <w:sz w:val="20"/>
              </w:rPr>
            </w:pPr>
            <w:r w:rsidRPr="00E95F79">
              <w:rPr>
                <w:sz w:val="20"/>
              </w:rPr>
              <w:t>Dotácia na podporu výchovy k stravovacím návykom dieťaťa vo výške 1,20 eura za každý deň o</w:t>
            </w:r>
            <w:r w:rsidR="00773ED6" w:rsidRPr="00E95F79">
              <w:rPr>
                <w:sz w:val="20"/>
              </w:rPr>
              <w:t>d</w:t>
            </w:r>
            <w:r w:rsidR="00CE0448">
              <w:rPr>
                <w:sz w:val="20"/>
              </w:rPr>
              <w:t> </w:t>
            </w:r>
            <w:r w:rsidR="00773ED6" w:rsidRPr="00E95F79">
              <w:rPr>
                <w:sz w:val="20"/>
              </w:rPr>
              <w:t xml:space="preserve">školského roka 2019/2020 </w:t>
            </w:r>
            <w:r w:rsidR="0097317F" w:rsidRPr="00E95F79">
              <w:rPr>
                <w:sz w:val="20"/>
              </w:rPr>
              <w:t>sa vzťahuje iba na</w:t>
            </w:r>
            <w:r w:rsidR="00773ED6" w:rsidRPr="00E95F79">
              <w:rPr>
                <w:sz w:val="20"/>
              </w:rPr>
              <w:t xml:space="preserve"> jedlo</w:t>
            </w:r>
            <w:r w:rsidR="0097317F" w:rsidRPr="00E95F79">
              <w:rPr>
                <w:sz w:val="20"/>
              </w:rPr>
              <w:t xml:space="preserve"> bez zahrnutia </w:t>
            </w:r>
            <w:r w:rsidR="00773ED6" w:rsidRPr="00E95F79">
              <w:rPr>
                <w:sz w:val="20"/>
              </w:rPr>
              <w:t>režijn</w:t>
            </w:r>
            <w:r w:rsidR="0097317F" w:rsidRPr="00E95F79">
              <w:rPr>
                <w:sz w:val="20"/>
              </w:rPr>
              <w:t>ých</w:t>
            </w:r>
            <w:r w:rsidR="00773ED6" w:rsidRPr="00E95F79">
              <w:rPr>
                <w:sz w:val="20"/>
              </w:rPr>
              <w:t xml:space="preserve"> náklad</w:t>
            </w:r>
            <w:r w:rsidR="0097317F" w:rsidRPr="00E95F79">
              <w:rPr>
                <w:sz w:val="20"/>
              </w:rPr>
              <w:t>ov</w:t>
            </w:r>
            <w:r w:rsidR="00773ED6" w:rsidRPr="001D2036">
              <w:rPr>
                <w:sz w:val="20"/>
              </w:rPr>
              <w:t>.</w:t>
            </w:r>
            <w:r w:rsidR="0097317F" w:rsidRPr="001D2036">
              <w:rPr>
                <w:sz w:val="20"/>
              </w:rPr>
              <w:t xml:space="preserve"> Súčasťou </w:t>
            </w:r>
            <w:r w:rsidR="001D2036" w:rsidRPr="001D2036">
              <w:rPr>
                <w:sz w:val="20"/>
              </w:rPr>
              <w:t xml:space="preserve">školského zákona je </w:t>
            </w:r>
            <w:r w:rsidR="00773ED6" w:rsidRPr="001D2036">
              <w:rPr>
                <w:sz w:val="20"/>
              </w:rPr>
              <w:t xml:space="preserve">však </w:t>
            </w:r>
            <w:r w:rsidR="0097317F" w:rsidRPr="001D2036">
              <w:rPr>
                <w:sz w:val="20"/>
              </w:rPr>
              <w:t>aj vytvoren</w:t>
            </w:r>
            <w:r w:rsidR="001D2036" w:rsidRPr="001D2036">
              <w:rPr>
                <w:sz w:val="20"/>
              </w:rPr>
              <w:t>ý</w:t>
            </w:r>
            <w:r w:rsidR="00773ED6" w:rsidRPr="001D2036">
              <w:rPr>
                <w:sz w:val="20"/>
              </w:rPr>
              <w:t xml:space="preserve"> mechanizmus</w:t>
            </w:r>
            <w:r w:rsidR="001D2036">
              <w:rPr>
                <w:rStyle w:val="FootnoteReference"/>
                <w:sz w:val="20"/>
              </w:rPr>
              <w:footnoteReference w:id="55"/>
            </w:r>
            <w:r w:rsidR="0097317F" w:rsidRPr="001D2036">
              <w:rPr>
                <w:sz w:val="20"/>
              </w:rPr>
              <w:t>, pomocou ktorého</w:t>
            </w:r>
            <w:r w:rsidR="00773ED6" w:rsidRPr="001D2036">
              <w:rPr>
                <w:sz w:val="20"/>
              </w:rPr>
              <w:t xml:space="preserve"> zvýšené režijné náklady </w:t>
            </w:r>
            <w:r w:rsidR="0097317F" w:rsidRPr="001D2036">
              <w:rPr>
                <w:sz w:val="20"/>
              </w:rPr>
              <w:t xml:space="preserve">môže pokryť </w:t>
            </w:r>
            <w:r w:rsidR="00773ED6" w:rsidRPr="001D2036">
              <w:rPr>
                <w:sz w:val="20"/>
              </w:rPr>
              <w:t xml:space="preserve">zákonný zástupca </w:t>
            </w:r>
            <w:r w:rsidR="0097317F" w:rsidRPr="001D2036">
              <w:rPr>
                <w:sz w:val="20"/>
              </w:rPr>
              <w:t xml:space="preserve">dieťaťa </w:t>
            </w:r>
            <w:r w:rsidR="00773ED6" w:rsidRPr="001D2036">
              <w:rPr>
                <w:sz w:val="20"/>
              </w:rPr>
              <w:t>a</w:t>
            </w:r>
            <w:r w:rsidR="0097317F" w:rsidRPr="001D2036">
              <w:rPr>
                <w:sz w:val="20"/>
              </w:rPr>
              <w:t> </w:t>
            </w:r>
            <w:r w:rsidR="00773ED6" w:rsidRPr="001D2036">
              <w:rPr>
                <w:sz w:val="20"/>
              </w:rPr>
              <w:t xml:space="preserve">nemusí </w:t>
            </w:r>
            <w:r w:rsidR="0097317F" w:rsidRPr="001D2036">
              <w:rPr>
                <w:sz w:val="20"/>
              </w:rPr>
              <w:t xml:space="preserve">ich uhrádzať obec </w:t>
            </w:r>
            <w:r w:rsidR="00773ED6" w:rsidRPr="001D2036">
              <w:rPr>
                <w:sz w:val="20"/>
              </w:rPr>
              <w:t>z</w:t>
            </w:r>
            <w:r w:rsidR="0097317F" w:rsidRPr="001D2036">
              <w:rPr>
                <w:sz w:val="20"/>
              </w:rPr>
              <w:t> </w:t>
            </w:r>
            <w:r w:rsidR="00773ED6" w:rsidRPr="001D2036">
              <w:rPr>
                <w:sz w:val="20"/>
              </w:rPr>
              <w:t>iných prostriedkov</w:t>
            </w:r>
            <w:r w:rsidR="0097317F" w:rsidRPr="001D2036">
              <w:rPr>
                <w:sz w:val="20"/>
              </w:rPr>
              <w:t>.</w:t>
            </w:r>
          </w:p>
          <w:p w14:paraId="604B6F39" w14:textId="48F6DAB0" w:rsidR="00773ED6" w:rsidRPr="001D2036" w:rsidRDefault="00773ED6" w:rsidP="006A17E6">
            <w:pPr>
              <w:jc w:val="both"/>
              <w:rPr>
                <w:sz w:val="20"/>
              </w:rPr>
            </w:pPr>
          </w:p>
          <w:p w14:paraId="41306AE1" w14:textId="270013AC" w:rsidR="00773ED6" w:rsidRPr="0080594C" w:rsidRDefault="0097317F" w:rsidP="006A17E6">
            <w:pPr>
              <w:jc w:val="both"/>
              <w:rPr>
                <w:sz w:val="20"/>
              </w:rPr>
            </w:pPr>
            <w:r w:rsidRPr="004A79A6">
              <w:rPr>
                <w:sz w:val="20"/>
              </w:rPr>
              <w:lastRenderedPageBreak/>
              <w:t>P</w:t>
            </w:r>
            <w:r w:rsidR="00340FDD" w:rsidRPr="004A79A6">
              <w:rPr>
                <w:sz w:val="20"/>
              </w:rPr>
              <w:t>odľa p</w:t>
            </w:r>
            <w:r w:rsidRPr="004A79A6">
              <w:rPr>
                <w:sz w:val="20"/>
              </w:rPr>
              <w:t>rávn</w:t>
            </w:r>
            <w:r w:rsidR="00340FDD" w:rsidRPr="004A79A6">
              <w:rPr>
                <w:sz w:val="20"/>
              </w:rPr>
              <w:t>ej</w:t>
            </w:r>
            <w:r w:rsidRPr="004A79A6">
              <w:rPr>
                <w:sz w:val="20"/>
              </w:rPr>
              <w:t xml:space="preserve"> analýz</w:t>
            </w:r>
            <w:r w:rsidR="00340FDD" w:rsidRPr="004A79A6">
              <w:rPr>
                <w:sz w:val="20"/>
              </w:rPr>
              <w:t>y</w:t>
            </w:r>
            <w:r w:rsidR="00257591" w:rsidRPr="004A79A6">
              <w:rPr>
                <w:rStyle w:val="FootnoteReference"/>
                <w:sz w:val="20"/>
              </w:rPr>
              <w:footnoteReference w:id="56"/>
            </w:r>
            <w:r w:rsidRPr="001D2036">
              <w:rPr>
                <w:sz w:val="20"/>
              </w:rPr>
              <w:t xml:space="preserve">: </w:t>
            </w:r>
            <w:r w:rsidR="00773ED6" w:rsidRPr="001D2036">
              <w:rPr>
                <w:sz w:val="20"/>
              </w:rPr>
              <w:t xml:space="preserve">„Vychádzajúc zo znenia a účelu čl. 6 ods. 2 </w:t>
            </w:r>
            <w:r w:rsidR="00340FDD">
              <w:rPr>
                <w:sz w:val="20"/>
              </w:rPr>
              <w:t>ústavného zákona o rozpočtovej zodpovednosti</w:t>
            </w:r>
            <w:r w:rsidR="00773ED6" w:rsidRPr="001D2036">
              <w:rPr>
                <w:sz w:val="20"/>
              </w:rPr>
              <w:t xml:space="preserve"> možno dospieť k záveru, že zákonodarca dodrží ústavný </w:t>
            </w:r>
            <w:r w:rsidR="00773ED6" w:rsidRPr="0080594C">
              <w:rPr>
                <w:sz w:val="20"/>
              </w:rPr>
              <w:t xml:space="preserve">imperatív </w:t>
            </w:r>
            <w:r w:rsidR="00773ED6" w:rsidRPr="004A79A6">
              <w:rPr>
                <w:sz w:val="20"/>
              </w:rPr>
              <w:t>nielen vtedy, keď územnej samospráve priamo poskytne finančné prostriedky</w:t>
            </w:r>
            <w:r w:rsidR="00773ED6" w:rsidRPr="0080594C">
              <w:rPr>
                <w:sz w:val="20"/>
              </w:rPr>
              <w:t xml:space="preserve">, ale tiež vtedy, keď </w:t>
            </w:r>
            <w:r w:rsidR="00773ED6" w:rsidRPr="004A79A6">
              <w:rPr>
                <w:sz w:val="20"/>
              </w:rPr>
              <w:t>vytvorí mechanizmus na zabezpečenie úhrady zvýšených nákladov</w:t>
            </w:r>
            <w:r w:rsidR="00773ED6" w:rsidRPr="0080594C">
              <w:rPr>
                <w:sz w:val="20"/>
              </w:rPr>
              <w:t xml:space="preserve">. Medzi týmto mechanizmom a novou úlohou musí byť </w:t>
            </w:r>
            <w:r w:rsidR="00773ED6" w:rsidRPr="004A79A6">
              <w:rPr>
                <w:sz w:val="20"/>
              </w:rPr>
              <w:t>racionálna väzba</w:t>
            </w:r>
            <w:r w:rsidR="00773ED6" w:rsidRPr="0080594C">
              <w:rPr>
                <w:sz w:val="20"/>
              </w:rPr>
              <w:t>.“</w:t>
            </w:r>
          </w:p>
          <w:p w14:paraId="5F576DA9" w14:textId="77777777" w:rsidR="00985214" w:rsidRPr="004837C5" w:rsidRDefault="00985214" w:rsidP="006A17E6">
            <w:pPr>
              <w:jc w:val="both"/>
              <w:rPr>
                <w:sz w:val="16"/>
                <w:szCs w:val="16"/>
              </w:rPr>
            </w:pPr>
          </w:p>
          <w:p w14:paraId="1329005D" w14:textId="468755AF" w:rsidR="00985214" w:rsidRDefault="00985214" w:rsidP="006A17E6">
            <w:pPr>
              <w:jc w:val="both"/>
              <w:rPr>
                <w:sz w:val="20"/>
              </w:rPr>
            </w:pPr>
            <w:r w:rsidRPr="001D2036">
              <w:rPr>
                <w:sz w:val="20"/>
              </w:rPr>
              <w:t xml:space="preserve">V oboch prípadoch síce platí, že tieto zmeny vedú k dodatočnej finančnej záťaži pre samosprávu, ale z hľadiska posúdenia konkrétneho ustanovenia zákona o rozpočtovej zodpovednosti nedošlo k porušeniu jeho ustanovenia o potrebe zabezpečenia zodpovedajúcich finančných prostriedkov pre obec alebo vyšší územný celok, pri ustanovení nových úloh obci alebo vyššiemu územnému celku. </w:t>
            </w:r>
            <w:r w:rsidRPr="001D2036">
              <w:rPr>
                <w:b/>
                <w:sz w:val="20"/>
              </w:rPr>
              <w:t xml:space="preserve">V prípade chodníkovej novely nejde o novú úlohu a v prípade bezplatného stravovania išlo o čiastočné krytie nákladov a vytvorenie mechanizmu na krytie ostatných </w:t>
            </w:r>
            <w:r w:rsidR="001D2036" w:rsidRPr="001D2036">
              <w:rPr>
                <w:b/>
                <w:bCs/>
                <w:sz w:val="20"/>
              </w:rPr>
              <w:t xml:space="preserve">dodatočných </w:t>
            </w:r>
            <w:r w:rsidRPr="001D2036">
              <w:rPr>
                <w:b/>
                <w:sz w:val="20"/>
              </w:rPr>
              <w:t>nákladov.</w:t>
            </w:r>
          </w:p>
          <w:p w14:paraId="2A7C5B43" w14:textId="4C61AC35" w:rsidR="006A17E6" w:rsidRPr="008525A3" w:rsidRDefault="006A17E6" w:rsidP="006A17E6">
            <w:pPr>
              <w:jc w:val="both"/>
              <w:rPr>
                <w:sz w:val="10"/>
                <w:highlight w:val="yellow"/>
              </w:rPr>
            </w:pPr>
          </w:p>
        </w:tc>
      </w:tr>
    </w:tbl>
    <w:p w14:paraId="1369C04B" w14:textId="77777777" w:rsidR="00120091" w:rsidRPr="00120091" w:rsidRDefault="00120091" w:rsidP="00CC23BB">
      <w:pPr>
        <w:jc w:val="both"/>
        <w:rPr>
          <w:b/>
          <w:sz w:val="18"/>
          <w:szCs w:val="16"/>
        </w:rPr>
      </w:pPr>
    </w:p>
    <w:p w14:paraId="53CA4892" w14:textId="7F6CFE6E" w:rsidR="001E5A08" w:rsidRPr="00D138A5" w:rsidRDefault="005E7F70" w:rsidP="00CC23BB">
      <w:pPr>
        <w:jc w:val="both"/>
        <w:rPr>
          <w:b/>
        </w:rPr>
      </w:pPr>
      <w:r w:rsidRPr="00D138A5">
        <w:rPr>
          <w:b/>
        </w:rPr>
        <w:t>Uloženie</w:t>
      </w:r>
      <w:r w:rsidR="001E5A08" w:rsidRPr="00D138A5">
        <w:rPr>
          <w:b/>
        </w:rPr>
        <w:t xml:space="preserve"> pokuty pri prekročení limitu dlhu</w:t>
      </w:r>
      <w:r w:rsidR="00284C97" w:rsidRPr="00D138A5">
        <w:rPr>
          <w:b/>
        </w:rPr>
        <w:t xml:space="preserve"> za rok 201</w:t>
      </w:r>
      <w:r w:rsidR="00D138A5" w:rsidRPr="00D138A5">
        <w:rPr>
          <w:b/>
        </w:rPr>
        <w:t>8</w:t>
      </w:r>
    </w:p>
    <w:p w14:paraId="72B7B8BD" w14:textId="77777777" w:rsidR="001E5A08" w:rsidRPr="00D138A5" w:rsidRDefault="001E5A08" w:rsidP="00CC23BB">
      <w:pPr>
        <w:jc w:val="both"/>
        <w:rPr>
          <w:sz w:val="14"/>
        </w:rPr>
      </w:pPr>
    </w:p>
    <w:p w14:paraId="66BFF6BF" w14:textId="4F2CE893" w:rsidR="00040635" w:rsidRPr="00D138A5" w:rsidRDefault="00CD3DA4" w:rsidP="00CC23BB">
      <w:pPr>
        <w:jc w:val="both"/>
      </w:pPr>
      <w:r w:rsidRPr="00D138A5">
        <w:t>Ustanoveni</w:t>
      </w:r>
      <w:r w:rsidR="00272F4E" w:rsidRPr="00D138A5">
        <w:t>e</w:t>
      </w:r>
      <w:r w:rsidR="00F4605A" w:rsidRPr="00D138A5">
        <w:t xml:space="preserve"> </w:t>
      </w:r>
      <w:r w:rsidR="00272F4E" w:rsidRPr="00D138A5">
        <w:t xml:space="preserve">ústavného zákona týkajúce sa </w:t>
      </w:r>
      <w:r w:rsidR="0070781F" w:rsidRPr="00D138A5">
        <w:t>uloženia</w:t>
      </w:r>
      <w:r w:rsidR="00272F4E" w:rsidRPr="00D138A5">
        <w:t xml:space="preserve"> pokuty</w:t>
      </w:r>
      <w:r w:rsidRPr="00D138A5">
        <w:t xml:space="preserve"> samospráv</w:t>
      </w:r>
      <w:r w:rsidR="00272F4E" w:rsidRPr="00D138A5">
        <w:t>am</w:t>
      </w:r>
      <w:r w:rsidRPr="00D138A5">
        <w:t xml:space="preserve"> pri prekročení limitu dlhu vo výške 60</w:t>
      </w:r>
      <w:r w:rsidR="004A6E60" w:rsidRPr="00D138A5">
        <w:t> </w:t>
      </w:r>
      <w:r w:rsidRPr="00D138A5">
        <w:t>% bežných príjmov predchádzajúceho roka nadob</w:t>
      </w:r>
      <w:r w:rsidR="00040635" w:rsidRPr="00D138A5">
        <w:t>udlo</w:t>
      </w:r>
      <w:r w:rsidRPr="00D138A5">
        <w:t xml:space="preserve"> účinnosť </w:t>
      </w:r>
      <w:r w:rsidR="00CE0015" w:rsidRPr="00D138A5">
        <w:t>v</w:t>
      </w:r>
      <w:r w:rsidR="00040635" w:rsidRPr="00D138A5">
        <w:t xml:space="preserve"> roku 2015</w:t>
      </w:r>
      <w:r w:rsidR="00272F4E" w:rsidRPr="00D138A5">
        <w:t xml:space="preserve">. </w:t>
      </w:r>
      <w:r w:rsidR="00CE0015" w:rsidRPr="00D138A5">
        <w:t>P</w:t>
      </w:r>
      <w:r w:rsidR="00D7497D" w:rsidRPr="00D138A5">
        <w:t>rvýkrát bola</w:t>
      </w:r>
      <w:r w:rsidR="00040635" w:rsidRPr="00D138A5">
        <w:t xml:space="preserve"> posudzova</w:t>
      </w:r>
      <w:r w:rsidR="00D7497D" w:rsidRPr="00D138A5">
        <w:t>ná</w:t>
      </w:r>
      <w:r w:rsidR="00040635" w:rsidRPr="00D138A5">
        <w:t xml:space="preserve"> výška</w:t>
      </w:r>
      <w:r w:rsidR="00272F4E" w:rsidRPr="00D138A5">
        <w:t xml:space="preserve"> </w:t>
      </w:r>
      <w:r w:rsidR="00040635" w:rsidRPr="00D138A5">
        <w:t xml:space="preserve">dlhu </w:t>
      </w:r>
      <w:r w:rsidR="004D559F" w:rsidRPr="00D138A5">
        <w:t xml:space="preserve">samospráv </w:t>
      </w:r>
      <w:r w:rsidR="00AA183D" w:rsidRPr="00D138A5">
        <w:t>ku koncu</w:t>
      </w:r>
      <w:r w:rsidR="00040635" w:rsidRPr="00D138A5">
        <w:t xml:space="preserve"> rok</w:t>
      </w:r>
      <w:r w:rsidR="00AA183D" w:rsidRPr="00D138A5">
        <w:t>a</w:t>
      </w:r>
      <w:r w:rsidR="00040635" w:rsidRPr="00D138A5">
        <w:t xml:space="preserve"> 2015</w:t>
      </w:r>
      <w:r w:rsidR="001F2205" w:rsidRPr="00D138A5">
        <w:rPr>
          <w:rStyle w:val="FootnoteReference"/>
        </w:rPr>
        <w:footnoteReference w:id="57"/>
      </w:r>
      <w:r w:rsidR="007B62C1" w:rsidRPr="00D138A5">
        <w:t xml:space="preserve"> </w:t>
      </w:r>
      <w:r w:rsidR="008A4504" w:rsidRPr="00D138A5">
        <w:t>vykázaná</w:t>
      </w:r>
      <w:r w:rsidR="00040635" w:rsidRPr="00D138A5">
        <w:t xml:space="preserve"> v priebehu roku 2016.</w:t>
      </w:r>
      <w:r w:rsidR="00141E89" w:rsidRPr="00D138A5">
        <w:t xml:space="preserve"> Monitorovanie výšky dlhu a </w:t>
      </w:r>
      <w:r w:rsidR="0070781F" w:rsidRPr="00D138A5">
        <w:t>ulože</w:t>
      </w:r>
      <w:r w:rsidR="00141E89" w:rsidRPr="00D138A5">
        <w:t>nie pokuty je v kompetencii ministerstva financií.</w:t>
      </w:r>
    </w:p>
    <w:p w14:paraId="5B2DD13B" w14:textId="434F5A06" w:rsidR="000F27B9" w:rsidRPr="00DB4382" w:rsidRDefault="000F27B9" w:rsidP="00CC23BB">
      <w:pPr>
        <w:jc w:val="both"/>
        <w:rPr>
          <w:sz w:val="18"/>
          <w:szCs w:val="18"/>
        </w:rPr>
      </w:pPr>
    </w:p>
    <w:p w14:paraId="6F67A4E3" w14:textId="5FD70416" w:rsidR="00B468AF" w:rsidRPr="00607D6F" w:rsidRDefault="00D326B3" w:rsidP="002778C2">
      <w:pPr>
        <w:jc w:val="both"/>
      </w:pPr>
      <w:r w:rsidRPr="00D138A5">
        <w:t xml:space="preserve">Vyhodnotenie </w:t>
      </w:r>
      <w:r w:rsidRPr="00607D6F">
        <w:t>roku 201</w:t>
      </w:r>
      <w:r w:rsidR="00D138A5" w:rsidRPr="00607D6F">
        <w:t>8</w:t>
      </w:r>
      <w:r w:rsidRPr="00607D6F">
        <w:t xml:space="preserve"> zatiaľ ministerstvo financií nezverejnilo, poskytlo však údaje RRZ. </w:t>
      </w:r>
      <w:r w:rsidR="00F91148" w:rsidRPr="00607D6F">
        <w:t>Za </w:t>
      </w:r>
      <w:r w:rsidR="00C84231" w:rsidRPr="00607D6F">
        <w:t xml:space="preserve">rok </w:t>
      </w:r>
      <w:r w:rsidR="00CF0E08" w:rsidRPr="00607D6F">
        <w:t>201</w:t>
      </w:r>
      <w:r w:rsidR="00D138A5" w:rsidRPr="00607D6F">
        <w:t>8</w:t>
      </w:r>
      <w:r w:rsidR="000F27B9" w:rsidRPr="00607D6F">
        <w:t xml:space="preserve"> boli dlhy všetkých VÚC pod zákonom stanoveným limitom. Celkov</w:t>
      </w:r>
      <w:r w:rsidR="00980CEC" w:rsidRPr="00607D6F">
        <w:t>á suma dlhu</w:t>
      </w:r>
      <w:r w:rsidR="007D13BE" w:rsidRPr="00607D6F">
        <w:rPr>
          <w:rStyle w:val="FootnoteReference"/>
        </w:rPr>
        <w:footnoteReference w:id="58"/>
      </w:r>
      <w:r w:rsidR="000F27B9" w:rsidRPr="00607D6F">
        <w:t xml:space="preserve"> VÚC dosiahl</w:t>
      </w:r>
      <w:r w:rsidR="00980CEC" w:rsidRPr="00607D6F">
        <w:t>a</w:t>
      </w:r>
      <w:r w:rsidR="000F27B9" w:rsidRPr="00607D6F">
        <w:t xml:space="preserve"> ku koncu roka 20</w:t>
      </w:r>
      <w:r w:rsidR="00CF0E08" w:rsidRPr="00607D6F">
        <w:t>1</w:t>
      </w:r>
      <w:r w:rsidR="000E36CD" w:rsidRPr="00607D6F">
        <w:t>8</w:t>
      </w:r>
      <w:r w:rsidR="00CF0E08" w:rsidRPr="00607D6F">
        <w:t xml:space="preserve"> úroveň 2</w:t>
      </w:r>
      <w:r w:rsidR="000E36CD" w:rsidRPr="00607D6F">
        <w:t>6</w:t>
      </w:r>
      <w:r w:rsidR="00671B38" w:rsidRPr="00607D6F">
        <w:t>,</w:t>
      </w:r>
      <w:r w:rsidR="000E36CD" w:rsidRPr="00607D6F">
        <w:t>4</w:t>
      </w:r>
      <w:r w:rsidR="005B757D" w:rsidRPr="00607D6F">
        <w:t> </w:t>
      </w:r>
      <w:r w:rsidR="000F27B9" w:rsidRPr="00607D6F">
        <w:t>%</w:t>
      </w:r>
      <w:r w:rsidR="00CF0E08" w:rsidRPr="00607D6F">
        <w:t xml:space="preserve"> bežných príjmov roka 201</w:t>
      </w:r>
      <w:r w:rsidR="00607D6F" w:rsidRPr="00607D6F">
        <w:t>7</w:t>
      </w:r>
      <w:r w:rsidR="000F27B9" w:rsidRPr="00607D6F">
        <w:t xml:space="preserve">. Najvyšší pomer dlhu evidoval </w:t>
      </w:r>
      <w:r w:rsidR="00E83409" w:rsidRPr="00607D6F">
        <w:t>T</w:t>
      </w:r>
      <w:r w:rsidR="00566650" w:rsidRPr="00607D6F">
        <w:t>rnavský</w:t>
      </w:r>
      <w:r w:rsidR="00E83409" w:rsidRPr="00607D6F">
        <w:t xml:space="preserve"> samosprávny kraj (</w:t>
      </w:r>
      <w:r w:rsidR="00566650" w:rsidRPr="00607D6F">
        <w:t>4</w:t>
      </w:r>
      <w:r w:rsidR="00D138A5" w:rsidRPr="00607D6F">
        <w:t>1</w:t>
      </w:r>
      <w:r w:rsidR="00E83409" w:rsidRPr="00607D6F">
        <w:t>,</w:t>
      </w:r>
      <w:r w:rsidR="00D138A5" w:rsidRPr="00607D6F">
        <w:t>1</w:t>
      </w:r>
      <w:r w:rsidR="005B757D" w:rsidRPr="00607D6F">
        <w:t> </w:t>
      </w:r>
      <w:r w:rsidR="000F27B9" w:rsidRPr="00607D6F">
        <w:t xml:space="preserve">%), najnižší dlh dosiahol </w:t>
      </w:r>
      <w:r w:rsidR="00694525" w:rsidRPr="00607D6F">
        <w:t xml:space="preserve">opakovane </w:t>
      </w:r>
      <w:r w:rsidR="000F27B9" w:rsidRPr="00607D6F">
        <w:t>Nitriansky samosprávny kraj (1</w:t>
      </w:r>
      <w:r w:rsidR="00D138A5" w:rsidRPr="00607D6F">
        <w:t>1</w:t>
      </w:r>
      <w:r w:rsidR="00673B1C" w:rsidRPr="00607D6F">
        <w:t>,</w:t>
      </w:r>
      <w:r w:rsidR="000E36CD" w:rsidRPr="00607D6F">
        <w:t>3</w:t>
      </w:r>
      <w:r w:rsidR="005B757D" w:rsidRPr="00607D6F">
        <w:t> </w:t>
      </w:r>
      <w:r w:rsidR="000F27B9" w:rsidRPr="00607D6F">
        <w:t>%).</w:t>
      </w:r>
    </w:p>
    <w:p w14:paraId="58721D7E" w14:textId="77777777" w:rsidR="00B468AF" w:rsidRPr="00DB4382" w:rsidRDefault="00B468AF" w:rsidP="002778C2">
      <w:pPr>
        <w:jc w:val="both"/>
        <w:rPr>
          <w:sz w:val="18"/>
          <w:szCs w:val="18"/>
        </w:rPr>
      </w:pPr>
    </w:p>
    <w:p w14:paraId="367E8AA6" w14:textId="5879AF41" w:rsidR="004A59F4" w:rsidRPr="00657026" w:rsidRDefault="002778C2" w:rsidP="002778C2">
      <w:pPr>
        <w:jc w:val="both"/>
      </w:pPr>
      <w:r w:rsidRPr="00E534F7">
        <w:t xml:space="preserve">Ministerstvo financií </w:t>
      </w:r>
      <w:r w:rsidR="004E47C8" w:rsidRPr="00E534F7">
        <w:t>z predloženýc</w:t>
      </w:r>
      <w:r w:rsidR="00673B1C" w:rsidRPr="00E534F7">
        <w:t>h finančných výkazov za rok 201</w:t>
      </w:r>
      <w:r w:rsidR="00D138A5" w:rsidRPr="00E534F7">
        <w:t>8</w:t>
      </w:r>
      <w:r w:rsidR="004E47C8" w:rsidRPr="00E534F7">
        <w:t xml:space="preserve"> </w:t>
      </w:r>
      <w:r w:rsidRPr="00E534F7">
        <w:t>identifikovalo prekročeni</w:t>
      </w:r>
      <w:r w:rsidR="00C66B81" w:rsidRPr="00E534F7">
        <w:t xml:space="preserve">e </w:t>
      </w:r>
      <w:r w:rsidR="000755EC" w:rsidRPr="00E534F7">
        <w:t>numerického</w:t>
      </w:r>
      <w:r w:rsidR="00C66B81" w:rsidRPr="00E534F7">
        <w:t xml:space="preserve"> </w:t>
      </w:r>
      <w:r w:rsidR="00516F81" w:rsidRPr="00E534F7">
        <w:t xml:space="preserve">dlhového </w:t>
      </w:r>
      <w:r w:rsidR="00C66B81" w:rsidRPr="00E534F7">
        <w:t>limitu celkovo u </w:t>
      </w:r>
      <w:r w:rsidR="007F0C14" w:rsidRPr="00020C1D">
        <w:t>65</w:t>
      </w:r>
      <w:r w:rsidRPr="00020C1D">
        <w:t xml:space="preserve"> obcí</w:t>
      </w:r>
      <w:r w:rsidR="00C66B81" w:rsidRPr="00020C1D">
        <w:t>. V</w:t>
      </w:r>
      <w:r w:rsidR="007F0C14" w:rsidRPr="00020C1D">
        <w:t xml:space="preserve"> 13 </w:t>
      </w:r>
      <w:r w:rsidR="002344EA" w:rsidRPr="00020C1D">
        <w:t>obci</w:t>
      </w:r>
      <w:r w:rsidR="007F0C14" w:rsidRPr="00020C1D">
        <w:t>ach</w:t>
      </w:r>
      <w:r w:rsidR="002344EA" w:rsidRPr="00020C1D">
        <w:t xml:space="preserve"> </w:t>
      </w:r>
      <w:r w:rsidRPr="00020C1D">
        <w:t xml:space="preserve">platila </w:t>
      </w:r>
      <w:r w:rsidR="0084664E" w:rsidRPr="00020C1D">
        <w:t xml:space="preserve">výnimka </w:t>
      </w:r>
      <w:r w:rsidRPr="00020C1D">
        <w:t xml:space="preserve">z </w:t>
      </w:r>
      <w:r w:rsidR="00321E15" w:rsidRPr="00020C1D">
        <w:t>uloženia</w:t>
      </w:r>
      <w:r w:rsidRPr="00020C1D">
        <w:t xml:space="preserve"> pokuty</w:t>
      </w:r>
      <w:r w:rsidR="0084664E" w:rsidRPr="00020C1D">
        <w:t xml:space="preserve"> podľa čl. 6 ods. 4 ústavného zákona</w:t>
      </w:r>
      <w:r w:rsidR="00020C1D" w:rsidRPr="00020C1D">
        <w:t xml:space="preserve"> o rozpočtovej zodpovednosti</w:t>
      </w:r>
      <w:r w:rsidR="0084664E" w:rsidRPr="00020C1D">
        <w:rPr>
          <w:rStyle w:val="FootnoteReference"/>
        </w:rPr>
        <w:footnoteReference w:id="59"/>
      </w:r>
      <w:r w:rsidR="006A13E3" w:rsidRPr="00020C1D">
        <w:t xml:space="preserve">. </w:t>
      </w:r>
      <w:r w:rsidR="00457EC8">
        <w:t xml:space="preserve">Ďalších 5 obcí bolo z vyhodnotenia vylúčených z iných </w:t>
      </w:r>
      <w:r w:rsidR="006D69F3">
        <w:t xml:space="preserve">zákonných </w:t>
      </w:r>
      <w:r w:rsidR="00457EC8">
        <w:t>dôvodov</w:t>
      </w:r>
      <w:r w:rsidR="00457EC8">
        <w:rPr>
          <w:rStyle w:val="FootnoteReference"/>
        </w:rPr>
        <w:footnoteReference w:id="60"/>
      </w:r>
      <w:r w:rsidR="00457EC8">
        <w:t xml:space="preserve">. </w:t>
      </w:r>
      <w:r w:rsidR="00020C1D" w:rsidRPr="00020C1D">
        <w:t>S cieľom verifikovať skutočný stav MF</w:t>
      </w:r>
      <w:r w:rsidR="00457EC8">
        <w:t> </w:t>
      </w:r>
      <w:r w:rsidR="00020C1D" w:rsidRPr="00020C1D">
        <w:t xml:space="preserve">SR požiadalo 47 hlavných kontrolórov obcí o preverenie poskytnutých </w:t>
      </w:r>
      <w:r w:rsidR="008A403E" w:rsidRPr="00657026">
        <w:t>údajov</w:t>
      </w:r>
      <w:r w:rsidR="00020C1D" w:rsidRPr="00020C1D">
        <w:t>.</w:t>
      </w:r>
      <w:r w:rsidR="00020C1D">
        <w:t xml:space="preserve"> </w:t>
      </w:r>
      <w:r w:rsidR="00020C1D" w:rsidRPr="00020C1D">
        <w:t xml:space="preserve">Okrem toho </w:t>
      </w:r>
      <w:r w:rsidR="00457EC8">
        <w:t>bolo</w:t>
      </w:r>
      <w:r w:rsidR="00020C1D" w:rsidRPr="00020C1D">
        <w:t xml:space="preserve"> oslov</w:t>
      </w:r>
      <w:r w:rsidR="00457EC8">
        <w:t>ených</w:t>
      </w:r>
      <w:r w:rsidR="00020C1D" w:rsidRPr="00020C1D">
        <w:t xml:space="preserve"> 7 hlavných kontrolórov obcí</w:t>
      </w:r>
      <w:r w:rsidR="00457EC8">
        <w:t>,</w:t>
      </w:r>
      <w:r w:rsidR="00020C1D" w:rsidRPr="00020C1D">
        <w:t xml:space="preserve"> ktoré nepredložili </w:t>
      </w:r>
      <w:r w:rsidR="00457EC8">
        <w:t xml:space="preserve">potrebné </w:t>
      </w:r>
      <w:r w:rsidR="00020C1D" w:rsidRPr="00020C1D">
        <w:t>finančné výkazy</w:t>
      </w:r>
      <w:r w:rsidR="00020C1D">
        <w:t>.</w:t>
      </w:r>
      <w:r w:rsidR="00CB744B">
        <w:t xml:space="preserve"> Po vyhodnotení odpovedí </w:t>
      </w:r>
      <w:r w:rsidRPr="00657026">
        <w:t xml:space="preserve">MF SR </w:t>
      </w:r>
      <w:r w:rsidR="00657026" w:rsidRPr="00657026">
        <w:t>postúpilo</w:t>
      </w:r>
      <w:r w:rsidR="00CB744B">
        <w:t xml:space="preserve"> na správne konanie </w:t>
      </w:r>
      <w:r w:rsidR="00657026" w:rsidRPr="00657026">
        <w:t xml:space="preserve">a následne </w:t>
      </w:r>
      <w:r w:rsidR="008B0A40" w:rsidRPr="00657026">
        <w:t>právoplatne uložilo pokut</w:t>
      </w:r>
      <w:r w:rsidR="009406B2" w:rsidRPr="00657026">
        <w:t>u jednej</w:t>
      </w:r>
      <w:r w:rsidR="006A13E3" w:rsidRPr="00657026">
        <w:t> </w:t>
      </w:r>
      <w:r w:rsidR="008B0A40" w:rsidRPr="00657026">
        <w:t>obci</w:t>
      </w:r>
      <w:r w:rsidR="009406B2" w:rsidRPr="00657026">
        <w:t xml:space="preserve">, ktorá </w:t>
      </w:r>
      <w:r w:rsidR="008B0A40" w:rsidRPr="00657026">
        <w:t>pokut</w:t>
      </w:r>
      <w:r w:rsidR="00925FA7" w:rsidRPr="00657026">
        <w:t>u</w:t>
      </w:r>
      <w:r w:rsidR="008B0A40" w:rsidRPr="00657026">
        <w:t xml:space="preserve"> už </w:t>
      </w:r>
      <w:r w:rsidR="009406B2" w:rsidRPr="00657026">
        <w:t xml:space="preserve">aj </w:t>
      </w:r>
      <w:r w:rsidR="008B0A40" w:rsidRPr="00657026">
        <w:t>zaplatil</w:t>
      </w:r>
      <w:r w:rsidR="00925FA7" w:rsidRPr="00657026">
        <w:t>a</w:t>
      </w:r>
      <w:r w:rsidR="008B0A40" w:rsidRPr="00657026">
        <w:t>.</w:t>
      </w:r>
    </w:p>
    <w:p w14:paraId="76683294" w14:textId="52629915" w:rsidR="000B19EF" w:rsidRPr="000C1E43" w:rsidRDefault="000B19EF" w:rsidP="002778C2">
      <w:pPr>
        <w:jc w:val="both"/>
        <w:rPr>
          <w:sz w:val="16"/>
          <w:szCs w:val="14"/>
        </w:rPr>
      </w:pPr>
    </w:p>
    <w:tbl>
      <w:tblPr>
        <w:tblW w:w="9072" w:type="dxa"/>
        <w:tblCellMar>
          <w:left w:w="70" w:type="dxa"/>
          <w:right w:w="70" w:type="dxa"/>
        </w:tblCellMar>
        <w:tblLook w:val="04A0" w:firstRow="1" w:lastRow="0" w:firstColumn="1" w:lastColumn="0" w:noHBand="0" w:noVBand="1"/>
      </w:tblPr>
      <w:tblGrid>
        <w:gridCol w:w="2849"/>
        <w:gridCol w:w="2963"/>
        <w:gridCol w:w="3260"/>
      </w:tblGrid>
      <w:tr w:rsidR="00EB63AF" w:rsidRPr="00B81300" w14:paraId="5FB7AC58" w14:textId="77777777" w:rsidTr="00EB63AF">
        <w:trPr>
          <w:trHeight w:hRule="exact" w:val="266"/>
        </w:trPr>
        <w:tc>
          <w:tcPr>
            <w:tcW w:w="5812" w:type="dxa"/>
            <w:gridSpan w:val="2"/>
            <w:tcBorders>
              <w:top w:val="nil"/>
              <w:left w:val="nil"/>
              <w:bottom w:val="nil"/>
              <w:right w:val="nil"/>
            </w:tcBorders>
            <w:shd w:val="clear" w:color="auto" w:fill="auto"/>
            <w:noWrap/>
            <w:vAlign w:val="center"/>
            <w:hideMark/>
          </w:tcPr>
          <w:p w14:paraId="10446799" w14:textId="141CE9F5" w:rsidR="00EB63AF" w:rsidRPr="00B81300" w:rsidRDefault="000C73D6" w:rsidP="00EB63AF">
            <w:pPr>
              <w:rPr>
                <w:rFonts w:cs="Arial"/>
                <w:b/>
                <w:bCs/>
                <w:color w:val="00B0F0"/>
                <w:sz w:val="20"/>
                <w:highlight w:val="yellow"/>
              </w:rPr>
            </w:pPr>
            <w:bookmarkStart w:id="567" w:name="_Toc490642137"/>
            <w:bookmarkStart w:id="568" w:name="_Toc522105520"/>
            <w:bookmarkStart w:id="569" w:name="_Toc522200671"/>
            <w:bookmarkStart w:id="570" w:name="_Toc523390256"/>
            <w:bookmarkStart w:id="571" w:name="_Toc523392861"/>
            <w:bookmarkStart w:id="572" w:name="_Toc49506900"/>
            <w:r w:rsidRPr="004A79A6">
              <w:rPr>
                <w:rStyle w:val="tabChar"/>
                <w:sz w:val="20"/>
              </w:rPr>
              <w:t xml:space="preserve">Tab </w:t>
            </w:r>
            <w:r w:rsidR="009010C1" w:rsidRPr="004A79A6">
              <w:rPr>
                <w:rStyle w:val="tabChar"/>
                <w:sz w:val="20"/>
              </w:rPr>
              <w:t>1</w:t>
            </w:r>
            <w:r w:rsidR="00EB63AF" w:rsidRPr="0046544D">
              <w:rPr>
                <w:rStyle w:val="tabChar"/>
                <w:sz w:val="20"/>
              </w:rPr>
              <w:t>: Pokut</w:t>
            </w:r>
            <w:r w:rsidR="00EB63AF" w:rsidRPr="004A79A6">
              <w:rPr>
                <w:rStyle w:val="tabChar"/>
                <w:sz w:val="20"/>
              </w:rPr>
              <w:t xml:space="preserve">y </w:t>
            </w:r>
            <w:r w:rsidR="00BC06F6" w:rsidRPr="0046544D">
              <w:rPr>
                <w:rStyle w:val="tabChar"/>
                <w:sz w:val="20"/>
              </w:rPr>
              <w:t>uložen</w:t>
            </w:r>
            <w:r w:rsidR="00BC06F6" w:rsidRPr="004A79A6">
              <w:rPr>
                <w:rStyle w:val="tabChar"/>
                <w:sz w:val="20"/>
              </w:rPr>
              <w:t>é</w:t>
            </w:r>
            <w:r w:rsidR="00EB63AF" w:rsidRPr="004A79A6">
              <w:rPr>
                <w:rStyle w:val="tabChar"/>
                <w:sz w:val="20"/>
              </w:rPr>
              <w:t xml:space="preserve"> </w:t>
            </w:r>
            <w:r w:rsidR="00EB63AF" w:rsidRPr="0046544D">
              <w:rPr>
                <w:rStyle w:val="tabChar"/>
                <w:sz w:val="20"/>
              </w:rPr>
              <w:t>obc</w:t>
            </w:r>
            <w:r w:rsidR="00BC06F6" w:rsidRPr="004A79A6">
              <w:rPr>
                <w:rStyle w:val="tabChar"/>
                <w:sz w:val="20"/>
              </w:rPr>
              <w:t>iam</w:t>
            </w:r>
            <w:r w:rsidR="00EB63AF" w:rsidRPr="008D7FE8">
              <w:rPr>
                <w:rStyle w:val="tabChar"/>
                <w:sz w:val="20"/>
              </w:rPr>
              <w:t xml:space="preserve"> za rok 201</w:t>
            </w:r>
            <w:bookmarkEnd w:id="567"/>
            <w:bookmarkEnd w:id="568"/>
            <w:bookmarkEnd w:id="569"/>
            <w:bookmarkEnd w:id="570"/>
            <w:bookmarkEnd w:id="571"/>
            <w:r w:rsidR="0085387A" w:rsidRPr="008D7FE8">
              <w:rPr>
                <w:rStyle w:val="tabChar"/>
                <w:sz w:val="20"/>
              </w:rPr>
              <w:t>8</w:t>
            </w:r>
            <w:bookmarkEnd w:id="572"/>
            <w:r w:rsidR="00EB63AF" w:rsidRPr="008D7FE8">
              <w:rPr>
                <w:rFonts w:cs="Arial"/>
                <w:b/>
                <w:color w:val="00B0F0"/>
                <w:sz w:val="18"/>
              </w:rPr>
              <w:t xml:space="preserve"> </w:t>
            </w:r>
            <w:r w:rsidR="00EB63AF" w:rsidRPr="008D7FE8">
              <w:rPr>
                <w:rFonts w:cs="Arial"/>
                <w:b/>
                <w:color w:val="00B0F0"/>
                <w:sz w:val="20"/>
              </w:rPr>
              <w:t>(v eurách)</w:t>
            </w:r>
          </w:p>
        </w:tc>
        <w:tc>
          <w:tcPr>
            <w:tcW w:w="3260" w:type="dxa"/>
            <w:tcBorders>
              <w:top w:val="nil"/>
              <w:left w:val="nil"/>
              <w:bottom w:val="nil"/>
              <w:right w:val="nil"/>
            </w:tcBorders>
            <w:shd w:val="clear" w:color="auto" w:fill="auto"/>
            <w:noWrap/>
            <w:vAlign w:val="bottom"/>
            <w:hideMark/>
          </w:tcPr>
          <w:p w14:paraId="2B470C82" w14:textId="77777777" w:rsidR="00EB63AF" w:rsidRPr="00B81300" w:rsidRDefault="00EB63AF" w:rsidP="00EB63AF">
            <w:pPr>
              <w:rPr>
                <w:rFonts w:cs="Arial"/>
                <w:b/>
                <w:bCs/>
                <w:color w:val="00B0F0"/>
                <w:sz w:val="20"/>
                <w:highlight w:val="yellow"/>
              </w:rPr>
            </w:pPr>
          </w:p>
        </w:tc>
      </w:tr>
      <w:tr w:rsidR="00573B18" w:rsidRPr="00B81300" w14:paraId="4E94B454" w14:textId="77777777" w:rsidTr="00EB63AF">
        <w:trPr>
          <w:trHeight w:hRule="exact" w:val="266"/>
        </w:trPr>
        <w:tc>
          <w:tcPr>
            <w:tcW w:w="2849" w:type="dxa"/>
            <w:tcBorders>
              <w:top w:val="nil"/>
              <w:left w:val="nil"/>
              <w:bottom w:val="nil"/>
              <w:right w:val="nil"/>
            </w:tcBorders>
            <w:shd w:val="clear" w:color="000000" w:fill="13B5EA"/>
            <w:noWrap/>
            <w:vAlign w:val="center"/>
            <w:hideMark/>
          </w:tcPr>
          <w:p w14:paraId="245B92FF" w14:textId="101B1736" w:rsidR="00573B18" w:rsidRPr="008D7FE8" w:rsidRDefault="00573B18" w:rsidP="00573B18">
            <w:pPr>
              <w:rPr>
                <w:rFonts w:cs="Arial"/>
                <w:b/>
                <w:color w:val="FFFFFF"/>
                <w:sz w:val="20"/>
              </w:rPr>
            </w:pPr>
            <w:r w:rsidRPr="008D7FE8">
              <w:rPr>
                <w:rFonts w:cs="Arial"/>
                <w:b/>
                <w:color w:val="FFFFFF"/>
                <w:sz w:val="20"/>
              </w:rPr>
              <w:t>Názov obce (Okres)</w:t>
            </w:r>
          </w:p>
        </w:tc>
        <w:tc>
          <w:tcPr>
            <w:tcW w:w="2963" w:type="dxa"/>
            <w:tcBorders>
              <w:top w:val="nil"/>
              <w:left w:val="nil"/>
              <w:bottom w:val="nil"/>
              <w:right w:val="nil"/>
            </w:tcBorders>
            <w:shd w:val="clear" w:color="000000" w:fill="13B5EA"/>
            <w:noWrap/>
            <w:vAlign w:val="center"/>
            <w:hideMark/>
          </w:tcPr>
          <w:p w14:paraId="6823111C" w14:textId="562B5673" w:rsidR="00573B18" w:rsidRPr="008D7FE8" w:rsidRDefault="00573B18" w:rsidP="00573B18">
            <w:pPr>
              <w:jc w:val="right"/>
              <w:rPr>
                <w:rFonts w:cs="Arial"/>
                <w:b/>
                <w:color w:val="FFFFFF"/>
                <w:sz w:val="20"/>
              </w:rPr>
            </w:pPr>
            <w:r w:rsidRPr="008D7FE8">
              <w:rPr>
                <w:rFonts w:cs="Arial"/>
                <w:b/>
                <w:color w:val="FFFFFF"/>
                <w:sz w:val="20"/>
              </w:rPr>
              <w:t>Uložená pokuta</w:t>
            </w:r>
          </w:p>
        </w:tc>
        <w:tc>
          <w:tcPr>
            <w:tcW w:w="3260" w:type="dxa"/>
            <w:tcBorders>
              <w:top w:val="nil"/>
              <w:left w:val="nil"/>
              <w:bottom w:val="nil"/>
              <w:right w:val="nil"/>
            </w:tcBorders>
            <w:shd w:val="clear" w:color="000000" w:fill="13B5EA"/>
            <w:noWrap/>
            <w:vAlign w:val="center"/>
            <w:hideMark/>
          </w:tcPr>
          <w:p w14:paraId="24543C29" w14:textId="38EB2874" w:rsidR="00573B18" w:rsidRPr="008D7FE8" w:rsidRDefault="00117506" w:rsidP="00573B18">
            <w:pPr>
              <w:jc w:val="right"/>
              <w:rPr>
                <w:rFonts w:cs="Arial"/>
                <w:b/>
                <w:color w:val="FFFFFF"/>
                <w:sz w:val="20"/>
              </w:rPr>
            </w:pPr>
            <w:r w:rsidRPr="008D7FE8">
              <w:rPr>
                <w:rFonts w:cs="Arial"/>
                <w:b/>
                <w:color w:val="FFFFFF"/>
                <w:sz w:val="20"/>
              </w:rPr>
              <w:t xml:space="preserve">Stav k </w:t>
            </w:r>
            <w:r w:rsidR="008D7FE8" w:rsidRPr="008D7FE8">
              <w:rPr>
                <w:rFonts w:cs="Arial"/>
                <w:b/>
                <w:bCs/>
                <w:color w:val="FFFFFF"/>
                <w:sz w:val="20"/>
              </w:rPr>
              <w:t>22</w:t>
            </w:r>
            <w:r w:rsidR="00573B18" w:rsidRPr="008D7FE8">
              <w:rPr>
                <w:rFonts w:cs="Arial"/>
                <w:b/>
                <w:bCs/>
                <w:color w:val="FFFFFF"/>
                <w:sz w:val="20"/>
              </w:rPr>
              <w:t>.0</w:t>
            </w:r>
            <w:r w:rsidR="008D7FE8" w:rsidRPr="008D7FE8">
              <w:rPr>
                <w:rFonts w:cs="Arial"/>
                <w:b/>
                <w:bCs/>
                <w:color w:val="FFFFFF"/>
                <w:sz w:val="20"/>
              </w:rPr>
              <w:t>7</w:t>
            </w:r>
            <w:r w:rsidR="00573B18" w:rsidRPr="008D7FE8">
              <w:rPr>
                <w:rFonts w:cs="Arial"/>
                <w:b/>
                <w:bCs/>
                <w:color w:val="FFFFFF"/>
                <w:sz w:val="20"/>
              </w:rPr>
              <w:t>.20</w:t>
            </w:r>
            <w:r w:rsidR="008D7FE8" w:rsidRPr="008D7FE8">
              <w:rPr>
                <w:rFonts w:cs="Arial"/>
                <w:b/>
                <w:bCs/>
                <w:color w:val="FFFFFF"/>
                <w:sz w:val="20"/>
              </w:rPr>
              <w:t>20</w:t>
            </w:r>
          </w:p>
        </w:tc>
      </w:tr>
      <w:tr w:rsidR="00573B18" w:rsidRPr="0085387A" w14:paraId="3D03EADA" w14:textId="77777777" w:rsidTr="00EB63AF">
        <w:trPr>
          <w:trHeight w:hRule="exact" w:val="266"/>
        </w:trPr>
        <w:tc>
          <w:tcPr>
            <w:tcW w:w="2849" w:type="dxa"/>
            <w:tcBorders>
              <w:top w:val="nil"/>
              <w:left w:val="nil"/>
              <w:bottom w:val="nil"/>
              <w:right w:val="nil"/>
            </w:tcBorders>
            <w:shd w:val="clear" w:color="auto" w:fill="auto"/>
            <w:noWrap/>
            <w:vAlign w:val="bottom"/>
            <w:hideMark/>
          </w:tcPr>
          <w:p w14:paraId="39D6E6A3" w14:textId="6A9C155F" w:rsidR="00573B18" w:rsidRPr="008D7FE8" w:rsidRDefault="0085387A" w:rsidP="00573B18">
            <w:pPr>
              <w:rPr>
                <w:rFonts w:cs="Arial"/>
                <w:color w:val="000000"/>
                <w:sz w:val="20"/>
              </w:rPr>
            </w:pPr>
            <w:r w:rsidRPr="008D7FE8">
              <w:rPr>
                <w:rFonts w:cs="Arial"/>
                <w:color w:val="000000"/>
                <w:sz w:val="20"/>
              </w:rPr>
              <w:t>Slatina</w:t>
            </w:r>
            <w:r w:rsidR="00B01516" w:rsidRPr="008D7FE8">
              <w:rPr>
                <w:rFonts w:cs="Arial"/>
                <w:color w:val="000000"/>
                <w:sz w:val="20"/>
              </w:rPr>
              <w:t xml:space="preserve"> (</w:t>
            </w:r>
            <w:r w:rsidRPr="008D7FE8">
              <w:rPr>
                <w:rFonts w:cs="Arial"/>
                <w:color w:val="000000"/>
                <w:sz w:val="20"/>
              </w:rPr>
              <w:t>LV</w:t>
            </w:r>
            <w:r w:rsidR="00B01516" w:rsidRPr="008D7FE8">
              <w:rPr>
                <w:rFonts w:cs="Arial"/>
                <w:color w:val="000000"/>
                <w:sz w:val="20"/>
              </w:rPr>
              <w:t>)</w:t>
            </w:r>
          </w:p>
        </w:tc>
        <w:tc>
          <w:tcPr>
            <w:tcW w:w="2963" w:type="dxa"/>
            <w:tcBorders>
              <w:top w:val="nil"/>
              <w:left w:val="nil"/>
              <w:bottom w:val="nil"/>
              <w:right w:val="nil"/>
            </w:tcBorders>
            <w:shd w:val="clear" w:color="auto" w:fill="auto"/>
            <w:noWrap/>
            <w:vAlign w:val="bottom"/>
            <w:hideMark/>
          </w:tcPr>
          <w:p w14:paraId="045AD92E" w14:textId="7FC2C8E4" w:rsidR="00573B18" w:rsidRPr="008D7FE8" w:rsidRDefault="0085387A" w:rsidP="00573B18">
            <w:pPr>
              <w:jc w:val="right"/>
              <w:rPr>
                <w:rFonts w:cs="Arial"/>
                <w:color w:val="000000"/>
                <w:sz w:val="20"/>
              </w:rPr>
            </w:pPr>
            <w:r w:rsidRPr="008D7FE8">
              <w:rPr>
                <w:rFonts w:cs="Arial"/>
                <w:color w:val="000000"/>
                <w:sz w:val="20"/>
              </w:rPr>
              <w:t>165</w:t>
            </w:r>
            <w:r w:rsidR="00573B18" w:rsidRPr="008D7FE8">
              <w:rPr>
                <w:rFonts w:cs="Arial"/>
                <w:color w:val="000000"/>
                <w:sz w:val="20"/>
              </w:rPr>
              <w:t>,</w:t>
            </w:r>
            <w:r w:rsidRPr="008D7FE8">
              <w:rPr>
                <w:rFonts w:cs="Arial"/>
                <w:color w:val="000000"/>
                <w:sz w:val="20"/>
              </w:rPr>
              <w:t>25</w:t>
            </w:r>
          </w:p>
        </w:tc>
        <w:tc>
          <w:tcPr>
            <w:tcW w:w="3260" w:type="dxa"/>
            <w:tcBorders>
              <w:top w:val="nil"/>
              <w:left w:val="nil"/>
              <w:bottom w:val="nil"/>
              <w:right w:val="nil"/>
            </w:tcBorders>
            <w:shd w:val="clear" w:color="auto" w:fill="auto"/>
            <w:noWrap/>
            <w:vAlign w:val="bottom"/>
            <w:hideMark/>
          </w:tcPr>
          <w:p w14:paraId="2C4A64A5" w14:textId="4C9E9B09" w:rsidR="00573B18" w:rsidRPr="008D7FE8" w:rsidRDefault="0085387A" w:rsidP="00573B18">
            <w:pPr>
              <w:jc w:val="right"/>
              <w:rPr>
                <w:rFonts w:cs="Arial"/>
                <w:color w:val="000000"/>
                <w:sz w:val="20"/>
              </w:rPr>
            </w:pPr>
            <w:r w:rsidRPr="008D7FE8">
              <w:rPr>
                <w:rFonts w:cs="Arial"/>
                <w:color w:val="000000"/>
                <w:sz w:val="20"/>
              </w:rPr>
              <w:t>zaplatené</w:t>
            </w:r>
          </w:p>
        </w:tc>
      </w:tr>
      <w:tr w:rsidR="00573B18" w:rsidRPr="00B81300" w14:paraId="125038E2" w14:textId="77777777" w:rsidTr="00B84870">
        <w:trPr>
          <w:trHeight w:hRule="exact" w:val="266"/>
        </w:trPr>
        <w:tc>
          <w:tcPr>
            <w:tcW w:w="2849" w:type="dxa"/>
            <w:tcBorders>
              <w:top w:val="single" w:sz="4" w:space="0" w:color="13B5EA"/>
              <w:left w:val="nil"/>
              <w:bottom w:val="single" w:sz="4" w:space="0" w:color="13B5EA"/>
              <w:right w:val="nil"/>
            </w:tcBorders>
            <w:shd w:val="clear" w:color="auto" w:fill="auto"/>
            <w:noWrap/>
            <w:vAlign w:val="bottom"/>
            <w:hideMark/>
          </w:tcPr>
          <w:p w14:paraId="5AD850B9" w14:textId="41F5710A" w:rsidR="00573B18" w:rsidRPr="008D7FE8" w:rsidRDefault="00573B18" w:rsidP="00573B18">
            <w:pPr>
              <w:rPr>
                <w:rFonts w:cs="Arial"/>
                <w:color w:val="000000"/>
                <w:sz w:val="20"/>
              </w:rPr>
            </w:pPr>
            <w:r w:rsidRPr="008D7FE8">
              <w:rPr>
                <w:rFonts w:cs="Arial"/>
                <w:color w:val="000000"/>
                <w:sz w:val="20"/>
              </w:rPr>
              <w:t>Spolu</w:t>
            </w:r>
          </w:p>
        </w:tc>
        <w:tc>
          <w:tcPr>
            <w:tcW w:w="2963" w:type="dxa"/>
            <w:tcBorders>
              <w:top w:val="single" w:sz="4" w:space="0" w:color="13B5EA"/>
              <w:left w:val="nil"/>
              <w:bottom w:val="single" w:sz="4" w:space="0" w:color="13B5EA"/>
              <w:right w:val="nil"/>
            </w:tcBorders>
            <w:shd w:val="clear" w:color="auto" w:fill="auto"/>
            <w:noWrap/>
            <w:vAlign w:val="bottom"/>
            <w:hideMark/>
          </w:tcPr>
          <w:p w14:paraId="379DB268" w14:textId="5D501FC3" w:rsidR="00573B18" w:rsidRPr="008D7FE8" w:rsidRDefault="008D7FE8" w:rsidP="00573B18">
            <w:pPr>
              <w:jc w:val="right"/>
              <w:rPr>
                <w:rFonts w:cs="Arial"/>
                <w:color w:val="000000"/>
                <w:sz w:val="20"/>
              </w:rPr>
            </w:pPr>
            <w:r w:rsidRPr="008D7FE8">
              <w:rPr>
                <w:rFonts w:cs="Arial"/>
                <w:color w:val="000000"/>
                <w:sz w:val="20"/>
              </w:rPr>
              <w:t>165</w:t>
            </w:r>
            <w:r w:rsidR="00573B18" w:rsidRPr="008D7FE8">
              <w:rPr>
                <w:rFonts w:cs="Arial"/>
                <w:color w:val="000000"/>
                <w:sz w:val="20"/>
              </w:rPr>
              <w:t>,</w:t>
            </w:r>
            <w:r w:rsidRPr="008D7FE8">
              <w:rPr>
                <w:rFonts w:cs="Arial"/>
                <w:color w:val="000000"/>
                <w:sz w:val="20"/>
              </w:rPr>
              <w:t>25</w:t>
            </w:r>
          </w:p>
        </w:tc>
        <w:tc>
          <w:tcPr>
            <w:tcW w:w="3260" w:type="dxa"/>
            <w:tcBorders>
              <w:top w:val="single" w:sz="4" w:space="0" w:color="13B5EA"/>
              <w:left w:val="nil"/>
              <w:bottom w:val="single" w:sz="4" w:space="0" w:color="13B5EA"/>
              <w:right w:val="nil"/>
            </w:tcBorders>
            <w:shd w:val="clear" w:color="auto" w:fill="auto"/>
            <w:noWrap/>
            <w:vAlign w:val="bottom"/>
            <w:hideMark/>
          </w:tcPr>
          <w:p w14:paraId="37D21A85" w14:textId="10FE1950" w:rsidR="00573B18" w:rsidRPr="008D7FE8" w:rsidRDefault="00573B18" w:rsidP="00573B18">
            <w:pPr>
              <w:jc w:val="right"/>
              <w:rPr>
                <w:rFonts w:cs="Arial"/>
                <w:color w:val="000000"/>
                <w:sz w:val="20"/>
              </w:rPr>
            </w:pPr>
            <w:r w:rsidRPr="008D7FE8">
              <w:rPr>
                <w:rFonts w:cs="Arial"/>
                <w:color w:val="000000"/>
                <w:sz w:val="20"/>
              </w:rPr>
              <w:t> </w:t>
            </w:r>
          </w:p>
        </w:tc>
      </w:tr>
      <w:tr w:rsidR="00573B18" w:rsidRPr="00B81300" w14:paraId="038B9416" w14:textId="77777777" w:rsidTr="00B84870">
        <w:trPr>
          <w:trHeight w:hRule="exact" w:val="266"/>
        </w:trPr>
        <w:tc>
          <w:tcPr>
            <w:tcW w:w="2849" w:type="dxa"/>
            <w:tcBorders>
              <w:top w:val="nil"/>
              <w:left w:val="nil"/>
              <w:bottom w:val="nil"/>
              <w:right w:val="nil"/>
            </w:tcBorders>
            <w:shd w:val="clear" w:color="auto" w:fill="auto"/>
            <w:noWrap/>
            <w:hideMark/>
          </w:tcPr>
          <w:p w14:paraId="2AA30467" w14:textId="314F4D9F" w:rsidR="00573B18" w:rsidRPr="008D7FE8" w:rsidRDefault="00573B18" w:rsidP="00573B18">
            <w:pPr>
              <w:rPr>
                <w:rFonts w:cs="Arial"/>
                <w:color w:val="000000"/>
                <w:sz w:val="20"/>
              </w:rPr>
            </w:pPr>
          </w:p>
        </w:tc>
        <w:tc>
          <w:tcPr>
            <w:tcW w:w="2963" w:type="dxa"/>
            <w:tcBorders>
              <w:top w:val="nil"/>
              <w:left w:val="nil"/>
              <w:bottom w:val="nil"/>
              <w:right w:val="nil"/>
            </w:tcBorders>
            <w:shd w:val="clear" w:color="auto" w:fill="auto"/>
            <w:noWrap/>
            <w:hideMark/>
          </w:tcPr>
          <w:p w14:paraId="4AECB623" w14:textId="7F1DC755" w:rsidR="00573B18" w:rsidRPr="008D7FE8" w:rsidRDefault="00573B18" w:rsidP="00573B18">
            <w:pPr>
              <w:jc w:val="right"/>
              <w:rPr>
                <w:rFonts w:cs="Arial"/>
                <w:color w:val="000000"/>
                <w:sz w:val="20"/>
              </w:rPr>
            </w:pPr>
          </w:p>
        </w:tc>
        <w:tc>
          <w:tcPr>
            <w:tcW w:w="3260" w:type="dxa"/>
            <w:noWrap/>
            <w:hideMark/>
          </w:tcPr>
          <w:p w14:paraId="76144AEE" w14:textId="34750DB4" w:rsidR="00573B18" w:rsidRPr="008D7FE8" w:rsidRDefault="00573B18" w:rsidP="00573B18">
            <w:pPr>
              <w:jc w:val="right"/>
              <w:rPr>
                <w:rFonts w:cs="Arial"/>
                <w:color w:val="000000"/>
                <w:sz w:val="20"/>
              </w:rPr>
            </w:pPr>
            <w:r w:rsidRPr="008D7FE8">
              <w:rPr>
                <w:rFonts w:cs="Arial"/>
                <w:i/>
                <w:color w:val="00B0F0"/>
                <w:sz w:val="16"/>
                <w:szCs w:val="16"/>
              </w:rPr>
              <w:t>Zdroj: MF SR</w:t>
            </w:r>
          </w:p>
        </w:tc>
      </w:tr>
    </w:tbl>
    <w:p w14:paraId="602D44E5" w14:textId="626D064E" w:rsidR="002778C2" w:rsidRPr="00607D6F" w:rsidRDefault="005E7F70" w:rsidP="002778C2">
      <w:pPr>
        <w:jc w:val="both"/>
        <w:rPr>
          <w:b/>
        </w:rPr>
      </w:pPr>
      <w:r w:rsidRPr="00607D6F">
        <w:rPr>
          <w:b/>
        </w:rPr>
        <w:lastRenderedPageBreak/>
        <w:t>Uloženie</w:t>
      </w:r>
      <w:r w:rsidR="002778C2" w:rsidRPr="00607D6F">
        <w:rPr>
          <w:b/>
        </w:rPr>
        <w:t xml:space="preserve"> pokuty pri pr</w:t>
      </w:r>
      <w:r w:rsidR="006F0B3F" w:rsidRPr="00607D6F">
        <w:rPr>
          <w:b/>
        </w:rPr>
        <w:t>ekročení limitu dlhu za rok 201</w:t>
      </w:r>
      <w:r w:rsidR="000E36CD" w:rsidRPr="00607D6F">
        <w:rPr>
          <w:b/>
        </w:rPr>
        <w:t>9</w:t>
      </w:r>
    </w:p>
    <w:p w14:paraId="5341F6FF" w14:textId="77777777" w:rsidR="008F738B" w:rsidRPr="00607D6F" w:rsidRDefault="008F738B" w:rsidP="00A750A1">
      <w:pPr>
        <w:jc w:val="both"/>
        <w:rPr>
          <w:sz w:val="14"/>
        </w:rPr>
      </w:pPr>
    </w:p>
    <w:p w14:paraId="7A1AFBB8" w14:textId="58B56CF7" w:rsidR="00064D28" w:rsidRPr="00607D6F" w:rsidRDefault="006F0B3F" w:rsidP="003943A1">
      <w:pPr>
        <w:jc w:val="both"/>
      </w:pPr>
      <w:r w:rsidRPr="00607D6F">
        <w:t>Za rok 201</w:t>
      </w:r>
      <w:r w:rsidR="000E36CD" w:rsidRPr="00607D6F">
        <w:t>9</w:t>
      </w:r>
      <w:r w:rsidR="002778C2" w:rsidRPr="00607D6F">
        <w:t xml:space="preserve"> boli dlhy všetkých VÚC pod zákonom stanoveným limitom. Celkov</w:t>
      </w:r>
      <w:r w:rsidR="00980CEC" w:rsidRPr="00607D6F">
        <w:t xml:space="preserve">á suma dlhu </w:t>
      </w:r>
      <w:r w:rsidR="002778C2" w:rsidRPr="00607D6F">
        <w:t>VÚC dosiahl</w:t>
      </w:r>
      <w:r w:rsidR="00980CEC" w:rsidRPr="00607D6F">
        <w:t>a</w:t>
      </w:r>
      <w:r w:rsidR="00E37A58" w:rsidRPr="00607D6F">
        <w:t xml:space="preserve"> ku koncu roka 201</w:t>
      </w:r>
      <w:r w:rsidR="000E36CD" w:rsidRPr="00607D6F">
        <w:t>9</w:t>
      </w:r>
      <w:r w:rsidR="00AF4D02" w:rsidRPr="00607D6F">
        <w:t xml:space="preserve"> úroveň 2</w:t>
      </w:r>
      <w:r w:rsidR="00607D6F" w:rsidRPr="00607D6F">
        <w:t>5</w:t>
      </w:r>
      <w:r w:rsidR="00AF4D02" w:rsidRPr="00607D6F">
        <w:t>,</w:t>
      </w:r>
      <w:r w:rsidR="00694525" w:rsidRPr="00607D6F">
        <w:t>4</w:t>
      </w:r>
      <w:r w:rsidR="00AF4D02" w:rsidRPr="00607D6F">
        <w:t> % bežných príjmov roka 201</w:t>
      </w:r>
      <w:r w:rsidR="00607D6F" w:rsidRPr="00607D6F">
        <w:t>8</w:t>
      </w:r>
      <w:r w:rsidR="002778C2" w:rsidRPr="00607D6F">
        <w:t xml:space="preserve">. Najvyšší pomer dlhu evidoval </w:t>
      </w:r>
      <w:r w:rsidR="00177654" w:rsidRPr="00607D6F">
        <w:t>Trnavský samosprávny kraj (</w:t>
      </w:r>
      <w:r w:rsidR="00607D6F" w:rsidRPr="00607D6F">
        <w:t>37</w:t>
      </w:r>
      <w:r w:rsidR="00177654" w:rsidRPr="00607D6F">
        <w:t>,</w:t>
      </w:r>
      <w:r w:rsidR="00607D6F" w:rsidRPr="00607D6F">
        <w:t>8</w:t>
      </w:r>
      <w:r w:rsidR="002778C2" w:rsidRPr="00607D6F">
        <w:t> %), najnižší dlh dosiahol</w:t>
      </w:r>
      <w:r w:rsidR="00772715" w:rsidRPr="00607D6F">
        <w:t xml:space="preserve"> Nitriansky samosprávny kraj (</w:t>
      </w:r>
      <w:r w:rsidR="00607D6F" w:rsidRPr="00607D6F">
        <w:t>9</w:t>
      </w:r>
      <w:r w:rsidR="002778C2" w:rsidRPr="00607D6F">
        <w:t>,</w:t>
      </w:r>
      <w:r w:rsidR="006D7B67" w:rsidRPr="00607D6F">
        <w:t>3</w:t>
      </w:r>
      <w:r w:rsidR="002778C2" w:rsidRPr="00607D6F">
        <w:t> %).</w:t>
      </w:r>
    </w:p>
    <w:p w14:paraId="76506ECE" w14:textId="77777777" w:rsidR="00064D28" w:rsidRPr="00DB4382" w:rsidRDefault="00064D28" w:rsidP="003943A1">
      <w:pPr>
        <w:jc w:val="both"/>
        <w:rPr>
          <w:sz w:val="20"/>
          <w:szCs w:val="18"/>
        </w:rPr>
      </w:pPr>
    </w:p>
    <w:p w14:paraId="3FE7092D" w14:textId="6BF477B8" w:rsidR="00D56CEA" w:rsidRPr="00DD4D71" w:rsidRDefault="007E3FBA" w:rsidP="003943A1">
      <w:pPr>
        <w:jc w:val="both"/>
      </w:pPr>
      <w:r w:rsidRPr="0007492E">
        <w:t xml:space="preserve">MF SR predbežne identifikovalo </w:t>
      </w:r>
      <w:r w:rsidR="0007492E" w:rsidRPr="002846DC">
        <w:t>46</w:t>
      </w:r>
      <w:r w:rsidRPr="0007492E">
        <w:t xml:space="preserve"> obcí, ktoré vykázali prekročenie 60</w:t>
      </w:r>
      <w:r w:rsidR="007B2513" w:rsidRPr="0007492E">
        <w:t> </w:t>
      </w:r>
      <w:r w:rsidRPr="0007492E">
        <w:t>% limitu dlhu</w:t>
      </w:r>
      <w:r w:rsidR="00D50B2A" w:rsidRPr="0007492E">
        <w:t xml:space="preserve"> </w:t>
      </w:r>
      <w:r w:rsidR="00AC1688" w:rsidRPr="0007492E">
        <w:t>za rok 2</w:t>
      </w:r>
      <w:r w:rsidR="002344EA" w:rsidRPr="0007492E">
        <w:t>01</w:t>
      </w:r>
      <w:r w:rsidR="0007492E" w:rsidRPr="0007492E">
        <w:t>9</w:t>
      </w:r>
      <w:r w:rsidR="00AC1688" w:rsidRPr="0007492E">
        <w:t xml:space="preserve"> </w:t>
      </w:r>
      <w:r w:rsidR="00D50B2A" w:rsidRPr="0007492E">
        <w:t>a za účelom zistenia reálneho stavu</w:t>
      </w:r>
      <w:r w:rsidR="00434308" w:rsidRPr="0007492E">
        <w:rPr>
          <w:rStyle w:val="FootnoteReference"/>
        </w:rPr>
        <w:footnoteReference w:id="61"/>
      </w:r>
      <w:r w:rsidRPr="0007492E">
        <w:t xml:space="preserve"> požiadalo </w:t>
      </w:r>
      <w:r w:rsidR="00D50B2A" w:rsidRPr="0007492E">
        <w:t xml:space="preserve">hlavných kontrolórov </w:t>
      </w:r>
      <w:r w:rsidR="0007492E" w:rsidRPr="002846DC">
        <w:t>30</w:t>
      </w:r>
      <w:r w:rsidR="00AA19ED" w:rsidRPr="0007492E">
        <w:t xml:space="preserve"> </w:t>
      </w:r>
      <w:r w:rsidR="00D50B2A" w:rsidRPr="0007492E">
        <w:t>obcí</w:t>
      </w:r>
      <w:r w:rsidR="00B22765" w:rsidRPr="0007492E">
        <w:rPr>
          <w:rStyle w:val="FootnoteReference"/>
        </w:rPr>
        <w:footnoteReference w:id="62"/>
      </w:r>
      <w:r w:rsidR="00D50B2A" w:rsidRPr="0007492E">
        <w:t xml:space="preserve"> o preverenie údajov.</w:t>
      </w:r>
      <w:r w:rsidR="005443BD" w:rsidRPr="0007492E">
        <w:t xml:space="preserve"> </w:t>
      </w:r>
      <w:r w:rsidR="0007492E" w:rsidRPr="002846DC">
        <w:t>Šest</w:t>
      </w:r>
      <w:r w:rsidR="00057CAB" w:rsidRPr="002846DC">
        <w:t>násť</w:t>
      </w:r>
      <w:r w:rsidR="0024051D" w:rsidRPr="0007492E">
        <w:t xml:space="preserve"> </w:t>
      </w:r>
      <w:r w:rsidR="00766BA9" w:rsidRPr="0007492E">
        <w:t>z identifikovaných</w:t>
      </w:r>
      <w:r w:rsidR="0024051D" w:rsidRPr="0007492E">
        <w:t xml:space="preserve"> obcí nebolo </w:t>
      </w:r>
      <w:r w:rsidR="00B7366A" w:rsidRPr="0007492E">
        <w:t>v súvislosti s </w:t>
      </w:r>
      <w:r w:rsidR="00B7366A" w:rsidRPr="00622EAA">
        <w:t>možnou pokutou</w:t>
      </w:r>
      <w:r w:rsidR="0024051D" w:rsidRPr="00622EAA">
        <w:t xml:space="preserve"> oslovených </w:t>
      </w:r>
      <w:r w:rsidR="00622EAA" w:rsidRPr="00622EAA">
        <w:t xml:space="preserve">– </w:t>
      </w:r>
      <w:r w:rsidR="00D50B2A" w:rsidRPr="00622EAA">
        <w:t>obe</w:t>
      </w:r>
      <w:r w:rsidR="00622EAA" w:rsidRPr="00622EAA">
        <w:t xml:space="preserve">c </w:t>
      </w:r>
      <w:r w:rsidR="005443BD" w:rsidRPr="00622EAA">
        <w:t>Bratislava – Devín</w:t>
      </w:r>
      <w:r w:rsidR="00622EAA" w:rsidRPr="00622EAA">
        <w:t xml:space="preserve"> je v nútenej správe</w:t>
      </w:r>
      <w:r w:rsidR="00622EAA">
        <w:t>,</w:t>
      </w:r>
      <w:r w:rsidR="005B7A2C" w:rsidRPr="00622EAA">
        <w:t xml:space="preserve"> dve</w:t>
      </w:r>
      <w:r w:rsidR="005D4A97" w:rsidRPr="00622EAA">
        <w:t xml:space="preserve"> </w:t>
      </w:r>
      <w:r w:rsidR="00877A63" w:rsidRPr="00622EAA">
        <w:t>ob</w:t>
      </w:r>
      <w:r w:rsidR="005B7A2C" w:rsidRPr="00622EAA">
        <w:t>ce</w:t>
      </w:r>
      <w:r w:rsidR="00877A63" w:rsidRPr="00622EAA">
        <w:t xml:space="preserve"> </w:t>
      </w:r>
      <w:r w:rsidR="005D4A97" w:rsidRPr="00622EAA">
        <w:t>bol</w:t>
      </w:r>
      <w:r w:rsidR="005B7A2C" w:rsidRPr="00622EAA">
        <w:t>i</w:t>
      </w:r>
      <w:r w:rsidR="00902DF2" w:rsidRPr="00622EAA">
        <w:t xml:space="preserve"> </w:t>
      </w:r>
      <w:r w:rsidR="00356E93" w:rsidRPr="00622EAA">
        <w:t xml:space="preserve">v minulosti </w:t>
      </w:r>
      <w:r w:rsidR="000C26FC" w:rsidRPr="00622EAA">
        <w:t xml:space="preserve">už </w:t>
      </w:r>
      <w:r w:rsidR="00902DF2" w:rsidRPr="00622EAA">
        <w:t>pokutovan</w:t>
      </w:r>
      <w:r w:rsidR="000C26FC" w:rsidRPr="00622EAA">
        <w:t>é</w:t>
      </w:r>
      <w:r w:rsidR="00356E93" w:rsidRPr="00622EAA">
        <w:t xml:space="preserve"> </w:t>
      </w:r>
      <w:r w:rsidR="00902DF2" w:rsidRPr="00622EAA">
        <w:t xml:space="preserve">a </w:t>
      </w:r>
      <w:r w:rsidR="00B80B96" w:rsidRPr="00622EAA">
        <w:t>ne</w:t>
      </w:r>
      <w:r w:rsidR="00D50B2A" w:rsidRPr="00622EAA">
        <w:t xml:space="preserve">vykázali </w:t>
      </w:r>
      <w:r w:rsidR="00B80B96" w:rsidRPr="00622EAA">
        <w:t xml:space="preserve">medziročné zvýšenie </w:t>
      </w:r>
      <w:r w:rsidR="0070326A" w:rsidRPr="00622EAA">
        <w:t xml:space="preserve">pomeru </w:t>
      </w:r>
      <w:r w:rsidR="00B80B96" w:rsidRPr="00622EAA">
        <w:t>dlhu</w:t>
      </w:r>
      <w:r w:rsidR="00D50B2A" w:rsidRPr="00622EAA">
        <w:rPr>
          <w:rStyle w:val="FootnoteReference"/>
        </w:rPr>
        <w:footnoteReference w:id="63"/>
      </w:r>
      <w:r w:rsidR="00D50B2A" w:rsidRPr="00622EAA">
        <w:rPr>
          <w:rStyle w:val="FootnoteReference"/>
        </w:rPr>
        <w:t xml:space="preserve"> </w:t>
      </w:r>
      <w:r w:rsidR="006068E2" w:rsidRPr="00622EAA">
        <w:t>(</w:t>
      </w:r>
      <w:r w:rsidR="003943A1" w:rsidRPr="00622EAA">
        <w:t>Častkov</w:t>
      </w:r>
      <w:r w:rsidR="00996A97" w:rsidRPr="00622EAA">
        <w:t xml:space="preserve"> </w:t>
      </w:r>
      <w:r w:rsidR="003943A1" w:rsidRPr="00622EAA">
        <w:t>a</w:t>
      </w:r>
      <w:r w:rsidR="00622EAA" w:rsidRPr="00622EAA">
        <w:t> Plavecké Podhradie</w:t>
      </w:r>
      <w:r w:rsidR="003943A1" w:rsidRPr="00622EAA">
        <w:t>)</w:t>
      </w:r>
      <w:r w:rsidR="00622EAA">
        <w:t>,</w:t>
      </w:r>
      <w:r w:rsidR="00351689" w:rsidRPr="00622EAA">
        <w:t xml:space="preserve"> </w:t>
      </w:r>
      <w:r w:rsidR="00622EAA">
        <w:t>o</w:t>
      </w:r>
      <w:r w:rsidR="008262ED" w:rsidRPr="00622EAA">
        <w:t>bec</w:t>
      </w:r>
      <w:r w:rsidR="003943A1" w:rsidRPr="00622EAA">
        <w:t xml:space="preserve"> Horná Miči</w:t>
      </w:r>
      <w:r w:rsidR="00691073" w:rsidRPr="00622EAA">
        <w:t>ná</w:t>
      </w:r>
      <w:r w:rsidR="008262ED" w:rsidRPr="00622EAA">
        <w:t xml:space="preserve"> nebola oslovená, </w:t>
      </w:r>
      <w:r w:rsidR="00877A63" w:rsidRPr="00622EAA">
        <w:t>pretože</w:t>
      </w:r>
      <w:r w:rsidR="008262ED" w:rsidRPr="00622EAA">
        <w:t xml:space="preserve"> jej </w:t>
      </w:r>
      <w:r w:rsidR="00351689" w:rsidRPr="00622EAA">
        <w:t>záväzky sa nezapočítavajú do celkovej sumy dlhu, keď</w:t>
      </w:r>
      <w:r w:rsidR="008262ED" w:rsidRPr="00622EAA">
        <w:t>že</w:t>
      </w:r>
      <w:r w:rsidR="00AE1762" w:rsidRPr="00622EAA">
        <w:t xml:space="preserve"> vznikl</w:t>
      </w:r>
      <w:r w:rsidR="00351689" w:rsidRPr="00622EAA">
        <w:t>i</w:t>
      </w:r>
      <w:r w:rsidR="00AE1762" w:rsidRPr="00622EAA">
        <w:t xml:space="preserve"> reštrukturalizáciou </w:t>
      </w:r>
      <w:r w:rsidR="00B91438" w:rsidRPr="00622EAA">
        <w:t>pôvodných úverov</w:t>
      </w:r>
      <w:r w:rsidR="00AE1762" w:rsidRPr="00622EAA">
        <w:t xml:space="preserve"> počas nútenej správy obce</w:t>
      </w:r>
      <w:r w:rsidR="00351689" w:rsidRPr="00622EAA">
        <w:t xml:space="preserve">. </w:t>
      </w:r>
      <w:r w:rsidR="0093622A" w:rsidRPr="00622EAA">
        <w:t>Zvyšných 1</w:t>
      </w:r>
      <w:r w:rsidR="00622EAA" w:rsidRPr="00622EAA">
        <w:t>2</w:t>
      </w:r>
      <w:r w:rsidR="0093622A" w:rsidRPr="00622EAA">
        <w:t xml:space="preserve"> o</w:t>
      </w:r>
      <w:r w:rsidRPr="00622EAA">
        <w:t>b</w:t>
      </w:r>
      <w:r w:rsidR="0093622A" w:rsidRPr="00622EAA">
        <w:t>cí</w:t>
      </w:r>
      <w:r w:rsidR="00D54C06" w:rsidRPr="00622EAA">
        <w:rPr>
          <w:rStyle w:val="FootnoteReference"/>
        </w:rPr>
        <w:footnoteReference w:id="64"/>
      </w:r>
      <w:r w:rsidRPr="00622EAA">
        <w:t xml:space="preserve"> bol</w:t>
      </w:r>
      <w:r w:rsidR="0093622A" w:rsidRPr="00622EAA">
        <w:t>o</w:t>
      </w:r>
      <w:r w:rsidRPr="00622EAA">
        <w:t xml:space="preserve"> z</w:t>
      </w:r>
      <w:r w:rsidR="00D927FC" w:rsidRPr="00622EAA">
        <w:t> </w:t>
      </w:r>
      <w:r w:rsidRPr="00622EAA">
        <w:t>hodnotenia</w:t>
      </w:r>
      <w:r w:rsidR="00D927FC" w:rsidRPr="00622EAA">
        <w:t xml:space="preserve"> vy</w:t>
      </w:r>
      <w:r w:rsidR="0093622A" w:rsidRPr="00622EAA">
        <w:t>lúčených</w:t>
      </w:r>
      <w:r w:rsidRPr="00622EAA">
        <w:t xml:space="preserve"> na základe </w:t>
      </w:r>
      <w:r w:rsidR="00D927FC" w:rsidRPr="00622EAA">
        <w:t>výnimky z u</w:t>
      </w:r>
      <w:r w:rsidR="00321E15" w:rsidRPr="00622EAA">
        <w:t>loženia</w:t>
      </w:r>
      <w:r w:rsidR="00D927FC" w:rsidRPr="00622EAA">
        <w:t xml:space="preserve"> pokuty počas </w:t>
      </w:r>
      <w:r w:rsidR="00A750A1" w:rsidRPr="00622EAA">
        <w:t>24 </w:t>
      </w:r>
      <w:r w:rsidR="00D927FC" w:rsidRPr="00622EAA">
        <w:t>mesiacov od konania ustanovujúceho zasadnutia obecného zastupiteľstva</w:t>
      </w:r>
      <w:r w:rsidR="00336715" w:rsidRPr="00622EAA">
        <w:t xml:space="preserve"> z dôvodu, že</w:t>
      </w:r>
      <w:r w:rsidR="000C26FC" w:rsidRPr="00622EAA">
        <w:t xml:space="preserve"> ich </w:t>
      </w:r>
      <w:r w:rsidR="00D54C06" w:rsidRPr="00622EAA">
        <w:t xml:space="preserve">ako starosta/primátor </w:t>
      </w:r>
      <w:r w:rsidR="005E671A" w:rsidRPr="00622EAA">
        <w:t>viedla</w:t>
      </w:r>
      <w:r w:rsidR="000C26FC" w:rsidRPr="00622EAA">
        <w:t xml:space="preserve"> iná </w:t>
      </w:r>
      <w:r w:rsidR="000C26FC" w:rsidRPr="00DD4D71">
        <w:t>fyzická osoba, ako v predchádzajúcom volebnom období</w:t>
      </w:r>
      <w:r w:rsidR="00A750A1" w:rsidRPr="00DD4D71">
        <w:t>.</w:t>
      </w:r>
    </w:p>
    <w:p w14:paraId="1D307FEB" w14:textId="5223E184" w:rsidR="00AF39A5" w:rsidRPr="00DB4382" w:rsidRDefault="00AF39A5" w:rsidP="00D56CEA">
      <w:pPr>
        <w:jc w:val="both"/>
        <w:rPr>
          <w:sz w:val="20"/>
          <w:szCs w:val="18"/>
        </w:rPr>
      </w:pPr>
    </w:p>
    <w:p w14:paraId="568D9443" w14:textId="1C68E495" w:rsidR="003F77DB" w:rsidRPr="00DD4D71" w:rsidRDefault="00141E89" w:rsidP="00CC23BB">
      <w:pPr>
        <w:jc w:val="both"/>
      </w:pPr>
      <w:r w:rsidRPr="00DD4D71">
        <w:t xml:space="preserve">Keďže ešte nie </w:t>
      </w:r>
      <w:r w:rsidR="003C29D4" w:rsidRPr="00DD4D71">
        <w:t xml:space="preserve">je známa výška </w:t>
      </w:r>
      <w:r w:rsidR="00B7396F" w:rsidRPr="00DD4D71">
        <w:t xml:space="preserve">právoplatne </w:t>
      </w:r>
      <w:r w:rsidR="003C29D4" w:rsidRPr="00DD4D71">
        <w:t>u</w:t>
      </w:r>
      <w:r w:rsidR="00321E15" w:rsidRPr="00DD4D71">
        <w:t>ložených</w:t>
      </w:r>
      <w:r w:rsidR="003C29D4" w:rsidRPr="00DD4D71">
        <w:t xml:space="preserve"> sankcií</w:t>
      </w:r>
      <w:r w:rsidR="00877A63" w:rsidRPr="00DD4D71">
        <w:t xml:space="preserve"> za rok 201</w:t>
      </w:r>
      <w:r w:rsidR="00DD4D71" w:rsidRPr="00DD4D71">
        <w:t>9</w:t>
      </w:r>
      <w:r w:rsidR="00A750A1" w:rsidRPr="00DD4D71">
        <w:t>, na</w:t>
      </w:r>
      <w:r w:rsidR="00B066C4" w:rsidRPr="00DD4D71">
        <w:t xml:space="preserve"> základe údajov od </w:t>
      </w:r>
      <w:r w:rsidRPr="00DD4D71">
        <w:t>ministerstva</w:t>
      </w:r>
      <w:r w:rsidR="00EC7BF8" w:rsidRPr="00DD4D71">
        <w:t> </w:t>
      </w:r>
      <w:r w:rsidRPr="00DD4D71">
        <w:t xml:space="preserve">financií </w:t>
      </w:r>
      <w:r w:rsidR="00161DFC" w:rsidRPr="00DD4D71">
        <w:t xml:space="preserve">RRZ </w:t>
      </w:r>
      <w:r w:rsidRPr="00DD4D71">
        <w:t>ilustratívne vyčíslil</w:t>
      </w:r>
      <w:r w:rsidR="00671A9A" w:rsidRPr="00DD4D71">
        <w:t>a</w:t>
      </w:r>
      <w:r w:rsidRPr="00DD4D71">
        <w:t xml:space="preserve"> výšku pokút pre jednotlivé obce</w:t>
      </w:r>
      <w:r w:rsidR="001764B3" w:rsidRPr="00DD4D71">
        <w:t xml:space="preserve"> </w:t>
      </w:r>
      <w:r w:rsidR="001764B3" w:rsidRPr="004A79A6">
        <w:t>(</w:t>
      </w:r>
      <w:r w:rsidR="008C0747" w:rsidRPr="004A79A6">
        <w:t>príloh</w:t>
      </w:r>
      <w:r w:rsidR="00EC7BF8" w:rsidRPr="004A79A6">
        <w:t>a</w:t>
      </w:r>
      <w:r w:rsidR="008C0747" w:rsidRPr="004A79A6">
        <w:t> </w:t>
      </w:r>
      <w:r w:rsidR="00A044A4" w:rsidRPr="004A79A6">
        <w:t>6</w:t>
      </w:r>
      <w:r w:rsidR="001764B3" w:rsidRPr="004A79A6">
        <w:t>)</w:t>
      </w:r>
      <w:r w:rsidRPr="00DD4D71">
        <w:t xml:space="preserve">. </w:t>
      </w:r>
      <w:r w:rsidR="00B066C4" w:rsidRPr="00DD4D71">
        <w:t xml:space="preserve">Ak by sa </w:t>
      </w:r>
      <w:r w:rsidR="002A0727" w:rsidRPr="00DD4D71">
        <w:t>vykázané údaje potvrdili, c</w:t>
      </w:r>
      <w:r w:rsidR="00F509FE" w:rsidRPr="00DD4D71">
        <w:t xml:space="preserve">elková výška pokuty </w:t>
      </w:r>
      <w:r w:rsidR="003F77DB" w:rsidRPr="00DD4D71">
        <w:t>obcí by</w:t>
      </w:r>
      <w:r w:rsidR="006360E0" w:rsidRPr="00DD4D71">
        <w:t> </w:t>
      </w:r>
      <w:r w:rsidR="00161DFC" w:rsidRPr="00DD4D71">
        <w:t>pre</w:t>
      </w:r>
      <w:r w:rsidR="003F77DB" w:rsidRPr="00DD4D71">
        <w:t>siahla</w:t>
      </w:r>
      <w:r w:rsidR="00161DFC" w:rsidRPr="00DD4D71">
        <w:t xml:space="preserve"> </w:t>
      </w:r>
      <w:r w:rsidR="004813FC" w:rsidRPr="004A79A6">
        <w:t>342 </w:t>
      </w:r>
      <w:r w:rsidR="00E253EF" w:rsidRPr="004A79A6">
        <w:t>tis</w:t>
      </w:r>
      <w:r w:rsidR="003F77DB" w:rsidRPr="004A79A6">
        <w:t>.</w:t>
      </w:r>
      <w:r w:rsidR="008E58A8" w:rsidRPr="004A79A6">
        <w:t> </w:t>
      </w:r>
      <w:r w:rsidR="003F77DB" w:rsidRPr="004A79A6">
        <w:t>eur</w:t>
      </w:r>
      <w:r w:rsidR="00487CE6" w:rsidRPr="004A79A6">
        <w:t>.</w:t>
      </w:r>
      <w:r w:rsidR="00326366" w:rsidRPr="004813FC">
        <w:t xml:space="preserve"> </w:t>
      </w:r>
      <w:r w:rsidR="0079201F" w:rsidRPr="00DD4D71">
        <w:t>Pokuty hrozia aj obciam, ktoré boli dodatočne oslovené zo</w:t>
      </w:r>
      <w:r w:rsidR="006360E0" w:rsidRPr="00DD4D71">
        <w:t> </w:t>
      </w:r>
      <w:r w:rsidR="0079201F" w:rsidRPr="00DD4D71">
        <w:t>strany MF</w:t>
      </w:r>
      <w:r w:rsidR="006360E0" w:rsidRPr="00DD4D71">
        <w:t> </w:t>
      </w:r>
      <w:r w:rsidR="0079201F" w:rsidRPr="00DD4D71">
        <w:t>SR z dôvodu nepodania potrebných výkazov</w:t>
      </w:r>
      <w:r w:rsidR="00F376AB" w:rsidRPr="00DD4D71">
        <w:t xml:space="preserve">, ak by bol ich </w:t>
      </w:r>
      <w:r w:rsidR="00B7396F" w:rsidRPr="00DD4D71">
        <w:t>zistený dlh nad limitom.</w:t>
      </w:r>
      <w:r w:rsidR="007E33B5" w:rsidRPr="00DD4D71">
        <w:t xml:space="preserve"> V prípade, že</w:t>
      </w:r>
      <w:r w:rsidR="00F15D61" w:rsidRPr="00DD4D71">
        <w:t> </w:t>
      </w:r>
      <w:r w:rsidR="007E33B5" w:rsidRPr="00DD4D71">
        <w:t>by obec vykázala</w:t>
      </w:r>
      <w:r w:rsidR="0072415D" w:rsidRPr="00DD4D71">
        <w:t xml:space="preserve"> nižší</w:t>
      </w:r>
      <w:r w:rsidR="00E72573" w:rsidRPr="00DD4D71">
        <w:t xml:space="preserve"> dlh</w:t>
      </w:r>
      <w:r w:rsidR="0072415D" w:rsidRPr="00DD4D71">
        <w:t xml:space="preserve">, ako v skutočnosti </w:t>
      </w:r>
      <w:r w:rsidR="007E198C" w:rsidRPr="00DD4D71">
        <w:t>bol</w:t>
      </w:r>
      <w:r w:rsidR="0072415D" w:rsidRPr="00DD4D71">
        <w:t xml:space="preserve">, na túto </w:t>
      </w:r>
      <w:r w:rsidR="00E80F87" w:rsidRPr="00DD4D71">
        <w:t xml:space="preserve">skutočnosť </w:t>
      </w:r>
      <w:r w:rsidR="00B02CF4" w:rsidRPr="00DD4D71">
        <w:t>je</w:t>
      </w:r>
      <w:r w:rsidR="0072415D" w:rsidRPr="00DD4D71">
        <w:t xml:space="preserve"> </w:t>
      </w:r>
      <w:r w:rsidR="00B02CF4" w:rsidRPr="00DD4D71">
        <w:t xml:space="preserve">povinný </w:t>
      </w:r>
      <w:r w:rsidR="0072415D" w:rsidRPr="00DD4D71">
        <w:t xml:space="preserve">upozorniť </w:t>
      </w:r>
      <w:r w:rsidR="0046311A" w:rsidRPr="00DD4D71">
        <w:t>MF</w:t>
      </w:r>
      <w:r w:rsidR="00A03409" w:rsidRPr="00DD4D71">
        <w:t> </w:t>
      </w:r>
      <w:r w:rsidR="0046311A" w:rsidRPr="00DD4D71">
        <w:t xml:space="preserve">SR </w:t>
      </w:r>
      <w:r w:rsidR="00A03409" w:rsidRPr="00DD4D71">
        <w:t xml:space="preserve">príslušný </w:t>
      </w:r>
      <w:r w:rsidR="0072415D" w:rsidRPr="00DD4D71">
        <w:t>audítor</w:t>
      </w:r>
      <w:r w:rsidR="008D19E4" w:rsidRPr="00DD4D71">
        <w:t xml:space="preserve"> v</w:t>
      </w:r>
      <w:r w:rsidR="00A34451">
        <w:t> </w:t>
      </w:r>
      <w:r w:rsidR="008D19E4" w:rsidRPr="00DD4D71">
        <w:t>rámci</w:t>
      </w:r>
      <w:r w:rsidR="004B0744" w:rsidRPr="00DD4D71">
        <w:t xml:space="preserve"> over</w:t>
      </w:r>
      <w:r w:rsidR="008D19E4" w:rsidRPr="00DD4D71">
        <w:t>ovania</w:t>
      </w:r>
      <w:r w:rsidR="004B0744" w:rsidRPr="00DD4D71">
        <w:t xml:space="preserve"> účtovn</w:t>
      </w:r>
      <w:r w:rsidR="008D19E4" w:rsidRPr="00DD4D71">
        <w:t>ých</w:t>
      </w:r>
      <w:r w:rsidR="004B0744" w:rsidRPr="00DD4D71">
        <w:t xml:space="preserve"> závier</w:t>
      </w:r>
      <w:r w:rsidR="008D19E4" w:rsidRPr="00DD4D71">
        <w:t>o</w:t>
      </w:r>
      <w:r w:rsidR="004B0744" w:rsidRPr="00DD4D71">
        <w:t>k obcí</w:t>
      </w:r>
      <w:r w:rsidR="0042243E" w:rsidRPr="00DD4D71">
        <w:t>.</w:t>
      </w:r>
    </w:p>
    <w:p w14:paraId="12E518B6" w14:textId="77777777" w:rsidR="00454B3E" w:rsidRPr="00DB4382" w:rsidRDefault="00454B3E" w:rsidP="00CC23BB">
      <w:pPr>
        <w:jc w:val="both"/>
        <w:rPr>
          <w:sz w:val="20"/>
          <w:szCs w:val="18"/>
        </w:rPr>
      </w:pPr>
    </w:p>
    <w:p w14:paraId="3F94CB9D" w14:textId="5FD95F5E" w:rsidR="00F636B7" w:rsidRPr="00DD4D71" w:rsidRDefault="003F77DB" w:rsidP="003F77DB">
      <w:pPr>
        <w:jc w:val="both"/>
      </w:pPr>
      <w:r w:rsidRPr="00DD4D71">
        <w:t xml:space="preserve">Samosprávy majú okrem pravidla o výške dlhu definované aj pravidlo o výške jeho ročných splátok. </w:t>
      </w:r>
      <w:r w:rsidR="00273ADA" w:rsidRPr="00DD4D71">
        <w:t>S</w:t>
      </w:r>
      <w:r w:rsidR="000756E8" w:rsidRPr="00DD4D71">
        <w:t xml:space="preserve"> jeho </w:t>
      </w:r>
      <w:r w:rsidR="00273ADA" w:rsidRPr="00DD4D71">
        <w:t xml:space="preserve">neplnením však nie sú spojené žiadne </w:t>
      </w:r>
      <w:r w:rsidR="009162D2" w:rsidRPr="00DD4D71">
        <w:t xml:space="preserve">finančné </w:t>
      </w:r>
      <w:r w:rsidR="00273ADA" w:rsidRPr="00DD4D71">
        <w:t>sankcie.</w:t>
      </w:r>
      <w:r w:rsidR="00957B87" w:rsidRPr="00DD4D71">
        <w:t xml:space="preserve"> Za rok 201</w:t>
      </w:r>
      <w:r w:rsidR="00DD4D71" w:rsidRPr="00DD4D71">
        <w:t>9</w:t>
      </w:r>
      <w:r w:rsidR="00F636B7" w:rsidRPr="00DD4D71">
        <w:t xml:space="preserve"> toto pravidlo </w:t>
      </w:r>
      <w:r w:rsidR="00707B8B" w:rsidRPr="00DD4D71">
        <w:t xml:space="preserve">na základe vykázaných hodnôt </w:t>
      </w:r>
      <w:r w:rsidR="00B92404" w:rsidRPr="00DD4D71">
        <w:t xml:space="preserve">porušilo </w:t>
      </w:r>
      <w:r w:rsidR="00DD4D71" w:rsidRPr="00DD4D71">
        <w:t>260</w:t>
      </w:r>
      <w:r w:rsidR="00B92404" w:rsidRPr="00DD4D71">
        <w:t xml:space="preserve"> obcí. Dlhová služba </w:t>
      </w:r>
      <w:r w:rsidR="000756E8" w:rsidRPr="00DD4D71">
        <w:t xml:space="preserve">všetkých </w:t>
      </w:r>
      <w:r w:rsidR="00B92404" w:rsidRPr="00DD4D71">
        <w:t xml:space="preserve">VÚC bola </w:t>
      </w:r>
      <w:r w:rsidR="009162D2" w:rsidRPr="00DD4D71">
        <w:t xml:space="preserve">aj </w:t>
      </w:r>
      <w:r w:rsidR="000756E8" w:rsidRPr="00DD4D71">
        <w:t>za rok</w:t>
      </w:r>
      <w:r w:rsidR="00957B87" w:rsidRPr="00DD4D71">
        <w:t xml:space="preserve"> 201</w:t>
      </w:r>
      <w:r w:rsidR="0081051E">
        <w:t>9</w:t>
      </w:r>
      <w:r w:rsidR="00B92404" w:rsidRPr="00DD4D71">
        <w:t xml:space="preserve"> pod stanoveným limitom</w:t>
      </w:r>
      <w:r w:rsidR="00F636B7" w:rsidRPr="00DD4D71">
        <w:t>.</w:t>
      </w:r>
    </w:p>
    <w:p w14:paraId="732A8361" w14:textId="77777777" w:rsidR="000B502A" w:rsidRPr="00DD4D71" w:rsidRDefault="000B502A" w:rsidP="003F77DB">
      <w:pPr>
        <w:jc w:val="both"/>
      </w:pPr>
    </w:p>
    <w:p w14:paraId="5941AD5A" w14:textId="77777777" w:rsidR="000C1E43" w:rsidRDefault="000C1E43" w:rsidP="003F77DB">
      <w:pPr>
        <w:jc w:val="both"/>
      </w:pPr>
    </w:p>
    <w:p w14:paraId="03EDE7D9" w14:textId="77777777" w:rsidR="000C1E43" w:rsidRDefault="000C1E43" w:rsidP="003F77DB">
      <w:pPr>
        <w:jc w:val="both"/>
      </w:pPr>
    </w:p>
    <w:p w14:paraId="40CCDAA9" w14:textId="77777777" w:rsidR="000C1E43" w:rsidRDefault="000C1E43" w:rsidP="003F77DB">
      <w:pPr>
        <w:jc w:val="both"/>
      </w:pPr>
    </w:p>
    <w:p w14:paraId="646E895C" w14:textId="77777777" w:rsidR="000C1E43" w:rsidRDefault="000C1E43" w:rsidP="003F77DB">
      <w:pPr>
        <w:jc w:val="both"/>
      </w:pPr>
    </w:p>
    <w:p w14:paraId="14E783E3" w14:textId="77777777" w:rsidR="000C1E43" w:rsidRDefault="000C1E43" w:rsidP="003F77DB">
      <w:pPr>
        <w:jc w:val="both"/>
      </w:pPr>
    </w:p>
    <w:p w14:paraId="7C23CCFB" w14:textId="77777777" w:rsidR="000C1E43" w:rsidRDefault="000C1E43" w:rsidP="003F77DB">
      <w:pPr>
        <w:jc w:val="both"/>
      </w:pPr>
    </w:p>
    <w:p w14:paraId="65E9F5A2" w14:textId="10BB4A73" w:rsidR="003F77DB" w:rsidRPr="00DD4D71" w:rsidRDefault="008367D8" w:rsidP="003F77DB">
      <w:pPr>
        <w:jc w:val="both"/>
      </w:pPr>
      <w:r w:rsidRPr="00DD4D71">
        <w:lastRenderedPageBreak/>
        <w:t>V grafe</w:t>
      </w:r>
      <w:r w:rsidR="00273ADA" w:rsidRPr="00DD4D71">
        <w:t xml:space="preserve"> </w:t>
      </w:r>
      <w:r w:rsidR="003F77DB" w:rsidRPr="00DD4D71">
        <w:t xml:space="preserve">sú </w:t>
      </w:r>
      <w:r w:rsidR="00806426" w:rsidRPr="00DD4D71">
        <w:t xml:space="preserve">zobrazené </w:t>
      </w:r>
      <w:r w:rsidR="003F77DB" w:rsidRPr="00DD4D71">
        <w:t xml:space="preserve">obce nespĺňajúce aspoň jeden </w:t>
      </w:r>
      <w:r w:rsidR="0061309F" w:rsidRPr="00DD4D71">
        <w:t xml:space="preserve">numerický </w:t>
      </w:r>
      <w:r w:rsidR="003F77DB" w:rsidRPr="00DD4D71">
        <w:t>limit § 17 zákona č. 583/2004</w:t>
      </w:r>
      <w:r w:rsidR="003F77DB" w:rsidRPr="00DD4D71">
        <w:rPr>
          <w:rStyle w:val="FootnoteReference"/>
        </w:rPr>
        <w:footnoteReference w:id="65"/>
      </w:r>
      <w:r w:rsidR="00A750A1" w:rsidRPr="00DD4D71">
        <w:t>.</w:t>
      </w:r>
    </w:p>
    <w:p w14:paraId="2CDE3666" w14:textId="4B851106" w:rsidR="00476B7C" w:rsidRPr="00DD4D71" w:rsidRDefault="00476B7C">
      <w:pPr>
        <w:rPr>
          <w:sz w:val="14"/>
        </w:rPr>
      </w:pPr>
      <w:bookmarkStart w:id="573" w:name="_Toc428178618"/>
      <w:bookmarkStart w:id="574" w:name="_Toc428351667"/>
      <w:bookmarkStart w:id="575" w:name="_Toc458502417"/>
      <w:bookmarkStart w:id="576" w:name="_Toc459207998"/>
      <w:bookmarkStart w:id="577" w:name="_Toc459275412"/>
      <w:bookmarkStart w:id="578" w:name="_Toc489954212"/>
      <w:bookmarkStart w:id="579" w:name="_Toc490143845"/>
      <w:bookmarkStart w:id="580" w:name="_Toc490642131"/>
      <w:bookmarkStart w:id="581" w:name="_Toc522105573"/>
      <w:bookmarkStart w:id="582" w:name="_Toc522200660"/>
    </w:p>
    <w:tbl>
      <w:tblPr>
        <w:tblW w:w="6804" w:type="dxa"/>
        <w:jc w:val="center"/>
        <w:tblLayout w:type="fixed"/>
        <w:tblLook w:val="01E0" w:firstRow="1" w:lastRow="1" w:firstColumn="1" w:lastColumn="1" w:noHBand="0" w:noVBand="0"/>
      </w:tblPr>
      <w:tblGrid>
        <w:gridCol w:w="6804"/>
      </w:tblGrid>
      <w:tr w:rsidR="005F2A0B" w:rsidRPr="00B81300" w14:paraId="0E1EA234" w14:textId="77777777" w:rsidTr="00FA67C0">
        <w:trPr>
          <w:trHeight w:val="397"/>
          <w:jc w:val="center"/>
        </w:trPr>
        <w:tc>
          <w:tcPr>
            <w:tcW w:w="6804" w:type="dxa"/>
            <w:tcBorders>
              <w:top w:val="nil"/>
              <w:left w:val="nil"/>
              <w:bottom w:val="single" w:sz="4" w:space="0" w:color="13B5EA"/>
              <w:right w:val="nil"/>
            </w:tcBorders>
            <w:vAlign w:val="center"/>
          </w:tcPr>
          <w:p w14:paraId="1FC535AD" w14:textId="31B4C545" w:rsidR="005F2A0B" w:rsidRPr="004A79A6" w:rsidRDefault="005F2A0B" w:rsidP="009A5553">
            <w:pPr>
              <w:pStyle w:val="graf"/>
              <w:rPr>
                <w:lang w:val="en-US"/>
              </w:rPr>
            </w:pPr>
            <w:bookmarkStart w:id="583" w:name="_Toc523390245"/>
            <w:bookmarkStart w:id="584" w:name="_Toc523392849"/>
            <w:bookmarkStart w:id="585" w:name="_Toc49506921"/>
            <w:r w:rsidRPr="004A79A6">
              <w:t xml:space="preserve">Graf </w:t>
            </w:r>
            <w:r w:rsidR="00A76E50" w:rsidRPr="004A79A6">
              <w:t>9</w:t>
            </w:r>
            <w:r w:rsidRPr="004A79A6">
              <w:t>: Obce nespĺňajúce limity § 17 zákona č. 583/2004</w:t>
            </w:r>
            <w:bookmarkEnd w:id="573"/>
            <w:bookmarkEnd w:id="574"/>
            <w:bookmarkEnd w:id="575"/>
            <w:bookmarkEnd w:id="576"/>
            <w:bookmarkEnd w:id="577"/>
            <w:bookmarkEnd w:id="578"/>
            <w:bookmarkEnd w:id="579"/>
            <w:r w:rsidR="00C35684" w:rsidRPr="004A79A6">
              <w:t xml:space="preserve"> za rok </w:t>
            </w:r>
            <w:bookmarkEnd w:id="580"/>
            <w:bookmarkEnd w:id="581"/>
            <w:bookmarkEnd w:id="582"/>
            <w:bookmarkEnd w:id="583"/>
            <w:bookmarkEnd w:id="584"/>
            <w:r w:rsidR="00145CD2" w:rsidRPr="004A79A6">
              <w:t>2019</w:t>
            </w:r>
            <w:bookmarkEnd w:id="585"/>
          </w:p>
        </w:tc>
      </w:tr>
      <w:tr w:rsidR="005F2A0B" w:rsidRPr="00B81300" w14:paraId="3C854FA1" w14:textId="77777777" w:rsidTr="00FA67C0">
        <w:trPr>
          <w:jc w:val="center"/>
        </w:trPr>
        <w:tc>
          <w:tcPr>
            <w:tcW w:w="6804" w:type="dxa"/>
            <w:tcBorders>
              <w:top w:val="single" w:sz="4" w:space="0" w:color="13B5EA"/>
              <w:left w:val="nil"/>
              <w:bottom w:val="single" w:sz="4" w:space="0" w:color="13B5EA"/>
              <w:right w:val="nil"/>
            </w:tcBorders>
          </w:tcPr>
          <w:p w14:paraId="48416DDF" w14:textId="44031B29" w:rsidR="005F2A0B" w:rsidRPr="004A79A6" w:rsidRDefault="320BC9F2" w:rsidP="00C402BF">
            <w:pPr>
              <w:jc w:val="center"/>
              <w:rPr>
                <w:b/>
                <w:color w:val="13B5EA"/>
                <w:sz w:val="20"/>
                <w:lang w:val="en-US"/>
              </w:rPr>
            </w:pPr>
            <w:r>
              <w:rPr>
                <w:noProof/>
              </w:rPr>
              <w:drawing>
                <wp:inline distT="0" distB="0" distL="0" distR="0" wp14:anchorId="4D80A32D" wp14:editId="762AA0DD">
                  <wp:extent cx="4029710" cy="2568272"/>
                  <wp:effectExtent l="0" t="0" r="8890" b="381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0"/>
                          <pic:cNvPicPr/>
                        </pic:nvPicPr>
                        <pic:blipFill>
                          <a:blip r:embed="rId21">
                            <a:extLst>
                              <a:ext uri="{28A0092B-C50C-407E-A947-70E740481C1C}">
                                <a14:useLocalDpi xmlns:a14="http://schemas.microsoft.com/office/drawing/2010/main" val="0"/>
                              </a:ext>
                            </a:extLst>
                          </a:blip>
                          <a:stretch>
                            <a:fillRect/>
                          </a:stretch>
                        </pic:blipFill>
                        <pic:spPr>
                          <a:xfrm>
                            <a:off x="0" y="0"/>
                            <a:ext cx="4029710" cy="2568272"/>
                          </a:xfrm>
                          <a:prstGeom prst="rect">
                            <a:avLst/>
                          </a:prstGeom>
                        </pic:spPr>
                      </pic:pic>
                    </a:graphicData>
                  </a:graphic>
                </wp:inline>
              </w:drawing>
            </w:r>
          </w:p>
        </w:tc>
      </w:tr>
      <w:tr w:rsidR="005F2A0B" w:rsidRPr="00B81300" w14:paraId="55244C0C" w14:textId="77777777" w:rsidTr="00FA67C0">
        <w:trPr>
          <w:jc w:val="center"/>
        </w:trPr>
        <w:tc>
          <w:tcPr>
            <w:tcW w:w="6804" w:type="dxa"/>
            <w:tcBorders>
              <w:top w:val="single" w:sz="4" w:space="0" w:color="13B5EA"/>
              <w:left w:val="nil"/>
              <w:right w:val="nil"/>
            </w:tcBorders>
          </w:tcPr>
          <w:p w14:paraId="614CB857" w14:textId="72045937" w:rsidR="005F2A0B" w:rsidRPr="004A79A6" w:rsidRDefault="000D38E7" w:rsidP="00B2624D">
            <w:pPr>
              <w:jc w:val="both"/>
              <w:rPr>
                <w:i/>
                <w:color w:val="13B5EA"/>
                <w:sz w:val="16"/>
                <w:szCs w:val="16"/>
              </w:rPr>
            </w:pPr>
            <w:r w:rsidRPr="004A79A6">
              <w:rPr>
                <w:i/>
                <w:color w:val="13B5EA"/>
                <w:sz w:val="16"/>
                <w:szCs w:val="16"/>
              </w:rPr>
              <w:t>Pozn.: Poloha bubliny reprezentujúcej obec závisí od pome</w:t>
            </w:r>
            <w:r w:rsidR="00276D83" w:rsidRPr="004A79A6">
              <w:rPr>
                <w:i/>
                <w:color w:val="13B5EA"/>
                <w:sz w:val="16"/>
                <w:szCs w:val="16"/>
              </w:rPr>
              <w:t>ru dlhu a pomeru dlhovej služby</w:t>
            </w:r>
            <w:r w:rsidRPr="004A79A6">
              <w:rPr>
                <w:i/>
                <w:color w:val="13B5EA"/>
                <w:sz w:val="16"/>
                <w:szCs w:val="16"/>
              </w:rPr>
              <w:t>. Veľkosť bubliny je daná skutočn</w:t>
            </w:r>
            <w:r w:rsidR="00C35684" w:rsidRPr="004A79A6">
              <w:rPr>
                <w:i/>
                <w:color w:val="13B5EA"/>
                <w:sz w:val="16"/>
                <w:szCs w:val="16"/>
              </w:rPr>
              <w:t xml:space="preserve">ými bežnými príjmami za rok </w:t>
            </w:r>
            <w:r w:rsidR="00145CD2" w:rsidRPr="004A79A6">
              <w:rPr>
                <w:i/>
                <w:color w:val="13B5EA"/>
                <w:sz w:val="16"/>
                <w:szCs w:val="16"/>
              </w:rPr>
              <w:t>2018</w:t>
            </w:r>
            <w:r w:rsidRPr="004A79A6">
              <w:rPr>
                <w:i/>
                <w:color w:val="13B5EA"/>
                <w:sz w:val="16"/>
                <w:szCs w:val="16"/>
              </w:rPr>
              <w:t>.</w:t>
            </w:r>
            <w:r w:rsidR="00CF2A22" w:rsidRPr="004A79A6">
              <w:rPr>
                <w:i/>
                <w:color w:val="13B5EA"/>
                <w:sz w:val="16"/>
                <w:szCs w:val="16"/>
              </w:rPr>
              <w:t xml:space="preserve"> Graf z dôvodu prehľadnosti nezobrazuje celý rozsah oboch osí.</w:t>
            </w:r>
            <w:r w:rsidRPr="004A79A6">
              <w:rPr>
                <w:i/>
                <w:color w:val="13B5EA"/>
                <w:sz w:val="16"/>
                <w:szCs w:val="16"/>
              </w:rPr>
              <w:t xml:space="preserve">    </w:t>
            </w:r>
            <w:r w:rsidR="00CF2A22" w:rsidRPr="004A79A6">
              <w:rPr>
                <w:i/>
                <w:color w:val="13B5EA"/>
                <w:sz w:val="16"/>
                <w:szCs w:val="16"/>
              </w:rPr>
              <w:t xml:space="preserve">            </w:t>
            </w:r>
            <w:r w:rsidRPr="004A79A6">
              <w:rPr>
                <w:i/>
                <w:color w:val="13B5EA"/>
                <w:sz w:val="16"/>
                <w:szCs w:val="16"/>
              </w:rPr>
              <w:t xml:space="preserve">   </w:t>
            </w:r>
            <w:r w:rsidR="00276D83" w:rsidRPr="004A79A6">
              <w:rPr>
                <w:i/>
                <w:color w:val="13B5EA"/>
                <w:sz w:val="16"/>
                <w:szCs w:val="16"/>
              </w:rPr>
              <w:t xml:space="preserve">                                       </w:t>
            </w:r>
            <w:r w:rsidR="005F2A0B" w:rsidRPr="004A79A6">
              <w:rPr>
                <w:i/>
                <w:color w:val="13B5EA"/>
                <w:sz w:val="16"/>
                <w:szCs w:val="16"/>
              </w:rPr>
              <w:t xml:space="preserve">Zdroj: </w:t>
            </w:r>
            <w:r w:rsidR="00276D83" w:rsidRPr="004A79A6">
              <w:rPr>
                <w:i/>
                <w:color w:val="13B5EA"/>
                <w:sz w:val="16"/>
              </w:rPr>
              <w:t>Štátna pokladnica</w:t>
            </w:r>
            <w:r w:rsidR="006A05FD" w:rsidRPr="004A79A6">
              <w:rPr>
                <w:i/>
                <w:color w:val="13B5EA"/>
                <w:sz w:val="16"/>
                <w:szCs w:val="16"/>
              </w:rPr>
              <w:t>, RRZ</w:t>
            </w:r>
          </w:p>
        </w:tc>
      </w:tr>
    </w:tbl>
    <w:p w14:paraId="16424238" w14:textId="77777777" w:rsidR="000C1E43" w:rsidRPr="000C1E43" w:rsidRDefault="000C1E43" w:rsidP="000C1E43">
      <w:bookmarkStart w:id="586" w:name="_Toc358360157"/>
      <w:bookmarkStart w:id="587" w:name="_Toc358367070"/>
      <w:bookmarkStart w:id="588" w:name="_Toc358367247"/>
      <w:bookmarkStart w:id="589" w:name="_Toc358367712"/>
      <w:bookmarkStart w:id="590" w:name="_Toc358381273"/>
      <w:bookmarkStart w:id="591" w:name="_Toc358385619"/>
      <w:bookmarkStart w:id="592" w:name="_Toc358641586"/>
      <w:bookmarkStart w:id="593" w:name="_Toc359425159"/>
      <w:bookmarkStart w:id="594" w:name="_Toc359427386"/>
      <w:bookmarkStart w:id="595" w:name="_Toc359589073"/>
      <w:bookmarkStart w:id="596" w:name="_Toc396319180"/>
      <w:bookmarkStart w:id="597" w:name="_Toc428351747"/>
      <w:bookmarkStart w:id="598" w:name="_Toc459208018"/>
      <w:bookmarkStart w:id="599" w:name="_Toc459275436"/>
      <w:bookmarkStart w:id="600" w:name="_Toc489954281"/>
      <w:bookmarkStart w:id="601" w:name="_Toc490143814"/>
      <w:bookmarkStart w:id="602" w:name="_Toc490642160"/>
      <w:bookmarkStart w:id="603" w:name="_Toc521678162"/>
      <w:bookmarkStart w:id="604" w:name="_Toc523390334"/>
      <w:bookmarkStart w:id="605" w:name="_Toc523390280"/>
      <w:bookmarkStart w:id="606" w:name="_Toc523391005"/>
      <w:bookmarkStart w:id="607" w:name="_Toc523391586"/>
      <w:bookmarkStart w:id="608" w:name="_Toc523392885"/>
      <w:bookmarkEnd w:id="586"/>
      <w:bookmarkEnd w:id="587"/>
      <w:bookmarkEnd w:id="588"/>
      <w:bookmarkEnd w:id="589"/>
      <w:bookmarkEnd w:id="590"/>
      <w:bookmarkEnd w:id="591"/>
      <w:bookmarkEnd w:id="592"/>
      <w:bookmarkEnd w:id="593"/>
      <w:bookmarkEnd w:id="594"/>
      <w:bookmarkEnd w:id="595"/>
    </w:p>
    <w:p w14:paraId="7C4D9C1C" w14:textId="047BA3A9" w:rsidR="00DC465B" w:rsidRPr="0065469F" w:rsidRDefault="00A127DB" w:rsidP="001C7FE8">
      <w:pPr>
        <w:pStyle w:val="Heading2"/>
        <w:numPr>
          <w:ilvl w:val="0"/>
          <w:numId w:val="4"/>
        </w:numPr>
        <w:spacing w:before="2" w:after="2"/>
        <w:ind w:left="567" w:hanging="567"/>
        <w:jc w:val="left"/>
        <w:rPr>
          <w:b w:val="0"/>
        </w:rPr>
      </w:pPr>
      <w:bookmarkStart w:id="609" w:name="_Toc49506878"/>
      <w:r w:rsidRPr="0065469F">
        <w:t>U</w:t>
      </w:r>
      <w:r w:rsidR="002531E1" w:rsidRPr="0065469F">
        <w:t>kazovateľ dlhodobej udržateľnosti</w:t>
      </w:r>
      <w:bookmarkEnd w:id="596"/>
      <w:r w:rsidRPr="0065469F">
        <w:t xml:space="preserve"> a limit verejných výdavkov</w:t>
      </w:r>
      <w:bookmarkEnd w:id="597"/>
      <w:bookmarkEnd w:id="598"/>
      <w:bookmarkEnd w:id="599"/>
      <w:bookmarkEnd w:id="600"/>
      <w:bookmarkEnd w:id="601"/>
      <w:bookmarkEnd w:id="602"/>
      <w:bookmarkEnd w:id="603"/>
      <w:bookmarkEnd w:id="604"/>
      <w:bookmarkEnd w:id="605"/>
      <w:bookmarkEnd w:id="606"/>
      <w:bookmarkEnd w:id="607"/>
      <w:bookmarkEnd w:id="608"/>
      <w:bookmarkEnd w:id="609"/>
    </w:p>
    <w:p w14:paraId="273E6C61" w14:textId="77777777" w:rsidR="001E7633" w:rsidRPr="0065469F" w:rsidRDefault="001E7633" w:rsidP="00DC465B">
      <w:pPr>
        <w:jc w:val="both"/>
        <w:rPr>
          <w:rFonts w:eastAsia="Cambria"/>
        </w:rPr>
      </w:pPr>
    </w:p>
    <w:p w14:paraId="486303EC" w14:textId="77777777" w:rsidR="00D64788" w:rsidRPr="00435F93" w:rsidRDefault="00D64788" w:rsidP="00D64788">
      <w:pPr>
        <w:jc w:val="both"/>
        <w:rPr>
          <w:b/>
          <w:color w:val="58595B"/>
          <w:sz w:val="28"/>
          <w:szCs w:val="28"/>
        </w:rPr>
      </w:pPr>
      <w:r w:rsidRPr="00435F93">
        <w:t xml:space="preserve">Článok 7 ústavného zákona ukladá RRZ, aby na svojom </w:t>
      </w:r>
      <w:r w:rsidRPr="00435F93">
        <w:rPr>
          <w:b/>
        </w:rPr>
        <w:t>webovom sídle zverejnila metodológiu výpočtov a predpoklady, ktoré použije pri určení</w:t>
      </w:r>
      <w:r w:rsidRPr="00435F93">
        <w:t xml:space="preserve"> </w:t>
      </w:r>
      <w:r w:rsidRPr="00435F93">
        <w:rPr>
          <w:b/>
        </w:rPr>
        <w:t xml:space="preserve">ukazovateľa dlhodobej udržateľnosti, </w:t>
      </w:r>
      <w:r w:rsidRPr="00435F93">
        <w:t xml:space="preserve">merajúceho pokrok v dlhodobej udržateľnosti verejných financií. </w:t>
      </w:r>
      <w:r w:rsidRPr="00435F93">
        <w:rPr>
          <w:b/>
        </w:rPr>
        <w:t>RRZ túto svoju povinnosť splnila</w:t>
      </w:r>
      <w:r w:rsidRPr="00435F93">
        <w:t>. Pri výpočte ukazovateľa dlhodobej udržateľnosti sa zohľadnili zákonom stanovené zdroje údajov</w:t>
      </w:r>
      <w:r w:rsidRPr="00435F93">
        <w:rPr>
          <w:rStyle w:val="FootnoteReference"/>
        </w:rPr>
        <w:footnoteReference w:id="66"/>
      </w:r>
      <w:r w:rsidRPr="00435F93">
        <w:t>.</w:t>
      </w:r>
    </w:p>
    <w:p w14:paraId="27ADA95D" w14:textId="77777777" w:rsidR="00E97742" w:rsidRPr="00B81300" w:rsidRDefault="00E97742" w:rsidP="00E97742">
      <w:pPr>
        <w:jc w:val="both"/>
        <w:rPr>
          <w:rFonts w:eastAsia="Cambria"/>
          <w:b/>
          <w:highlight w:val="yellow"/>
        </w:rPr>
      </w:pPr>
    </w:p>
    <w:p w14:paraId="652798B6" w14:textId="29BBAF4C" w:rsidR="005B347F" w:rsidRDefault="00ED266D" w:rsidP="00296DB3">
      <w:pPr>
        <w:jc w:val="both"/>
        <w:rPr>
          <w:rFonts w:eastAsia="Cambria"/>
        </w:rPr>
      </w:pPr>
      <w:r w:rsidRPr="00EC5446">
        <w:rPr>
          <w:rFonts w:eastAsia="Cambria"/>
          <w:b/>
        </w:rPr>
        <w:t>Ústavný zákon obsahuje aj povinnosť zavedenia záväzných limitov na verejné výdavky, pričom postup ich určenia má stanoviť iný zákon</w:t>
      </w:r>
      <w:r w:rsidRPr="00EC5446">
        <w:rPr>
          <w:rFonts w:eastAsia="Cambria"/>
        </w:rPr>
        <w:t>. N</w:t>
      </w:r>
      <w:r w:rsidR="00741BD8">
        <w:rPr>
          <w:rFonts w:eastAsia="Cambria"/>
        </w:rPr>
        <w:t>apriek tomu, že zákon ne</w:t>
      </w:r>
      <w:r w:rsidRPr="00EC5446">
        <w:rPr>
          <w:rFonts w:eastAsia="Cambria"/>
        </w:rPr>
        <w:t>špecifik</w:t>
      </w:r>
      <w:r w:rsidR="00741BD8">
        <w:rPr>
          <w:rFonts w:eastAsia="Cambria"/>
        </w:rPr>
        <w:t>uje</w:t>
      </w:r>
      <w:r w:rsidRPr="00EC5446">
        <w:rPr>
          <w:rFonts w:eastAsia="Cambria"/>
        </w:rPr>
        <w:t>, do akého termínu by mala byť legislatíva schválená</w:t>
      </w:r>
      <w:r w:rsidR="00741BD8">
        <w:rPr>
          <w:rFonts w:eastAsia="Cambria"/>
        </w:rPr>
        <w:t xml:space="preserve">, </w:t>
      </w:r>
      <w:r w:rsidR="00741BD8" w:rsidRPr="0065469F">
        <w:rPr>
          <w:rFonts w:eastAsia="Cambria"/>
          <w:b/>
          <w:bCs/>
        </w:rPr>
        <w:t>limity mali byť zavedené bez zbytočného odkladu</w:t>
      </w:r>
      <w:r w:rsidR="00741BD8">
        <w:rPr>
          <w:rStyle w:val="FootnoteReference"/>
          <w:rFonts w:eastAsia="Cambria"/>
        </w:rPr>
        <w:footnoteReference w:id="67"/>
      </w:r>
      <w:r w:rsidRPr="00EC5446">
        <w:rPr>
          <w:rFonts w:eastAsia="Cambria"/>
        </w:rPr>
        <w:t xml:space="preserve">. </w:t>
      </w:r>
    </w:p>
    <w:p w14:paraId="7ECF4B1A" w14:textId="77777777" w:rsidR="005B347F" w:rsidRDefault="005B347F" w:rsidP="00296DB3">
      <w:pPr>
        <w:jc w:val="both"/>
        <w:rPr>
          <w:rFonts w:eastAsia="Cambria"/>
          <w:b/>
          <w:highlight w:val="yellow"/>
        </w:rPr>
      </w:pPr>
    </w:p>
    <w:p w14:paraId="23EF6482" w14:textId="4D838C04" w:rsidR="00741BD8" w:rsidRDefault="00741BD8" w:rsidP="00741BD8">
      <w:pPr>
        <w:autoSpaceDE w:val="0"/>
        <w:autoSpaceDN w:val="0"/>
        <w:adjustRightInd w:val="0"/>
        <w:jc w:val="both"/>
        <w:rPr>
          <w:rFonts w:eastAsia="Cambria"/>
        </w:rPr>
      </w:pPr>
      <w:r w:rsidRPr="00CC74E5">
        <w:rPr>
          <w:rFonts w:eastAsia="Cambria"/>
        </w:rPr>
        <w:lastRenderedPageBreak/>
        <w:t xml:space="preserve">Novela zákona o rozpočtových pravidlách verejnej správy v rámci implementácie pravidla o vyrovnanom rozpočte </w:t>
      </w:r>
      <w:r>
        <w:rPr>
          <w:rFonts w:eastAsia="Cambria"/>
        </w:rPr>
        <w:t xml:space="preserve">síce </w:t>
      </w:r>
      <w:r w:rsidRPr="00CC74E5">
        <w:rPr>
          <w:rFonts w:eastAsia="Cambria"/>
        </w:rPr>
        <w:t xml:space="preserve">zaviedla </w:t>
      </w:r>
      <w:r w:rsidR="008354B0">
        <w:rPr>
          <w:rFonts w:eastAsia="Cambria"/>
        </w:rPr>
        <w:t>od roku 2014</w:t>
      </w:r>
      <w:r w:rsidRPr="00CC74E5">
        <w:rPr>
          <w:rFonts w:eastAsia="Cambria"/>
        </w:rPr>
        <w:t xml:space="preserve"> pojem limit výdavkov. Jeho definícia a nastavenie však nespĺňajú zámer ústavného zákona, na základe ktorého by limit výdavkov predstavoval operatívny nástroj riadenia rozpočtu. </w:t>
      </w:r>
      <w:r>
        <w:rPr>
          <w:rFonts w:eastAsia="Cambria"/>
        </w:rPr>
        <w:t xml:space="preserve">Chýba v nej aj postup výpočtu limitu, ako aj sankcie spojené s jeho nedodržiavaním. </w:t>
      </w:r>
      <w:r w:rsidRPr="0038056F">
        <w:rPr>
          <w:rFonts w:eastAsia="Cambria"/>
        </w:rPr>
        <w:t>Hlavným nedostatkom súčasnej úpravy je, že ide o dočasný nástroj s otáznou záväznosťou a vynútiteľnosťou</w:t>
      </w:r>
      <w:r w:rsidRPr="0038056F">
        <w:rPr>
          <w:rStyle w:val="FootnoteReference"/>
          <w:rFonts w:eastAsia="Cambria"/>
        </w:rPr>
        <w:footnoteReference w:id="68"/>
      </w:r>
      <w:r w:rsidRPr="0038056F">
        <w:rPr>
          <w:rFonts w:eastAsia="Cambria"/>
        </w:rPr>
        <w:t>.</w:t>
      </w:r>
      <w:r>
        <w:rPr>
          <w:rFonts w:eastAsia="Cambria"/>
        </w:rPr>
        <w:t xml:space="preserve"> </w:t>
      </w:r>
    </w:p>
    <w:p w14:paraId="31EFA52C" w14:textId="77777777" w:rsidR="00741BD8" w:rsidRDefault="00741BD8" w:rsidP="00741BD8">
      <w:pPr>
        <w:autoSpaceDE w:val="0"/>
        <w:autoSpaceDN w:val="0"/>
        <w:adjustRightInd w:val="0"/>
        <w:jc w:val="both"/>
        <w:rPr>
          <w:rFonts w:eastAsia="Cambria"/>
        </w:rPr>
      </w:pPr>
    </w:p>
    <w:p w14:paraId="199E80A7" w14:textId="17E19060" w:rsidR="00ED266D" w:rsidRPr="00EC5446" w:rsidRDefault="008354B0" w:rsidP="00ED266D">
      <w:pPr>
        <w:jc w:val="both"/>
        <w:rPr>
          <w:rFonts w:eastAsia="Cambria"/>
        </w:rPr>
      </w:pPr>
      <w:r>
        <w:rPr>
          <w:rFonts w:eastAsia="Cambria"/>
        </w:rPr>
        <w:t>L</w:t>
      </w:r>
      <w:r w:rsidR="00ED266D" w:rsidRPr="00EC5446">
        <w:rPr>
          <w:rFonts w:eastAsia="Cambria"/>
        </w:rPr>
        <w:t xml:space="preserve">imity výdavkov </w:t>
      </w:r>
      <w:r>
        <w:rPr>
          <w:rFonts w:eastAsia="Cambria"/>
        </w:rPr>
        <w:t xml:space="preserve">sú </w:t>
      </w:r>
      <w:r w:rsidR="00ED266D" w:rsidRPr="00EC5446">
        <w:rPr>
          <w:rFonts w:eastAsia="Cambria"/>
        </w:rPr>
        <w:t>dôležitým operatívnym a zároveň proticyklickým nástrojom riadenia rozpočtu</w:t>
      </w:r>
      <w:r w:rsidRPr="008354B0">
        <w:rPr>
          <w:rFonts w:eastAsia="Cambria"/>
        </w:rPr>
        <w:t xml:space="preserve"> </w:t>
      </w:r>
      <w:r>
        <w:rPr>
          <w:rFonts w:eastAsia="Cambria"/>
        </w:rPr>
        <w:t>(n</w:t>
      </w:r>
      <w:r w:rsidRPr="00EC5446">
        <w:rPr>
          <w:rFonts w:eastAsia="Cambria"/>
        </w:rPr>
        <w:t>a rozdiel od limitu na dlh verejnej správy</w:t>
      </w:r>
      <w:r>
        <w:rPr>
          <w:rFonts w:eastAsia="Cambria"/>
        </w:rPr>
        <w:t>)</w:t>
      </w:r>
      <w:r w:rsidR="00ED266D" w:rsidRPr="00EC5446">
        <w:rPr>
          <w:rFonts w:eastAsia="Cambria"/>
        </w:rPr>
        <w:t xml:space="preserve">. V čase silného ekonomického rastu vedú k rýchlejšiemu znižovaniu deficitu rozpočtu a naopak v čase ekonomického spomalenia alebo recesie vytvárajú priestor pre fiškálnu expanziu. </w:t>
      </w:r>
    </w:p>
    <w:p w14:paraId="61058B1B" w14:textId="77777777" w:rsidR="00E97742" w:rsidRPr="00B81300" w:rsidRDefault="00E97742" w:rsidP="00E97742">
      <w:pPr>
        <w:jc w:val="both"/>
        <w:rPr>
          <w:rFonts w:eastAsia="Cambria"/>
          <w:highlight w:val="yellow"/>
        </w:rPr>
      </w:pPr>
    </w:p>
    <w:p w14:paraId="45BBF0A1" w14:textId="683132AB" w:rsidR="00D63786" w:rsidRDefault="006A5977" w:rsidP="00296DB3">
      <w:pPr>
        <w:pStyle w:val="FootnoteText"/>
        <w:jc w:val="both"/>
        <w:rPr>
          <w:rFonts w:eastAsia="Cambria"/>
          <w:bCs/>
          <w:sz w:val="22"/>
          <w:szCs w:val="22"/>
        </w:rPr>
      </w:pPr>
      <w:r w:rsidRPr="005C4BDB">
        <w:rPr>
          <w:rFonts w:eastAsia="Cambria"/>
          <w:sz w:val="22"/>
          <w:szCs w:val="22"/>
        </w:rPr>
        <w:t xml:space="preserve">Absencia efektívne fungujúcich výdavkových limitov je citeľná najmä v období, kedy je potrebné </w:t>
      </w:r>
      <w:r w:rsidR="00160A5B">
        <w:rPr>
          <w:rFonts w:eastAsia="Cambria"/>
          <w:sz w:val="22"/>
          <w:szCs w:val="22"/>
        </w:rPr>
        <w:t>využiť priaznivé ekonomické časy na podstatné zlepšenie stavu</w:t>
      </w:r>
      <w:r w:rsidRPr="005C4BDB">
        <w:rPr>
          <w:rFonts w:eastAsia="Cambria"/>
          <w:sz w:val="22"/>
          <w:szCs w:val="22"/>
        </w:rPr>
        <w:t xml:space="preserve"> verejných financií</w:t>
      </w:r>
      <w:r w:rsidR="00160A5B">
        <w:rPr>
          <w:rFonts w:eastAsia="Cambria"/>
          <w:sz w:val="22"/>
          <w:szCs w:val="22"/>
        </w:rPr>
        <w:t>.</w:t>
      </w:r>
      <w:r w:rsidRPr="005C4BDB">
        <w:rPr>
          <w:rFonts w:eastAsia="Cambria"/>
          <w:sz w:val="22"/>
          <w:szCs w:val="22"/>
        </w:rPr>
        <w:t xml:space="preserve"> </w:t>
      </w:r>
      <w:r w:rsidR="0051602C" w:rsidRPr="005C4BDB">
        <w:rPr>
          <w:rFonts w:eastAsia="Cambria"/>
          <w:bCs/>
          <w:sz w:val="22"/>
          <w:szCs w:val="22"/>
        </w:rPr>
        <w:t>Potv</w:t>
      </w:r>
      <w:r w:rsidR="00741BD8">
        <w:rPr>
          <w:rFonts w:eastAsia="Cambria"/>
          <w:bCs/>
          <w:sz w:val="22"/>
          <w:szCs w:val="22"/>
        </w:rPr>
        <w:t>r</w:t>
      </w:r>
      <w:r w:rsidR="0051602C" w:rsidRPr="005C4BDB">
        <w:rPr>
          <w:rFonts w:eastAsia="Cambria"/>
          <w:bCs/>
          <w:sz w:val="22"/>
          <w:szCs w:val="22"/>
        </w:rPr>
        <w:t>dzuje to aj aktuálne hodnotenie pravidla o vyrovnanom rozpočte za rok 2019</w:t>
      </w:r>
      <w:r w:rsidR="00892E08" w:rsidRPr="005C4BDB">
        <w:rPr>
          <w:rStyle w:val="FootnoteReference"/>
          <w:rFonts w:eastAsia="Cambria"/>
          <w:bCs/>
          <w:sz w:val="22"/>
          <w:szCs w:val="22"/>
        </w:rPr>
        <w:footnoteReference w:id="69"/>
      </w:r>
      <w:r w:rsidR="0051602C" w:rsidRPr="005C4BDB">
        <w:rPr>
          <w:rFonts w:eastAsia="Cambria"/>
          <w:bCs/>
          <w:sz w:val="22"/>
          <w:szCs w:val="22"/>
        </w:rPr>
        <w:t>, kedy RRZ skonštatovala</w:t>
      </w:r>
      <w:r w:rsidR="0051602C" w:rsidRPr="006C5E6B">
        <w:rPr>
          <w:rFonts w:eastAsia="Cambria"/>
          <w:sz w:val="22"/>
          <w:szCs w:val="22"/>
        </w:rPr>
        <w:t>, že strednodobý rozpočtový cieľ vlády pre rok 2019 nebol splnený</w:t>
      </w:r>
      <w:r w:rsidR="00FD2764" w:rsidRPr="006C5E6B">
        <w:rPr>
          <w:rFonts w:eastAsia="Cambria"/>
          <w:sz w:val="22"/>
          <w:szCs w:val="22"/>
        </w:rPr>
        <w:t xml:space="preserve"> a vláda sa </w:t>
      </w:r>
      <w:r w:rsidR="003D4F4A" w:rsidRPr="006C5E6B">
        <w:rPr>
          <w:rFonts w:eastAsia="Cambria"/>
          <w:sz w:val="22"/>
          <w:szCs w:val="22"/>
        </w:rPr>
        <w:t>od neho výrazne odchýlila.</w:t>
      </w:r>
      <w:r w:rsidR="0051602C" w:rsidRPr="006C5E6B">
        <w:rPr>
          <w:rFonts w:eastAsia="Cambria"/>
          <w:sz w:val="22"/>
          <w:szCs w:val="22"/>
        </w:rPr>
        <w:t xml:space="preserve"> Neočakávané daňové príjmy a pokles úrokových nákladov neboli použité na významné </w:t>
      </w:r>
      <w:r w:rsidR="00741BD8" w:rsidRPr="006C5E6B">
        <w:rPr>
          <w:rFonts w:eastAsia="Cambria"/>
          <w:sz w:val="22"/>
          <w:szCs w:val="22"/>
        </w:rPr>
        <w:t>priblíženie</w:t>
      </w:r>
      <w:r w:rsidR="0051602C" w:rsidRPr="006C5E6B">
        <w:rPr>
          <w:rFonts w:eastAsia="Cambria"/>
          <w:sz w:val="22"/>
          <w:szCs w:val="22"/>
        </w:rPr>
        <w:t xml:space="preserve"> sa k vyrovnanému rozpočtu.</w:t>
      </w:r>
      <w:r w:rsidR="0051602C" w:rsidRPr="005C4BDB">
        <w:rPr>
          <w:rFonts w:eastAsia="Cambria"/>
          <w:bCs/>
          <w:sz w:val="22"/>
          <w:szCs w:val="22"/>
        </w:rPr>
        <w:t xml:space="preserve"> </w:t>
      </w:r>
      <w:r w:rsidR="006C5E6B" w:rsidRPr="00160A5B">
        <w:rPr>
          <w:sz w:val="22"/>
          <w:szCs w:val="22"/>
        </w:rPr>
        <w:t>E</w:t>
      </w:r>
      <w:r w:rsidR="006C5E6B" w:rsidRPr="00160A5B">
        <w:rPr>
          <w:rFonts w:eastAsia="Cambria"/>
          <w:sz w:val="22"/>
          <w:szCs w:val="22"/>
        </w:rPr>
        <w:t>fektívne fungujúce výdavkové limity mohli prispieť aj k rýchlejšiemu poklesu dlhu mimo sankčných pásiem v porovnaní s aktuálnym vývojom a lepšej pripravenosti verejných financií na aktuálny krízový vývoj</w:t>
      </w:r>
      <w:r w:rsidR="006C5E6B" w:rsidRPr="00160A5B">
        <w:rPr>
          <w:rFonts w:eastAsia="Cambria"/>
        </w:rPr>
        <w:t>.</w:t>
      </w:r>
    </w:p>
    <w:p w14:paraId="05526AF8" w14:textId="77777777" w:rsidR="00D63786" w:rsidRDefault="00D63786" w:rsidP="00296DB3">
      <w:pPr>
        <w:pStyle w:val="FootnoteText"/>
        <w:jc w:val="both"/>
        <w:rPr>
          <w:rFonts w:eastAsia="Cambria"/>
          <w:bCs/>
          <w:sz w:val="22"/>
          <w:szCs w:val="22"/>
        </w:rPr>
      </w:pPr>
    </w:p>
    <w:p w14:paraId="4A6D5775" w14:textId="1ADEABAD" w:rsidR="00D1750C" w:rsidRDefault="00D1750C" w:rsidP="004F3D75">
      <w:pPr>
        <w:autoSpaceDE w:val="0"/>
        <w:autoSpaceDN w:val="0"/>
        <w:adjustRightInd w:val="0"/>
        <w:jc w:val="both"/>
        <w:rPr>
          <w:b/>
          <w:szCs w:val="22"/>
        </w:rPr>
      </w:pPr>
      <w:bookmarkStart w:id="610" w:name="_Toc358301415"/>
      <w:bookmarkStart w:id="611" w:name="_Toc358360158"/>
      <w:bookmarkStart w:id="612" w:name="_Toc358367071"/>
      <w:bookmarkStart w:id="613" w:name="_Toc358367248"/>
      <w:bookmarkStart w:id="614" w:name="_Toc358367713"/>
      <w:bookmarkStart w:id="615" w:name="_Toc358381274"/>
      <w:bookmarkStart w:id="616" w:name="_Toc358385620"/>
      <w:bookmarkStart w:id="617" w:name="_Toc358641587"/>
      <w:bookmarkStart w:id="618" w:name="_Toc359425160"/>
      <w:bookmarkStart w:id="619" w:name="_Toc359427396"/>
      <w:r w:rsidRPr="48538075">
        <w:rPr>
          <w:b/>
        </w:rPr>
        <w:t>Súčasný právny stav absencie záväzných limitov výdavkov verejnej správy porušuje ústavný zákon</w:t>
      </w:r>
      <w:r w:rsidRPr="00D1750C">
        <w:rPr>
          <w:szCs w:val="22"/>
        </w:rPr>
        <w:t xml:space="preserve"> (box 5)</w:t>
      </w:r>
      <w:r w:rsidRPr="00A62D03">
        <w:rPr>
          <w:szCs w:val="22"/>
        </w:rPr>
        <w:t xml:space="preserve"> </w:t>
      </w:r>
      <w:r w:rsidRPr="48538075">
        <w:rPr>
          <w:b/>
        </w:rPr>
        <w:t>a malo by byť prioritou súčasnej vlády implementovať záväzné viacročné limity verejných výdavkov čo najskôr</w:t>
      </w:r>
      <w:r w:rsidRPr="00A62D03">
        <w:rPr>
          <w:szCs w:val="22"/>
        </w:rPr>
        <w:t>.</w:t>
      </w:r>
    </w:p>
    <w:p w14:paraId="43911D7F" w14:textId="3125650F" w:rsidR="00AC7D83" w:rsidRDefault="00AC7D83" w:rsidP="008101AB">
      <w:pPr>
        <w:jc w:val="both"/>
        <w:rPr>
          <w:highlight w:val="yellow"/>
        </w:rPr>
      </w:pPr>
    </w:p>
    <w:p w14:paraId="194B3539" w14:textId="77777777" w:rsidR="002A53C2" w:rsidRPr="00160A5B" w:rsidRDefault="00160A5B" w:rsidP="0069357E">
      <w:pPr>
        <w:jc w:val="both"/>
        <w:rPr>
          <w:rFonts w:eastAsia="Cambria"/>
        </w:rPr>
      </w:pPr>
      <w:r w:rsidRPr="00160A5B">
        <w:t>Pozitívne možno vnímať, že v</w:t>
      </w:r>
      <w:r w:rsidR="00AC7D83" w:rsidRPr="00160A5B">
        <w:t xml:space="preserve">láda sa </w:t>
      </w:r>
      <w:r w:rsidR="007A5FA6" w:rsidRPr="00160A5B">
        <w:t>vo svojom programovom vyhlásení zaviazala sfunkčniť</w:t>
      </w:r>
      <w:r w:rsidR="00925707" w:rsidRPr="00160A5B">
        <w:t xml:space="preserve"> záväzné</w:t>
      </w:r>
      <w:r w:rsidR="007A5FA6" w:rsidRPr="00160A5B">
        <w:t xml:space="preserve"> </w:t>
      </w:r>
      <w:r w:rsidR="009219E4" w:rsidRPr="00160A5B">
        <w:t>viacročné</w:t>
      </w:r>
      <w:r w:rsidR="0048697B" w:rsidRPr="00160A5B">
        <w:t xml:space="preserve"> rozpočtovanie a zaviesť do praxe výdavkové stropy</w:t>
      </w:r>
      <w:r w:rsidR="0015030A" w:rsidRPr="00160A5B">
        <w:t xml:space="preserve">. </w:t>
      </w:r>
      <w:r w:rsidR="003856AD" w:rsidRPr="00FD0298">
        <w:rPr>
          <w:rStyle w:val="Hyperlink"/>
          <w:color w:val="auto"/>
          <w:szCs w:val="22"/>
          <w:u w:val="none"/>
        </w:rPr>
        <w:t>V </w:t>
      </w:r>
      <w:r w:rsidR="00FD0298" w:rsidRPr="00FD0298">
        <w:rPr>
          <w:rStyle w:val="Hyperlink"/>
          <w:color w:val="auto"/>
          <w:szCs w:val="22"/>
          <w:u w:val="none"/>
        </w:rPr>
        <w:t xml:space="preserve">júli 2020 zverejnil </w:t>
      </w:r>
      <w:r w:rsidR="00FD0298" w:rsidRPr="00FD0298">
        <w:rPr>
          <w:szCs w:val="22"/>
        </w:rPr>
        <w:t>Inštitút finančnej politiky MF SR</w:t>
      </w:r>
      <w:r w:rsidR="00FD0298" w:rsidRPr="00FD0298">
        <w:rPr>
          <w:rStyle w:val="Hyperlink"/>
          <w:color w:val="auto"/>
          <w:szCs w:val="22"/>
          <w:u w:val="none"/>
        </w:rPr>
        <w:t xml:space="preserve"> </w:t>
      </w:r>
      <w:r w:rsidR="00FD0298">
        <w:rPr>
          <w:rStyle w:val="Hyperlink"/>
          <w:color w:val="auto"/>
          <w:szCs w:val="22"/>
          <w:u w:val="none"/>
        </w:rPr>
        <w:t>komentár s názvom</w:t>
      </w:r>
      <w:r w:rsidR="00FD0298" w:rsidRPr="00FD0298">
        <w:rPr>
          <w:rStyle w:val="Hyperlink"/>
          <w:color w:val="auto"/>
          <w:szCs w:val="22"/>
          <w:u w:val="none"/>
        </w:rPr>
        <w:t xml:space="preserve"> </w:t>
      </w:r>
      <w:hyperlink r:id="rId22" w:history="1">
        <w:r w:rsidR="00FD0298" w:rsidRPr="00FD0298">
          <w:rPr>
            <w:rStyle w:val="Hyperlink"/>
            <w:color w:val="13B5EA"/>
            <w:szCs w:val="22"/>
          </w:rPr>
          <w:t>Štátna kasa na uzde</w:t>
        </w:r>
      </w:hyperlink>
      <w:r w:rsidR="00FD0298" w:rsidRPr="00FD0298">
        <w:rPr>
          <w:rStyle w:val="Hyperlink"/>
          <w:color w:val="auto"/>
          <w:szCs w:val="22"/>
          <w:u w:val="none"/>
        </w:rPr>
        <w:t xml:space="preserve"> s upraveným</w:t>
      </w:r>
      <w:r w:rsidR="00FD0298" w:rsidRPr="00160A5B">
        <w:rPr>
          <w:rStyle w:val="FootnoteReference"/>
        </w:rPr>
        <w:footnoteReference w:id="70"/>
      </w:r>
      <w:r w:rsidR="00FD0298" w:rsidRPr="00FD0298">
        <w:rPr>
          <w:rStyle w:val="Hyperlink"/>
          <w:color w:val="auto"/>
          <w:szCs w:val="22"/>
          <w:u w:val="none"/>
        </w:rPr>
        <w:t xml:space="preserve"> návrhom viacročných výdavkových stropov</w:t>
      </w:r>
      <w:r w:rsidR="00FD0298">
        <w:rPr>
          <w:rStyle w:val="Hyperlink"/>
          <w:color w:val="auto"/>
          <w:szCs w:val="22"/>
          <w:u w:val="none"/>
        </w:rPr>
        <w:t>, pričom ministerstvo financií deklarovalo</w:t>
      </w:r>
      <w:r w:rsidR="00FD0298">
        <w:rPr>
          <w:rStyle w:val="FootnoteReference"/>
          <w:szCs w:val="22"/>
        </w:rPr>
        <w:footnoteReference w:id="71"/>
      </w:r>
      <w:r w:rsidR="00FD0298">
        <w:rPr>
          <w:rStyle w:val="Hyperlink"/>
          <w:color w:val="auto"/>
          <w:szCs w:val="22"/>
          <w:u w:val="none"/>
        </w:rPr>
        <w:t>, že</w:t>
      </w:r>
      <w:r w:rsidRPr="00160A5B">
        <w:t xml:space="preserve"> plánuje do polovice roka 2021 predstaviť </w:t>
      </w:r>
      <w:r w:rsidR="00FD0298">
        <w:t xml:space="preserve">spôsob </w:t>
      </w:r>
      <w:r w:rsidRPr="00160A5B">
        <w:t>riadeni</w:t>
      </w:r>
      <w:r w:rsidR="00FD0298">
        <w:t>a</w:t>
      </w:r>
      <w:r w:rsidRPr="00160A5B">
        <w:t xml:space="preserve"> verejných financií prostredníctvom viacročných výdavkových limitov.</w:t>
      </w:r>
    </w:p>
    <w:p w14:paraId="0217DBE8" w14:textId="77777777" w:rsidR="007C2D99" w:rsidRPr="00160A5B" w:rsidRDefault="007C2D99" w:rsidP="0069357E">
      <w:pPr>
        <w:jc w:val="both"/>
        <w:rPr>
          <w:rFonts w:eastAsia="Cambria"/>
        </w:rPr>
      </w:pPr>
    </w:p>
    <w:p w14:paraId="772AB17F" w14:textId="77777777" w:rsidR="00694AF2" w:rsidRPr="00160A5B" w:rsidRDefault="00694AF2" w:rsidP="0069357E">
      <w:pPr>
        <w:jc w:val="both"/>
        <w:rPr>
          <w:rFonts w:eastAsia="Cambria"/>
        </w:rPr>
      </w:pPr>
    </w:p>
    <w:tbl>
      <w:tblPr>
        <w:tblStyle w:val="TableGrid"/>
        <w:tblW w:w="4975" w:type="pct"/>
        <w:tblBorders>
          <w:top w:val="single" w:sz="4" w:space="0" w:color="13B5EA"/>
          <w:left w:val="single" w:sz="4" w:space="0" w:color="13B5EA"/>
          <w:bottom w:val="single" w:sz="4" w:space="0" w:color="13B5EA"/>
          <w:right w:val="single" w:sz="4" w:space="0" w:color="13B5EA"/>
          <w:insideH w:val="single" w:sz="4" w:space="0" w:color="13B5EA"/>
          <w:insideV w:val="single" w:sz="4" w:space="0" w:color="13B5EA"/>
        </w:tblBorders>
        <w:tblLook w:val="01E0" w:firstRow="1" w:lastRow="1" w:firstColumn="1" w:lastColumn="1" w:noHBand="0" w:noVBand="0"/>
      </w:tblPr>
      <w:tblGrid>
        <w:gridCol w:w="9060"/>
      </w:tblGrid>
      <w:tr w:rsidR="002A53C2" w:rsidRPr="002A53C2" w14:paraId="343D7A61" w14:textId="77777777" w:rsidTr="00FA67C0">
        <w:trPr>
          <w:trHeight w:val="8284"/>
        </w:trPr>
        <w:tc>
          <w:tcPr>
            <w:tcW w:w="5000" w:type="pct"/>
            <w:tcBorders>
              <w:top w:val="single" w:sz="4" w:space="0" w:color="13B5EA"/>
            </w:tcBorders>
            <w:shd w:val="clear" w:color="auto" w:fill="B1E8F9"/>
          </w:tcPr>
          <w:p w14:paraId="0B88471B" w14:textId="77777777" w:rsidR="00DB14AE" w:rsidRPr="00094F55" w:rsidRDefault="00DB14AE" w:rsidP="00DB14AE">
            <w:pPr>
              <w:rPr>
                <w:sz w:val="10"/>
                <w:szCs w:val="10"/>
              </w:rPr>
            </w:pPr>
          </w:p>
          <w:p w14:paraId="7171DC49" w14:textId="62173171" w:rsidR="002A53C2" w:rsidRPr="00C47F47" w:rsidRDefault="002A53C2" w:rsidP="004A79A6">
            <w:pPr>
              <w:pStyle w:val="box"/>
              <w:rPr>
                <w:rFonts w:eastAsia="Cambria"/>
                <w:sz w:val="20"/>
                <w:szCs w:val="20"/>
                <w:lang w:val="sk-SK"/>
              </w:rPr>
            </w:pPr>
            <w:bookmarkStart w:id="620" w:name="_Toc49506895"/>
            <w:r w:rsidRPr="004A79A6">
              <w:rPr>
                <w:sz w:val="20"/>
                <w:szCs w:val="20"/>
              </w:rPr>
              <w:t xml:space="preserve">Box </w:t>
            </w:r>
            <w:r w:rsidR="00163A0C" w:rsidRPr="00245A84">
              <w:rPr>
                <w:rFonts w:eastAsia="Cambria"/>
                <w:bCs/>
                <w:sz w:val="20"/>
              </w:rPr>
              <w:t>5</w:t>
            </w:r>
            <w:r w:rsidRPr="00245A84">
              <w:rPr>
                <w:rFonts w:eastAsia="Cambria"/>
                <w:bCs/>
                <w:sz w:val="20"/>
              </w:rPr>
              <w:t xml:space="preserve">: </w:t>
            </w:r>
            <w:r w:rsidR="00945A4A" w:rsidRPr="00C47F47">
              <w:rPr>
                <w:rFonts w:eastAsia="Cambria"/>
                <w:sz w:val="20"/>
                <w:lang w:val="sk-SK"/>
              </w:rPr>
              <w:t>Vývoj zavádzania výdavkových limitov</w:t>
            </w:r>
            <w:bookmarkEnd w:id="620"/>
          </w:p>
          <w:p w14:paraId="51F14BEA" w14:textId="77777777" w:rsidR="00B01D7C" w:rsidRPr="00656795" w:rsidRDefault="00B01D7C" w:rsidP="0069357E">
            <w:pPr>
              <w:jc w:val="both"/>
              <w:rPr>
                <w:rFonts w:eastAsia="Cambria"/>
                <w:color w:val="13B5EA"/>
                <w:sz w:val="16"/>
                <w:szCs w:val="16"/>
              </w:rPr>
            </w:pPr>
          </w:p>
          <w:p w14:paraId="4C0FD94E" w14:textId="2ED0B25E" w:rsidR="00063C1A" w:rsidRDefault="00043DB9" w:rsidP="0069357E">
            <w:pPr>
              <w:jc w:val="both"/>
              <w:rPr>
                <w:rFonts w:eastAsia="Cambria"/>
                <w:color w:val="13B5EA"/>
                <w:sz w:val="20"/>
              </w:rPr>
            </w:pPr>
            <w:r w:rsidRPr="004A79A6">
              <w:rPr>
                <w:rFonts w:eastAsia="Cambria"/>
                <w:color w:val="000000" w:themeColor="text1"/>
                <w:sz w:val="20"/>
              </w:rPr>
              <w:t xml:space="preserve">Ústavný zákon o rozpočtovej zodpovednosti schválený </w:t>
            </w:r>
            <w:r>
              <w:rPr>
                <w:rFonts w:eastAsia="Cambria"/>
                <w:color w:val="000000" w:themeColor="text1"/>
                <w:sz w:val="20"/>
                <w:szCs w:val="20"/>
              </w:rPr>
              <w:t xml:space="preserve">v roku 2011 v čl. 7 ods. 3 predpokladá zavedenie </w:t>
            </w:r>
            <w:r w:rsidRPr="00880866">
              <w:rPr>
                <w:rFonts w:eastAsia="Cambria"/>
                <w:color w:val="000000" w:themeColor="text1"/>
                <w:sz w:val="20"/>
              </w:rPr>
              <w:t>výdavkových limitov. Prvý analytický návrh spôsobu stanovenia výdavkových limitov predstavil Inštitút finančnej politiky Ministers</w:t>
            </w:r>
            <w:r w:rsidR="00D93129" w:rsidRPr="00880866">
              <w:rPr>
                <w:rFonts w:eastAsia="Cambria"/>
                <w:color w:val="000000" w:themeColor="text1"/>
                <w:sz w:val="20"/>
              </w:rPr>
              <w:t>t</w:t>
            </w:r>
            <w:r w:rsidRPr="00880866">
              <w:rPr>
                <w:rFonts w:eastAsia="Cambria"/>
                <w:color w:val="000000" w:themeColor="text1"/>
                <w:sz w:val="20"/>
              </w:rPr>
              <w:t xml:space="preserve">va financií </w:t>
            </w:r>
            <w:r w:rsidR="008F6EB0">
              <w:rPr>
                <w:rFonts w:eastAsia="Cambria"/>
                <w:color w:val="000000" w:themeColor="text1"/>
                <w:sz w:val="20"/>
              </w:rPr>
              <w:t xml:space="preserve">SR </w:t>
            </w:r>
            <w:r w:rsidRPr="00880866">
              <w:rPr>
                <w:rFonts w:eastAsia="Cambria"/>
                <w:color w:val="000000" w:themeColor="text1"/>
                <w:sz w:val="20"/>
              </w:rPr>
              <w:t xml:space="preserve">v októbri 2018 v diskusnej štúdii s názvom </w:t>
            </w:r>
            <w:hyperlink r:id="rId23" w:history="1">
              <w:r w:rsidRPr="00C47F47">
                <w:rPr>
                  <w:rStyle w:val="Hyperlink"/>
                  <w:color w:val="13B5EA"/>
                  <w:sz w:val="20"/>
                </w:rPr>
                <w:t>Skrutkovač na hodnotu za peniaze</w:t>
              </w:r>
            </w:hyperlink>
            <w:r>
              <w:rPr>
                <w:rFonts w:eastAsia="Cambria"/>
                <w:color w:val="13B5EA"/>
                <w:sz w:val="20"/>
              </w:rPr>
              <w:t xml:space="preserve">. </w:t>
            </w:r>
            <w:r>
              <w:rPr>
                <w:rFonts w:eastAsia="Cambria"/>
                <w:sz w:val="20"/>
              </w:rPr>
              <w:t xml:space="preserve">Predstavenie tohto návrhu nasledovali odborné diskusie </w:t>
            </w:r>
            <w:r w:rsidRPr="00880866">
              <w:rPr>
                <w:rFonts w:eastAsia="Cambria"/>
                <w:sz w:val="20"/>
              </w:rPr>
              <w:t>počas roka 2019. V júli 2020 zverejnil Inštitút finančnej politiky nový návrh viacročných výda</w:t>
            </w:r>
            <w:r w:rsidRPr="00253090">
              <w:rPr>
                <w:rFonts w:eastAsia="Cambria"/>
                <w:sz w:val="20"/>
              </w:rPr>
              <w:t>vkových stropov v komentári</w:t>
            </w:r>
            <w:r w:rsidRPr="004A79A6">
              <w:rPr>
                <w:rFonts w:eastAsia="Cambria"/>
                <w:color w:val="13B5EA"/>
                <w:sz w:val="20"/>
              </w:rPr>
              <w:t xml:space="preserve"> </w:t>
            </w:r>
            <w:hyperlink r:id="rId24" w:history="1">
              <w:r w:rsidRPr="00C47F47">
                <w:rPr>
                  <w:rStyle w:val="Hyperlink"/>
                  <w:color w:val="13B5EA"/>
                  <w:sz w:val="20"/>
                </w:rPr>
                <w:t>Štátna kasa na uzde</w:t>
              </w:r>
            </w:hyperlink>
            <w:r w:rsidRPr="00E9421C">
              <w:rPr>
                <w:rFonts w:eastAsia="Cambria"/>
                <w:sz w:val="20"/>
                <w:szCs w:val="20"/>
                <w:lang w:eastAsia="sk-SK"/>
              </w:rPr>
              <w:t>.</w:t>
            </w:r>
            <w:r w:rsidRPr="00E9421C">
              <w:rPr>
                <w:rFonts w:eastAsia="Cambria"/>
                <w:color w:val="13B5EA"/>
                <w:sz w:val="20"/>
                <w:szCs w:val="20"/>
              </w:rPr>
              <w:t xml:space="preserve"> </w:t>
            </w:r>
          </w:p>
          <w:p w14:paraId="1CF220BD" w14:textId="77777777" w:rsidR="00063C1A" w:rsidRDefault="00063C1A" w:rsidP="0069357E">
            <w:pPr>
              <w:jc w:val="both"/>
              <w:rPr>
                <w:rFonts w:eastAsia="Cambria"/>
                <w:sz w:val="20"/>
              </w:rPr>
            </w:pPr>
          </w:p>
          <w:p w14:paraId="152DBBBA" w14:textId="17D04BF1" w:rsidR="00945A4A" w:rsidRDefault="00A063E3" w:rsidP="0069357E">
            <w:pPr>
              <w:jc w:val="both"/>
              <w:rPr>
                <w:sz w:val="20"/>
                <w:szCs w:val="20"/>
              </w:rPr>
            </w:pPr>
            <w:r>
              <w:rPr>
                <w:rFonts w:eastAsia="Cambria"/>
                <w:sz w:val="20"/>
              </w:rPr>
              <w:t>A</w:t>
            </w:r>
            <w:r w:rsidR="00043DB9">
              <w:rPr>
                <w:rFonts w:eastAsia="Cambria"/>
                <w:sz w:val="20"/>
              </w:rPr>
              <w:t xml:space="preserve">ktuálny </w:t>
            </w:r>
            <w:r w:rsidR="00043DB9" w:rsidRPr="004A79A6">
              <w:rPr>
                <w:rFonts w:eastAsia="Cambria"/>
                <w:sz w:val="20"/>
              </w:rPr>
              <w:t>stav</w:t>
            </w:r>
            <w:r w:rsidR="00043DB9">
              <w:rPr>
                <w:rFonts w:eastAsia="Cambria"/>
                <w:sz w:val="20"/>
              </w:rPr>
              <w:t>, kedy v právnej úprave chýba sp</w:t>
            </w:r>
            <w:r w:rsidR="00043DB9" w:rsidRPr="006F0165">
              <w:rPr>
                <w:rFonts w:eastAsia="Cambria"/>
                <w:sz w:val="20"/>
                <w:szCs w:val="20"/>
              </w:rPr>
              <w:t xml:space="preserve">ôsob stanovenia </w:t>
            </w:r>
            <w:r w:rsidR="00043DB9" w:rsidRPr="00253090">
              <w:rPr>
                <w:rFonts w:eastAsia="Cambria"/>
                <w:sz w:val="20"/>
              </w:rPr>
              <w:t>záväzných viacročných výdavkových limitov</w:t>
            </w:r>
            <w:r w:rsidR="00E938C0">
              <w:rPr>
                <w:rFonts w:eastAsia="Cambria"/>
                <w:sz w:val="20"/>
              </w:rPr>
              <w:t>,</w:t>
            </w:r>
            <w:r w:rsidR="00043DB9" w:rsidRPr="00253090">
              <w:rPr>
                <w:rFonts w:eastAsia="Cambria"/>
                <w:sz w:val="20"/>
              </w:rPr>
              <w:t xml:space="preserve"> </w:t>
            </w:r>
            <w:r>
              <w:rPr>
                <w:rFonts w:eastAsia="Cambria"/>
                <w:sz w:val="20"/>
              </w:rPr>
              <w:t>porušuje ústavný zákon</w:t>
            </w:r>
            <w:r w:rsidR="00043DB9" w:rsidRPr="00253090">
              <w:rPr>
                <w:rFonts w:eastAsia="Cambria"/>
                <w:sz w:val="20"/>
              </w:rPr>
              <w:t>, čo potvrdzuje aj právna analýza, ktorú si RRZ nechala vypracovať. Z tejto analýzy</w:t>
            </w:r>
            <w:r w:rsidR="00253090" w:rsidRPr="00AC7D7E">
              <w:rPr>
                <w:rStyle w:val="FootnoteReference"/>
                <w:rFonts w:eastAsia="Cambria"/>
                <w:sz w:val="20"/>
                <w:szCs w:val="20"/>
              </w:rPr>
              <w:footnoteReference w:id="72"/>
            </w:r>
            <w:r w:rsidR="00043DB9">
              <w:rPr>
                <w:rFonts w:eastAsia="Cambria"/>
                <w:sz w:val="20"/>
              </w:rPr>
              <w:t xml:space="preserve"> vyplýva, </w:t>
            </w:r>
            <w:r w:rsidR="00043DB9" w:rsidRPr="009C4F79">
              <w:rPr>
                <w:rFonts w:eastAsia="Cambria"/>
                <w:sz w:val="20"/>
                <w:szCs w:val="20"/>
              </w:rPr>
              <w:t xml:space="preserve">že </w:t>
            </w:r>
            <w:r w:rsidR="00043DB9" w:rsidRPr="004A79A6">
              <w:rPr>
                <w:sz w:val="20"/>
              </w:rPr>
              <w:t>„</w:t>
            </w:r>
            <w:r w:rsidR="00043DB9" w:rsidRPr="004A79A6">
              <w:rPr>
                <w:b/>
                <w:sz w:val="20"/>
              </w:rPr>
              <w:t xml:space="preserve">Ak v súčasnosti nejestvujú efektívne výdavkové limity, </w:t>
            </w:r>
            <w:r w:rsidR="00043DB9" w:rsidRPr="004A79A6">
              <w:rPr>
                <w:sz w:val="20"/>
              </w:rPr>
              <w:t xml:space="preserve">ktorých existenciu predpokladá čl. 7 ods. 3 v spojení s čl. 1 ÚZoRZ, potom </w:t>
            </w:r>
            <w:r w:rsidR="00043DB9" w:rsidRPr="004A79A6">
              <w:rPr>
                <w:b/>
                <w:sz w:val="20"/>
              </w:rPr>
              <w:t>ide o protiústavný stav, za ktorý nesú zodpovednosť tie subjekty, ktoré majú povinnosť tieto limity v adekvátnej podobe vytvoriť</w:t>
            </w:r>
            <w:r w:rsidR="00043DB9" w:rsidRPr="004A79A6">
              <w:rPr>
                <w:sz w:val="20"/>
              </w:rPr>
              <w:t>. Je dôležité im túto skutočnosť intenzívne pripomínať a pritom zdôrazňovať, že nejde o maličkosť, ale o otázku dodržiavania ústavného poriadku štátu.“</w:t>
            </w:r>
            <w:r w:rsidR="00043DB9">
              <w:rPr>
                <w:sz w:val="20"/>
                <w:szCs w:val="20"/>
              </w:rPr>
              <w:t xml:space="preserve"> </w:t>
            </w:r>
            <w:r w:rsidR="00063C1A">
              <w:rPr>
                <w:sz w:val="20"/>
                <w:szCs w:val="20"/>
              </w:rPr>
              <w:t>L</w:t>
            </w:r>
            <w:r w:rsidR="00043DB9">
              <w:rPr>
                <w:sz w:val="20"/>
                <w:szCs w:val="20"/>
              </w:rPr>
              <w:t xml:space="preserve">imity výdavkov sa od roku 2011 nedostali z analytickej roviny návrhov do záväznej legislatívnej podoby. </w:t>
            </w:r>
            <w:r w:rsidR="00043DB9" w:rsidRPr="004A79A6">
              <w:rPr>
                <w:b/>
                <w:bCs/>
                <w:sz w:val="20"/>
              </w:rPr>
              <w:t>Vláda ani Národná rada Slovenskej republiky</w:t>
            </w:r>
            <w:r w:rsidR="00963F8E" w:rsidRPr="004A79A6">
              <w:rPr>
                <w:b/>
                <w:bCs/>
                <w:sz w:val="20"/>
              </w:rPr>
              <w:t xml:space="preserve"> od roku 2011 v tejto veci nekonali a dlhodobo </w:t>
            </w:r>
            <w:r w:rsidR="00264D40" w:rsidRPr="004A79A6">
              <w:rPr>
                <w:b/>
                <w:bCs/>
                <w:sz w:val="20"/>
              </w:rPr>
              <w:t xml:space="preserve">tým </w:t>
            </w:r>
            <w:r w:rsidR="00963F8E" w:rsidRPr="004A79A6">
              <w:rPr>
                <w:b/>
                <w:bCs/>
                <w:sz w:val="20"/>
              </w:rPr>
              <w:t>zanedbávali svoje ústavné povinnosti</w:t>
            </w:r>
            <w:r w:rsidR="00264D40" w:rsidRPr="004A79A6">
              <w:rPr>
                <w:b/>
                <w:bCs/>
                <w:sz w:val="20"/>
              </w:rPr>
              <w:t>.</w:t>
            </w:r>
            <w:r w:rsidR="00264D40">
              <w:rPr>
                <w:sz w:val="20"/>
                <w:szCs w:val="20"/>
              </w:rPr>
              <w:t xml:space="preserve"> </w:t>
            </w:r>
          </w:p>
          <w:p w14:paraId="0753FD11" w14:textId="77777777" w:rsidR="00585302" w:rsidRDefault="00585302" w:rsidP="0069357E">
            <w:pPr>
              <w:jc w:val="both"/>
              <w:rPr>
                <w:sz w:val="20"/>
                <w:szCs w:val="20"/>
              </w:rPr>
            </w:pPr>
          </w:p>
          <w:tbl>
            <w:tblPr>
              <w:tblW w:w="8682" w:type="dxa"/>
              <w:jc w:val="center"/>
              <w:tblLook w:val="01E0" w:firstRow="1" w:lastRow="1" w:firstColumn="1" w:lastColumn="1" w:noHBand="0" w:noVBand="0"/>
            </w:tblPr>
            <w:tblGrid>
              <w:gridCol w:w="8844"/>
            </w:tblGrid>
            <w:tr w:rsidR="00585302" w:rsidRPr="00B81300" w14:paraId="411F145B" w14:textId="77777777" w:rsidTr="00FA67C0">
              <w:trPr>
                <w:trHeight w:val="397"/>
                <w:jc w:val="center"/>
              </w:trPr>
              <w:tc>
                <w:tcPr>
                  <w:tcW w:w="8682" w:type="dxa"/>
                  <w:tcBorders>
                    <w:top w:val="nil"/>
                    <w:left w:val="nil"/>
                    <w:bottom w:val="single" w:sz="4" w:space="0" w:color="13B5EA"/>
                    <w:right w:val="nil"/>
                  </w:tcBorders>
                  <w:vAlign w:val="center"/>
                </w:tcPr>
                <w:p w14:paraId="4824A6C8" w14:textId="10D7F31D" w:rsidR="00585302" w:rsidRPr="00E9421C" w:rsidRDefault="008F1898" w:rsidP="004A79A6">
                  <w:pPr>
                    <w:rPr>
                      <w:lang w:val="en-US"/>
                    </w:rPr>
                  </w:pPr>
                  <w:bookmarkStart w:id="621" w:name="_Toc49506911"/>
                  <w:r w:rsidRPr="00C21253">
                    <w:rPr>
                      <w:rStyle w:val="schmaChar"/>
                      <w:sz w:val="20"/>
                      <w:szCs w:val="18"/>
                    </w:rPr>
                    <w:t>Schéma 2</w:t>
                  </w:r>
                  <w:r w:rsidR="00585302" w:rsidRPr="00C21253">
                    <w:rPr>
                      <w:rStyle w:val="schmaChar"/>
                      <w:sz w:val="20"/>
                      <w:szCs w:val="18"/>
                    </w:rPr>
                    <w:t>: Vývoj zavádzania výdavkových limitov</w:t>
                  </w:r>
                  <w:bookmarkEnd w:id="621"/>
                  <w:r w:rsidR="0002101A" w:rsidRPr="00C21253">
                    <w:rPr>
                      <w:sz w:val="20"/>
                      <w:szCs w:val="18"/>
                    </w:rPr>
                    <w:t xml:space="preserve"> </w:t>
                  </w:r>
                  <w:r w:rsidR="000F5458" w:rsidRPr="00C21253">
                    <w:rPr>
                      <w:b/>
                      <w:color w:val="13B5EA"/>
                      <w:sz w:val="20"/>
                      <w:szCs w:val="18"/>
                    </w:rPr>
                    <w:t>–</w:t>
                  </w:r>
                  <w:r w:rsidR="0002101A" w:rsidRPr="00C21253">
                    <w:rPr>
                      <w:b/>
                      <w:color w:val="13B5EA"/>
                      <w:sz w:val="20"/>
                      <w:szCs w:val="18"/>
                    </w:rPr>
                    <w:t xml:space="preserve"> </w:t>
                  </w:r>
                  <w:r w:rsidR="00FE40DE" w:rsidRPr="00C21253">
                    <w:rPr>
                      <w:b/>
                      <w:color w:val="13B5EA"/>
                      <w:sz w:val="20"/>
                      <w:szCs w:val="18"/>
                    </w:rPr>
                    <w:t>chýbajúc</w:t>
                  </w:r>
                  <w:r w:rsidR="000F5458" w:rsidRPr="00C21253">
                    <w:rPr>
                      <w:b/>
                      <w:color w:val="13B5EA"/>
                      <w:sz w:val="20"/>
                      <w:szCs w:val="18"/>
                    </w:rPr>
                    <w:t>e záväzné kroky vlády a</w:t>
                  </w:r>
                  <w:r w:rsidR="00996338">
                    <w:rPr>
                      <w:b/>
                      <w:color w:val="13B5EA"/>
                      <w:sz w:val="20"/>
                      <w:szCs w:val="18"/>
                    </w:rPr>
                    <w:t> </w:t>
                  </w:r>
                  <w:r w:rsidR="000F5458" w:rsidRPr="00C21253">
                    <w:rPr>
                      <w:b/>
                      <w:color w:val="13B5EA"/>
                      <w:sz w:val="20"/>
                      <w:szCs w:val="18"/>
                    </w:rPr>
                    <w:t>parlamentu</w:t>
                  </w:r>
                </w:p>
              </w:tc>
            </w:tr>
            <w:tr w:rsidR="00585302" w:rsidRPr="00B81300" w14:paraId="6374D14D" w14:textId="77777777" w:rsidTr="00FA67C0">
              <w:trPr>
                <w:jc w:val="center"/>
              </w:trPr>
              <w:tc>
                <w:tcPr>
                  <w:tcW w:w="8682" w:type="dxa"/>
                  <w:tcBorders>
                    <w:top w:val="single" w:sz="4" w:space="0" w:color="13B5EA"/>
                    <w:left w:val="nil"/>
                    <w:bottom w:val="single" w:sz="4" w:space="0" w:color="13B5EA"/>
                    <w:right w:val="nil"/>
                  </w:tcBorders>
                </w:tcPr>
                <w:p w14:paraId="605CCEC2" w14:textId="22574FF5" w:rsidR="00585302" w:rsidRPr="00C47F47" w:rsidRDefault="601C070A" w:rsidP="00585302">
                  <w:pPr>
                    <w:jc w:val="center"/>
                    <w:rPr>
                      <w:b/>
                      <w:color w:val="13B5EA"/>
                      <w:sz w:val="20"/>
                      <w:lang w:val="en-US"/>
                    </w:rPr>
                  </w:pPr>
                  <w:r>
                    <w:rPr>
                      <w:noProof/>
                    </w:rPr>
                    <w:drawing>
                      <wp:inline distT="0" distB="0" distL="0" distR="0" wp14:anchorId="72DE865E" wp14:editId="38661FC6">
                        <wp:extent cx="5753098" cy="20802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5">
                                  <a:extLst>
                                    <a:ext uri="{28A0092B-C50C-407E-A947-70E740481C1C}">
                                      <a14:useLocalDpi xmlns:a14="http://schemas.microsoft.com/office/drawing/2010/main" val="0"/>
                                    </a:ext>
                                  </a:extLst>
                                </a:blip>
                                <a:stretch>
                                  <a:fillRect/>
                                </a:stretch>
                              </pic:blipFill>
                              <pic:spPr>
                                <a:xfrm>
                                  <a:off x="0" y="0"/>
                                  <a:ext cx="5753098" cy="2080260"/>
                                </a:xfrm>
                                <a:prstGeom prst="rect">
                                  <a:avLst/>
                                </a:prstGeom>
                              </pic:spPr>
                            </pic:pic>
                          </a:graphicData>
                        </a:graphic>
                      </wp:inline>
                    </w:drawing>
                  </w:r>
                </w:p>
              </w:tc>
            </w:tr>
            <w:tr w:rsidR="00585302" w:rsidRPr="00B81300" w14:paraId="5668A59A" w14:textId="77777777" w:rsidTr="00FA67C0">
              <w:trPr>
                <w:jc w:val="center"/>
              </w:trPr>
              <w:tc>
                <w:tcPr>
                  <w:tcW w:w="8682" w:type="dxa"/>
                  <w:tcBorders>
                    <w:top w:val="single" w:sz="4" w:space="0" w:color="13B5EA"/>
                    <w:left w:val="nil"/>
                    <w:right w:val="nil"/>
                  </w:tcBorders>
                </w:tcPr>
                <w:p w14:paraId="138E553C" w14:textId="6E958DD2" w:rsidR="00585302" w:rsidRPr="00B81300" w:rsidRDefault="00585302" w:rsidP="004A79A6">
                  <w:pPr>
                    <w:jc w:val="right"/>
                    <w:rPr>
                      <w:i/>
                      <w:color w:val="13B5EA"/>
                      <w:sz w:val="16"/>
                      <w:szCs w:val="16"/>
                      <w:highlight w:val="yellow"/>
                    </w:rPr>
                  </w:pPr>
                  <w:r w:rsidRPr="004A79A6">
                    <w:rPr>
                      <w:i/>
                      <w:color w:val="13B5EA"/>
                      <w:sz w:val="16"/>
                      <w:szCs w:val="16"/>
                    </w:rPr>
                    <w:t>Zdroj</w:t>
                  </w:r>
                  <w:r>
                    <w:rPr>
                      <w:i/>
                      <w:color w:val="13B5EA"/>
                      <w:sz w:val="16"/>
                      <w:szCs w:val="16"/>
                    </w:rPr>
                    <w:t>: MF SR</w:t>
                  </w:r>
                  <w:r w:rsidRPr="004A79A6">
                    <w:rPr>
                      <w:i/>
                      <w:color w:val="13B5EA"/>
                      <w:sz w:val="16"/>
                      <w:szCs w:val="16"/>
                    </w:rPr>
                    <w:t>, RRZ</w:t>
                  </w:r>
                </w:p>
              </w:tc>
            </w:tr>
          </w:tbl>
          <w:p w14:paraId="03ECF346" w14:textId="08BA62ED" w:rsidR="00945A4A" w:rsidRPr="004A79A6" w:rsidRDefault="00945A4A" w:rsidP="0069357E">
            <w:pPr>
              <w:jc w:val="both"/>
              <w:rPr>
                <w:rFonts w:eastAsia="Cambria"/>
                <w:sz w:val="20"/>
                <w:szCs w:val="20"/>
              </w:rPr>
            </w:pPr>
          </w:p>
        </w:tc>
      </w:tr>
    </w:tbl>
    <w:p w14:paraId="75238606" w14:textId="02B295B4" w:rsidR="002F569A" w:rsidRPr="00160A5B" w:rsidRDefault="002F569A" w:rsidP="0069357E">
      <w:pPr>
        <w:jc w:val="both"/>
        <w:rPr>
          <w:rFonts w:eastAsia="Cambria"/>
        </w:rPr>
      </w:pPr>
    </w:p>
    <w:p w14:paraId="1825D48A" w14:textId="77777777" w:rsidR="00656795" w:rsidRPr="00160A5B" w:rsidRDefault="00656795" w:rsidP="0069357E">
      <w:pPr>
        <w:jc w:val="both"/>
        <w:rPr>
          <w:rFonts w:eastAsia="Cambria"/>
        </w:rPr>
      </w:pPr>
    </w:p>
    <w:p w14:paraId="6C5ADBAD" w14:textId="7A6C1822" w:rsidR="00CB4179" w:rsidRPr="00DB62FB" w:rsidRDefault="00CB4179" w:rsidP="00CB4179">
      <w:pPr>
        <w:pStyle w:val="Heading2"/>
        <w:numPr>
          <w:ilvl w:val="0"/>
          <w:numId w:val="4"/>
        </w:numPr>
        <w:spacing w:before="2" w:after="2"/>
        <w:ind w:left="567" w:hanging="567"/>
        <w:jc w:val="left"/>
        <w:rPr>
          <w:b w:val="0"/>
        </w:rPr>
      </w:pPr>
      <w:bookmarkStart w:id="622" w:name="_Toc523390335"/>
      <w:bookmarkStart w:id="623" w:name="_Toc523390281"/>
      <w:bookmarkStart w:id="624" w:name="_Toc523391006"/>
      <w:bookmarkStart w:id="625" w:name="_Toc523391587"/>
      <w:bookmarkStart w:id="626" w:name="_Toc523392886"/>
      <w:bookmarkStart w:id="627" w:name="_Toc49506879"/>
      <w:r w:rsidRPr="00DB62FB">
        <w:t>Odporúčania</w:t>
      </w:r>
      <w:r w:rsidR="00D8054A" w:rsidRPr="00DB62FB">
        <w:t xml:space="preserve"> RRZ</w:t>
      </w:r>
      <w:r w:rsidRPr="00DB62FB">
        <w:t xml:space="preserve"> na posilnenie rozpočtovej zodpovednosti</w:t>
      </w:r>
      <w:bookmarkEnd w:id="622"/>
      <w:bookmarkEnd w:id="623"/>
      <w:bookmarkEnd w:id="624"/>
      <w:bookmarkEnd w:id="625"/>
      <w:bookmarkEnd w:id="626"/>
      <w:bookmarkEnd w:id="627"/>
    </w:p>
    <w:p w14:paraId="4169D070" w14:textId="5446B0AE" w:rsidR="009F5B35" w:rsidRPr="00DB62FB" w:rsidRDefault="009F5B35" w:rsidP="009F5B35">
      <w:pPr>
        <w:jc w:val="both"/>
        <w:rPr>
          <w:rFonts w:eastAsia="Cambria"/>
        </w:rPr>
      </w:pPr>
    </w:p>
    <w:p w14:paraId="3E058AA6" w14:textId="25CE8260" w:rsidR="00BD46B7" w:rsidRPr="00FE3C3B" w:rsidRDefault="00BD46B7" w:rsidP="00BD46B7">
      <w:pPr>
        <w:jc w:val="both"/>
        <w:rPr>
          <w:rFonts w:eastAsia="Cambria"/>
        </w:rPr>
      </w:pPr>
      <w:r w:rsidRPr="00FE3C3B">
        <w:rPr>
          <w:rFonts w:eastAsia="Cambria"/>
        </w:rPr>
        <w:t>Na základe hodnotenia plnenia pravidiel rozpočtovej zodpovednosti RRZ sformulovala odporúčania</w:t>
      </w:r>
      <w:r w:rsidR="00CA5E6E" w:rsidRPr="00FE3C3B">
        <w:rPr>
          <w:rStyle w:val="FootnoteReference"/>
          <w:rFonts w:eastAsia="Cambria"/>
        </w:rPr>
        <w:footnoteReference w:id="73"/>
      </w:r>
      <w:r w:rsidRPr="00FE3C3B">
        <w:rPr>
          <w:rFonts w:eastAsia="Cambria"/>
        </w:rPr>
        <w:t>, ktoré by tieto pravidlá posilnili:</w:t>
      </w:r>
    </w:p>
    <w:p w14:paraId="014BDED2" w14:textId="2A556EB6" w:rsidR="00CB4179" w:rsidRPr="00B64E2D" w:rsidRDefault="00CB4179" w:rsidP="00CB4179">
      <w:pPr>
        <w:ind w:left="23"/>
        <w:jc w:val="both"/>
      </w:pPr>
    </w:p>
    <w:p w14:paraId="2A850938" w14:textId="4CBF7FA9" w:rsidR="00020CFB" w:rsidRDefault="00020CFB" w:rsidP="00CB4179">
      <w:pPr>
        <w:ind w:left="23"/>
        <w:jc w:val="both"/>
      </w:pPr>
    </w:p>
    <w:p w14:paraId="699159D2" w14:textId="082FCEEB" w:rsidR="00020CFB" w:rsidRDefault="00020CFB" w:rsidP="00CB4179">
      <w:pPr>
        <w:ind w:left="23"/>
        <w:jc w:val="both"/>
      </w:pPr>
    </w:p>
    <w:p w14:paraId="2D21C9FD" w14:textId="77777777" w:rsidR="00020CFB" w:rsidRPr="00B64E2D" w:rsidRDefault="00020CFB" w:rsidP="00CB4179">
      <w:pPr>
        <w:ind w:left="23"/>
        <w:jc w:val="both"/>
      </w:pPr>
    </w:p>
    <w:p w14:paraId="56AFD62F" w14:textId="77777777" w:rsidR="00CB4179" w:rsidRPr="00B64E2D" w:rsidRDefault="00CB4179" w:rsidP="00CB4179">
      <w:pPr>
        <w:ind w:left="23"/>
        <w:jc w:val="both"/>
        <w:rPr>
          <w:b/>
        </w:rPr>
      </w:pPr>
      <w:r w:rsidRPr="00B64E2D">
        <w:rPr>
          <w:b/>
        </w:rPr>
        <w:lastRenderedPageBreak/>
        <w:t>Osobitné ustanovenia pre územnú samosprávu</w:t>
      </w:r>
    </w:p>
    <w:p w14:paraId="32B8B63F" w14:textId="77777777" w:rsidR="00CB4179" w:rsidRPr="00B64E2D" w:rsidRDefault="00CB4179" w:rsidP="00CB4179">
      <w:pPr>
        <w:numPr>
          <w:ilvl w:val="0"/>
          <w:numId w:val="5"/>
        </w:numPr>
        <w:ind w:left="341" w:hanging="318"/>
        <w:jc w:val="both"/>
      </w:pPr>
      <w:r w:rsidRPr="00B64E2D">
        <w:t>Stanoviť podmienky pre poskytovanie návratných prostriedkov zo štátnych finančných aktív samosprávam, ktoré by zabránili ich selektívnemu zvýhodňovaniu a predchádzaniu prípadnej platobnej neschopnosti.</w:t>
      </w:r>
    </w:p>
    <w:p w14:paraId="3C57BC9B" w14:textId="3F7EDC6C" w:rsidR="00CB4179" w:rsidRPr="00B64E2D" w:rsidRDefault="00CB4179" w:rsidP="00CB4179">
      <w:pPr>
        <w:numPr>
          <w:ilvl w:val="0"/>
          <w:numId w:val="5"/>
        </w:numPr>
        <w:ind w:left="341" w:hanging="318"/>
        <w:jc w:val="both"/>
      </w:pPr>
      <w:r w:rsidRPr="00B64E2D">
        <w:t>Uskutočniť audit kompetencií obcí a vyšších územných celkov, ktorý by vytvoril porovnávaciu základňu pre vyhodnotenie toho, či úpravy pôsobností samosprávy sú spojené s adekvátnym financovaním zo strany štátu.</w:t>
      </w:r>
    </w:p>
    <w:p w14:paraId="00DAFDC5" w14:textId="740D561D" w:rsidR="00AE6F4B" w:rsidRPr="00B64E2D" w:rsidRDefault="00AE6F4B" w:rsidP="00CB4179">
      <w:pPr>
        <w:numPr>
          <w:ilvl w:val="0"/>
          <w:numId w:val="5"/>
        </w:numPr>
        <w:ind w:left="341" w:hanging="318"/>
        <w:jc w:val="both"/>
      </w:pPr>
      <w:r w:rsidRPr="00B64E2D">
        <w:t>Povinnou súčasťou doložiek vplyvov pripravovaných zákonov by mala byť aj informácia o</w:t>
      </w:r>
      <w:r w:rsidR="00FC001E" w:rsidRPr="00B64E2D">
        <w:t> </w:t>
      </w:r>
      <w:r w:rsidRPr="00B64E2D">
        <w:t>tom, či ustanovujú nové úlohy alebo rozširujú existujúce úlohy samospráv.</w:t>
      </w:r>
    </w:p>
    <w:p w14:paraId="0CEB57C2" w14:textId="31B1AA4D" w:rsidR="00CB4179" w:rsidRPr="00B64E2D" w:rsidRDefault="00CB4179" w:rsidP="00CB4179">
      <w:pPr>
        <w:numPr>
          <w:ilvl w:val="0"/>
          <w:numId w:val="5"/>
        </w:numPr>
        <w:ind w:left="341" w:hanging="318"/>
        <w:jc w:val="both"/>
      </w:pPr>
      <w:r w:rsidRPr="00B64E2D">
        <w:t xml:space="preserve">Skvalitniť </w:t>
      </w:r>
      <w:r w:rsidR="00A96536">
        <w:t>samosprávami vykazované údaje potrebné</w:t>
      </w:r>
      <w:r w:rsidRPr="00B64E2D">
        <w:t xml:space="preserve"> pre vyčíslenie pomeru dlhu samospráv k bežným príjmom.</w:t>
      </w:r>
    </w:p>
    <w:p w14:paraId="3B9271F6" w14:textId="72AB2BF6" w:rsidR="00CB4179" w:rsidRPr="004E69C4" w:rsidRDefault="00760FA2" w:rsidP="00CB4179">
      <w:pPr>
        <w:numPr>
          <w:ilvl w:val="0"/>
          <w:numId w:val="5"/>
        </w:numPr>
        <w:ind w:left="341" w:hanging="318"/>
        <w:jc w:val="both"/>
      </w:pPr>
      <w:bookmarkStart w:id="628" w:name="_Hlk16688551"/>
      <w:r w:rsidRPr="00B64E2D">
        <w:t>Každoročne</w:t>
      </w:r>
      <w:r w:rsidR="00CB4179" w:rsidRPr="00B64E2D">
        <w:t xml:space="preserve"> zverejňovať podrobné údaje </w:t>
      </w:r>
      <w:r w:rsidR="00AD5432" w:rsidRPr="00B64E2D">
        <w:t xml:space="preserve">o overenej </w:t>
      </w:r>
      <w:r w:rsidR="00CF487C" w:rsidRPr="00B64E2D">
        <w:t xml:space="preserve">výške </w:t>
      </w:r>
      <w:r w:rsidR="00AD5432" w:rsidRPr="00B64E2D">
        <w:t xml:space="preserve">dlhu samospráv, </w:t>
      </w:r>
      <w:r w:rsidR="00CB4179" w:rsidRPr="00B64E2D">
        <w:t xml:space="preserve">uložených </w:t>
      </w:r>
      <w:r w:rsidR="00CB4179" w:rsidRPr="004E69C4">
        <w:t>sankciách, prebiehajúcich konaniach a zdôvodniť prípady, ktoré neviedli k uloženiu sankcií napriek prvotnej identifikácii nesplnenia záväzných pravidiel.</w:t>
      </w:r>
      <w:r w:rsidR="0097481B" w:rsidRPr="004E69C4">
        <w:t xml:space="preserve"> </w:t>
      </w:r>
      <w:r w:rsidR="00AD5432" w:rsidRPr="004E69C4">
        <w:t xml:space="preserve">Plnenie dlhového pravidla samospráv s možnosťou uloženia pokuty MF SR prvýkrát posudzovalo za rok 2015, zatiaľ však nezverejnilo ani jedno vyhodnotenie. </w:t>
      </w:r>
    </w:p>
    <w:bookmarkEnd w:id="628"/>
    <w:p w14:paraId="7C2AC4F4" w14:textId="77777777" w:rsidR="00CB4179" w:rsidRPr="004E69C4" w:rsidRDefault="00CB4179" w:rsidP="00CB4179">
      <w:pPr>
        <w:jc w:val="both"/>
      </w:pPr>
    </w:p>
    <w:p w14:paraId="0FD2B5A3" w14:textId="77777777" w:rsidR="00CB4179" w:rsidRPr="00FE3C3B" w:rsidRDefault="00CB4179" w:rsidP="00CB4179">
      <w:pPr>
        <w:jc w:val="both"/>
        <w:rPr>
          <w:b/>
        </w:rPr>
      </w:pPr>
      <w:r w:rsidRPr="00FE3C3B">
        <w:rPr>
          <w:b/>
        </w:rPr>
        <w:t>Výdavkové limity</w:t>
      </w:r>
    </w:p>
    <w:p w14:paraId="1755A736" w14:textId="753760DF" w:rsidR="000A6367" w:rsidRPr="00DE33DA" w:rsidRDefault="00CB4179" w:rsidP="004E69C4">
      <w:pPr>
        <w:pStyle w:val="ListParagraph"/>
        <w:numPr>
          <w:ilvl w:val="0"/>
          <w:numId w:val="40"/>
        </w:numPr>
        <w:jc w:val="both"/>
      </w:pPr>
      <w:r w:rsidRPr="00A15589">
        <w:rPr>
          <w:rFonts w:ascii="Constantia" w:hAnsi="Constantia"/>
        </w:rPr>
        <w:t xml:space="preserve">Pokračovať v príprave záväzných viacročných výdavkových limitov </w:t>
      </w:r>
      <w:r w:rsidR="00570E73" w:rsidRPr="00A15589">
        <w:rPr>
          <w:rFonts w:ascii="Constantia" w:hAnsi="Constantia"/>
        </w:rPr>
        <w:t>tak, aby boli zavedené do</w:t>
      </w:r>
      <w:r w:rsidR="00FC001E" w:rsidRPr="00A15589">
        <w:rPr>
          <w:rFonts w:ascii="Constantia" w:hAnsi="Constantia"/>
        </w:rPr>
        <w:t> </w:t>
      </w:r>
      <w:r w:rsidR="00570E73" w:rsidRPr="00A15589">
        <w:rPr>
          <w:rFonts w:ascii="Constantia" w:hAnsi="Constantia"/>
        </w:rPr>
        <w:t xml:space="preserve">praxe </w:t>
      </w:r>
      <w:bookmarkStart w:id="629" w:name="_Toc359589074"/>
      <w:bookmarkStart w:id="630" w:name="_Toc396319181"/>
      <w:bookmarkStart w:id="631" w:name="_Toc428351748"/>
      <w:bookmarkStart w:id="632" w:name="_Toc459208019"/>
      <w:bookmarkStart w:id="633" w:name="_Toc459275437"/>
      <w:bookmarkStart w:id="634" w:name="_Toc489954282"/>
      <w:bookmarkStart w:id="635" w:name="_Toc490143815"/>
      <w:r w:rsidR="001A13A4" w:rsidRPr="00A15589">
        <w:rPr>
          <w:rFonts w:ascii="Constantia" w:hAnsi="Constantia"/>
        </w:rPr>
        <w:t xml:space="preserve">v priebehu </w:t>
      </w:r>
      <w:r w:rsidR="0080249D" w:rsidRPr="00A15589">
        <w:rPr>
          <w:rFonts w:ascii="Constantia" w:hAnsi="Constantia"/>
        </w:rPr>
        <w:t>tohto</w:t>
      </w:r>
      <w:r w:rsidR="001A13A4" w:rsidRPr="00A15589">
        <w:rPr>
          <w:rFonts w:ascii="Constantia" w:hAnsi="Constantia"/>
        </w:rPr>
        <w:t xml:space="preserve"> volebného obdobia.</w:t>
      </w:r>
    </w:p>
    <w:p w14:paraId="349875D9" w14:textId="77777777" w:rsidR="00667EFA" w:rsidRDefault="00667EFA">
      <w:pPr>
        <w:rPr>
          <w:rFonts w:cs="Arial"/>
          <w:b/>
          <w:bCs/>
          <w:color w:val="59595B"/>
          <w:kern w:val="32"/>
          <w:sz w:val="32"/>
          <w:szCs w:val="32"/>
        </w:rPr>
      </w:pPr>
      <w:bookmarkStart w:id="636" w:name="_Toc490642161"/>
      <w:bookmarkStart w:id="637" w:name="_Toc521678163"/>
      <w:bookmarkStart w:id="638" w:name="_Toc521679442"/>
      <w:bookmarkStart w:id="639" w:name="_Toc523390336"/>
      <w:bookmarkStart w:id="640" w:name="_Toc523390282"/>
      <w:bookmarkStart w:id="641" w:name="_Toc523391007"/>
      <w:bookmarkStart w:id="642" w:name="_Toc523391588"/>
      <w:bookmarkStart w:id="643" w:name="_Toc523392887"/>
      <w:r>
        <w:br w:type="page"/>
      </w:r>
    </w:p>
    <w:p w14:paraId="1E71CF47" w14:textId="104CFD87" w:rsidR="00DC465B" w:rsidRPr="00A5064A" w:rsidRDefault="00DC465B" w:rsidP="001C7FE8">
      <w:pPr>
        <w:pStyle w:val="Heading1"/>
        <w:numPr>
          <w:ilvl w:val="0"/>
          <w:numId w:val="3"/>
        </w:numPr>
        <w:ind w:left="426" w:hanging="426"/>
        <w:rPr>
          <w:b w:val="0"/>
        </w:rPr>
      </w:pPr>
      <w:bookmarkStart w:id="644" w:name="_Toc49506880"/>
      <w:r w:rsidRPr="00A5064A">
        <w:lastRenderedPageBreak/>
        <w:t>Plnenie pravidiel rozpočtovej transparentnosti</w:t>
      </w:r>
      <w:bookmarkEnd w:id="610"/>
      <w:bookmarkEnd w:id="611"/>
      <w:bookmarkEnd w:id="612"/>
      <w:bookmarkEnd w:id="613"/>
      <w:bookmarkEnd w:id="614"/>
      <w:bookmarkEnd w:id="615"/>
      <w:bookmarkEnd w:id="616"/>
      <w:bookmarkEnd w:id="617"/>
      <w:bookmarkEnd w:id="618"/>
      <w:bookmarkEnd w:id="619"/>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p w14:paraId="4E989953" w14:textId="77777777" w:rsidR="001E7633" w:rsidRPr="00B81300" w:rsidRDefault="001E7633" w:rsidP="00DC465B">
      <w:pPr>
        <w:jc w:val="both"/>
        <w:rPr>
          <w:rFonts w:cs="Constantia"/>
          <w:color w:val="000000"/>
          <w:highlight w:val="yellow"/>
        </w:rPr>
      </w:pPr>
    </w:p>
    <w:p w14:paraId="13B934A9" w14:textId="77777777" w:rsidR="00CA541F" w:rsidRPr="008B3447" w:rsidRDefault="00CA541F" w:rsidP="00CA541F">
      <w:pPr>
        <w:jc w:val="both"/>
        <w:rPr>
          <w:color w:val="000000"/>
        </w:rPr>
      </w:pPr>
      <w:bookmarkStart w:id="645" w:name="_Toc396319185"/>
      <w:bookmarkStart w:id="646" w:name="_Toc428351752"/>
      <w:bookmarkStart w:id="647" w:name="_Toc459208023"/>
      <w:bookmarkStart w:id="648" w:name="_Toc459275441"/>
      <w:bookmarkStart w:id="649" w:name="_Toc489954286"/>
      <w:bookmarkStart w:id="650" w:name="_Toc490143819"/>
      <w:bookmarkStart w:id="651" w:name="_Toc490642165"/>
      <w:bookmarkStart w:id="652" w:name="_Toc521678167"/>
      <w:bookmarkStart w:id="653" w:name="_Toc521679444"/>
      <w:bookmarkStart w:id="654" w:name="_Toc523390341"/>
      <w:bookmarkStart w:id="655" w:name="_Toc523390287"/>
      <w:bookmarkStart w:id="656" w:name="_Toc523391012"/>
      <w:bookmarkStart w:id="657" w:name="_Toc523391593"/>
      <w:bookmarkStart w:id="658" w:name="_Toc523392892"/>
      <w:bookmarkStart w:id="659" w:name="_Toc358301419"/>
      <w:bookmarkStart w:id="660" w:name="_Toc358360163"/>
      <w:bookmarkStart w:id="661" w:name="_Toc358367076"/>
      <w:bookmarkStart w:id="662" w:name="_Toc358367253"/>
      <w:bookmarkStart w:id="663" w:name="_Toc358367718"/>
      <w:bookmarkStart w:id="664" w:name="_Toc358381279"/>
      <w:bookmarkStart w:id="665" w:name="_Toc358385625"/>
      <w:bookmarkStart w:id="666" w:name="_Toc358641592"/>
      <w:bookmarkStart w:id="667" w:name="_Toc359425165"/>
      <w:bookmarkStart w:id="668" w:name="_Toc359427401"/>
      <w:bookmarkStart w:id="669" w:name="_Toc359589079"/>
      <w:r w:rsidRPr="008B3447">
        <w:rPr>
          <w:rFonts w:cs="Constantia"/>
          <w:color w:val="000000"/>
        </w:rPr>
        <w:t>Pravidlá rozpočtovej transparentnosti sú v ústavnom zákone definované v článkoch 8 a 9. Tie sa týkajú výborov pre makroekonomické a daňové prognózy (článok 8), ako aj zverejňovania dôležitých informácií a údajov o verejných financiách (článok 9).</w:t>
      </w:r>
    </w:p>
    <w:p w14:paraId="432601E0" w14:textId="77777777" w:rsidR="00CA541F" w:rsidRPr="008B3447" w:rsidRDefault="00CA541F" w:rsidP="00CA541F">
      <w:pPr>
        <w:jc w:val="both"/>
        <w:rPr>
          <w:b/>
          <w:sz w:val="20"/>
        </w:rPr>
      </w:pPr>
    </w:p>
    <w:p w14:paraId="2422C55A" w14:textId="77777777" w:rsidR="00CA541F" w:rsidRPr="008B3447" w:rsidRDefault="00CA541F" w:rsidP="00CA541F">
      <w:pPr>
        <w:pStyle w:val="Heading2"/>
        <w:numPr>
          <w:ilvl w:val="1"/>
          <w:numId w:val="2"/>
        </w:numPr>
        <w:tabs>
          <w:tab w:val="left" w:pos="6817"/>
        </w:tabs>
        <w:spacing w:before="2" w:after="2"/>
        <w:ind w:left="567" w:hanging="567"/>
        <w:rPr>
          <w:b w:val="0"/>
        </w:rPr>
      </w:pPr>
      <w:bookmarkStart w:id="670" w:name="_Toc396319182"/>
      <w:bookmarkStart w:id="671" w:name="_Toc358301416"/>
      <w:bookmarkStart w:id="672" w:name="_Toc358360159"/>
      <w:bookmarkStart w:id="673" w:name="_Toc358367072"/>
      <w:bookmarkStart w:id="674" w:name="_Toc358367249"/>
      <w:bookmarkStart w:id="675" w:name="_Toc358367714"/>
      <w:bookmarkStart w:id="676" w:name="_Toc358381275"/>
      <w:bookmarkStart w:id="677" w:name="_Toc358385621"/>
      <w:bookmarkStart w:id="678" w:name="_Toc358641588"/>
      <w:bookmarkStart w:id="679" w:name="_Toc359425161"/>
      <w:bookmarkStart w:id="680" w:name="_Toc359427397"/>
      <w:bookmarkStart w:id="681" w:name="_Toc359589075"/>
      <w:bookmarkStart w:id="682" w:name="_Toc459208020"/>
      <w:bookmarkStart w:id="683" w:name="_Toc459275438"/>
      <w:bookmarkStart w:id="684" w:name="_Toc459276008"/>
      <w:bookmarkStart w:id="685" w:name="_Toc521678164"/>
      <w:bookmarkStart w:id="686" w:name="_Toc523390337"/>
      <w:bookmarkStart w:id="687" w:name="_Toc523390283"/>
      <w:bookmarkStart w:id="688" w:name="_Toc523391008"/>
      <w:bookmarkStart w:id="689" w:name="_Toc523391589"/>
      <w:bookmarkStart w:id="690" w:name="_Toc523392888"/>
      <w:bookmarkStart w:id="691" w:name="_Toc523393777"/>
      <w:bookmarkStart w:id="692" w:name="_Toc49506881"/>
      <w:r w:rsidRPr="008B3447">
        <w:t>Výbory</w:t>
      </w:r>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p>
    <w:p w14:paraId="64F9C49E" w14:textId="77777777" w:rsidR="00CA541F" w:rsidRPr="008B3447" w:rsidRDefault="00CA541F" w:rsidP="00CA541F">
      <w:pPr>
        <w:jc w:val="both"/>
        <w:rPr>
          <w:rFonts w:cs="Constantia"/>
          <w:color w:val="000000"/>
        </w:rPr>
      </w:pPr>
      <w:bookmarkStart w:id="693" w:name="_Toc370892153"/>
      <w:bookmarkStart w:id="694" w:name="_Toc370897898"/>
      <w:bookmarkStart w:id="695" w:name="_Toc370902005"/>
      <w:bookmarkStart w:id="696" w:name="_Toc370908554"/>
      <w:bookmarkStart w:id="697" w:name="_Toc370908797"/>
      <w:bookmarkStart w:id="698" w:name="_Toc370911251"/>
      <w:bookmarkStart w:id="699" w:name="_Toc370981422"/>
      <w:bookmarkStart w:id="700" w:name="_Toc370987496"/>
      <w:bookmarkStart w:id="701" w:name="_Toc370990629"/>
      <w:bookmarkStart w:id="702" w:name="_Toc370994709"/>
      <w:bookmarkStart w:id="703" w:name="_Toc370994760"/>
      <w:bookmarkStart w:id="704" w:name="_Toc370997542"/>
      <w:bookmarkStart w:id="705" w:name="_Toc370999890"/>
      <w:bookmarkStart w:id="706" w:name="_Toc371000088"/>
      <w:bookmarkStart w:id="707" w:name="_Toc371004367"/>
      <w:bookmarkStart w:id="708" w:name="_Toc371006297"/>
      <w:bookmarkStart w:id="709" w:name="_Toc371006949"/>
      <w:bookmarkStart w:id="710" w:name="_Toc371007933"/>
      <w:bookmarkStart w:id="711" w:name="_Toc371341584"/>
      <w:bookmarkStart w:id="712" w:name="_Toc371342059"/>
      <w:bookmarkStart w:id="713" w:name="_Toc371421914"/>
      <w:bookmarkStart w:id="714" w:name="_Toc371425909"/>
      <w:bookmarkStart w:id="715" w:name="_Toc371427873"/>
      <w:bookmarkStart w:id="716" w:name="_Toc371492806"/>
      <w:bookmarkStart w:id="717" w:name="_Toc402962247"/>
      <w:bookmarkStart w:id="718" w:name="_Toc402962511"/>
      <w:bookmarkStart w:id="719" w:name="_Toc402962959"/>
      <w:bookmarkStart w:id="720" w:name="_Toc402963944"/>
      <w:bookmarkStart w:id="721" w:name="_Toc402964249"/>
      <w:bookmarkStart w:id="722" w:name="_Toc402967202"/>
      <w:bookmarkStart w:id="723" w:name="_Toc402968142"/>
      <w:bookmarkStart w:id="724" w:name="_Toc402969149"/>
      <w:bookmarkStart w:id="725" w:name="_Toc402969497"/>
      <w:bookmarkStart w:id="726" w:name="_Toc402971993"/>
      <w:bookmarkStart w:id="727" w:name="_Toc402975152"/>
      <w:bookmarkStart w:id="728" w:name="_Toc402975952"/>
      <w:bookmarkStart w:id="729" w:name="_Toc403112769"/>
      <w:bookmarkStart w:id="730" w:name="_Toc403115712"/>
      <w:bookmarkStart w:id="731" w:name="_Toc403117634"/>
      <w:bookmarkStart w:id="732" w:name="_Toc403118003"/>
      <w:bookmarkStart w:id="733" w:name="_Toc403119304"/>
    </w:p>
    <w:p w14:paraId="5CF8C0B5" w14:textId="1B9A0904" w:rsidR="00CA541F" w:rsidRPr="00EA39A5" w:rsidRDefault="00CA541F" w:rsidP="00CA541F">
      <w:pPr>
        <w:jc w:val="both"/>
        <w:rPr>
          <w:b/>
        </w:rPr>
      </w:pPr>
      <w:r w:rsidRPr="008B3447">
        <w:rPr>
          <w:rFonts w:cs="Constantia"/>
          <w:color w:val="000000"/>
        </w:rPr>
        <w:t xml:space="preserve">Zákon stanovuje požiadavky na nezávislé posúdenie makroekonomických predpokladov a daňovej prognózy, nevyhnutné pre realistické zostavenie fiškálneho rámca. </w:t>
      </w:r>
      <w:r w:rsidRPr="008B3447">
        <w:t xml:space="preserve">Realistickosť makroekonomických predpokladov a daňových príjmov zabezpečujú Výbor </w:t>
      </w:r>
      <w:r w:rsidRPr="008B3447">
        <w:rPr>
          <w:rFonts w:cs="Constantia"/>
          <w:color w:val="000000"/>
        </w:rPr>
        <w:t xml:space="preserve">pre makroekonomické prognózy (VpMP) a Výbor pre daňové prognózy (VpDP), ktoré boli </w:t>
      </w:r>
      <w:r w:rsidRPr="008B3447">
        <w:t>zriadené ako poradné orgány ministra financií s cieľom zvýšenia transparentnosti rozpočtového procesu.</w:t>
      </w:r>
      <w:r w:rsidRPr="008B3447">
        <w:rPr>
          <w:rFonts w:cs="Constantia"/>
          <w:color w:val="000000"/>
        </w:rPr>
        <w:t xml:space="preserve"> Výbory </w:t>
      </w:r>
      <w:r w:rsidRPr="008B3447">
        <w:t xml:space="preserve">fungujú nezávisle a podľa zákona o rozpočtovej zodpovednosti sú povinné vypracovať a zverejniť prognózy najneskôr do 15. februára a 30. júna príslušného rozpočtového roka. Výbory môžu zasadať aj viackrát ako stanovuje </w:t>
      </w:r>
      <w:r w:rsidRPr="00D77FB8">
        <w:t xml:space="preserve">zákon. </w:t>
      </w:r>
      <w:r w:rsidRPr="00F90761">
        <w:rPr>
          <w:bCs/>
        </w:rPr>
        <w:t xml:space="preserve">V roku 2019 </w:t>
      </w:r>
      <w:r w:rsidR="009C5667" w:rsidRPr="00F90761">
        <w:rPr>
          <w:bCs/>
        </w:rPr>
        <w:t xml:space="preserve">VpMP </w:t>
      </w:r>
      <w:r w:rsidRPr="00F90761">
        <w:rPr>
          <w:bCs/>
        </w:rPr>
        <w:t>zasadal trikrát</w:t>
      </w:r>
      <w:r w:rsidR="009C5667" w:rsidRPr="00F90761">
        <w:rPr>
          <w:bCs/>
        </w:rPr>
        <w:t>, VpDP štyrikrát</w:t>
      </w:r>
      <w:r w:rsidRPr="00F90761">
        <w:rPr>
          <w:bCs/>
        </w:rPr>
        <w:t xml:space="preserve"> a</w:t>
      </w:r>
      <w:r w:rsidRPr="00EA39A5">
        <w:rPr>
          <w:b/>
        </w:rPr>
        <w:t> termíny zverejnenia prognóz boli v súlade s ústavným zákonom.</w:t>
      </w:r>
    </w:p>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p w14:paraId="0F92B377" w14:textId="09FB8A17" w:rsidR="00224CE3" w:rsidRDefault="00224CE3" w:rsidP="00CA541F"/>
    <w:tbl>
      <w:tblPr>
        <w:tblW w:w="9072" w:type="dxa"/>
        <w:jc w:val="center"/>
        <w:tblLayout w:type="fixed"/>
        <w:tblCellMar>
          <w:left w:w="70" w:type="dxa"/>
          <w:right w:w="70" w:type="dxa"/>
        </w:tblCellMar>
        <w:tblLook w:val="04A0" w:firstRow="1" w:lastRow="0" w:firstColumn="1" w:lastColumn="0" w:noHBand="0" w:noVBand="1"/>
      </w:tblPr>
      <w:tblGrid>
        <w:gridCol w:w="1985"/>
        <w:gridCol w:w="1977"/>
        <w:gridCol w:w="1492"/>
        <w:gridCol w:w="1492"/>
        <w:gridCol w:w="1002"/>
        <w:gridCol w:w="1124"/>
      </w:tblGrid>
      <w:tr w:rsidR="00224CE3" w:rsidRPr="00114DA2" w14:paraId="55875BCB" w14:textId="77777777" w:rsidTr="00AD1AAE">
        <w:trPr>
          <w:trHeight w:val="340"/>
          <w:jc w:val="center"/>
        </w:trPr>
        <w:tc>
          <w:tcPr>
            <w:tcW w:w="7948" w:type="dxa"/>
            <w:gridSpan w:val="5"/>
            <w:tcBorders>
              <w:top w:val="nil"/>
              <w:left w:val="nil"/>
              <w:bottom w:val="nil"/>
              <w:right w:val="nil"/>
            </w:tcBorders>
            <w:shd w:val="clear" w:color="auto" w:fill="auto"/>
            <w:noWrap/>
            <w:vAlign w:val="center"/>
          </w:tcPr>
          <w:p w14:paraId="57DAFD30" w14:textId="54AE4CA5" w:rsidR="00224CE3" w:rsidRPr="005B69E6" w:rsidRDefault="00224CE3" w:rsidP="00AD1AAE">
            <w:pPr>
              <w:pStyle w:val="tab"/>
              <w:jc w:val="both"/>
              <w:rPr>
                <w:szCs w:val="20"/>
              </w:rPr>
            </w:pPr>
            <w:bookmarkStart w:id="734" w:name="_Toc402977452"/>
            <w:bookmarkStart w:id="735" w:name="_Toc403115645"/>
            <w:bookmarkStart w:id="736" w:name="_Toc403117566"/>
            <w:bookmarkStart w:id="737" w:name="_Toc403117935"/>
            <w:bookmarkStart w:id="738" w:name="_Toc403119233"/>
            <w:bookmarkStart w:id="739" w:name="_Toc434210416"/>
            <w:bookmarkStart w:id="740" w:name="_Toc434228203"/>
            <w:bookmarkStart w:id="741" w:name="_Toc434232607"/>
            <w:bookmarkStart w:id="742" w:name="_Toc434235335"/>
            <w:bookmarkStart w:id="743" w:name="_Toc434239768"/>
            <w:bookmarkStart w:id="744" w:name="_Toc434241812"/>
            <w:bookmarkStart w:id="745" w:name="_Toc434243171"/>
            <w:bookmarkStart w:id="746" w:name="_Toc434244319"/>
            <w:bookmarkStart w:id="747" w:name="_Toc434244410"/>
            <w:bookmarkStart w:id="748" w:name="_Toc434306449"/>
            <w:bookmarkStart w:id="749" w:name="_Toc434322711"/>
            <w:bookmarkStart w:id="750" w:name="_Toc434393415"/>
            <w:bookmarkStart w:id="751" w:name="_Toc434398346"/>
            <w:bookmarkStart w:id="752" w:name="_Toc434399762"/>
            <w:bookmarkStart w:id="753" w:name="_Toc434402988"/>
            <w:bookmarkStart w:id="754" w:name="_Toc434406679"/>
            <w:bookmarkStart w:id="755" w:name="_Toc434495779"/>
            <w:bookmarkStart w:id="756" w:name="_Toc434495816"/>
            <w:bookmarkStart w:id="757" w:name="_Toc434497257"/>
            <w:bookmarkStart w:id="758" w:name="_Toc434497294"/>
            <w:bookmarkStart w:id="759" w:name="_Toc434501151"/>
            <w:bookmarkStart w:id="760" w:name="_Toc434501188"/>
            <w:bookmarkStart w:id="761" w:name="_Toc434502281"/>
            <w:bookmarkStart w:id="762" w:name="_Toc434502318"/>
            <w:bookmarkStart w:id="763" w:name="_Toc434502504"/>
            <w:bookmarkStart w:id="764" w:name="_Toc434565061"/>
            <w:bookmarkStart w:id="765" w:name="_Toc434565945"/>
            <w:bookmarkStart w:id="766" w:name="_Toc434576666"/>
            <w:bookmarkStart w:id="767" w:name="_Toc434582457"/>
            <w:bookmarkStart w:id="768" w:name="_Toc465945239"/>
            <w:bookmarkStart w:id="769" w:name="_Toc466031327"/>
            <w:bookmarkStart w:id="770" w:name="_Toc466034750"/>
            <w:bookmarkStart w:id="771" w:name="_Toc466035001"/>
            <w:bookmarkStart w:id="772" w:name="_Toc466155993"/>
            <w:bookmarkStart w:id="773" w:name="_Toc466576947"/>
            <w:bookmarkStart w:id="774" w:name="_Toc466619497"/>
            <w:bookmarkStart w:id="775" w:name="_Toc497119065"/>
            <w:bookmarkStart w:id="776" w:name="_Toc497385183"/>
            <w:bookmarkStart w:id="777" w:name="_Toc498079644"/>
            <w:bookmarkStart w:id="778" w:name="_Toc522105521"/>
            <w:bookmarkStart w:id="779" w:name="_Toc522200672"/>
            <w:bookmarkStart w:id="780" w:name="_Toc523390257"/>
            <w:bookmarkStart w:id="781" w:name="_Toc523392862"/>
            <w:bookmarkStart w:id="782" w:name="_Toc523393460"/>
            <w:bookmarkStart w:id="783" w:name="_Toc49506901"/>
            <w:r w:rsidRPr="005B69E6">
              <w:t>Tab 2: Vypracovanie makroekonomických a daňových prognóz výbormi v roku 201</w:t>
            </w:r>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r w:rsidR="00F90761">
              <w:t>9</w:t>
            </w:r>
            <w:bookmarkEnd w:id="783"/>
          </w:p>
        </w:tc>
        <w:tc>
          <w:tcPr>
            <w:tcW w:w="1124" w:type="dxa"/>
            <w:tcBorders>
              <w:top w:val="nil"/>
              <w:left w:val="nil"/>
              <w:bottom w:val="nil"/>
              <w:right w:val="nil"/>
            </w:tcBorders>
          </w:tcPr>
          <w:p w14:paraId="072FF2EE" w14:textId="77777777" w:rsidR="00224CE3" w:rsidRPr="005B69E6" w:rsidRDefault="00224CE3" w:rsidP="00AD1AAE">
            <w:pPr>
              <w:pStyle w:val="tab"/>
              <w:jc w:val="both"/>
            </w:pPr>
          </w:p>
        </w:tc>
      </w:tr>
      <w:tr w:rsidR="00224CE3" w:rsidRPr="00114DA2" w14:paraId="387624B7" w14:textId="77777777" w:rsidTr="000676C9">
        <w:trPr>
          <w:trHeight w:val="227"/>
          <w:jc w:val="center"/>
        </w:trPr>
        <w:tc>
          <w:tcPr>
            <w:tcW w:w="1985" w:type="dxa"/>
            <w:tcBorders>
              <w:top w:val="nil"/>
              <w:left w:val="nil"/>
              <w:bottom w:val="nil"/>
              <w:right w:val="nil"/>
            </w:tcBorders>
            <w:shd w:val="clear" w:color="auto" w:fill="13B5EA"/>
            <w:noWrap/>
            <w:vAlign w:val="center"/>
          </w:tcPr>
          <w:p w14:paraId="44D95197" w14:textId="77777777" w:rsidR="00224CE3" w:rsidRPr="005B69E6" w:rsidRDefault="00224CE3" w:rsidP="00AD1AAE">
            <w:pPr>
              <w:jc w:val="both"/>
              <w:rPr>
                <w:b/>
                <w:color w:val="000000"/>
                <w:sz w:val="18"/>
                <w:szCs w:val="18"/>
              </w:rPr>
            </w:pPr>
          </w:p>
        </w:tc>
        <w:tc>
          <w:tcPr>
            <w:tcW w:w="1977" w:type="dxa"/>
            <w:tcBorders>
              <w:top w:val="nil"/>
              <w:left w:val="nil"/>
              <w:bottom w:val="nil"/>
              <w:right w:val="nil"/>
            </w:tcBorders>
            <w:shd w:val="clear" w:color="auto" w:fill="13B5EA"/>
            <w:noWrap/>
            <w:vAlign w:val="center"/>
          </w:tcPr>
          <w:p w14:paraId="601BD556" w14:textId="77777777" w:rsidR="00224CE3" w:rsidRPr="005B69E6" w:rsidRDefault="00224CE3" w:rsidP="00AD1AAE">
            <w:pPr>
              <w:jc w:val="both"/>
              <w:rPr>
                <w:b/>
                <w:color w:val="000000"/>
                <w:sz w:val="18"/>
                <w:szCs w:val="18"/>
              </w:rPr>
            </w:pPr>
          </w:p>
        </w:tc>
        <w:tc>
          <w:tcPr>
            <w:tcW w:w="1492" w:type="dxa"/>
            <w:tcBorders>
              <w:top w:val="nil"/>
              <w:left w:val="nil"/>
              <w:bottom w:val="nil"/>
              <w:right w:val="nil"/>
            </w:tcBorders>
            <w:shd w:val="clear" w:color="auto" w:fill="13B5EA"/>
            <w:noWrap/>
            <w:vAlign w:val="center"/>
          </w:tcPr>
          <w:p w14:paraId="26D42906" w14:textId="77777777" w:rsidR="00224CE3" w:rsidRPr="005B69E6" w:rsidRDefault="00224CE3" w:rsidP="00AD1AAE">
            <w:pPr>
              <w:jc w:val="center"/>
              <w:rPr>
                <w:b/>
                <w:i/>
                <w:color w:val="FFFFFF"/>
                <w:sz w:val="18"/>
                <w:szCs w:val="18"/>
              </w:rPr>
            </w:pPr>
            <w:r w:rsidRPr="005B69E6">
              <w:rPr>
                <w:b/>
                <w:i/>
                <w:color w:val="FFFFFF"/>
                <w:sz w:val="18"/>
                <w:szCs w:val="18"/>
              </w:rPr>
              <w:t>1.</w:t>
            </w:r>
          </w:p>
        </w:tc>
        <w:tc>
          <w:tcPr>
            <w:tcW w:w="1492" w:type="dxa"/>
            <w:tcBorders>
              <w:top w:val="nil"/>
              <w:left w:val="nil"/>
              <w:bottom w:val="nil"/>
              <w:right w:val="nil"/>
            </w:tcBorders>
            <w:shd w:val="clear" w:color="auto" w:fill="13B5EA"/>
            <w:noWrap/>
            <w:vAlign w:val="center"/>
          </w:tcPr>
          <w:p w14:paraId="34368A6C" w14:textId="77777777" w:rsidR="00224CE3" w:rsidRPr="005B69E6" w:rsidRDefault="00224CE3" w:rsidP="00AD1AAE">
            <w:pPr>
              <w:jc w:val="center"/>
              <w:rPr>
                <w:b/>
                <w:i/>
                <w:color w:val="FFFFFF"/>
                <w:sz w:val="18"/>
                <w:szCs w:val="18"/>
              </w:rPr>
            </w:pPr>
            <w:r w:rsidRPr="005B69E6">
              <w:rPr>
                <w:b/>
                <w:i/>
                <w:color w:val="FFFFFF"/>
                <w:sz w:val="18"/>
                <w:szCs w:val="18"/>
              </w:rPr>
              <w:t>2.</w:t>
            </w:r>
          </w:p>
        </w:tc>
        <w:tc>
          <w:tcPr>
            <w:tcW w:w="1002" w:type="dxa"/>
            <w:tcBorders>
              <w:top w:val="nil"/>
              <w:left w:val="nil"/>
              <w:bottom w:val="nil"/>
              <w:right w:val="nil"/>
            </w:tcBorders>
            <w:shd w:val="clear" w:color="auto" w:fill="13B5EA"/>
            <w:noWrap/>
            <w:vAlign w:val="center"/>
          </w:tcPr>
          <w:p w14:paraId="2B691067" w14:textId="77777777" w:rsidR="00224CE3" w:rsidRPr="005B69E6" w:rsidRDefault="00224CE3" w:rsidP="00AD1AAE">
            <w:pPr>
              <w:jc w:val="center"/>
              <w:rPr>
                <w:b/>
                <w:i/>
                <w:color w:val="FFFFFF"/>
                <w:sz w:val="18"/>
                <w:szCs w:val="18"/>
              </w:rPr>
            </w:pPr>
            <w:r w:rsidRPr="005B69E6">
              <w:rPr>
                <w:b/>
                <w:i/>
                <w:color w:val="FFFFFF"/>
                <w:sz w:val="18"/>
                <w:szCs w:val="18"/>
              </w:rPr>
              <w:t>3.</w:t>
            </w:r>
          </w:p>
        </w:tc>
        <w:tc>
          <w:tcPr>
            <w:tcW w:w="1124" w:type="dxa"/>
            <w:tcBorders>
              <w:top w:val="nil"/>
              <w:left w:val="nil"/>
              <w:bottom w:val="nil"/>
              <w:right w:val="nil"/>
            </w:tcBorders>
            <w:shd w:val="clear" w:color="auto" w:fill="13B5EA"/>
          </w:tcPr>
          <w:p w14:paraId="78A6F79C" w14:textId="77777777" w:rsidR="00224CE3" w:rsidRPr="005B69E6" w:rsidRDefault="00224CE3" w:rsidP="00AD1AAE">
            <w:pPr>
              <w:jc w:val="center"/>
              <w:rPr>
                <w:b/>
                <w:i/>
                <w:color w:val="FFFFFF"/>
                <w:sz w:val="18"/>
                <w:szCs w:val="18"/>
              </w:rPr>
            </w:pPr>
            <w:r>
              <w:rPr>
                <w:b/>
                <w:i/>
                <w:color w:val="FFFFFF"/>
                <w:sz w:val="18"/>
                <w:szCs w:val="18"/>
              </w:rPr>
              <w:t>4</w:t>
            </w:r>
            <w:r w:rsidRPr="005B69E6">
              <w:rPr>
                <w:b/>
                <w:i/>
                <w:color w:val="FFFFFF"/>
                <w:sz w:val="18"/>
                <w:szCs w:val="18"/>
              </w:rPr>
              <w:t>.</w:t>
            </w:r>
          </w:p>
        </w:tc>
      </w:tr>
      <w:tr w:rsidR="00224CE3" w:rsidRPr="00114DA2" w14:paraId="52890BDC" w14:textId="77777777" w:rsidTr="000676C9">
        <w:trPr>
          <w:trHeight w:val="227"/>
          <w:jc w:val="center"/>
        </w:trPr>
        <w:tc>
          <w:tcPr>
            <w:tcW w:w="1985" w:type="dxa"/>
            <w:tcBorders>
              <w:top w:val="nil"/>
              <w:left w:val="nil"/>
              <w:bottom w:val="nil"/>
              <w:right w:val="nil"/>
            </w:tcBorders>
            <w:shd w:val="clear" w:color="auto" w:fill="13B5EA"/>
            <w:noWrap/>
            <w:vAlign w:val="bottom"/>
          </w:tcPr>
          <w:p w14:paraId="276B62DD" w14:textId="77777777" w:rsidR="00224CE3" w:rsidRPr="005B69E6" w:rsidRDefault="00224CE3" w:rsidP="00AD1AAE">
            <w:pPr>
              <w:jc w:val="both"/>
              <w:rPr>
                <w:b/>
                <w:color w:val="000000"/>
                <w:sz w:val="18"/>
                <w:szCs w:val="18"/>
              </w:rPr>
            </w:pPr>
          </w:p>
        </w:tc>
        <w:tc>
          <w:tcPr>
            <w:tcW w:w="1977" w:type="dxa"/>
            <w:tcBorders>
              <w:top w:val="nil"/>
              <w:left w:val="nil"/>
              <w:bottom w:val="nil"/>
              <w:right w:val="nil"/>
            </w:tcBorders>
            <w:shd w:val="clear" w:color="auto" w:fill="13B5EA"/>
            <w:noWrap/>
            <w:vAlign w:val="bottom"/>
          </w:tcPr>
          <w:p w14:paraId="5DBC7EB7" w14:textId="77777777" w:rsidR="00224CE3" w:rsidRPr="005B69E6" w:rsidRDefault="00224CE3" w:rsidP="00AD1AAE">
            <w:pPr>
              <w:jc w:val="both"/>
              <w:rPr>
                <w:b/>
                <w:color w:val="000000"/>
                <w:sz w:val="18"/>
                <w:szCs w:val="18"/>
              </w:rPr>
            </w:pPr>
          </w:p>
        </w:tc>
        <w:tc>
          <w:tcPr>
            <w:tcW w:w="1492" w:type="dxa"/>
            <w:tcBorders>
              <w:top w:val="nil"/>
              <w:left w:val="nil"/>
              <w:bottom w:val="nil"/>
              <w:right w:val="nil"/>
            </w:tcBorders>
            <w:shd w:val="clear" w:color="auto" w:fill="13B5EA"/>
            <w:noWrap/>
            <w:vAlign w:val="center"/>
          </w:tcPr>
          <w:p w14:paraId="235628CB" w14:textId="77777777" w:rsidR="00224CE3" w:rsidRPr="005B69E6" w:rsidRDefault="00224CE3" w:rsidP="00AD1AAE">
            <w:pPr>
              <w:jc w:val="center"/>
              <w:rPr>
                <w:b/>
                <w:i/>
                <w:color w:val="FFFFFF"/>
                <w:sz w:val="18"/>
                <w:szCs w:val="18"/>
              </w:rPr>
            </w:pPr>
            <w:r w:rsidRPr="005B69E6">
              <w:rPr>
                <w:b/>
                <w:i/>
                <w:color w:val="FFFFFF"/>
                <w:sz w:val="18"/>
                <w:szCs w:val="18"/>
              </w:rPr>
              <w:t>Povinný termín do 15.2.</w:t>
            </w:r>
          </w:p>
        </w:tc>
        <w:tc>
          <w:tcPr>
            <w:tcW w:w="1492" w:type="dxa"/>
            <w:tcBorders>
              <w:top w:val="nil"/>
              <w:left w:val="nil"/>
              <w:bottom w:val="nil"/>
              <w:right w:val="nil"/>
            </w:tcBorders>
            <w:shd w:val="clear" w:color="auto" w:fill="13B5EA"/>
            <w:noWrap/>
            <w:vAlign w:val="center"/>
          </w:tcPr>
          <w:p w14:paraId="3B67C651" w14:textId="77777777" w:rsidR="00224CE3" w:rsidRPr="005B69E6" w:rsidRDefault="00224CE3" w:rsidP="00AD1AAE">
            <w:pPr>
              <w:jc w:val="center"/>
              <w:rPr>
                <w:b/>
                <w:i/>
                <w:color w:val="FFFFFF"/>
                <w:sz w:val="18"/>
                <w:szCs w:val="18"/>
              </w:rPr>
            </w:pPr>
            <w:r w:rsidRPr="005B69E6">
              <w:rPr>
                <w:b/>
                <w:i/>
                <w:color w:val="FFFFFF"/>
                <w:sz w:val="18"/>
                <w:szCs w:val="18"/>
              </w:rPr>
              <w:t>Povinný termín do 30.6.</w:t>
            </w:r>
          </w:p>
        </w:tc>
        <w:tc>
          <w:tcPr>
            <w:tcW w:w="1002" w:type="dxa"/>
            <w:tcBorders>
              <w:top w:val="nil"/>
              <w:left w:val="nil"/>
              <w:bottom w:val="nil"/>
              <w:right w:val="nil"/>
            </w:tcBorders>
            <w:shd w:val="clear" w:color="auto" w:fill="13B5EA"/>
            <w:noWrap/>
            <w:vAlign w:val="center"/>
          </w:tcPr>
          <w:p w14:paraId="172FF1B6" w14:textId="77777777" w:rsidR="00224CE3" w:rsidRPr="005B69E6" w:rsidRDefault="00224CE3" w:rsidP="00AD1AAE">
            <w:pPr>
              <w:jc w:val="center"/>
              <w:rPr>
                <w:b/>
                <w:i/>
                <w:color w:val="FFFFFF"/>
                <w:sz w:val="18"/>
                <w:szCs w:val="18"/>
              </w:rPr>
            </w:pPr>
          </w:p>
        </w:tc>
        <w:tc>
          <w:tcPr>
            <w:tcW w:w="1124" w:type="dxa"/>
            <w:tcBorders>
              <w:top w:val="nil"/>
              <w:left w:val="nil"/>
              <w:bottom w:val="nil"/>
              <w:right w:val="nil"/>
            </w:tcBorders>
            <w:shd w:val="clear" w:color="auto" w:fill="13B5EA"/>
          </w:tcPr>
          <w:p w14:paraId="25589641" w14:textId="77777777" w:rsidR="00224CE3" w:rsidRPr="005B69E6" w:rsidRDefault="00224CE3" w:rsidP="00AD1AAE">
            <w:pPr>
              <w:jc w:val="center"/>
              <w:rPr>
                <w:b/>
                <w:i/>
                <w:color w:val="FFFFFF"/>
                <w:sz w:val="18"/>
                <w:szCs w:val="18"/>
              </w:rPr>
            </w:pPr>
          </w:p>
        </w:tc>
      </w:tr>
      <w:tr w:rsidR="00224CE3" w:rsidRPr="00114DA2" w14:paraId="3CE46D56" w14:textId="77777777" w:rsidTr="00011DF0">
        <w:trPr>
          <w:trHeight w:val="20"/>
          <w:jc w:val="center"/>
        </w:trPr>
        <w:tc>
          <w:tcPr>
            <w:tcW w:w="1985" w:type="dxa"/>
            <w:vMerge w:val="restart"/>
            <w:tcBorders>
              <w:top w:val="nil"/>
              <w:left w:val="nil"/>
              <w:bottom w:val="single" w:sz="4" w:space="0" w:color="13B5EA"/>
              <w:right w:val="nil"/>
            </w:tcBorders>
            <w:shd w:val="clear" w:color="auto" w:fill="auto"/>
            <w:vAlign w:val="center"/>
            <w:hideMark/>
          </w:tcPr>
          <w:p w14:paraId="6E98E55D" w14:textId="77777777" w:rsidR="00224CE3" w:rsidRPr="005B69E6" w:rsidRDefault="00224CE3" w:rsidP="000676C9">
            <w:pPr>
              <w:rPr>
                <w:b/>
                <w:color w:val="000000"/>
                <w:sz w:val="18"/>
                <w:szCs w:val="18"/>
              </w:rPr>
            </w:pPr>
            <w:r w:rsidRPr="005B69E6">
              <w:rPr>
                <w:b/>
                <w:color w:val="000000"/>
                <w:sz w:val="18"/>
                <w:szCs w:val="18"/>
              </w:rPr>
              <w:t>Výbor pre makroekonomické prognózy</w:t>
            </w:r>
          </w:p>
        </w:tc>
        <w:tc>
          <w:tcPr>
            <w:tcW w:w="1977" w:type="dxa"/>
            <w:tcBorders>
              <w:top w:val="nil"/>
              <w:left w:val="nil"/>
              <w:bottom w:val="nil"/>
              <w:right w:val="nil"/>
            </w:tcBorders>
            <w:shd w:val="clear" w:color="auto" w:fill="auto"/>
            <w:noWrap/>
            <w:vAlign w:val="center"/>
            <w:hideMark/>
          </w:tcPr>
          <w:p w14:paraId="7AA416F2" w14:textId="77777777" w:rsidR="00224CE3" w:rsidRPr="005B69E6" w:rsidRDefault="00224CE3" w:rsidP="003903CD">
            <w:pPr>
              <w:jc w:val="center"/>
              <w:rPr>
                <w:color w:val="000000"/>
                <w:sz w:val="18"/>
                <w:szCs w:val="18"/>
              </w:rPr>
            </w:pPr>
            <w:r w:rsidRPr="005B69E6">
              <w:rPr>
                <w:color w:val="000000"/>
                <w:sz w:val="18"/>
                <w:szCs w:val="18"/>
              </w:rPr>
              <w:t>zasadnutie VpMP</w:t>
            </w:r>
          </w:p>
        </w:tc>
        <w:tc>
          <w:tcPr>
            <w:tcW w:w="1492" w:type="dxa"/>
            <w:tcBorders>
              <w:top w:val="nil"/>
              <w:left w:val="nil"/>
              <w:bottom w:val="nil"/>
              <w:right w:val="nil"/>
            </w:tcBorders>
            <w:shd w:val="clear" w:color="auto" w:fill="auto"/>
            <w:noWrap/>
            <w:vAlign w:val="center"/>
            <w:hideMark/>
          </w:tcPr>
          <w:p w14:paraId="04112CFE" w14:textId="7DA9F5A5" w:rsidR="00224CE3" w:rsidRPr="005B69E6" w:rsidRDefault="00224CE3" w:rsidP="00011DF0">
            <w:pPr>
              <w:jc w:val="center"/>
              <w:rPr>
                <w:color w:val="000000"/>
                <w:sz w:val="18"/>
                <w:szCs w:val="18"/>
              </w:rPr>
            </w:pPr>
            <w:r w:rsidRPr="00D77FB8">
              <w:rPr>
                <w:color w:val="000000"/>
                <w:sz w:val="18"/>
                <w:szCs w:val="18"/>
              </w:rPr>
              <w:t>30.01.2019</w:t>
            </w:r>
          </w:p>
        </w:tc>
        <w:tc>
          <w:tcPr>
            <w:tcW w:w="1492" w:type="dxa"/>
            <w:tcBorders>
              <w:top w:val="nil"/>
              <w:left w:val="nil"/>
              <w:bottom w:val="nil"/>
              <w:right w:val="nil"/>
            </w:tcBorders>
            <w:shd w:val="clear" w:color="auto" w:fill="auto"/>
            <w:noWrap/>
            <w:vAlign w:val="center"/>
            <w:hideMark/>
          </w:tcPr>
          <w:p w14:paraId="21F7AF1E" w14:textId="7F9B98DC" w:rsidR="00224CE3" w:rsidRPr="005B69E6" w:rsidRDefault="00224CE3" w:rsidP="00011DF0">
            <w:pPr>
              <w:jc w:val="center"/>
              <w:rPr>
                <w:color w:val="000000"/>
                <w:sz w:val="18"/>
                <w:szCs w:val="18"/>
              </w:rPr>
            </w:pPr>
            <w:r w:rsidRPr="00D77FB8">
              <w:rPr>
                <w:color w:val="000000"/>
                <w:sz w:val="18"/>
                <w:szCs w:val="18"/>
              </w:rPr>
              <w:t>12.06.2019</w:t>
            </w:r>
          </w:p>
        </w:tc>
        <w:tc>
          <w:tcPr>
            <w:tcW w:w="1002" w:type="dxa"/>
            <w:tcBorders>
              <w:top w:val="nil"/>
              <w:left w:val="nil"/>
              <w:bottom w:val="nil"/>
              <w:right w:val="nil"/>
            </w:tcBorders>
            <w:shd w:val="clear" w:color="auto" w:fill="auto"/>
            <w:noWrap/>
            <w:vAlign w:val="center"/>
            <w:hideMark/>
          </w:tcPr>
          <w:p w14:paraId="3605D722" w14:textId="443C614A" w:rsidR="00224CE3" w:rsidRPr="005B69E6" w:rsidRDefault="00224CE3" w:rsidP="00011DF0">
            <w:pPr>
              <w:jc w:val="center"/>
              <w:rPr>
                <w:color w:val="000000"/>
                <w:sz w:val="18"/>
                <w:szCs w:val="18"/>
              </w:rPr>
            </w:pPr>
            <w:r w:rsidRPr="00D77FB8">
              <w:rPr>
                <w:color w:val="000000"/>
                <w:sz w:val="18"/>
                <w:szCs w:val="18"/>
              </w:rPr>
              <w:t>11.09.2019</w:t>
            </w:r>
          </w:p>
        </w:tc>
        <w:tc>
          <w:tcPr>
            <w:tcW w:w="1124" w:type="dxa"/>
            <w:tcBorders>
              <w:top w:val="nil"/>
              <w:left w:val="nil"/>
              <w:bottom w:val="nil"/>
              <w:right w:val="nil"/>
            </w:tcBorders>
            <w:vAlign w:val="center"/>
          </w:tcPr>
          <w:p w14:paraId="191B06E6" w14:textId="4A2E44EA" w:rsidR="00224CE3" w:rsidRPr="005B69E6" w:rsidRDefault="00951498" w:rsidP="00011DF0">
            <w:pPr>
              <w:jc w:val="center"/>
              <w:rPr>
                <w:color w:val="000000"/>
                <w:sz w:val="18"/>
                <w:szCs w:val="18"/>
              </w:rPr>
            </w:pPr>
            <w:r>
              <w:rPr>
                <w:color w:val="000000"/>
                <w:sz w:val="18"/>
                <w:szCs w:val="18"/>
              </w:rPr>
              <w:t>-</w:t>
            </w:r>
          </w:p>
        </w:tc>
      </w:tr>
      <w:tr w:rsidR="00224CE3" w:rsidRPr="00114DA2" w14:paraId="11BD013A" w14:textId="77777777" w:rsidTr="00011DF0">
        <w:trPr>
          <w:trHeight w:val="20"/>
          <w:jc w:val="center"/>
        </w:trPr>
        <w:tc>
          <w:tcPr>
            <w:tcW w:w="1985" w:type="dxa"/>
            <w:vMerge/>
            <w:tcBorders>
              <w:top w:val="nil"/>
              <w:left w:val="nil"/>
              <w:bottom w:val="single" w:sz="4" w:space="0" w:color="13B5EA"/>
              <w:right w:val="nil"/>
            </w:tcBorders>
            <w:vAlign w:val="center"/>
            <w:hideMark/>
          </w:tcPr>
          <w:p w14:paraId="22435688" w14:textId="77777777" w:rsidR="00224CE3" w:rsidRPr="005B69E6" w:rsidRDefault="00224CE3" w:rsidP="000676C9">
            <w:pPr>
              <w:rPr>
                <w:b/>
                <w:color w:val="000000"/>
                <w:sz w:val="18"/>
                <w:szCs w:val="18"/>
              </w:rPr>
            </w:pPr>
          </w:p>
        </w:tc>
        <w:tc>
          <w:tcPr>
            <w:tcW w:w="1977" w:type="dxa"/>
            <w:tcBorders>
              <w:top w:val="nil"/>
              <w:left w:val="nil"/>
              <w:bottom w:val="single" w:sz="4" w:space="0" w:color="13B5EA"/>
              <w:right w:val="nil"/>
            </w:tcBorders>
            <w:shd w:val="clear" w:color="auto" w:fill="auto"/>
            <w:noWrap/>
            <w:vAlign w:val="center"/>
            <w:hideMark/>
          </w:tcPr>
          <w:p w14:paraId="0C5B7487" w14:textId="77777777" w:rsidR="00224CE3" w:rsidRPr="005B69E6" w:rsidRDefault="00224CE3" w:rsidP="003903CD">
            <w:pPr>
              <w:jc w:val="center"/>
              <w:rPr>
                <w:color w:val="000000"/>
                <w:sz w:val="18"/>
                <w:szCs w:val="18"/>
              </w:rPr>
            </w:pPr>
            <w:r w:rsidRPr="005B69E6">
              <w:rPr>
                <w:color w:val="000000"/>
                <w:sz w:val="18"/>
                <w:szCs w:val="18"/>
              </w:rPr>
              <w:t>zverejnenie prognóz</w:t>
            </w:r>
          </w:p>
        </w:tc>
        <w:tc>
          <w:tcPr>
            <w:tcW w:w="1492" w:type="dxa"/>
            <w:tcBorders>
              <w:top w:val="nil"/>
              <w:left w:val="nil"/>
              <w:bottom w:val="single" w:sz="4" w:space="0" w:color="13B5EA"/>
              <w:right w:val="nil"/>
            </w:tcBorders>
            <w:shd w:val="clear" w:color="auto" w:fill="auto"/>
            <w:noWrap/>
            <w:vAlign w:val="center"/>
            <w:hideMark/>
          </w:tcPr>
          <w:p w14:paraId="2B921FB5" w14:textId="04D956E5" w:rsidR="00224CE3" w:rsidRPr="005B69E6" w:rsidRDefault="00224CE3" w:rsidP="00011DF0">
            <w:pPr>
              <w:jc w:val="center"/>
              <w:rPr>
                <w:b/>
                <w:color w:val="13B5EA"/>
                <w:sz w:val="18"/>
                <w:szCs w:val="18"/>
              </w:rPr>
            </w:pPr>
            <w:r w:rsidRPr="00D77FB8">
              <w:rPr>
                <w:b/>
                <w:color w:val="13B5EA"/>
                <w:sz w:val="18"/>
                <w:szCs w:val="18"/>
              </w:rPr>
              <w:t>04.02.2019</w:t>
            </w:r>
          </w:p>
        </w:tc>
        <w:tc>
          <w:tcPr>
            <w:tcW w:w="1492" w:type="dxa"/>
            <w:tcBorders>
              <w:top w:val="nil"/>
              <w:left w:val="nil"/>
              <w:bottom w:val="single" w:sz="4" w:space="0" w:color="13B5EA"/>
              <w:right w:val="nil"/>
            </w:tcBorders>
            <w:shd w:val="clear" w:color="auto" w:fill="auto"/>
            <w:noWrap/>
            <w:vAlign w:val="center"/>
            <w:hideMark/>
          </w:tcPr>
          <w:p w14:paraId="1FD7333B" w14:textId="61B09A68" w:rsidR="00224CE3" w:rsidRPr="005B69E6" w:rsidRDefault="00224CE3" w:rsidP="00011DF0">
            <w:pPr>
              <w:jc w:val="center"/>
              <w:rPr>
                <w:b/>
                <w:color w:val="13B5EA"/>
                <w:sz w:val="18"/>
                <w:szCs w:val="18"/>
              </w:rPr>
            </w:pPr>
            <w:r w:rsidRPr="00D77FB8">
              <w:rPr>
                <w:b/>
                <w:color w:val="13B5EA"/>
                <w:sz w:val="18"/>
                <w:szCs w:val="18"/>
              </w:rPr>
              <w:t>19.06.2019</w:t>
            </w:r>
          </w:p>
        </w:tc>
        <w:tc>
          <w:tcPr>
            <w:tcW w:w="1002" w:type="dxa"/>
            <w:tcBorders>
              <w:top w:val="nil"/>
              <w:left w:val="nil"/>
              <w:bottom w:val="single" w:sz="4" w:space="0" w:color="13B5EA"/>
              <w:right w:val="nil"/>
            </w:tcBorders>
            <w:shd w:val="clear" w:color="auto" w:fill="auto"/>
            <w:noWrap/>
            <w:vAlign w:val="center"/>
            <w:hideMark/>
          </w:tcPr>
          <w:p w14:paraId="1DD5150F" w14:textId="2908BA07" w:rsidR="00224CE3" w:rsidRPr="005B69E6" w:rsidRDefault="00224CE3" w:rsidP="00011DF0">
            <w:pPr>
              <w:jc w:val="center"/>
              <w:rPr>
                <w:color w:val="000000"/>
                <w:sz w:val="18"/>
                <w:szCs w:val="18"/>
              </w:rPr>
            </w:pPr>
            <w:r w:rsidRPr="00D77FB8">
              <w:rPr>
                <w:color w:val="000000"/>
                <w:sz w:val="18"/>
                <w:szCs w:val="18"/>
              </w:rPr>
              <w:t>19.09.2019</w:t>
            </w:r>
          </w:p>
        </w:tc>
        <w:tc>
          <w:tcPr>
            <w:tcW w:w="1124" w:type="dxa"/>
            <w:tcBorders>
              <w:top w:val="nil"/>
              <w:left w:val="nil"/>
              <w:bottom w:val="single" w:sz="4" w:space="0" w:color="13B5EA"/>
              <w:right w:val="nil"/>
            </w:tcBorders>
            <w:vAlign w:val="center"/>
          </w:tcPr>
          <w:p w14:paraId="1295A3E3" w14:textId="6C1692C8" w:rsidR="00224CE3" w:rsidRPr="005B69E6" w:rsidRDefault="00951498" w:rsidP="00011DF0">
            <w:pPr>
              <w:jc w:val="center"/>
              <w:rPr>
                <w:color w:val="000000"/>
                <w:sz w:val="18"/>
                <w:szCs w:val="18"/>
              </w:rPr>
            </w:pPr>
            <w:r>
              <w:rPr>
                <w:color w:val="000000"/>
                <w:sz w:val="18"/>
                <w:szCs w:val="18"/>
              </w:rPr>
              <w:t>-</w:t>
            </w:r>
          </w:p>
        </w:tc>
      </w:tr>
      <w:tr w:rsidR="00224CE3" w:rsidRPr="00114DA2" w14:paraId="389CF76A" w14:textId="77777777" w:rsidTr="00011DF0">
        <w:trPr>
          <w:trHeight w:val="20"/>
          <w:jc w:val="center"/>
        </w:trPr>
        <w:tc>
          <w:tcPr>
            <w:tcW w:w="1985" w:type="dxa"/>
            <w:vMerge w:val="restart"/>
            <w:tcBorders>
              <w:top w:val="nil"/>
              <w:left w:val="nil"/>
              <w:bottom w:val="single" w:sz="4" w:space="0" w:color="13B5EA"/>
              <w:right w:val="nil"/>
            </w:tcBorders>
            <w:shd w:val="clear" w:color="auto" w:fill="auto"/>
            <w:vAlign w:val="center"/>
            <w:hideMark/>
          </w:tcPr>
          <w:p w14:paraId="1AE4C5AB" w14:textId="77777777" w:rsidR="00224CE3" w:rsidRPr="00AF23AE" w:rsidRDefault="00224CE3" w:rsidP="000676C9">
            <w:pPr>
              <w:rPr>
                <w:b/>
                <w:color w:val="000000"/>
                <w:sz w:val="18"/>
                <w:szCs w:val="18"/>
              </w:rPr>
            </w:pPr>
            <w:r w:rsidRPr="00AF23AE">
              <w:rPr>
                <w:b/>
                <w:color w:val="000000"/>
                <w:sz w:val="18"/>
                <w:szCs w:val="18"/>
              </w:rPr>
              <w:t>Výbor pre daňové prognózy</w:t>
            </w:r>
          </w:p>
        </w:tc>
        <w:tc>
          <w:tcPr>
            <w:tcW w:w="1977" w:type="dxa"/>
            <w:tcBorders>
              <w:top w:val="nil"/>
              <w:left w:val="nil"/>
              <w:bottom w:val="nil"/>
              <w:right w:val="nil"/>
            </w:tcBorders>
            <w:shd w:val="clear" w:color="auto" w:fill="auto"/>
            <w:noWrap/>
            <w:vAlign w:val="center"/>
            <w:hideMark/>
          </w:tcPr>
          <w:p w14:paraId="5580026B" w14:textId="77777777" w:rsidR="00224CE3" w:rsidRPr="00AF23AE" w:rsidRDefault="00224CE3" w:rsidP="003903CD">
            <w:pPr>
              <w:jc w:val="center"/>
              <w:rPr>
                <w:color w:val="000000"/>
                <w:sz w:val="18"/>
                <w:szCs w:val="18"/>
              </w:rPr>
            </w:pPr>
            <w:r w:rsidRPr="00AF23AE">
              <w:rPr>
                <w:color w:val="000000"/>
                <w:sz w:val="18"/>
                <w:szCs w:val="18"/>
              </w:rPr>
              <w:t>zasadnutie VpDP</w:t>
            </w:r>
          </w:p>
        </w:tc>
        <w:tc>
          <w:tcPr>
            <w:tcW w:w="1492" w:type="dxa"/>
            <w:tcBorders>
              <w:top w:val="nil"/>
              <w:left w:val="nil"/>
              <w:bottom w:val="nil"/>
              <w:right w:val="nil"/>
            </w:tcBorders>
            <w:shd w:val="clear" w:color="auto" w:fill="auto"/>
            <w:noWrap/>
            <w:vAlign w:val="center"/>
            <w:hideMark/>
          </w:tcPr>
          <w:p w14:paraId="2AE99FC9" w14:textId="6E80B8E2" w:rsidR="00224CE3" w:rsidRPr="00AF23AE" w:rsidRDefault="00224CE3" w:rsidP="00011DF0">
            <w:pPr>
              <w:jc w:val="center"/>
              <w:rPr>
                <w:color w:val="000000"/>
                <w:sz w:val="18"/>
                <w:szCs w:val="18"/>
              </w:rPr>
            </w:pPr>
            <w:r w:rsidRPr="00D77FB8">
              <w:rPr>
                <w:color w:val="000000"/>
                <w:sz w:val="18"/>
                <w:szCs w:val="18"/>
              </w:rPr>
              <w:t>07.02.2019</w:t>
            </w:r>
          </w:p>
        </w:tc>
        <w:tc>
          <w:tcPr>
            <w:tcW w:w="1492" w:type="dxa"/>
            <w:tcBorders>
              <w:top w:val="nil"/>
              <w:left w:val="nil"/>
              <w:bottom w:val="nil"/>
              <w:right w:val="nil"/>
            </w:tcBorders>
            <w:shd w:val="clear" w:color="auto" w:fill="auto"/>
            <w:noWrap/>
            <w:vAlign w:val="center"/>
            <w:hideMark/>
          </w:tcPr>
          <w:p w14:paraId="5FA39E7C" w14:textId="01101620" w:rsidR="00224CE3" w:rsidRPr="00AF23AE" w:rsidRDefault="00224CE3" w:rsidP="00011DF0">
            <w:pPr>
              <w:jc w:val="center"/>
              <w:rPr>
                <w:color w:val="000000"/>
                <w:sz w:val="18"/>
                <w:szCs w:val="18"/>
              </w:rPr>
            </w:pPr>
            <w:r w:rsidRPr="00D77FB8">
              <w:rPr>
                <w:color w:val="000000"/>
                <w:sz w:val="18"/>
                <w:szCs w:val="18"/>
              </w:rPr>
              <w:t>20.06.2019</w:t>
            </w:r>
          </w:p>
        </w:tc>
        <w:tc>
          <w:tcPr>
            <w:tcW w:w="1002" w:type="dxa"/>
            <w:tcBorders>
              <w:top w:val="nil"/>
              <w:left w:val="nil"/>
              <w:bottom w:val="nil"/>
              <w:right w:val="nil"/>
            </w:tcBorders>
            <w:shd w:val="clear" w:color="auto" w:fill="auto"/>
            <w:noWrap/>
            <w:vAlign w:val="center"/>
            <w:hideMark/>
          </w:tcPr>
          <w:p w14:paraId="2303EB4B" w14:textId="2B332874" w:rsidR="00224CE3" w:rsidRPr="00AF23AE" w:rsidRDefault="00224CE3" w:rsidP="00011DF0">
            <w:pPr>
              <w:jc w:val="center"/>
              <w:rPr>
                <w:color w:val="000000"/>
                <w:sz w:val="18"/>
                <w:szCs w:val="18"/>
              </w:rPr>
            </w:pPr>
            <w:r w:rsidRPr="00D77FB8">
              <w:rPr>
                <w:color w:val="000000"/>
                <w:sz w:val="18"/>
                <w:szCs w:val="18"/>
              </w:rPr>
              <w:t>19.09.2019</w:t>
            </w:r>
          </w:p>
        </w:tc>
        <w:tc>
          <w:tcPr>
            <w:tcW w:w="1124" w:type="dxa"/>
            <w:tcBorders>
              <w:top w:val="nil"/>
              <w:left w:val="nil"/>
              <w:bottom w:val="nil"/>
              <w:right w:val="nil"/>
            </w:tcBorders>
            <w:vAlign w:val="center"/>
          </w:tcPr>
          <w:p w14:paraId="68665377" w14:textId="25AE216B" w:rsidR="00224CE3" w:rsidRPr="00AF23AE" w:rsidRDefault="009C5667" w:rsidP="00011DF0">
            <w:pPr>
              <w:jc w:val="center"/>
              <w:rPr>
                <w:color w:val="000000"/>
                <w:sz w:val="18"/>
                <w:szCs w:val="18"/>
              </w:rPr>
            </w:pPr>
            <w:r>
              <w:rPr>
                <w:color w:val="000000"/>
                <w:sz w:val="18"/>
                <w:szCs w:val="18"/>
              </w:rPr>
              <w:t>28.11.</w:t>
            </w:r>
            <w:r w:rsidR="00224CE3" w:rsidRPr="00AF23AE">
              <w:rPr>
                <w:color w:val="000000"/>
                <w:sz w:val="18"/>
                <w:szCs w:val="18"/>
              </w:rPr>
              <w:t>201</w:t>
            </w:r>
            <w:r>
              <w:rPr>
                <w:color w:val="000000"/>
                <w:sz w:val="18"/>
                <w:szCs w:val="18"/>
              </w:rPr>
              <w:t>9</w:t>
            </w:r>
          </w:p>
        </w:tc>
      </w:tr>
      <w:tr w:rsidR="00224CE3" w:rsidRPr="00114DA2" w14:paraId="33EE440E" w14:textId="77777777" w:rsidTr="00011DF0">
        <w:trPr>
          <w:trHeight w:val="20"/>
          <w:jc w:val="center"/>
        </w:trPr>
        <w:tc>
          <w:tcPr>
            <w:tcW w:w="1985" w:type="dxa"/>
            <w:vMerge/>
            <w:tcBorders>
              <w:top w:val="nil"/>
              <w:left w:val="nil"/>
              <w:bottom w:val="single" w:sz="4" w:space="0" w:color="13B5EA"/>
              <w:right w:val="nil"/>
            </w:tcBorders>
            <w:vAlign w:val="center"/>
            <w:hideMark/>
          </w:tcPr>
          <w:p w14:paraId="78CC68A8" w14:textId="77777777" w:rsidR="00224CE3" w:rsidRPr="00AF23AE" w:rsidRDefault="00224CE3" w:rsidP="00224CE3">
            <w:pPr>
              <w:jc w:val="both"/>
              <w:rPr>
                <w:color w:val="000000"/>
                <w:sz w:val="18"/>
                <w:szCs w:val="18"/>
              </w:rPr>
            </w:pPr>
          </w:p>
        </w:tc>
        <w:tc>
          <w:tcPr>
            <w:tcW w:w="1977" w:type="dxa"/>
            <w:tcBorders>
              <w:top w:val="nil"/>
              <w:left w:val="nil"/>
              <w:bottom w:val="single" w:sz="4" w:space="0" w:color="13B5EA"/>
              <w:right w:val="nil"/>
            </w:tcBorders>
            <w:shd w:val="clear" w:color="auto" w:fill="auto"/>
            <w:noWrap/>
            <w:vAlign w:val="center"/>
            <w:hideMark/>
          </w:tcPr>
          <w:p w14:paraId="54D7FC5A" w14:textId="77777777" w:rsidR="00224CE3" w:rsidRPr="00AF23AE" w:rsidRDefault="00224CE3" w:rsidP="003903CD">
            <w:pPr>
              <w:jc w:val="center"/>
              <w:rPr>
                <w:color w:val="000000"/>
                <w:sz w:val="18"/>
                <w:szCs w:val="18"/>
              </w:rPr>
            </w:pPr>
            <w:r w:rsidRPr="00AF23AE">
              <w:rPr>
                <w:color w:val="000000"/>
                <w:sz w:val="18"/>
                <w:szCs w:val="18"/>
              </w:rPr>
              <w:t>zverejnenie prognóz</w:t>
            </w:r>
          </w:p>
        </w:tc>
        <w:tc>
          <w:tcPr>
            <w:tcW w:w="1492" w:type="dxa"/>
            <w:tcBorders>
              <w:top w:val="nil"/>
              <w:left w:val="nil"/>
              <w:bottom w:val="single" w:sz="4" w:space="0" w:color="13B5EA"/>
              <w:right w:val="nil"/>
            </w:tcBorders>
            <w:shd w:val="clear" w:color="auto" w:fill="auto"/>
            <w:noWrap/>
            <w:vAlign w:val="center"/>
            <w:hideMark/>
          </w:tcPr>
          <w:p w14:paraId="7CF8E454" w14:textId="77801E6D" w:rsidR="00224CE3" w:rsidRPr="00AF23AE" w:rsidRDefault="00224CE3" w:rsidP="00011DF0">
            <w:pPr>
              <w:jc w:val="center"/>
              <w:rPr>
                <w:b/>
                <w:color w:val="13B5EA"/>
                <w:sz w:val="18"/>
                <w:szCs w:val="18"/>
              </w:rPr>
            </w:pPr>
            <w:r w:rsidRPr="00D77FB8">
              <w:rPr>
                <w:b/>
                <w:color w:val="13B5EA"/>
                <w:sz w:val="18"/>
                <w:szCs w:val="18"/>
              </w:rPr>
              <w:t>12.02.2019</w:t>
            </w:r>
          </w:p>
        </w:tc>
        <w:tc>
          <w:tcPr>
            <w:tcW w:w="1492" w:type="dxa"/>
            <w:tcBorders>
              <w:top w:val="nil"/>
              <w:left w:val="nil"/>
              <w:bottom w:val="single" w:sz="4" w:space="0" w:color="13B5EA"/>
              <w:right w:val="nil"/>
            </w:tcBorders>
            <w:shd w:val="clear" w:color="auto" w:fill="auto"/>
            <w:noWrap/>
            <w:vAlign w:val="center"/>
            <w:hideMark/>
          </w:tcPr>
          <w:p w14:paraId="735C7056" w14:textId="17B9A10E" w:rsidR="00224CE3" w:rsidRPr="00AF23AE" w:rsidRDefault="00224CE3" w:rsidP="00011DF0">
            <w:pPr>
              <w:jc w:val="center"/>
              <w:rPr>
                <w:b/>
                <w:color w:val="13B5EA"/>
                <w:sz w:val="18"/>
                <w:szCs w:val="18"/>
              </w:rPr>
            </w:pPr>
            <w:r w:rsidRPr="00D77FB8">
              <w:rPr>
                <w:b/>
                <w:color w:val="13B5EA"/>
                <w:sz w:val="18"/>
                <w:szCs w:val="18"/>
              </w:rPr>
              <w:t>27.06.2019</w:t>
            </w:r>
          </w:p>
        </w:tc>
        <w:tc>
          <w:tcPr>
            <w:tcW w:w="1002" w:type="dxa"/>
            <w:tcBorders>
              <w:top w:val="nil"/>
              <w:left w:val="nil"/>
              <w:bottom w:val="single" w:sz="4" w:space="0" w:color="13B5EA"/>
              <w:right w:val="nil"/>
            </w:tcBorders>
            <w:shd w:val="clear" w:color="auto" w:fill="auto"/>
            <w:noWrap/>
            <w:vAlign w:val="center"/>
            <w:hideMark/>
          </w:tcPr>
          <w:p w14:paraId="3C4E7CF7" w14:textId="6EDF7A0A" w:rsidR="00224CE3" w:rsidRPr="00AF23AE" w:rsidRDefault="00224CE3" w:rsidP="00011DF0">
            <w:pPr>
              <w:jc w:val="center"/>
              <w:rPr>
                <w:color w:val="000000"/>
                <w:sz w:val="18"/>
                <w:szCs w:val="18"/>
              </w:rPr>
            </w:pPr>
            <w:r w:rsidRPr="00D77FB8">
              <w:rPr>
                <w:color w:val="000000"/>
                <w:sz w:val="18"/>
                <w:szCs w:val="18"/>
              </w:rPr>
              <w:t>26.09.2019</w:t>
            </w:r>
          </w:p>
        </w:tc>
        <w:tc>
          <w:tcPr>
            <w:tcW w:w="1124" w:type="dxa"/>
            <w:tcBorders>
              <w:top w:val="nil"/>
              <w:left w:val="nil"/>
              <w:bottom w:val="single" w:sz="4" w:space="0" w:color="13B5EA"/>
              <w:right w:val="nil"/>
            </w:tcBorders>
            <w:vAlign w:val="center"/>
          </w:tcPr>
          <w:p w14:paraId="2A1CF4F6" w14:textId="3909F153" w:rsidR="00224CE3" w:rsidRPr="00AF23AE" w:rsidRDefault="00951498" w:rsidP="00011DF0">
            <w:pPr>
              <w:jc w:val="center"/>
              <w:rPr>
                <w:color w:val="000000"/>
                <w:sz w:val="18"/>
                <w:szCs w:val="18"/>
              </w:rPr>
            </w:pPr>
            <w:r>
              <w:rPr>
                <w:color w:val="000000"/>
                <w:sz w:val="18"/>
                <w:szCs w:val="18"/>
              </w:rPr>
              <w:t>-</w:t>
            </w:r>
          </w:p>
        </w:tc>
      </w:tr>
      <w:tr w:rsidR="00224CE3" w:rsidRPr="00114DA2" w14:paraId="76B210B1" w14:textId="77777777" w:rsidTr="000676C9">
        <w:trPr>
          <w:trHeight w:val="226"/>
          <w:jc w:val="center"/>
        </w:trPr>
        <w:tc>
          <w:tcPr>
            <w:tcW w:w="1985" w:type="dxa"/>
            <w:tcBorders>
              <w:top w:val="single" w:sz="4" w:space="0" w:color="13B5EA"/>
              <w:left w:val="nil"/>
              <w:right w:val="nil"/>
            </w:tcBorders>
            <w:vAlign w:val="center"/>
          </w:tcPr>
          <w:p w14:paraId="56B599E3" w14:textId="77777777" w:rsidR="00224CE3" w:rsidRPr="00114DA2" w:rsidRDefault="00224CE3" w:rsidP="00AD1AAE">
            <w:pPr>
              <w:jc w:val="both"/>
              <w:rPr>
                <w:color w:val="000000"/>
                <w:sz w:val="18"/>
                <w:szCs w:val="18"/>
                <w:highlight w:val="yellow"/>
              </w:rPr>
            </w:pPr>
          </w:p>
        </w:tc>
        <w:tc>
          <w:tcPr>
            <w:tcW w:w="1977" w:type="dxa"/>
            <w:tcBorders>
              <w:top w:val="single" w:sz="4" w:space="0" w:color="13B5EA"/>
              <w:left w:val="nil"/>
              <w:right w:val="nil"/>
            </w:tcBorders>
            <w:shd w:val="clear" w:color="auto" w:fill="auto"/>
            <w:noWrap/>
            <w:vAlign w:val="center"/>
          </w:tcPr>
          <w:p w14:paraId="0FDD7A47" w14:textId="77777777" w:rsidR="00224CE3" w:rsidRPr="00114DA2" w:rsidRDefault="00224CE3" w:rsidP="00AD1AAE">
            <w:pPr>
              <w:jc w:val="both"/>
              <w:rPr>
                <w:color w:val="000000"/>
                <w:sz w:val="18"/>
                <w:szCs w:val="18"/>
                <w:highlight w:val="yellow"/>
              </w:rPr>
            </w:pPr>
          </w:p>
        </w:tc>
        <w:tc>
          <w:tcPr>
            <w:tcW w:w="1492" w:type="dxa"/>
            <w:tcBorders>
              <w:top w:val="single" w:sz="4" w:space="0" w:color="13B5EA"/>
              <w:left w:val="nil"/>
              <w:right w:val="nil"/>
            </w:tcBorders>
            <w:shd w:val="clear" w:color="auto" w:fill="auto"/>
            <w:noWrap/>
            <w:vAlign w:val="center"/>
          </w:tcPr>
          <w:p w14:paraId="3EA89CFB" w14:textId="77777777" w:rsidR="00224CE3" w:rsidRPr="00114DA2" w:rsidRDefault="00224CE3" w:rsidP="00AD1AAE">
            <w:pPr>
              <w:jc w:val="both"/>
              <w:rPr>
                <w:b/>
                <w:color w:val="13B5EA"/>
                <w:sz w:val="18"/>
                <w:szCs w:val="18"/>
                <w:highlight w:val="yellow"/>
              </w:rPr>
            </w:pPr>
          </w:p>
        </w:tc>
        <w:tc>
          <w:tcPr>
            <w:tcW w:w="1492" w:type="dxa"/>
            <w:tcBorders>
              <w:top w:val="single" w:sz="4" w:space="0" w:color="13B5EA"/>
              <w:left w:val="nil"/>
              <w:right w:val="nil"/>
            </w:tcBorders>
            <w:shd w:val="clear" w:color="auto" w:fill="auto"/>
            <w:noWrap/>
            <w:vAlign w:val="center"/>
          </w:tcPr>
          <w:p w14:paraId="659B22F2" w14:textId="77777777" w:rsidR="00224CE3" w:rsidRPr="00114DA2" w:rsidRDefault="00224CE3" w:rsidP="00AD1AAE">
            <w:pPr>
              <w:jc w:val="both"/>
              <w:rPr>
                <w:b/>
                <w:color w:val="13B5EA"/>
                <w:sz w:val="18"/>
                <w:szCs w:val="18"/>
                <w:highlight w:val="yellow"/>
              </w:rPr>
            </w:pPr>
          </w:p>
        </w:tc>
        <w:tc>
          <w:tcPr>
            <w:tcW w:w="2126" w:type="dxa"/>
            <w:gridSpan w:val="2"/>
            <w:tcBorders>
              <w:top w:val="single" w:sz="4" w:space="0" w:color="13B5EA"/>
              <w:left w:val="nil"/>
              <w:right w:val="nil"/>
            </w:tcBorders>
            <w:shd w:val="clear" w:color="auto" w:fill="auto"/>
            <w:noWrap/>
            <w:vAlign w:val="center"/>
          </w:tcPr>
          <w:p w14:paraId="0B988EFC" w14:textId="77777777" w:rsidR="00224CE3" w:rsidRPr="00AF23AE" w:rsidRDefault="00224CE3" w:rsidP="00AD1AAE">
            <w:pPr>
              <w:jc w:val="right"/>
              <w:rPr>
                <w:i/>
                <w:color w:val="13B5EA"/>
                <w:sz w:val="16"/>
                <w:szCs w:val="16"/>
              </w:rPr>
            </w:pPr>
            <w:r w:rsidRPr="00AF23AE">
              <w:rPr>
                <w:i/>
                <w:color w:val="13B5EA"/>
                <w:sz w:val="16"/>
                <w:szCs w:val="16"/>
              </w:rPr>
              <w:t>Zdroj: MF SR</w:t>
            </w:r>
          </w:p>
        </w:tc>
      </w:tr>
    </w:tbl>
    <w:p w14:paraId="11ED4E21" w14:textId="77777777" w:rsidR="00224CE3" w:rsidRPr="00D77FB8" w:rsidRDefault="00224CE3" w:rsidP="00CA541F"/>
    <w:p w14:paraId="4FEFB83A" w14:textId="77777777" w:rsidR="00CA541F" w:rsidRPr="00D77FB8" w:rsidRDefault="00CA541F" w:rsidP="00CA541F">
      <w:pPr>
        <w:jc w:val="both"/>
      </w:pPr>
      <w:r w:rsidRPr="00D77FB8">
        <w:t xml:space="preserve">Podľa </w:t>
      </w:r>
      <w:r w:rsidRPr="00D77FB8">
        <w:rPr>
          <w:b/>
        </w:rPr>
        <w:t>článku 9, odseku 3</w:t>
      </w:r>
      <w:r w:rsidRPr="00D77FB8">
        <w:t xml:space="preserve"> </w:t>
      </w:r>
      <w:r w:rsidRPr="00D77FB8">
        <w:rPr>
          <w:b/>
        </w:rPr>
        <w:t>ústavného zákona</w:t>
      </w:r>
      <w:r w:rsidRPr="00D77FB8">
        <w:t xml:space="preserve"> o rozpočtovej zodpovednosti </w:t>
      </w:r>
      <w:r w:rsidRPr="00D77FB8">
        <w:rPr>
          <w:b/>
        </w:rPr>
        <w:t>bola splnená povinnosť zverejniť najmenej dvakrát ročne prognózy vypracované výbormi v zákonom stanovených termínoch.</w:t>
      </w:r>
    </w:p>
    <w:p w14:paraId="3A7B6FCC" w14:textId="77777777" w:rsidR="00CA541F" w:rsidRPr="00B81300" w:rsidRDefault="00CA541F" w:rsidP="00CA541F">
      <w:pPr>
        <w:jc w:val="both"/>
        <w:rPr>
          <w:highlight w:val="yellow"/>
        </w:rPr>
      </w:pPr>
    </w:p>
    <w:p w14:paraId="5DC49073" w14:textId="6AE291A2" w:rsidR="00EA74D3" w:rsidRDefault="00CA541F" w:rsidP="00CA541F">
      <w:pPr>
        <w:jc w:val="both"/>
      </w:pPr>
      <w:bookmarkStart w:id="784" w:name="_Hlk48564801"/>
      <w:r w:rsidRPr="008D374A">
        <w:t xml:space="preserve">VpDP prognózuje približne </w:t>
      </w:r>
      <w:r w:rsidRPr="00391B94">
        <w:t>9</w:t>
      </w:r>
      <w:r w:rsidR="00B23E24" w:rsidRPr="00391B94">
        <w:t>0</w:t>
      </w:r>
      <w:r w:rsidRPr="00391B94">
        <w:t xml:space="preserve"> %</w:t>
      </w:r>
      <w:r w:rsidRPr="008D374A">
        <w:t xml:space="preserve"> celkových daňových príjmov podľa metodiky ESA2010</w:t>
      </w:r>
      <w:r w:rsidRPr="008D374A">
        <w:rPr>
          <w:rStyle w:val="FootnoteReference"/>
        </w:rPr>
        <w:footnoteReference w:id="74"/>
      </w:r>
      <w:r w:rsidRPr="008D374A">
        <w:t xml:space="preserve">, čo zahŕňa takmer tri štvrtiny celkových príjmov verejnej správy (grafy </w:t>
      </w:r>
      <w:r w:rsidR="00A76E50">
        <w:t>10</w:t>
      </w:r>
      <w:r w:rsidR="00A76E50" w:rsidRPr="008D374A">
        <w:t xml:space="preserve"> </w:t>
      </w:r>
      <w:r w:rsidRPr="008D374A">
        <w:t>a 1</w:t>
      </w:r>
      <w:r w:rsidR="00A76E50">
        <w:t>1</w:t>
      </w:r>
      <w:r w:rsidRPr="008D374A">
        <w:t xml:space="preserve">). </w:t>
      </w:r>
      <w:r w:rsidRPr="008D374A">
        <w:rPr>
          <w:b/>
        </w:rPr>
        <w:t>Napriek tomu, že väčšina príjmov verejnej správy podlieha nezávislému posudzovaniu, schválené rozpočty opakovane obsahujú riziká výpadku príjmov, ktoré sa vo veľkej miere aj napĺňajú</w:t>
      </w:r>
      <w:r w:rsidR="00EA74D3">
        <w:rPr>
          <w:b/>
        </w:rPr>
        <w:t xml:space="preserve"> (box </w:t>
      </w:r>
      <w:r w:rsidR="00163A0C">
        <w:rPr>
          <w:b/>
        </w:rPr>
        <w:t>6</w:t>
      </w:r>
      <w:r w:rsidR="00EA74D3">
        <w:rPr>
          <w:b/>
        </w:rPr>
        <w:t>)</w:t>
      </w:r>
      <w:r w:rsidRPr="008D374A">
        <w:rPr>
          <w:b/>
        </w:rPr>
        <w:t>.</w:t>
      </w:r>
      <w:r w:rsidRPr="008D374A">
        <w:t xml:space="preserve"> </w:t>
      </w:r>
    </w:p>
    <w:p w14:paraId="729B8913" w14:textId="0C5F7AF0" w:rsidR="00EA74D3" w:rsidRPr="00160A5B" w:rsidRDefault="00EA74D3" w:rsidP="00EA74D3">
      <w:pPr>
        <w:jc w:val="both"/>
        <w:rPr>
          <w:rFonts w:eastAsia="Cambria"/>
        </w:rPr>
      </w:pPr>
    </w:p>
    <w:p w14:paraId="5356FFE1" w14:textId="10F9D244" w:rsidR="00CA4B3B" w:rsidRPr="00160A5B" w:rsidRDefault="00CA4B3B" w:rsidP="00EA74D3">
      <w:pPr>
        <w:jc w:val="both"/>
        <w:rPr>
          <w:rFonts w:eastAsia="Cambria"/>
        </w:rPr>
      </w:pPr>
      <w:r w:rsidRPr="004A79A6">
        <w:rPr>
          <w:rFonts w:eastAsia="Cambria"/>
          <w:b/>
          <w:bCs/>
        </w:rPr>
        <w:t>Rozšírenie prognózy výboru na všetky daňové príjmy podľa ESA2010 a vybrané nedaňové príjmy by výrazne zvýšilo reálnosť dosiahnutia rozpočtovaných príjmov.</w:t>
      </w:r>
      <w:r>
        <w:rPr>
          <w:rFonts w:eastAsia="Cambria"/>
        </w:rPr>
        <w:t xml:space="preserve"> </w:t>
      </w:r>
      <w:r w:rsidRPr="004A79A6">
        <w:rPr>
          <w:bCs/>
        </w:rPr>
        <w:t>V súvislosti s</w:t>
      </w:r>
      <w:r w:rsidR="006A3945">
        <w:rPr>
          <w:bCs/>
        </w:rPr>
        <w:t> </w:t>
      </w:r>
      <w:r w:rsidRPr="004A79A6">
        <w:rPr>
          <w:bCs/>
        </w:rPr>
        <w:t>pripravovaným zavedením výdavkových limitov</w:t>
      </w:r>
      <w:r>
        <w:rPr>
          <w:b/>
        </w:rPr>
        <w:t xml:space="preserve"> MF SR uvažuje s rozšírením nezávislého posudzovania prognóz aj na ďalšie položky </w:t>
      </w:r>
      <w:r w:rsidRPr="00973C85">
        <w:rPr>
          <w:bCs/>
        </w:rPr>
        <w:t>(uvedené aj v programovom vyhlásení vlády</w:t>
      </w:r>
      <w:r w:rsidRPr="00973C85">
        <w:rPr>
          <w:rStyle w:val="FootnoteReference"/>
          <w:bCs/>
        </w:rPr>
        <w:footnoteReference w:id="75"/>
      </w:r>
      <w:r w:rsidRPr="00973C85">
        <w:rPr>
          <w:bCs/>
        </w:rPr>
        <w:t>)</w:t>
      </w:r>
      <w:r>
        <w:rPr>
          <w:b/>
        </w:rPr>
        <w:t xml:space="preserve">, ako sú napríklad úrokové výdavky, vybrané nedaňové príjmy a niektoré zákonom stanovené výdavky. </w:t>
      </w:r>
      <w:r w:rsidRPr="00973C85">
        <w:rPr>
          <w:bCs/>
        </w:rPr>
        <w:t>Tieto by sa v plnej miere preberali do rozpočtu verejnej správy</w:t>
      </w:r>
      <w:r>
        <w:rPr>
          <w:bCs/>
        </w:rPr>
        <w:t>.</w:t>
      </w:r>
    </w:p>
    <w:tbl>
      <w:tblPr>
        <w:tblW w:w="8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6"/>
        <w:gridCol w:w="222"/>
        <w:gridCol w:w="4116"/>
      </w:tblGrid>
      <w:tr w:rsidR="00A76E50" w:rsidRPr="00B81300" w14:paraId="6B946571" w14:textId="77777777" w:rsidTr="00FA67C0">
        <w:trPr>
          <w:trHeight w:val="397"/>
          <w:jc w:val="center"/>
        </w:trPr>
        <w:tc>
          <w:tcPr>
            <w:tcW w:w="4356" w:type="dxa"/>
            <w:tcBorders>
              <w:top w:val="nil"/>
              <w:left w:val="nil"/>
              <w:bottom w:val="single" w:sz="4" w:space="0" w:color="13B5EA"/>
              <w:right w:val="nil"/>
            </w:tcBorders>
            <w:vAlign w:val="center"/>
          </w:tcPr>
          <w:p w14:paraId="24C7C04B" w14:textId="77777777" w:rsidR="00A76E50" w:rsidRPr="00B81300" w:rsidRDefault="00A76E50" w:rsidP="00A76E50">
            <w:pPr>
              <w:jc w:val="both"/>
              <w:rPr>
                <w:color w:val="12BFEA"/>
                <w:sz w:val="20"/>
                <w:highlight w:val="yellow"/>
              </w:rPr>
            </w:pPr>
            <w:bookmarkStart w:id="785" w:name="_Toc49506922"/>
            <w:r w:rsidRPr="004A79A6">
              <w:rPr>
                <w:rStyle w:val="grafChar"/>
                <w:sz w:val="20"/>
              </w:rPr>
              <w:lastRenderedPageBreak/>
              <w:t>Graf 10: Podiely zložiek príjmov verejnej správy</w:t>
            </w:r>
            <w:bookmarkEnd w:id="785"/>
            <w:r w:rsidRPr="004A79A6">
              <w:rPr>
                <w:rStyle w:val="grafChar"/>
                <w:sz w:val="20"/>
              </w:rPr>
              <w:t xml:space="preserve"> </w:t>
            </w:r>
            <w:r w:rsidRPr="00004EDD">
              <w:rPr>
                <w:b/>
                <w:color w:val="13B5EA"/>
                <w:sz w:val="20"/>
              </w:rPr>
              <w:t xml:space="preserve">(%, ESA2010) </w:t>
            </w:r>
          </w:p>
        </w:tc>
        <w:tc>
          <w:tcPr>
            <w:tcW w:w="236" w:type="dxa"/>
            <w:tcBorders>
              <w:top w:val="nil"/>
              <w:left w:val="nil"/>
              <w:bottom w:val="nil"/>
              <w:right w:val="nil"/>
            </w:tcBorders>
            <w:vAlign w:val="center"/>
          </w:tcPr>
          <w:p w14:paraId="1E28B49F" w14:textId="77777777" w:rsidR="00A76E50" w:rsidRPr="00B81300" w:rsidRDefault="00A76E50" w:rsidP="00A76E50">
            <w:pPr>
              <w:rPr>
                <w:color w:val="0000FF"/>
                <w:sz w:val="20"/>
                <w:highlight w:val="yellow"/>
              </w:rPr>
            </w:pPr>
          </w:p>
        </w:tc>
        <w:tc>
          <w:tcPr>
            <w:tcW w:w="4102" w:type="dxa"/>
            <w:tcBorders>
              <w:top w:val="nil"/>
              <w:left w:val="nil"/>
              <w:bottom w:val="single" w:sz="4" w:space="0" w:color="13B5EA"/>
              <w:right w:val="nil"/>
            </w:tcBorders>
            <w:vAlign w:val="center"/>
          </w:tcPr>
          <w:p w14:paraId="1AA5F428" w14:textId="77777777" w:rsidR="00A76E50" w:rsidRPr="00B81300" w:rsidRDefault="00A76E50" w:rsidP="00A76E50">
            <w:pPr>
              <w:jc w:val="both"/>
              <w:rPr>
                <w:color w:val="0000FF"/>
                <w:sz w:val="20"/>
                <w:highlight w:val="yellow"/>
              </w:rPr>
            </w:pPr>
            <w:bookmarkStart w:id="786" w:name="_Toc49506923"/>
            <w:r w:rsidRPr="004A79A6">
              <w:rPr>
                <w:rStyle w:val="grafChar"/>
                <w:sz w:val="20"/>
              </w:rPr>
              <w:t>Graf 11: Podiely zložiek daňových príjmov v roku 2019</w:t>
            </w:r>
            <w:bookmarkEnd w:id="786"/>
            <w:r w:rsidRPr="004A79A6">
              <w:rPr>
                <w:rStyle w:val="grafChar"/>
                <w:sz w:val="20"/>
              </w:rPr>
              <w:t xml:space="preserve"> </w:t>
            </w:r>
            <w:r w:rsidRPr="00B23E24">
              <w:rPr>
                <w:b/>
                <w:color w:val="13B5EA"/>
                <w:sz w:val="20"/>
              </w:rPr>
              <w:t>(%, ESA2010)</w:t>
            </w:r>
          </w:p>
        </w:tc>
      </w:tr>
      <w:tr w:rsidR="00A76E50" w:rsidRPr="00B81300" w14:paraId="69B6A257" w14:textId="77777777" w:rsidTr="00FA67C0">
        <w:trPr>
          <w:trHeight w:val="2277"/>
          <w:jc w:val="center"/>
        </w:trPr>
        <w:tc>
          <w:tcPr>
            <w:tcW w:w="4356" w:type="dxa"/>
            <w:tcBorders>
              <w:top w:val="single" w:sz="4" w:space="0" w:color="13B5EA"/>
              <w:left w:val="nil"/>
              <w:bottom w:val="single" w:sz="4" w:space="0" w:color="13B5EA"/>
              <w:right w:val="nil"/>
            </w:tcBorders>
            <w:vAlign w:val="center"/>
          </w:tcPr>
          <w:p w14:paraId="370481C2" w14:textId="77777777" w:rsidR="00A76E50" w:rsidRPr="00B81300" w:rsidRDefault="094D9D3F" w:rsidP="00A76E50">
            <w:pPr>
              <w:rPr>
                <w:highlight w:val="yellow"/>
              </w:rPr>
            </w:pPr>
            <w:r>
              <w:rPr>
                <w:noProof/>
              </w:rPr>
              <w:drawing>
                <wp:inline distT="0" distB="0" distL="0" distR="0" wp14:anchorId="1CC8C0FA" wp14:editId="23B3EFD6">
                  <wp:extent cx="2628900" cy="1963003"/>
                  <wp:effectExtent l="0" t="0" r="0" b="0"/>
                  <wp:docPr id="1553105854"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8"/>
                          <pic:cNvPicPr/>
                        </pic:nvPicPr>
                        <pic:blipFill>
                          <a:blip r:embed="rId26">
                            <a:extLst>
                              <a:ext uri="{28A0092B-C50C-407E-A947-70E740481C1C}">
                                <a14:useLocalDpi xmlns:a14="http://schemas.microsoft.com/office/drawing/2010/main" val="0"/>
                              </a:ext>
                            </a:extLst>
                          </a:blip>
                          <a:stretch>
                            <a:fillRect/>
                          </a:stretch>
                        </pic:blipFill>
                        <pic:spPr>
                          <a:xfrm>
                            <a:off x="0" y="0"/>
                            <a:ext cx="2628900" cy="1963003"/>
                          </a:xfrm>
                          <a:prstGeom prst="rect">
                            <a:avLst/>
                          </a:prstGeom>
                        </pic:spPr>
                      </pic:pic>
                    </a:graphicData>
                  </a:graphic>
                </wp:inline>
              </w:drawing>
            </w:r>
          </w:p>
        </w:tc>
        <w:tc>
          <w:tcPr>
            <w:tcW w:w="236" w:type="dxa"/>
            <w:tcBorders>
              <w:top w:val="nil"/>
              <w:left w:val="nil"/>
              <w:bottom w:val="nil"/>
              <w:right w:val="nil"/>
            </w:tcBorders>
            <w:vAlign w:val="center"/>
          </w:tcPr>
          <w:p w14:paraId="42F2C3EC" w14:textId="77777777" w:rsidR="00A76E50" w:rsidRPr="00B81300" w:rsidRDefault="00A76E50" w:rsidP="00A76E50">
            <w:pPr>
              <w:rPr>
                <w:highlight w:val="yellow"/>
              </w:rPr>
            </w:pPr>
          </w:p>
        </w:tc>
        <w:tc>
          <w:tcPr>
            <w:tcW w:w="4102" w:type="dxa"/>
            <w:tcBorders>
              <w:top w:val="single" w:sz="4" w:space="0" w:color="13B5EA"/>
              <w:left w:val="nil"/>
              <w:bottom w:val="single" w:sz="4" w:space="0" w:color="13B5EA"/>
              <w:right w:val="nil"/>
            </w:tcBorders>
            <w:vAlign w:val="center"/>
          </w:tcPr>
          <w:p w14:paraId="76530368" w14:textId="77777777" w:rsidR="00A76E50" w:rsidRPr="00B81300" w:rsidRDefault="094D9D3F" w:rsidP="00A76E50">
            <w:pPr>
              <w:ind w:right="-207"/>
              <w:jc w:val="center"/>
              <w:rPr>
                <w:highlight w:val="yellow"/>
              </w:rPr>
            </w:pPr>
            <w:r>
              <w:rPr>
                <w:noProof/>
              </w:rPr>
              <w:drawing>
                <wp:inline distT="0" distB="0" distL="0" distR="0" wp14:anchorId="611F56D8" wp14:editId="3253DFEC">
                  <wp:extent cx="2467610" cy="2100436"/>
                  <wp:effectExtent l="0" t="0" r="8890" b="0"/>
                  <wp:docPr id="19896535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7">
                            <a:extLst>
                              <a:ext uri="{28A0092B-C50C-407E-A947-70E740481C1C}">
                                <a14:useLocalDpi xmlns:a14="http://schemas.microsoft.com/office/drawing/2010/main" val="0"/>
                              </a:ext>
                            </a:extLst>
                          </a:blip>
                          <a:stretch>
                            <a:fillRect/>
                          </a:stretch>
                        </pic:blipFill>
                        <pic:spPr>
                          <a:xfrm>
                            <a:off x="0" y="0"/>
                            <a:ext cx="2467610" cy="2100436"/>
                          </a:xfrm>
                          <a:prstGeom prst="rect">
                            <a:avLst/>
                          </a:prstGeom>
                        </pic:spPr>
                      </pic:pic>
                    </a:graphicData>
                  </a:graphic>
                </wp:inline>
              </w:drawing>
            </w:r>
          </w:p>
        </w:tc>
      </w:tr>
      <w:tr w:rsidR="00A76E50" w:rsidRPr="00004EDD" w14:paraId="1B89699F" w14:textId="77777777" w:rsidTr="00FA67C0">
        <w:trPr>
          <w:jc w:val="center"/>
        </w:trPr>
        <w:tc>
          <w:tcPr>
            <w:tcW w:w="8694" w:type="dxa"/>
            <w:gridSpan w:val="3"/>
            <w:tcBorders>
              <w:top w:val="single" w:sz="4" w:space="0" w:color="13B5EA"/>
              <w:left w:val="nil"/>
              <w:bottom w:val="nil"/>
              <w:right w:val="nil"/>
            </w:tcBorders>
          </w:tcPr>
          <w:p w14:paraId="1E7EE3A9" w14:textId="77777777" w:rsidR="00A76E50" w:rsidRPr="00004EDD" w:rsidRDefault="00A76E50" w:rsidP="00A76E50">
            <w:pPr>
              <w:tabs>
                <w:tab w:val="left" w:pos="579"/>
                <w:tab w:val="right" w:pos="3602"/>
              </w:tabs>
              <w:jc w:val="both"/>
              <w:rPr>
                <w:i/>
                <w:color w:val="00B0F0"/>
                <w:sz w:val="16"/>
                <w:szCs w:val="16"/>
              </w:rPr>
            </w:pPr>
            <w:r w:rsidRPr="00004EDD">
              <w:rPr>
                <w:i/>
                <w:color w:val="00B0F0"/>
                <w:sz w:val="16"/>
                <w:szCs w:val="16"/>
              </w:rPr>
              <w:t xml:space="preserve">* Ide o štátom platené poistné za vybraný okruh osôb a imputované poistné. Sú to transakcie medzi subjektmi verejnej správy, ktoré sa v zmysle metodiky ESA2010 nekonsolidujú a navyšujú daňové príjmy a výdavky verejnej správy o rovnakú sumu. </w:t>
            </w:r>
          </w:p>
          <w:p w14:paraId="04F08E22" w14:textId="77777777" w:rsidR="00A76E50" w:rsidRPr="00004EDD" w:rsidRDefault="00A76E50" w:rsidP="00A76E50">
            <w:pPr>
              <w:tabs>
                <w:tab w:val="left" w:pos="579"/>
                <w:tab w:val="right" w:pos="3602"/>
              </w:tabs>
              <w:jc w:val="right"/>
              <w:rPr>
                <w:i/>
                <w:color w:val="00B0F0"/>
                <w:sz w:val="16"/>
                <w:szCs w:val="16"/>
              </w:rPr>
            </w:pPr>
            <w:r w:rsidRPr="00004EDD">
              <w:rPr>
                <w:i/>
                <w:color w:val="00B0F0"/>
                <w:sz w:val="16"/>
                <w:szCs w:val="16"/>
              </w:rPr>
              <w:t>Zdroj: RRZ, ŠÚ SR</w:t>
            </w:r>
          </w:p>
        </w:tc>
      </w:tr>
    </w:tbl>
    <w:p w14:paraId="377B42BF" w14:textId="7AF84938" w:rsidR="00A76E50" w:rsidRDefault="00A76E50" w:rsidP="00EA74D3">
      <w:pPr>
        <w:jc w:val="both"/>
      </w:pPr>
    </w:p>
    <w:tbl>
      <w:tblPr>
        <w:tblStyle w:val="TableGrid"/>
        <w:tblW w:w="0" w:type="auto"/>
        <w:tblBorders>
          <w:top w:val="single" w:sz="4" w:space="0" w:color="13B5EA"/>
          <w:left w:val="single" w:sz="4" w:space="0" w:color="13B5EA"/>
          <w:bottom w:val="single" w:sz="4" w:space="0" w:color="13B5EA"/>
          <w:right w:val="single" w:sz="4" w:space="0" w:color="13B5EA"/>
          <w:insideH w:val="single" w:sz="4" w:space="0" w:color="13B5EA"/>
          <w:insideV w:val="single" w:sz="4" w:space="0" w:color="13B5EA"/>
        </w:tblBorders>
        <w:tblLook w:val="04A0" w:firstRow="1" w:lastRow="0" w:firstColumn="1" w:lastColumn="0" w:noHBand="0" w:noVBand="1"/>
      </w:tblPr>
      <w:tblGrid>
        <w:gridCol w:w="9060"/>
      </w:tblGrid>
      <w:tr w:rsidR="00EA74D3" w:rsidRPr="002A53C2" w14:paraId="784996A4" w14:textId="77777777" w:rsidTr="00FA67C0">
        <w:trPr>
          <w:trHeight w:val="2219"/>
        </w:trPr>
        <w:tc>
          <w:tcPr>
            <w:tcW w:w="9060" w:type="dxa"/>
            <w:shd w:val="clear" w:color="auto" w:fill="B1E8F9"/>
          </w:tcPr>
          <w:p w14:paraId="5D2AA2EA" w14:textId="77777777" w:rsidR="00020CFB" w:rsidRPr="00020CFB" w:rsidRDefault="00020CFB" w:rsidP="00020CFB">
            <w:pPr>
              <w:rPr>
                <w:sz w:val="10"/>
                <w:szCs w:val="10"/>
              </w:rPr>
            </w:pPr>
          </w:p>
          <w:p w14:paraId="53E690FE" w14:textId="044EC6BB" w:rsidR="00EA74D3" w:rsidRPr="00C47F47" w:rsidRDefault="00EA74D3" w:rsidP="004A79A6">
            <w:pPr>
              <w:pStyle w:val="box"/>
              <w:rPr>
                <w:rFonts w:eastAsia="Cambria"/>
                <w:bCs/>
                <w:sz w:val="20"/>
                <w:lang w:val="sk-SK"/>
              </w:rPr>
            </w:pPr>
            <w:bookmarkStart w:id="787" w:name="_Toc49506896"/>
            <w:r w:rsidRPr="00C47F47">
              <w:rPr>
                <w:sz w:val="20"/>
                <w:szCs w:val="20"/>
                <w:lang w:val="sk-SK"/>
              </w:rPr>
              <w:t>B</w:t>
            </w:r>
            <w:r w:rsidRPr="00C47F47">
              <w:rPr>
                <w:rFonts w:eastAsia="Cambria"/>
                <w:bCs/>
                <w:sz w:val="20"/>
                <w:lang w:val="sk-SK"/>
              </w:rPr>
              <w:t xml:space="preserve">ox </w:t>
            </w:r>
            <w:r w:rsidR="00163A0C" w:rsidRPr="00C47F47">
              <w:rPr>
                <w:rFonts w:eastAsia="Cambria"/>
                <w:b w:val="0"/>
                <w:bCs/>
                <w:sz w:val="20"/>
                <w:lang w:val="sk-SK"/>
              </w:rPr>
              <w:t>6</w:t>
            </w:r>
            <w:r w:rsidRPr="00C47F47">
              <w:rPr>
                <w:rFonts w:eastAsia="Cambria"/>
                <w:bCs/>
                <w:sz w:val="20"/>
                <w:lang w:val="sk-SK"/>
              </w:rPr>
              <w:t>: Riziká v príjmoch verejnej správy</w:t>
            </w:r>
            <w:bookmarkEnd w:id="787"/>
          </w:p>
          <w:p w14:paraId="380A8DAE" w14:textId="07EA1DBD" w:rsidR="00EA74D3" w:rsidRPr="00656795" w:rsidRDefault="00EA74D3" w:rsidP="00397295">
            <w:pPr>
              <w:jc w:val="both"/>
              <w:rPr>
                <w:rFonts w:eastAsia="Cambria"/>
                <w:color w:val="13B5EA"/>
                <w:sz w:val="16"/>
                <w:szCs w:val="18"/>
              </w:rPr>
            </w:pPr>
          </w:p>
          <w:p w14:paraId="2FE1FB73" w14:textId="71D2A46C" w:rsidR="00EA74D3" w:rsidRDefault="00CA4B3B" w:rsidP="00EA74D3">
            <w:pPr>
              <w:jc w:val="both"/>
              <w:rPr>
                <w:sz w:val="20"/>
              </w:rPr>
            </w:pPr>
            <w:r w:rsidRPr="00E9421C">
              <w:rPr>
                <w:sz w:val="20"/>
              </w:rPr>
              <w:t>V rozpočte sú pravidelne nadhodnocované niektoré príjmy</w:t>
            </w:r>
            <w:r w:rsidR="00EA74D3" w:rsidRPr="00E9421C">
              <w:rPr>
                <w:sz w:val="20"/>
              </w:rPr>
              <w:t>, ktoré neposudzuje výbor. Ide najmä o príjmy z dividend, z predaja emisných</w:t>
            </w:r>
            <w:r w:rsidR="00EA74D3" w:rsidRPr="004A79A6">
              <w:rPr>
                <w:sz w:val="20"/>
              </w:rPr>
              <w:t xml:space="preserve"> povoleniek a príjmov z uskladnenia núdzových zásob ropy, pri ktorých odchýlka skutočných hodnôt od rozpočtovaných dosiahla v rokoch 2015 až 2019 v priemere takmer 37 % (graf 1</w:t>
            </w:r>
            <w:r w:rsidR="00A76E50">
              <w:rPr>
                <w:sz w:val="20"/>
              </w:rPr>
              <w:t>2</w:t>
            </w:r>
            <w:r w:rsidR="00EA74D3" w:rsidRPr="004A79A6">
              <w:rPr>
                <w:sz w:val="20"/>
              </w:rPr>
              <w:t>). Odborná diskusia o predpokladoch vývoja týchto položiek a ich nezávislé posúdenie by zvýšili transparentnosť rozpočtového procesu a odstránili ich opakované nadhodnocovanie v rozpočte. Rozšírenie prognózy výboru na všetky daňové príjmy podľa ESA2010 a vybrané nedaňové príjmy by výrazne zvýšilo reálnosť dosiahnutia rozpočtovaných príjmov.</w:t>
            </w:r>
          </w:p>
          <w:p w14:paraId="41A1869C" w14:textId="77777777" w:rsidR="00772551" w:rsidRPr="00E22672" w:rsidRDefault="00772551" w:rsidP="00EA74D3">
            <w:pPr>
              <w:jc w:val="both"/>
              <w:rPr>
                <w:b/>
                <w:sz w:val="12"/>
                <w:szCs w:val="14"/>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5"/>
            </w:tblGrid>
            <w:tr w:rsidR="00EA74D3" w:rsidRPr="00B81300" w14:paraId="619A77E5" w14:textId="77777777" w:rsidTr="00FA67C0">
              <w:trPr>
                <w:trHeight w:val="397"/>
                <w:jc w:val="center"/>
              </w:trPr>
              <w:tc>
                <w:tcPr>
                  <w:tcW w:w="9086" w:type="dxa"/>
                  <w:tcBorders>
                    <w:top w:val="nil"/>
                    <w:left w:val="nil"/>
                    <w:bottom w:val="single" w:sz="4" w:space="0" w:color="13B5EA"/>
                    <w:right w:val="nil"/>
                  </w:tcBorders>
                  <w:vAlign w:val="center"/>
                </w:tcPr>
                <w:p w14:paraId="4A776640" w14:textId="2FA2D29F" w:rsidR="00EA74D3" w:rsidRPr="00096DEE" w:rsidRDefault="00EA74D3" w:rsidP="00936FB9">
                  <w:pPr>
                    <w:rPr>
                      <w:color w:val="0000FF"/>
                    </w:rPr>
                  </w:pPr>
                  <w:bookmarkStart w:id="788" w:name="_Toc49506924"/>
                  <w:r w:rsidRPr="004A79A6">
                    <w:rPr>
                      <w:rStyle w:val="grafChar"/>
                      <w:sz w:val="20"/>
                      <w:szCs w:val="18"/>
                    </w:rPr>
                    <w:t>Graf 1</w:t>
                  </w:r>
                  <w:r w:rsidR="00A76E50" w:rsidRPr="004A79A6">
                    <w:rPr>
                      <w:rStyle w:val="grafChar"/>
                      <w:sz w:val="20"/>
                      <w:szCs w:val="18"/>
                    </w:rPr>
                    <w:t>2</w:t>
                  </w:r>
                  <w:r w:rsidRPr="004A79A6">
                    <w:rPr>
                      <w:rStyle w:val="grafChar"/>
                      <w:sz w:val="20"/>
                      <w:szCs w:val="18"/>
                    </w:rPr>
                    <w:t>: Vývoj vybraných príjmov v rokoch 2015-2019</w:t>
                  </w:r>
                  <w:bookmarkEnd w:id="788"/>
                  <w:r w:rsidRPr="004A79A6">
                    <w:t xml:space="preserve"> </w:t>
                  </w:r>
                  <w:r w:rsidRPr="004A79A6">
                    <w:rPr>
                      <w:b/>
                      <w:color w:val="13B5EA"/>
                      <w:sz w:val="20"/>
                      <w:szCs w:val="18"/>
                    </w:rPr>
                    <w:t>(mil. eur, ESA2010)</w:t>
                  </w:r>
                </w:p>
              </w:tc>
            </w:tr>
            <w:tr w:rsidR="00EA74D3" w:rsidRPr="00B81300" w14:paraId="72B79B6D" w14:textId="77777777" w:rsidTr="00FA67C0">
              <w:trPr>
                <w:trHeight w:val="2277"/>
                <w:jc w:val="center"/>
              </w:trPr>
              <w:tc>
                <w:tcPr>
                  <w:tcW w:w="9086" w:type="dxa"/>
                  <w:tcBorders>
                    <w:top w:val="single" w:sz="4" w:space="0" w:color="13B5EA"/>
                    <w:left w:val="nil"/>
                    <w:bottom w:val="single" w:sz="4" w:space="0" w:color="13B5EA"/>
                    <w:right w:val="nil"/>
                  </w:tcBorders>
                  <w:vAlign w:val="center"/>
                </w:tcPr>
                <w:p w14:paraId="7DF67370" w14:textId="77777777" w:rsidR="00EA74D3" w:rsidRPr="00096DEE" w:rsidRDefault="654E55C7" w:rsidP="00EA74D3">
                  <w:pPr>
                    <w:jc w:val="center"/>
                  </w:pPr>
                  <w:r>
                    <w:rPr>
                      <w:noProof/>
                    </w:rPr>
                    <w:drawing>
                      <wp:inline distT="0" distB="0" distL="0" distR="0" wp14:anchorId="0C81C687" wp14:editId="41B093A8">
                        <wp:extent cx="5243197" cy="2414270"/>
                        <wp:effectExtent l="0" t="0" r="0" b="5080"/>
                        <wp:docPr id="145787632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8">
                                  <a:extLst>
                                    <a:ext uri="{28A0092B-C50C-407E-A947-70E740481C1C}">
                                      <a14:useLocalDpi xmlns:a14="http://schemas.microsoft.com/office/drawing/2010/main" val="0"/>
                                    </a:ext>
                                  </a:extLst>
                                </a:blip>
                                <a:stretch>
                                  <a:fillRect/>
                                </a:stretch>
                              </pic:blipFill>
                              <pic:spPr>
                                <a:xfrm>
                                  <a:off x="0" y="0"/>
                                  <a:ext cx="5243197" cy="2414270"/>
                                </a:xfrm>
                                <a:prstGeom prst="rect">
                                  <a:avLst/>
                                </a:prstGeom>
                              </pic:spPr>
                            </pic:pic>
                          </a:graphicData>
                        </a:graphic>
                      </wp:inline>
                    </w:drawing>
                  </w:r>
                </w:p>
              </w:tc>
            </w:tr>
            <w:tr w:rsidR="00EA74D3" w:rsidRPr="00B81300" w14:paraId="2F4AB40B" w14:textId="77777777" w:rsidTr="00FA67C0">
              <w:trPr>
                <w:jc w:val="center"/>
              </w:trPr>
              <w:tc>
                <w:tcPr>
                  <w:tcW w:w="9086" w:type="dxa"/>
                  <w:tcBorders>
                    <w:top w:val="single" w:sz="4" w:space="0" w:color="13B5EA"/>
                    <w:left w:val="nil"/>
                    <w:bottom w:val="nil"/>
                    <w:right w:val="nil"/>
                  </w:tcBorders>
                </w:tcPr>
                <w:p w14:paraId="08D29BAA" w14:textId="3108D782" w:rsidR="00EA74D3" w:rsidRPr="00096DEE" w:rsidRDefault="00EA74D3" w:rsidP="00EA74D3">
                  <w:pPr>
                    <w:jc w:val="right"/>
                    <w:rPr>
                      <w:i/>
                      <w:color w:val="00B0F0"/>
                      <w:sz w:val="16"/>
                      <w:szCs w:val="16"/>
                    </w:rPr>
                  </w:pPr>
                  <w:r w:rsidRPr="00096DEE">
                    <w:rPr>
                      <w:i/>
                      <w:color w:val="00B0F0"/>
                      <w:sz w:val="16"/>
                      <w:szCs w:val="16"/>
                    </w:rPr>
                    <w:t>* ide o dividendy od spoločností SPP a VSE Holding                                                                                           Zdroj: MF SR, ŠÚ SR</w:t>
                  </w:r>
                </w:p>
                <w:p w14:paraId="66567747" w14:textId="77777777" w:rsidR="00EA74D3" w:rsidRDefault="00EA74D3" w:rsidP="00EA74D3">
                  <w:pPr>
                    <w:rPr>
                      <w:i/>
                      <w:color w:val="00B0F0"/>
                      <w:sz w:val="16"/>
                      <w:szCs w:val="16"/>
                    </w:rPr>
                  </w:pPr>
                  <w:r w:rsidRPr="00096DEE">
                    <w:rPr>
                      <w:i/>
                      <w:color w:val="00B0F0"/>
                      <w:sz w:val="16"/>
                      <w:szCs w:val="16"/>
                    </w:rPr>
                    <w:t>Pozn.: R – schválený rozpočet verejnej správy, S - skutočnosť</w:t>
                  </w:r>
                </w:p>
                <w:p w14:paraId="12AA6E00" w14:textId="738F9510" w:rsidR="00EA74D3" w:rsidRPr="00E22672" w:rsidRDefault="00EA74D3" w:rsidP="00EA74D3">
                  <w:pPr>
                    <w:rPr>
                      <w:i/>
                      <w:color w:val="00B0F0"/>
                      <w:sz w:val="10"/>
                      <w:szCs w:val="10"/>
                    </w:rPr>
                  </w:pPr>
                </w:p>
              </w:tc>
            </w:tr>
          </w:tbl>
          <w:p w14:paraId="13A33C36" w14:textId="77777777" w:rsidR="00EA74D3" w:rsidRPr="0043275F" w:rsidRDefault="00EA74D3" w:rsidP="00397295">
            <w:pPr>
              <w:jc w:val="both"/>
              <w:rPr>
                <w:rFonts w:eastAsia="Cambria"/>
                <w:sz w:val="20"/>
                <w:szCs w:val="20"/>
              </w:rPr>
            </w:pPr>
          </w:p>
        </w:tc>
      </w:tr>
      <w:bookmarkEnd w:id="784"/>
    </w:tbl>
    <w:p w14:paraId="48E16002" w14:textId="77777777" w:rsidR="00CA541F" w:rsidRPr="00B81300" w:rsidRDefault="00CA541F" w:rsidP="00CA541F">
      <w:pPr>
        <w:jc w:val="both"/>
        <w:rPr>
          <w:highlight w:val="yellow"/>
        </w:rPr>
      </w:pPr>
    </w:p>
    <w:p w14:paraId="05E1AE3D" w14:textId="2F25954D" w:rsidR="00CA541F" w:rsidRPr="00BE0249" w:rsidRDefault="00CA541F" w:rsidP="00CA541F">
      <w:pPr>
        <w:jc w:val="both"/>
      </w:pPr>
      <w:bookmarkStart w:id="789" w:name="_Hlk48564829"/>
      <w:r w:rsidRPr="00931ED3">
        <w:rPr>
          <w:b/>
        </w:rPr>
        <w:t>Ďalší problém z hľadiska transparentnosti predstavuje opakované navýšenie daňových príjmov rozpočtu nad rámec prognózy VpDP</w:t>
      </w:r>
      <w:r w:rsidRPr="00BE0249">
        <w:rPr>
          <w:b/>
        </w:rPr>
        <w:t>. Rozpočet VS na roky 2020-2022 prezentuje daňové prognózy netransparentne</w:t>
      </w:r>
      <w:r w:rsidRPr="00BE0249">
        <w:t xml:space="preserve">. Textová časť síce obsahuje informáciu, že daňová </w:t>
      </w:r>
      <w:r w:rsidRPr="00BE0249">
        <w:lastRenderedPageBreak/>
        <w:t xml:space="preserve">prognóza </w:t>
      </w:r>
      <w:r w:rsidRPr="00BE0249">
        <w:rPr>
          <w:b/>
        </w:rPr>
        <w:t xml:space="preserve">schválená nezávislým Výborom pre daňové prognózy (VpDP) </w:t>
      </w:r>
      <w:r w:rsidRPr="00BE0249">
        <w:t>bola pre účely rozpočtu navýšená, chýbajú však konkrétne sumy</w:t>
      </w:r>
      <w:r w:rsidRPr="00BE0249">
        <w:rPr>
          <w:rStyle w:val="FootnoteReference"/>
        </w:rPr>
        <w:footnoteReference w:id="76"/>
      </w:r>
      <w:r w:rsidRPr="00BE0249">
        <w:t xml:space="preserve">. </w:t>
      </w:r>
      <w:r w:rsidR="00973C85">
        <w:rPr>
          <w:b/>
        </w:rPr>
        <w:t>Údaje v</w:t>
      </w:r>
      <w:r w:rsidRPr="00BE0249">
        <w:rPr>
          <w:b/>
        </w:rPr>
        <w:t xml:space="preserve"> tabuľk</w:t>
      </w:r>
      <w:r w:rsidR="00973C85">
        <w:rPr>
          <w:b/>
        </w:rPr>
        <w:t>ách</w:t>
      </w:r>
      <w:r w:rsidRPr="00BE0249">
        <w:rPr>
          <w:b/>
        </w:rPr>
        <w:t xml:space="preserve"> nezodpovedajú daňovým príjmom skutočne zahrnutým v rozpočte</w:t>
      </w:r>
      <w:r w:rsidRPr="00BE0249">
        <w:t xml:space="preserve"> (uvedená je prognóza VpDP z</w:t>
      </w:r>
      <w:r w:rsidR="001F7BCB" w:rsidRPr="00BE0249">
        <w:t xml:space="preserve"> novembra </w:t>
      </w:r>
      <w:r w:rsidRPr="00BE0249">
        <w:t>2019, t.j. bez spomínaného navýšenia). Opakuje sa tak nepresné informovanie verejnosti a parlamentu o celkovej výške daňových a odvodových príjmov.</w:t>
      </w:r>
    </w:p>
    <w:p w14:paraId="3DE6126F" w14:textId="77777777" w:rsidR="00CA541F" w:rsidRPr="0010368A" w:rsidRDefault="00CA541F" w:rsidP="00CA541F">
      <w:pPr>
        <w:jc w:val="both"/>
        <w:rPr>
          <w:highlight w:val="yellow"/>
        </w:rPr>
      </w:pPr>
    </w:p>
    <w:p w14:paraId="3E5DEF9C" w14:textId="6EAB65EA" w:rsidR="00CA541F" w:rsidRPr="00BE0249" w:rsidRDefault="00CA541F" w:rsidP="00CA541F">
      <w:pPr>
        <w:jc w:val="both"/>
      </w:pPr>
      <w:r w:rsidRPr="00BE0249">
        <w:t>V skutočnosti došlo v rozpočte ku navýšeniu daňovej prognózy VpDP o 180 mil. eur v roku 2020, o 190 mil. eur v roku 2021 a o 200 mil. eur v roku 2022</w:t>
      </w:r>
      <w:r w:rsidRPr="00BE0249">
        <w:rPr>
          <w:vertAlign w:val="superscript"/>
        </w:rPr>
        <w:footnoteReference w:id="77"/>
      </w:r>
      <w:r w:rsidRPr="00BE0249">
        <w:t>. Dodatočné zvýšenie prognózy bez je</w:t>
      </w:r>
      <w:r w:rsidR="00973C85">
        <w:t>j</w:t>
      </w:r>
      <w:r w:rsidRPr="00BE0249">
        <w:t xml:space="preserve"> schválenia výborom nemožno z pohľadu RRZ považovať za dôveryhodné, pričom v minulosti sa takýto krok už viackrát opakoval</w:t>
      </w:r>
      <w:r w:rsidRPr="00BE0249">
        <w:rPr>
          <w:vertAlign w:val="superscript"/>
        </w:rPr>
        <w:footnoteReference w:id="78"/>
      </w:r>
      <w:r w:rsidRPr="00BE0249">
        <w:t>. Znižuje sa tým zároveň funkčnosť fiškálneho pravidla umožňujúceho navýšenie hotovostných výdavkov štátneho rozpočtu najviac o 1 %</w:t>
      </w:r>
      <w:r w:rsidRPr="00BE0249">
        <w:rPr>
          <w:vertAlign w:val="superscript"/>
        </w:rPr>
        <w:footnoteReference w:id="79"/>
      </w:r>
      <w:r w:rsidRPr="00BE0249">
        <w:t>.</w:t>
      </w:r>
    </w:p>
    <w:p w14:paraId="34BE11DC" w14:textId="77777777" w:rsidR="00CA541F" w:rsidRPr="0010368A" w:rsidRDefault="00CA541F" w:rsidP="00CA541F">
      <w:pPr>
        <w:jc w:val="both"/>
        <w:rPr>
          <w:highlight w:val="yellow"/>
        </w:rPr>
      </w:pPr>
    </w:p>
    <w:p w14:paraId="7ABFE4C2" w14:textId="78F65D55" w:rsidR="00CA541F" w:rsidRDefault="00CA541F" w:rsidP="00CA541F">
      <w:pPr>
        <w:jc w:val="both"/>
      </w:pPr>
      <w:r w:rsidRPr="00ED788F">
        <w:t xml:space="preserve">Zmeny súvisiace s daňovými opatreniami boli schválené počas 53. schôdze NR SR prebiehajúcej od 26. novembra do 5. decembra 2019, pričom ich vplyvy posudzoval na svojom zasadnutí </w:t>
      </w:r>
      <w:r w:rsidRPr="00ED788F">
        <w:rPr>
          <w:b/>
        </w:rPr>
        <w:t>Výbor pre daňové prognózy 28. novembra 2019</w:t>
      </w:r>
      <w:r w:rsidRPr="00ED788F">
        <w:t xml:space="preserve">. </w:t>
      </w:r>
      <w:r w:rsidRPr="00ED788F">
        <w:rPr>
          <w:b/>
        </w:rPr>
        <w:t>Prognóza výboru bola členmi označená ako realistická.</w:t>
      </w:r>
    </w:p>
    <w:p w14:paraId="2EB7DD64" w14:textId="77777777" w:rsidR="00CA541F" w:rsidRPr="002C63A0" w:rsidRDefault="00CA541F" w:rsidP="00CA541F">
      <w:pPr>
        <w:jc w:val="both"/>
      </w:pPr>
    </w:p>
    <w:p w14:paraId="5EB502FE" w14:textId="6AA19EA9" w:rsidR="00CA541F" w:rsidRPr="006B6343" w:rsidRDefault="00CA541F" w:rsidP="00CA541F">
      <w:pPr>
        <w:jc w:val="both"/>
      </w:pPr>
      <w:r w:rsidRPr="008D374A">
        <w:rPr>
          <w:b/>
        </w:rPr>
        <w:t xml:space="preserve">Na zamedzenie takejto situácie by bolo potrebné uzákoniť povinnosť používania prognózy VpDP v celom rozpočtovom procese, pričom prognóza by mala obsahovať aj vplyvy všetkých legislatívnych opatrení schválených NR SR v danom roku. </w:t>
      </w:r>
      <w:r w:rsidR="00973C85" w:rsidRPr="00973C85">
        <w:rPr>
          <w:bCs/>
        </w:rPr>
        <w:t xml:space="preserve">V tejto súvislosti MF SR pripravuje </w:t>
      </w:r>
      <w:r w:rsidR="002763F4" w:rsidRPr="00973C85">
        <w:rPr>
          <w:bCs/>
        </w:rPr>
        <w:t xml:space="preserve">novelu zákona o rozpočtových pravidlách verejnej správy </w:t>
      </w:r>
      <w:r w:rsidR="00973C85" w:rsidRPr="00973C85">
        <w:rPr>
          <w:bCs/>
        </w:rPr>
        <w:t>s predpokladano</w:t>
      </w:r>
      <w:r w:rsidR="002763F4">
        <w:rPr>
          <w:bCs/>
        </w:rPr>
        <w:t>u</w:t>
      </w:r>
      <w:r w:rsidR="00973C85" w:rsidRPr="00973C85">
        <w:rPr>
          <w:bCs/>
        </w:rPr>
        <w:t xml:space="preserve"> účinnosťou od 1. januára 2021</w:t>
      </w:r>
      <w:r w:rsidR="00E9421C">
        <w:rPr>
          <w:rStyle w:val="FootnoteReference"/>
          <w:bCs/>
        </w:rPr>
        <w:footnoteReference w:id="80"/>
      </w:r>
      <w:r w:rsidR="00973C85" w:rsidRPr="00973C85">
        <w:rPr>
          <w:bCs/>
        </w:rPr>
        <w:t xml:space="preserve">, ktorá by zo zákona vypustila možnosť použitia </w:t>
      </w:r>
      <w:r w:rsidR="002763F4">
        <w:rPr>
          <w:bCs/>
        </w:rPr>
        <w:t xml:space="preserve">dodatočne potvrdených daňových príjmov (nad rámec príjmov zahrnutých v rozpočte) na dodatočné </w:t>
      </w:r>
      <w:r w:rsidR="00973C85" w:rsidRPr="00973C85">
        <w:rPr>
          <w:bCs/>
        </w:rPr>
        <w:t>výdavk</w:t>
      </w:r>
      <w:r w:rsidR="002763F4">
        <w:rPr>
          <w:bCs/>
        </w:rPr>
        <w:t>y</w:t>
      </w:r>
      <w:r w:rsidR="00973C85" w:rsidRPr="00973C85">
        <w:rPr>
          <w:bCs/>
        </w:rPr>
        <w:t xml:space="preserve"> štátneho rozpočt</w:t>
      </w:r>
      <w:r w:rsidR="002763F4">
        <w:rPr>
          <w:bCs/>
        </w:rPr>
        <w:t>u</w:t>
      </w:r>
      <w:r w:rsidR="002763F4">
        <w:rPr>
          <w:rStyle w:val="FootnoteReference"/>
          <w:bCs/>
        </w:rPr>
        <w:footnoteReference w:id="81"/>
      </w:r>
      <w:r w:rsidR="00973C85" w:rsidRPr="00973C85">
        <w:rPr>
          <w:bCs/>
        </w:rPr>
        <w:t>.</w:t>
      </w:r>
      <w:r w:rsidR="00973C85">
        <w:rPr>
          <w:b/>
        </w:rPr>
        <w:t xml:space="preserve"> </w:t>
      </w:r>
      <w:r w:rsidR="006B6343" w:rsidRPr="006B6343">
        <w:rPr>
          <w:bCs/>
        </w:rPr>
        <w:t xml:space="preserve">Takáto úprava by prispela k zlepšeniu pravidiel </w:t>
      </w:r>
      <w:r w:rsidR="006B6343" w:rsidRPr="006B6343">
        <w:rPr>
          <w:bCs/>
        </w:rPr>
        <w:lastRenderedPageBreak/>
        <w:t xml:space="preserve">v tejto oblasti, </w:t>
      </w:r>
      <w:r w:rsidR="006B6343">
        <w:rPr>
          <w:bCs/>
        </w:rPr>
        <w:t xml:space="preserve">možnosť navýšenia prognóz nad rámec údajov schválených nezávislým výborom by však pretrvala, keďže na základe formulácie ústavného zákona sa prognózy </w:t>
      </w:r>
      <w:r w:rsidR="00496A5B">
        <w:rPr>
          <w:bCs/>
        </w:rPr>
        <w:t xml:space="preserve">výboru </w:t>
      </w:r>
      <w:r w:rsidR="006B6343">
        <w:rPr>
          <w:bCs/>
        </w:rPr>
        <w:t>zohľadňujú v rozpočtovom procese, pričom existuje možnosť odchýlenia sa od nich.</w:t>
      </w:r>
    </w:p>
    <w:bookmarkEnd w:id="789"/>
    <w:p w14:paraId="6140B6EB" w14:textId="77777777" w:rsidR="00CA541F" w:rsidRPr="00B81300" w:rsidRDefault="00CA541F" w:rsidP="00CA541F">
      <w:pPr>
        <w:jc w:val="both"/>
        <w:rPr>
          <w:highlight w:val="yellow"/>
        </w:rPr>
      </w:pPr>
    </w:p>
    <w:p w14:paraId="0AB63DC0" w14:textId="77777777" w:rsidR="00CA541F" w:rsidRPr="0055295D" w:rsidRDefault="00CA541F" w:rsidP="00CA541F">
      <w:pPr>
        <w:pStyle w:val="Heading2"/>
        <w:numPr>
          <w:ilvl w:val="1"/>
          <w:numId w:val="2"/>
        </w:numPr>
        <w:spacing w:before="2" w:after="2"/>
        <w:ind w:left="567" w:hanging="567"/>
        <w:rPr>
          <w:b w:val="0"/>
        </w:rPr>
      </w:pPr>
      <w:bookmarkStart w:id="790" w:name="_Toc459208021"/>
      <w:bookmarkStart w:id="791" w:name="_Toc459275439"/>
      <w:bookmarkStart w:id="792" w:name="_Toc459276009"/>
      <w:bookmarkStart w:id="793" w:name="_Toc521678165"/>
      <w:bookmarkStart w:id="794" w:name="_Toc523390338"/>
      <w:bookmarkStart w:id="795" w:name="_Toc523390284"/>
      <w:bookmarkStart w:id="796" w:name="_Toc523391009"/>
      <w:bookmarkStart w:id="797" w:name="_Toc523391590"/>
      <w:bookmarkStart w:id="798" w:name="_Toc523392889"/>
      <w:bookmarkStart w:id="799" w:name="_Toc523393778"/>
      <w:bookmarkStart w:id="800" w:name="_Toc49506882"/>
      <w:r w:rsidRPr="0055295D">
        <w:t>Zverejňovanie údajov</w:t>
      </w:r>
      <w:bookmarkEnd w:id="790"/>
      <w:bookmarkEnd w:id="791"/>
      <w:bookmarkEnd w:id="792"/>
      <w:bookmarkEnd w:id="793"/>
      <w:bookmarkEnd w:id="794"/>
      <w:bookmarkEnd w:id="795"/>
      <w:bookmarkEnd w:id="796"/>
      <w:bookmarkEnd w:id="797"/>
      <w:bookmarkEnd w:id="798"/>
      <w:bookmarkEnd w:id="799"/>
      <w:bookmarkEnd w:id="800"/>
    </w:p>
    <w:p w14:paraId="0C6BA334" w14:textId="77777777" w:rsidR="00CA541F" w:rsidRPr="0055295D" w:rsidRDefault="00CA541F" w:rsidP="00CA541F">
      <w:pPr>
        <w:jc w:val="both"/>
      </w:pPr>
    </w:p>
    <w:p w14:paraId="1860BB10" w14:textId="77777777" w:rsidR="00CA541F" w:rsidRPr="0055295D" w:rsidRDefault="00CA541F" w:rsidP="00CA541F">
      <w:pPr>
        <w:jc w:val="both"/>
      </w:pPr>
      <w:r w:rsidRPr="0055295D">
        <w:t>Táto časť hodnotí, či materiály Rozpočet verejnej správy na roky 20</w:t>
      </w:r>
      <w:r>
        <w:t>20</w:t>
      </w:r>
      <w:r w:rsidRPr="0055295D">
        <w:t>-202</w:t>
      </w:r>
      <w:r>
        <w:t>2</w:t>
      </w:r>
      <w:r w:rsidRPr="0055295D">
        <w:t xml:space="preserve"> a Súhrnná výročná správa Slovenskej republiky za rok 201</w:t>
      </w:r>
      <w:r>
        <w:t>8</w:t>
      </w:r>
      <w:r w:rsidRPr="0055295D">
        <w:t xml:space="preserve">, obsahovali všetky náležitosti vymedzené v ústavnom zákone. </w:t>
      </w:r>
    </w:p>
    <w:p w14:paraId="51F51EFE" w14:textId="77777777" w:rsidR="00CA541F" w:rsidRPr="0055295D" w:rsidRDefault="00CA541F" w:rsidP="00CA541F">
      <w:pPr>
        <w:jc w:val="both"/>
        <w:rPr>
          <w:b/>
          <w:color w:val="58595B"/>
          <w:sz w:val="24"/>
        </w:rPr>
      </w:pPr>
    </w:p>
    <w:p w14:paraId="43B2C95E" w14:textId="77777777" w:rsidR="00CA541F" w:rsidRPr="0055295D" w:rsidRDefault="00CA541F" w:rsidP="00CA541F">
      <w:pPr>
        <w:jc w:val="both"/>
        <w:rPr>
          <w:b/>
          <w:color w:val="58595B"/>
          <w:sz w:val="24"/>
        </w:rPr>
      </w:pPr>
      <w:r w:rsidRPr="0055295D">
        <w:rPr>
          <w:b/>
          <w:color w:val="58595B"/>
          <w:sz w:val="24"/>
        </w:rPr>
        <w:t>3.2.1 Rozpočet verejnej správy</w:t>
      </w:r>
    </w:p>
    <w:p w14:paraId="3CE405D9" w14:textId="77777777" w:rsidR="00CA541F" w:rsidRPr="0055295D" w:rsidRDefault="00CA541F" w:rsidP="00CA541F">
      <w:pPr>
        <w:jc w:val="both"/>
      </w:pPr>
    </w:p>
    <w:p w14:paraId="12C1227D" w14:textId="39B16EC7" w:rsidR="00CA541F" w:rsidRPr="0055295D" w:rsidRDefault="00CA541F" w:rsidP="00CA541F">
      <w:pPr>
        <w:jc w:val="both"/>
      </w:pPr>
      <w:r w:rsidRPr="0055295D">
        <w:rPr>
          <w:rFonts w:cs="Constantia"/>
          <w:color w:val="000000"/>
        </w:rPr>
        <w:t xml:space="preserve">Proces prípravy rozpočtu ako aj schválené dokumenty by mali rešpektovať pravidlá transparentnosti definované v ústavnom zákone. Dátové požiadavky by mali zabezpečiť lepšiu informovanosť o celkovej situácii v rozpočte a realizovaných politikách. </w:t>
      </w:r>
      <w:r w:rsidRPr="0055295D">
        <w:t>Podľa ústavného zákona by súčasťou návrhov rozpočtov subjektov verejnej správy mali byť údaje o skutočnom plnení za predchádzajúce dva rozpočtové roky, očakávaná skutočnosť a rozpočet bežného roka ako aj rozpočtované položky v horizonte nadchádzajúcich troch rokov. Subjekty verejnej správy sú povinné zverejňovať tieto údaje do 30 dní od schválenia ich rozpočtu a do 60 dní od skončenia rozpočtového roka. Rozpočet verejnej správy by mal obsahovať nasledujúce informácie:</w:t>
      </w:r>
    </w:p>
    <w:p w14:paraId="1654C1EC" w14:textId="77777777" w:rsidR="00CA541F" w:rsidRPr="0055295D" w:rsidRDefault="00CA541F" w:rsidP="00CA541F">
      <w:pPr>
        <w:jc w:val="both"/>
        <w:rPr>
          <w:sz w:val="16"/>
        </w:rPr>
      </w:pPr>
    </w:p>
    <w:p w14:paraId="4CA02A2A" w14:textId="77777777" w:rsidR="00CA541F" w:rsidRPr="0055295D" w:rsidRDefault="00CA541F" w:rsidP="00CA541F">
      <w:pPr>
        <w:numPr>
          <w:ilvl w:val="0"/>
          <w:numId w:val="1"/>
        </w:numPr>
        <w:spacing w:after="18"/>
        <w:jc w:val="both"/>
      </w:pPr>
      <w:r w:rsidRPr="0055295D">
        <w:t xml:space="preserve">konsolidovanú bilanciu rozpočtu verejnej správy, </w:t>
      </w:r>
    </w:p>
    <w:p w14:paraId="377E6646" w14:textId="77777777" w:rsidR="00CA541F" w:rsidRPr="0055295D" w:rsidRDefault="00CA541F" w:rsidP="00CA541F">
      <w:pPr>
        <w:numPr>
          <w:ilvl w:val="0"/>
          <w:numId w:val="1"/>
        </w:numPr>
        <w:spacing w:after="18"/>
        <w:jc w:val="both"/>
      </w:pPr>
      <w:r w:rsidRPr="0055295D">
        <w:t xml:space="preserve">stratégiu riadenia štátneho dlhu, </w:t>
      </w:r>
    </w:p>
    <w:p w14:paraId="07265D2E" w14:textId="77777777" w:rsidR="00CA541F" w:rsidRPr="0055295D" w:rsidRDefault="00CA541F" w:rsidP="00CA541F">
      <w:pPr>
        <w:numPr>
          <w:ilvl w:val="0"/>
          <w:numId w:val="1"/>
        </w:numPr>
        <w:spacing w:after="18"/>
        <w:jc w:val="both"/>
      </w:pPr>
      <w:r w:rsidRPr="0055295D">
        <w:t xml:space="preserve">daňové výdavky, </w:t>
      </w:r>
    </w:p>
    <w:p w14:paraId="65D167B4" w14:textId="77777777" w:rsidR="00CA541F" w:rsidRPr="0055295D" w:rsidRDefault="00CA541F" w:rsidP="00CA541F">
      <w:pPr>
        <w:numPr>
          <w:ilvl w:val="0"/>
          <w:numId w:val="1"/>
        </w:numPr>
        <w:spacing w:after="18"/>
        <w:jc w:val="both"/>
      </w:pPr>
      <w:r w:rsidRPr="0055295D">
        <w:t xml:space="preserve">implicitné záväzky, </w:t>
      </w:r>
    </w:p>
    <w:p w14:paraId="2D8454DC" w14:textId="77777777" w:rsidR="00CA541F" w:rsidRPr="0055295D" w:rsidRDefault="00CA541F" w:rsidP="00CA541F">
      <w:pPr>
        <w:numPr>
          <w:ilvl w:val="0"/>
          <w:numId w:val="1"/>
        </w:numPr>
        <w:spacing w:after="18"/>
        <w:jc w:val="both"/>
      </w:pPr>
      <w:r w:rsidRPr="0055295D">
        <w:t xml:space="preserve">podmienené záväzky, </w:t>
      </w:r>
    </w:p>
    <w:p w14:paraId="48B8480C" w14:textId="77777777" w:rsidR="00CA541F" w:rsidRPr="0055295D" w:rsidRDefault="00CA541F" w:rsidP="00CA541F">
      <w:pPr>
        <w:numPr>
          <w:ilvl w:val="0"/>
          <w:numId w:val="1"/>
        </w:numPr>
        <w:spacing w:after="18"/>
        <w:jc w:val="both"/>
      </w:pPr>
      <w:r w:rsidRPr="0055295D">
        <w:t xml:space="preserve">jednorazové vplyvy, </w:t>
      </w:r>
    </w:p>
    <w:p w14:paraId="60B0E32D" w14:textId="77777777" w:rsidR="00CA541F" w:rsidRPr="0055295D" w:rsidRDefault="00CA541F" w:rsidP="00CA541F">
      <w:pPr>
        <w:numPr>
          <w:ilvl w:val="0"/>
          <w:numId w:val="1"/>
        </w:numPr>
        <w:jc w:val="both"/>
      </w:pPr>
      <w:r w:rsidRPr="0055295D">
        <w:t xml:space="preserve">hospodárenie podnikov štátnej správy. </w:t>
      </w:r>
    </w:p>
    <w:p w14:paraId="7D0827FC" w14:textId="77777777" w:rsidR="00CA541F" w:rsidRPr="00B81300" w:rsidRDefault="00CA541F" w:rsidP="00CA541F">
      <w:pPr>
        <w:jc w:val="both"/>
        <w:rPr>
          <w:highlight w:val="yellow"/>
        </w:rPr>
      </w:pPr>
    </w:p>
    <w:p w14:paraId="3CF2EB4E" w14:textId="77777777" w:rsidR="00CA541F" w:rsidRPr="002062C1" w:rsidRDefault="00CA541F" w:rsidP="00CA541F">
      <w:pPr>
        <w:jc w:val="both"/>
      </w:pPr>
      <w:r w:rsidRPr="00CA3A86">
        <w:t xml:space="preserve">Návrh rozpočtu verejnej správy na roky 2020 až 2022 vláda schválila 14. októbra 2019, NR SR ho vzala na vedomie spolu so schválením zákona o štátnom rozpočte na rok </w:t>
      </w:r>
      <w:r w:rsidRPr="002062C1">
        <w:t xml:space="preserve">2020 na 53. schôdzi dňa 3. decembra 2019. </w:t>
      </w:r>
    </w:p>
    <w:p w14:paraId="4E39D372" w14:textId="77777777" w:rsidR="00CA541F" w:rsidRPr="00B81300" w:rsidRDefault="00CA541F" w:rsidP="00CA541F">
      <w:pPr>
        <w:jc w:val="both"/>
        <w:rPr>
          <w:highlight w:val="yellow"/>
        </w:rPr>
      </w:pPr>
    </w:p>
    <w:p w14:paraId="6253AA00" w14:textId="22B59A6B" w:rsidR="0053122D" w:rsidRDefault="0053122D" w:rsidP="00CA541F">
      <w:pPr>
        <w:jc w:val="both"/>
        <w:rPr>
          <w:b/>
        </w:rPr>
      </w:pPr>
      <w:r>
        <w:rPr>
          <w:b/>
        </w:rPr>
        <w:t>Hodnotenie plnenia zákonom daných požiadaviek</w:t>
      </w:r>
    </w:p>
    <w:p w14:paraId="2BF1CE58" w14:textId="77777777" w:rsidR="0053122D" w:rsidRDefault="0053122D" w:rsidP="00CA541F">
      <w:pPr>
        <w:jc w:val="both"/>
        <w:rPr>
          <w:b/>
        </w:rPr>
      </w:pPr>
    </w:p>
    <w:p w14:paraId="1B719A87" w14:textId="1E677F91" w:rsidR="00CA541F" w:rsidRPr="00F94BDB" w:rsidRDefault="00CA541F" w:rsidP="00CA541F">
      <w:pPr>
        <w:jc w:val="both"/>
        <w:rPr>
          <w:szCs w:val="22"/>
        </w:rPr>
      </w:pPr>
      <w:r w:rsidRPr="00F94BDB">
        <w:rPr>
          <w:b/>
        </w:rPr>
        <w:t>V rozpočte sú uvedené všetky zákonom definované údaje</w:t>
      </w:r>
      <w:r w:rsidRPr="00775DCF">
        <w:rPr>
          <w:b/>
        </w:rPr>
        <w:t xml:space="preserve"> </w:t>
      </w:r>
      <w:r w:rsidR="00775DCF" w:rsidRPr="00775DCF">
        <w:rPr>
          <w:b/>
        </w:rPr>
        <w:t>s výnimkou informácií o väčšine podnikov s majetkovou účasťou Ministerstva zdravotníctva SR</w:t>
      </w:r>
      <w:r w:rsidR="00775DCF">
        <w:t xml:space="preserve"> </w:t>
      </w:r>
      <w:r w:rsidRPr="00F94BDB">
        <w:t xml:space="preserve">(popis obsahu rozpočtu je uvedený v boxe </w:t>
      </w:r>
      <w:r w:rsidR="00163A0C">
        <w:t>7</w:t>
      </w:r>
      <w:r w:rsidRPr="00F94BDB">
        <w:t>)</w:t>
      </w:r>
      <w:r w:rsidR="00775DCF">
        <w:t>.</w:t>
      </w:r>
      <w:r w:rsidRPr="00F94BDB">
        <w:t xml:space="preserve"> </w:t>
      </w:r>
      <w:r w:rsidR="00775DCF">
        <w:t>P</w:t>
      </w:r>
      <w:r w:rsidRPr="00F94BDB">
        <w:t xml:space="preserve">o obsahovej stránke neboli niektoré </w:t>
      </w:r>
      <w:r w:rsidR="00775DCF">
        <w:t>údaje</w:t>
      </w:r>
      <w:r w:rsidRPr="00F94BDB">
        <w:t xml:space="preserve"> dostatočne vysvetlené a zdôvodnené, čo sťažilo jeho vyhodnotenie a identifikáciu potenciálnych rizík</w:t>
      </w:r>
      <w:r w:rsidRPr="00F94BDB">
        <w:rPr>
          <w:rStyle w:val="FootnoteReference"/>
        </w:rPr>
        <w:footnoteReference w:id="82"/>
      </w:r>
      <w:r w:rsidRPr="00F94BDB">
        <w:t xml:space="preserve">. </w:t>
      </w:r>
    </w:p>
    <w:p w14:paraId="7041E5E9" w14:textId="69AA32D0" w:rsidR="00CA541F" w:rsidRDefault="00CA541F" w:rsidP="00CA541F">
      <w:pPr>
        <w:jc w:val="both"/>
        <w:rPr>
          <w:szCs w:val="10"/>
          <w:highlight w:val="yellow"/>
        </w:rPr>
      </w:pPr>
    </w:p>
    <w:p w14:paraId="290262C8" w14:textId="45C6F787" w:rsidR="00140569" w:rsidRDefault="00140569" w:rsidP="00CA541F">
      <w:pPr>
        <w:jc w:val="both"/>
        <w:rPr>
          <w:sz w:val="18"/>
          <w:szCs w:val="6"/>
          <w:highlight w:val="yellow"/>
        </w:rPr>
      </w:pPr>
    </w:p>
    <w:p w14:paraId="7EE428E6" w14:textId="1201ED1A" w:rsidR="004A7E34" w:rsidRDefault="004A7E34" w:rsidP="00CA541F">
      <w:pPr>
        <w:jc w:val="both"/>
        <w:rPr>
          <w:sz w:val="18"/>
          <w:szCs w:val="6"/>
          <w:highlight w:val="yellow"/>
        </w:rPr>
      </w:pPr>
    </w:p>
    <w:p w14:paraId="6EF1C77F" w14:textId="77777777" w:rsidR="004A7E34" w:rsidRDefault="004A7E34" w:rsidP="00CA541F">
      <w:pPr>
        <w:jc w:val="both"/>
        <w:rPr>
          <w:sz w:val="18"/>
          <w:szCs w:val="6"/>
          <w:highlight w:val="yellow"/>
        </w:rPr>
      </w:pPr>
    </w:p>
    <w:p w14:paraId="416C4056" w14:textId="77777777" w:rsidR="000C1E43" w:rsidRPr="00140569" w:rsidRDefault="000C1E43" w:rsidP="00CA541F">
      <w:pPr>
        <w:jc w:val="both"/>
        <w:rPr>
          <w:sz w:val="18"/>
          <w:szCs w:val="6"/>
          <w:highlight w:val="yellow"/>
        </w:rPr>
      </w:pPr>
    </w:p>
    <w:p w14:paraId="1126628F" w14:textId="77777777" w:rsidR="006D52EF" w:rsidRPr="00B81300" w:rsidRDefault="006D52EF" w:rsidP="00CA541F">
      <w:pPr>
        <w:jc w:val="both"/>
        <w:rPr>
          <w:szCs w:val="10"/>
          <w:highlight w:val="yellow"/>
        </w:rPr>
      </w:pPr>
    </w:p>
    <w:tbl>
      <w:tblPr>
        <w:tblW w:w="0" w:type="auto"/>
        <w:jc w:val="center"/>
        <w:tblBorders>
          <w:top w:val="single" w:sz="12" w:space="0" w:color="13B5EA"/>
          <w:left w:val="single" w:sz="12" w:space="0" w:color="13B5EA"/>
          <w:bottom w:val="single" w:sz="12" w:space="0" w:color="13B5EA"/>
          <w:right w:val="single" w:sz="12" w:space="0" w:color="13B5EA"/>
        </w:tblBorders>
        <w:shd w:val="clear" w:color="auto" w:fill="B1E8F9"/>
        <w:tblLook w:val="04A0" w:firstRow="1" w:lastRow="0" w:firstColumn="1" w:lastColumn="0" w:noHBand="0" w:noVBand="1"/>
      </w:tblPr>
      <w:tblGrid>
        <w:gridCol w:w="9040"/>
      </w:tblGrid>
      <w:tr w:rsidR="00CA541F" w:rsidRPr="00B81300" w14:paraId="23B46D8F" w14:textId="77777777" w:rsidTr="004A79A6">
        <w:trPr>
          <w:trHeight w:val="43"/>
          <w:jc w:val="center"/>
        </w:trPr>
        <w:tc>
          <w:tcPr>
            <w:tcW w:w="9040" w:type="dxa"/>
            <w:tcBorders>
              <w:top w:val="single" w:sz="12" w:space="0" w:color="13B5EA"/>
              <w:bottom w:val="single" w:sz="12" w:space="0" w:color="13B5EA"/>
            </w:tcBorders>
            <w:shd w:val="clear" w:color="auto" w:fill="B1E8F9"/>
            <w:vAlign w:val="center"/>
          </w:tcPr>
          <w:p w14:paraId="50303863" w14:textId="77777777" w:rsidR="00140569" w:rsidRPr="00140569" w:rsidRDefault="00140569" w:rsidP="00140569">
            <w:pPr>
              <w:rPr>
                <w:sz w:val="10"/>
                <w:szCs w:val="8"/>
              </w:rPr>
            </w:pPr>
            <w:bookmarkStart w:id="801" w:name="_Toc522105446"/>
            <w:bookmarkStart w:id="802" w:name="_Toc522200685"/>
            <w:bookmarkStart w:id="803" w:name="_Toc523390271"/>
            <w:bookmarkStart w:id="804" w:name="_Toc523392876"/>
          </w:p>
          <w:p w14:paraId="2B1E16AE" w14:textId="0395908E" w:rsidR="00CA541F" w:rsidRPr="00294D69" w:rsidRDefault="00CA541F" w:rsidP="005E72B4">
            <w:pPr>
              <w:pStyle w:val="box"/>
              <w:rPr>
                <w:lang w:val="sk-SK"/>
              </w:rPr>
            </w:pPr>
            <w:bookmarkStart w:id="805" w:name="_Toc49506897"/>
            <w:r w:rsidRPr="00294D69">
              <w:rPr>
                <w:lang w:val="sk-SK"/>
              </w:rPr>
              <w:t xml:space="preserve">Box </w:t>
            </w:r>
            <w:r w:rsidR="00163A0C">
              <w:rPr>
                <w:lang w:val="sk-SK"/>
              </w:rPr>
              <w:t>7</w:t>
            </w:r>
            <w:r w:rsidRPr="00294D69">
              <w:rPr>
                <w:lang w:val="sk-SK"/>
              </w:rPr>
              <w:t>: Obsah dokumentov popisujúcich rozpočet</w:t>
            </w:r>
            <w:bookmarkEnd w:id="801"/>
            <w:r w:rsidRPr="00294D69">
              <w:rPr>
                <w:lang w:val="sk-SK"/>
              </w:rPr>
              <w:t xml:space="preserve"> verejnej správy</w:t>
            </w:r>
            <w:bookmarkEnd w:id="802"/>
            <w:bookmarkEnd w:id="803"/>
            <w:bookmarkEnd w:id="804"/>
            <w:bookmarkEnd w:id="805"/>
          </w:p>
          <w:p w14:paraId="3C58CE94" w14:textId="77777777" w:rsidR="00CA541F" w:rsidRPr="00656795" w:rsidRDefault="00CA541F" w:rsidP="005E72B4">
            <w:pPr>
              <w:rPr>
                <w:sz w:val="16"/>
                <w:szCs w:val="16"/>
              </w:rPr>
            </w:pPr>
          </w:p>
          <w:p w14:paraId="35F9D48A" w14:textId="77777777" w:rsidR="00CA541F" w:rsidRPr="00B90C14" w:rsidRDefault="00CA541F" w:rsidP="005E72B4">
            <w:pPr>
              <w:jc w:val="both"/>
              <w:rPr>
                <w:b/>
                <w:bCs/>
                <w:i/>
                <w:iCs/>
                <w:sz w:val="20"/>
              </w:rPr>
            </w:pPr>
            <w:bookmarkStart w:id="806" w:name="_Toc522105448"/>
            <w:r w:rsidRPr="00B90C14">
              <w:rPr>
                <w:b/>
                <w:bCs/>
                <w:i/>
                <w:iCs/>
                <w:sz w:val="20"/>
              </w:rPr>
              <w:t>Rozpočet verejnej správy na roky 2020-2022</w:t>
            </w:r>
          </w:p>
          <w:p w14:paraId="4C5B84A1" w14:textId="77777777" w:rsidR="00CA541F" w:rsidRPr="00F94BDB" w:rsidRDefault="00CA541F" w:rsidP="005E72B4">
            <w:pPr>
              <w:jc w:val="both"/>
              <w:rPr>
                <w:sz w:val="20"/>
              </w:rPr>
            </w:pPr>
            <w:r w:rsidRPr="00A566A9">
              <w:rPr>
                <w:sz w:val="20"/>
              </w:rPr>
              <w:t>Rozpočet verejnej správy na roky 2020-2022 (RVS</w:t>
            </w:r>
            <w:r w:rsidRPr="00F94BDB">
              <w:rPr>
                <w:sz w:val="20"/>
              </w:rPr>
              <w:t xml:space="preserve"> 2020-2022) obsahuje hlavnú </w:t>
            </w:r>
            <w:r w:rsidRPr="000335B1">
              <w:rPr>
                <w:sz w:val="20"/>
              </w:rPr>
              <w:t>knihu a 8 príloh</w:t>
            </w:r>
            <w:r w:rsidRPr="00F94BDB">
              <w:rPr>
                <w:sz w:val="20"/>
              </w:rPr>
              <w:t>. Tabuľky rozpočtu obsahujú údaje za roky 2017 až 2022 v zmysle požiadaviek ústavného zákona.</w:t>
            </w:r>
            <w:bookmarkEnd w:id="806"/>
          </w:p>
          <w:p w14:paraId="6DFBEDCD" w14:textId="77777777" w:rsidR="00CA541F" w:rsidRPr="005125DD" w:rsidRDefault="00CA541F" w:rsidP="005E72B4">
            <w:pPr>
              <w:jc w:val="both"/>
              <w:rPr>
                <w:sz w:val="20"/>
              </w:rPr>
            </w:pPr>
            <w:r w:rsidRPr="005125DD">
              <w:rPr>
                <w:sz w:val="20"/>
              </w:rPr>
              <w:t xml:space="preserve"> </w:t>
            </w:r>
          </w:p>
          <w:p w14:paraId="2055CBAB" w14:textId="283EC0CF" w:rsidR="00CA541F" w:rsidRDefault="00CA541F" w:rsidP="005E72B4">
            <w:pPr>
              <w:jc w:val="both"/>
              <w:rPr>
                <w:sz w:val="20"/>
              </w:rPr>
            </w:pPr>
            <w:bookmarkStart w:id="807" w:name="_Toc522105449"/>
            <w:r w:rsidRPr="000335B1">
              <w:rPr>
                <w:sz w:val="20"/>
              </w:rPr>
              <w:t xml:space="preserve">Súčasťou </w:t>
            </w:r>
            <w:r w:rsidRPr="00255AA7">
              <w:rPr>
                <w:sz w:val="20"/>
              </w:rPr>
              <w:t>hlavnej knihy rozpočtu je</w:t>
            </w:r>
            <w:r w:rsidRPr="000335B1">
              <w:rPr>
                <w:sz w:val="20"/>
              </w:rPr>
              <w:t xml:space="preserve"> </w:t>
            </w:r>
            <w:r w:rsidRPr="00255AA7">
              <w:rPr>
                <w:b/>
                <w:bCs/>
                <w:sz w:val="20"/>
              </w:rPr>
              <w:t>konsolidovaná bilancia verejnej správy a aktuálny odhad deficitu VS za rok 2019.</w:t>
            </w:r>
            <w:r w:rsidRPr="000335B1">
              <w:rPr>
                <w:sz w:val="20"/>
              </w:rPr>
              <w:t xml:space="preserve"> </w:t>
            </w:r>
            <w:r w:rsidRPr="005125DD">
              <w:rPr>
                <w:sz w:val="20"/>
              </w:rPr>
              <w:t xml:space="preserve">Najvýznamnejšie pozitívne a negatívne faktory, ktoré sa podpisujú pod očakávané výsledky roka 2019, prezentuje tabuľka v členení podľa klasifikácie ESA2010 a bližšie rozvíja text. </w:t>
            </w:r>
            <w:bookmarkStart w:id="808" w:name="_Hlk48564952"/>
            <w:r w:rsidRPr="005125DD">
              <w:rPr>
                <w:b/>
                <w:bCs/>
                <w:sz w:val="20"/>
              </w:rPr>
              <w:t>V porovnaní s predchádzajúcim rokom došlo k zlepšeniu informovanosti</w:t>
            </w:r>
            <w:r w:rsidRPr="005125DD">
              <w:rPr>
                <w:sz w:val="20"/>
              </w:rPr>
              <w:t>, keďže odhadované rozdiely voči rozpočtu sú popísané aj z hľadiska najvýznamnejších faktorov</w:t>
            </w:r>
            <w:r w:rsidR="00A27EF1">
              <w:rPr>
                <w:sz w:val="20"/>
              </w:rPr>
              <w:t xml:space="preserve"> </w:t>
            </w:r>
            <w:r w:rsidRPr="005125DD">
              <w:rPr>
                <w:sz w:val="20"/>
              </w:rPr>
              <w:t>ako aj vývoja bilancie vybraných subjektov verejnej správy.</w:t>
            </w:r>
            <w:bookmarkEnd w:id="807"/>
            <w:bookmarkEnd w:id="808"/>
          </w:p>
          <w:p w14:paraId="00BABA8E" w14:textId="77777777" w:rsidR="000C683E" w:rsidRPr="00140569" w:rsidRDefault="000C683E" w:rsidP="005E72B4">
            <w:pPr>
              <w:jc w:val="both"/>
              <w:rPr>
                <w:sz w:val="16"/>
                <w:szCs w:val="16"/>
              </w:rPr>
            </w:pPr>
          </w:p>
          <w:p w14:paraId="167331C5" w14:textId="4702B738" w:rsidR="00CA541F" w:rsidRPr="00E77AFB" w:rsidRDefault="00CA541F" w:rsidP="005E72B4">
            <w:pPr>
              <w:jc w:val="both"/>
              <w:rPr>
                <w:sz w:val="20"/>
              </w:rPr>
            </w:pPr>
            <w:bookmarkStart w:id="809" w:name="_Toc522105450"/>
            <w:r w:rsidRPr="005125DD">
              <w:rPr>
                <w:b/>
                <w:bCs/>
                <w:sz w:val="20"/>
              </w:rPr>
              <w:t>Aktualizácia s</w:t>
            </w:r>
            <w:r w:rsidR="000C683E">
              <w:rPr>
                <w:b/>
                <w:bCs/>
                <w:sz w:val="20"/>
              </w:rPr>
              <w:t>tr</w:t>
            </w:r>
            <w:r w:rsidRPr="005125DD">
              <w:rPr>
                <w:b/>
                <w:bCs/>
                <w:sz w:val="20"/>
              </w:rPr>
              <w:t>atégie riadenia štátneho dlhu</w:t>
            </w:r>
            <w:r w:rsidRPr="00E77AFB">
              <w:rPr>
                <w:sz w:val="20"/>
              </w:rPr>
              <w:t xml:space="preserve"> (príloha č. 6) </w:t>
            </w:r>
            <w:r w:rsidRPr="004A79A6">
              <w:rPr>
                <w:sz w:val="20"/>
              </w:rPr>
              <w:t>nemení ciele</w:t>
            </w:r>
            <w:r w:rsidRPr="00E77AFB">
              <w:rPr>
                <w:sz w:val="20"/>
              </w:rPr>
              <w:t xml:space="preserve"> definované v Stratégii riadenia štátneho dlhu na roky </w:t>
            </w:r>
            <w:r w:rsidRPr="006D52EF">
              <w:rPr>
                <w:sz w:val="20"/>
              </w:rPr>
              <w:t>2015 až 2018</w:t>
            </w:r>
            <w:r w:rsidR="009B4DE1">
              <w:rPr>
                <w:sz w:val="20"/>
              </w:rPr>
              <w:t>, pričom nová stratégia na roky 2020 až 2024 by mala byť pripravená po parlamentných voľbách, ktoré sa konali vo februári 2020</w:t>
            </w:r>
            <w:r w:rsidR="006D52EF">
              <w:rPr>
                <w:sz w:val="20"/>
              </w:rPr>
              <w:t>.</w:t>
            </w:r>
            <w:r w:rsidRPr="00E77AFB">
              <w:rPr>
                <w:sz w:val="20"/>
              </w:rPr>
              <w:t xml:space="preserve"> </w:t>
            </w:r>
            <w:bookmarkEnd w:id="809"/>
            <w:r w:rsidRPr="005125DD">
              <w:rPr>
                <w:sz w:val="20"/>
              </w:rPr>
              <w:t xml:space="preserve">V uplynulom období pretrvávalo prostredie extrémne nízkych trhových úrokových sadieb, ktoré umožňovalo emitovať dlhopisy s krátkodobou splatnosťou so zápornými úrokovými sadzbami. V súčasnosti pretrváva výrazná neistota v súvislosti s odchodom Veľkej Británie z Európskej únie, nastupujúci protekcionizmus vo svetovom obchode a ďalšie zväčšovanie finančnej a bankovej regulácie, čo môže negatívne ovplyvniť rozhodovanie potenciálnych investorov pri investíciách do štátneho dlhu. S ohľadom na makroekonomický vývoj a situáciu na finančných trhoch </w:t>
            </w:r>
            <w:r w:rsidR="00A35558" w:rsidRPr="00A35558">
              <w:rPr>
                <w:sz w:val="20"/>
              </w:rPr>
              <w:t>v roku 2019</w:t>
            </w:r>
            <w:r w:rsidRPr="004A79A6">
              <w:rPr>
                <w:sz w:val="20"/>
              </w:rPr>
              <w:t xml:space="preserve"> ne</w:t>
            </w:r>
            <w:r w:rsidR="00A35558" w:rsidRPr="004A79A6">
              <w:rPr>
                <w:sz w:val="20"/>
              </w:rPr>
              <w:t xml:space="preserve">došlo k </w:t>
            </w:r>
            <w:r w:rsidR="00A35558">
              <w:rPr>
                <w:sz w:val="20"/>
              </w:rPr>
              <w:t>zmene</w:t>
            </w:r>
            <w:r w:rsidRPr="004A79A6">
              <w:rPr>
                <w:sz w:val="20"/>
              </w:rPr>
              <w:t xml:space="preserve"> kvantitatívnych cieľov riadenia rizika a ani ostatných cieľov stanovených</w:t>
            </w:r>
            <w:r w:rsidRPr="005125DD">
              <w:rPr>
                <w:sz w:val="20"/>
              </w:rPr>
              <w:t xml:space="preserve"> v pôvodnej Stratégii riadenia štátneho dlhu na roky 2015 až 2018.</w:t>
            </w:r>
          </w:p>
          <w:p w14:paraId="5C491374" w14:textId="77777777" w:rsidR="00CA541F" w:rsidRPr="005125DD" w:rsidRDefault="00CA541F" w:rsidP="005E72B4">
            <w:pPr>
              <w:jc w:val="both"/>
              <w:rPr>
                <w:sz w:val="20"/>
              </w:rPr>
            </w:pPr>
          </w:p>
          <w:p w14:paraId="7A7C2E84" w14:textId="77777777" w:rsidR="00CA541F" w:rsidRPr="00E77AFB" w:rsidRDefault="00CA541F" w:rsidP="005E72B4">
            <w:pPr>
              <w:jc w:val="both"/>
              <w:rPr>
                <w:sz w:val="20"/>
              </w:rPr>
            </w:pPr>
            <w:bookmarkStart w:id="810" w:name="_Toc522105451"/>
            <w:r w:rsidRPr="00E77AFB">
              <w:rPr>
                <w:sz w:val="20"/>
              </w:rPr>
              <w:t xml:space="preserve">Zverejňovanie </w:t>
            </w:r>
            <w:r w:rsidRPr="005125DD">
              <w:rPr>
                <w:b/>
                <w:bCs/>
                <w:sz w:val="20"/>
              </w:rPr>
              <w:t>daňových výdavkov</w:t>
            </w:r>
            <w:r w:rsidRPr="00E77AFB">
              <w:rPr>
                <w:sz w:val="20"/>
              </w:rPr>
              <w:t xml:space="preserve"> umožňuje presnejšie posúdiť náklady realizovaných politík vlády. Povinnosť zverejnenia daňových výdavkov a ich vplyvu na daňové príjmy vyplýva aj zo smernice Rady 2011/85/EÚ o požiadavkách na rozpočtové rámce členských krajín. Vyčíslenie daňových výdavkov v rámci RVS 2020-2022 (v časti 3.5 hlavnej knihy) zodpovedá manuálu MF SR.</w:t>
            </w:r>
            <w:bookmarkEnd w:id="810"/>
            <w:r w:rsidRPr="00E77AFB">
              <w:rPr>
                <w:sz w:val="20"/>
              </w:rPr>
              <w:t xml:space="preserve"> </w:t>
            </w:r>
          </w:p>
          <w:p w14:paraId="091174F1" w14:textId="77777777" w:rsidR="00CA541F" w:rsidRPr="005125DD" w:rsidRDefault="00CA541F" w:rsidP="005E72B4">
            <w:pPr>
              <w:jc w:val="both"/>
              <w:rPr>
                <w:sz w:val="20"/>
              </w:rPr>
            </w:pPr>
          </w:p>
          <w:p w14:paraId="7DC0061B" w14:textId="77777777" w:rsidR="00CA541F" w:rsidRPr="008D423F" w:rsidRDefault="00CA541F" w:rsidP="005E72B4">
            <w:pPr>
              <w:jc w:val="both"/>
              <w:rPr>
                <w:sz w:val="20"/>
              </w:rPr>
            </w:pPr>
            <w:bookmarkStart w:id="811" w:name="_Toc522105452"/>
            <w:r w:rsidRPr="005125DD">
              <w:rPr>
                <w:b/>
                <w:bCs/>
                <w:sz w:val="20"/>
              </w:rPr>
              <w:t>Implicitné záväzky</w:t>
            </w:r>
            <w:r w:rsidRPr="008D423F">
              <w:rPr>
                <w:sz w:val="20"/>
              </w:rPr>
              <w:t xml:space="preserve"> (príloha č. 5) predstavujú skryté zadlženie verejného sektora nad rámec oficiálnych štatistík o dlhu. Okruh implicitných záväzkov aktuálne zahŕňa náklady spojené so starnutím populácie (výdavky na dôchodky, zdravotníctvo, dlhodobá starostlivosť a školstvo), náklady spojené s likvidáciou jadrových zariadení, ako aj PPP projekty (obchvat D4/R7; rýchlostná cesta R1 a väzenské zariadenie Rimavská Sobota).</w:t>
            </w:r>
            <w:bookmarkEnd w:id="811"/>
            <w:r w:rsidRPr="008D423F">
              <w:rPr>
                <w:sz w:val="20"/>
              </w:rPr>
              <w:t xml:space="preserve"> </w:t>
            </w:r>
          </w:p>
          <w:p w14:paraId="4AB741BA" w14:textId="77777777" w:rsidR="00CA541F" w:rsidRPr="008D423F" w:rsidRDefault="00CA541F" w:rsidP="005E72B4">
            <w:pPr>
              <w:jc w:val="both"/>
              <w:rPr>
                <w:sz w:val="20"/>
              </w:rPr>
            </w:pPr>
          </w:p>
          <w:p w14:paraId="73616997" w14:textId="77777777" w:rsidR="00CA541F" w:rsidRPr="008D423F" w:rsidRDefault="00CA541F" w:rsidP="005E72B4">
            <w:pPr>
              <w:jc w:val="both"/>
              <w:rPr>
                <w:sz w:val="20"/>
              </w:rPr>
            </w:pPr>
            <w:bookmarkStart w:id="812" w:name="_Toc522105453"/>
            <w:r w:rsidRPr="005125DD">
              <w:rPr>
                <w:b/>
                <w:bCs/>
                <w:sz w:val="20"/>
              </w:rPr>
              <w:t>Podmienené záväzky</w:t>
            </w:r>
            <w:r w:rsidRPr="005125DD">
              <w:rPr>
                <w:sz w:val="20"/>
              </w:rPr>
              <w:t xml:space="preserve"> verejnej správy</w:t>
            </w:r>
            <w:r w:rsidRPr="008D423F">
              <w:rPr>
                <w:sz w:val="20"/>
              </w:rPr>
              <w:t xml:space="preserve"> (príloha č. 4) sú definované ako iné pasíva účtovnej jednotky vykazované v poznámkach v rámci individuálnej účtovnej závierky. Ich potenciálne vplyvy na verejné financie sú často ťažko kvantifikovateľné, a preto sú zväčša popisované len v kvalitatívnej rovine.</w:t>
            </w:r>
            <w:bookmarkEnd w:id="812"/>
            <w:r w:rsidRPr="008D423F">
              <w:rPr>
                <w:sz w:val="20"/>
              </w:rPr>
              <w:t xml:space="preserve"> </w:t>
            </w:r>
          </w:p>
          <w:p w14:paraId="7B1CAAB5" w14:textId="77777777" w:rsidR="00CA541F" w:rsidRPr="00140569" w:rsidRDefault="00CA541F" w:rsidP="005E72B4">
            <w:pPr>
              <w:jc w:val="both"/>
              <w:rPr>
                <w:sz w:val="16"/>
                <w:szCs w:val="16"/>
              </w:rPr>
            </w:pPr>
          </w:p>
          <w:p w14:paraId="15CDCE7A" w14:textId="77777777" w:rsidR="00CA541F" w:rsidRPr="00AD4044" w:rsidRDefault="00CA541F" w:rsidP="005E72B4">
            <w:pPr>
              <w:jc w:val="both"/>
              <w:rPr>
                <w:sz w:val="20"/>
              </w:rPr>
            </w:pPr>
            <w:bookmarkStart w:id="813" w:name="_Toc522105454"/>
            <w:r w:rsidRPr="00AD4044">
              <w:rPr>
                <w:sz w:val="20"/>
              </w:rPr>
              <w:t xml:space="preserve">Osobitá časť RVS 2020-2022 (časť 3.6 hlavnej knihy) je venovaná </w:t>
            </w:r>
            <w:r w:rsidRPr="005125DD">
              <w:rPr>
                <w:b/>
                <w:bCs/>
                <w:sz w:val="20"/>
              </w:rPr>
              <w:t>jednorazovým vplyvom</w:t>
            </w:r>
            <w:r w:rsidRPr="00AD4044">
              <w:rPr>
                <w:sz w:val="20"/>
              </w:rPr>
              <w:t xml:space="preserve">. Jednorazové a dočasné opatrenia identifikované MF SR spĺňajú definíciu európskych fiškálnych pravidiel. V rokoch 2020 až 2022 MF SR neuvažuje so žiadnymi jednorazovými vplyvmi. </w:t>
            </w:r>
            <w:bookmarkEnd w:id="813"/>
          </w:p>
          <w:p w14:paraId="1376E761" w14:textId="77777777" w:rsidR="00CA541F" w:rsidRPr="00140569" w:rsidRDefault="00CA541F" w:rsidP="005E72B4">
            <w:pPr>
              <w:jc w:val="both"/>
              <w:rPr>
                <w:sz w:val="16"/>
                <w:szCs w:val="16"/>
              </w:rPr>
            </w:pPr>
          </w:p>
          <w:p w14:paraId="53972B89" w14:textId="4E3BC792" w:rsidR="00CA541F" w:rsidRDefault="00CA541F" w:rsidP="005E72B4">
            <w:pPr>
              <w:jc w:val="both"/>
              <w:rPr>
                <w:sz w:val="20"/>
              </w:rPr>
            </w:pPr>
            <w:bookmarkStart w:id="814" w:name="_Toc522105455"/>
            <w:r w:rsidRPr="00E03A3C">
              <w:rPr>
                <w:sz w:val="20"/>
              </w:rPr>
              <w:t xml:space="preserve">Príloha č. 3 rozpočtu obsahuje </w:t>
            </w:r>
            <w:r w:rsidRPr="00E03A3C">
              <w:rPr>
                <w:b/>
                <w:sz w:val="20"/>
              </w:rPr>
              <w:t>základné informácie o hospodárení štátnych podnikov</w:t>
            </w:r>
            <w:r w:rsidRPr="00E03A3C">
              <w:rPr>
                <w:sz w:val="20"/>
              </w:rPr>
              <w:t xml:space="preserve"> (vlastné imanie, hospodársky výsledok). Štátne podniky sú členené podľa vlastníckeho podielu kapitol štátneho rozpočtu, pričom v rámci kapitoly ministerstva</w:t>
            </w:r>
            <w:r>
              <w:rPr>
                <w:sz w:val="20"/>
              </w:rPr>
              <w:t xml:space="preserve"> zdravotníctva, </w:t>
            </w:r>
            <w:r w:rsidRPr="00706437">
              <w:rPr>
                <w:sz w:val="20"/>
                <w:szCs w:val="22"/>
              </w:rPr>
              <w:t xml:space="preserve">s výnimkou </w:t>
            </w:r>
            <w:r>
              <w:rPr>
                <w:sz w:val="20"/>
                <w:szCs w:val="22"/>
              </w:rPr>
              <w:t xml:space="preserve">spoločnosti </w:t>
            </w:r>
            <w:r w:rsidRPr="00706437">
              <w:rPr>
                <w:sz w:val="20"/>
                <w:szCs w:val="22"/>
              </w:rPr>
              <w:t>Debitum, a.s.</w:t>
            </w:r>
            <w:r>
              <w:rPr>
                <w:sz w:val="20"/>
                <w:szCs w:val="22"/>
              </w:rPr>
              <w:t>,</w:t>
            </w:r>
            <w:r w:rsidRPr="00706437">
              <w:rPr>
                <w:sz w:val="20"/>
                <w:szCs w:val="22"/>
              </w:rPr>
              <w:t xml:space="preserve"> </w:t>
            </w:r>
            <w:r w:rsidRPr="008F6450">
              <w:rPr>
                <w:sz w:val="20"/>
              </w:rPr>
              <w:t>absentujú ukazovatele o hospodárení zvyšných spoločností</w:t>
            </w:r>
            <w:r w:rsidR="00775DCF">
              <w:rPr>
                <w:sz w:val="20"/>
              </w:rPr>
              <w:t xml:space="preserve">, čím </w:t>
            </w:r>
            <w:r w:rsidR="001206A2">
              <w:rPr>
                <w:sz w:val="20"/>
              </w:rPr>
              <w:t xml:space="preserve">podľa RRZ </w:t>
            </w:r>
            <w:r w:rsidR="00775DCF">
              <w:rPr>
                <w:sz w:val="20"/>
              </w:rPr>
              <w:t>nie sú naplnené požiadavky zákona</w:t>
            </w:r>
            <w:r w:rsidRPr="008F6450">
              <w:rPr>
                <w:sz w:val="20"/>
              </w:rPr>
              <w:t xml:space="preserve">. </w:t>
            </w:r>
            <w:r w:rsidRPr="00382744">
              <w:rPr>
                <w:sz w:val="20"/>
              </w:rPr>
              <w:t xml:space="preserve">Predpokladané smerovanie štátnych podnikov nie je, podobne ako v minulých rozpočtoch, zdôvodnené, čo sťažuje vyhodnotenie potenciálneho rizika pre verejnú správu plynúceho z ich hospodárenia. </w:t>
            </w:r>
            <w:r w:rsidRPr="00A90644">
              <w:rPr>
                <w:sz w:val="20"/>
              </w:rPr>
              <w:t xml:space="preserve">Pre úplné vyhodnotenie rizika by bolo vhodné zahrnúť aj ukazovatele o hospodárení </w:t>
            </w:r>
            <w:r w:rsidRPr="00A90644">
              <w:rPr>
                <w:sz w:val="20"/>
              </w:rPr>
              <w:lastRenderedPageBreak/>
              <w:t xml:space="preserve">podnikov </w:t>
            </w:r>
            <w:r w:rsidR="00775DCF">
              <w:rPr>
                <w:sz w:val="20"/>
              </w:rPr>
              <w:t xml:space="preserve">s majetkovou účasťou </w:t>
            </w:r>
            <w:r w:rsidRPr="00A90644">
              <w:rPr>
                <w:sz w:val="20"/>
              </w:rPr>
              <w:t>MH Manažment</w:t>
            </w:r>
            <w:r w:rsidR="00775DCF">
              <w:rPr>
                <w:sz w:val="20"/>
              </w:rPr>
              <w:t>, ktoré nie sú povinnou súčasťou dokumentu</w:t>
            </w:r>
            <w:r w:rsidR="00A90644" w:rsidRPr="001C47A5">
              <w:rPr>
                <w:rStyle w:val="FootnoteReference"/>
              </w:rPr>
              <w:footnoteReference w:id="83"/>
            </w:r>
            <w:r w:rsidR="00775DCF">
              <w:rPr>
                <w:sz w:val="20"/>
              </w:rPr>
              <w:t>,</w:t>
            </w:r>
            <w:r w:rsidRPr="001C47A5">
              <w:rPr>
                <w:sz w:val="20"/>
              </w:rPr>
              <w:t xml:space="preserve"> </w:t>
            </w:r>
            <w:r w:rsidRPr="00A90644">
              <w:rPr>
                <w:sz w:val="20"/>
              </w:rPr>
              <w:t>doplnené o stručný popis predpokladaného vývoja.</w:t>
            </w:r>
            <w:r w:rsidRPr="00E03A3C">
              <w:rPr>
                <w:sz w:val="20"/>
              </w:rPr>
              <w:t xml:space="preserve"> Prehľadnosť tejto časti by zvýšila informácia o tom, ktoré z uvedených subjektov sú súčasťou verejnej správy a zosúladenie ich očakávaných výsledkov s</w:t>
            </w:r>
            <w:r w:rsidR="006A3945">
              <w:rPr>
                <w:sz w:val="20"/>
              </w:rPr>
              <w:t> </w:t>
            </w:r>
            <w:r w:rsidRPr="00E03A3C">
              <w:rPr>
                <w:sz w:val="20"/>
              </w:rPr>
              <w:t>predpokladmi hospodárenia v metodike ESA2010 zahrnutých v rozpočte verejnej správy.</w:t>
            </w:r>
            <w:bookmarkEnd w:id="814"/>
          </w:p>
          <w:p w14:paraId="696E028E" w14:textId="77777777" w:rsidR="00CA541F" w:rsidRPr="00140569" w:rsidRDefault="00CA541F" w:rsidP="005E72B4">
            <w:pPr>
              <w:jc w:val="both"/>
              <w:rPr>
                <w:sz w:val="16"/>
                <w:szCs w:val="16"/>
              </w:rPr>
            </w:pPr>
          </w:p>
          <w:p w14:paraId="3C64EEFB" w14:textId="245110C9" w:rsidR="00CA541F" w:rsidRPr="00A566A9" w:rsidRDefault="00CA541F" w:rsidP="005E72B4">
            <w:pPr>
              <w:jc w:val="both"/>
              <w:rPr>
                <w:sz w:val="20"/>
              </w:rPr>
            </w:pPr>
            <w:bookmarkStart w:id="815" w:name="_Toc522105456"/>
            <w:r w:rsidRPr="00A566A9">
              <w:rPr>
                <w:sz w:val="20"/>
              </w:rPr>
              <w:t xml:space="preserve">Rozpočet v rámci prílohy č. 7 prezentuje </w:t>
            </w:r>
            <w:r w:rsidRPr="00A566A9">
              <w:rPr>
                <w:b/>
                <w:bCs/>
                <w:sz w:val="20"/>
              </w:rPr>
              <w:t>odpočet plnenia z revízie výdavkov</w:t>
            </w:r>
            <w:r w:rsidRPr="00A566A9">
              <w:rPr>
                <w:sz w:val="20"/>
                <w:vertAlign w:val="superscript"/>
              </w:rPr>
              <w:footnoteReference w:id="84"/>
            </w:r>
            <w:r w:rsidRPr="00A566A9">
              <w:rPr>
                <w:sz w:val="20"/>
              </w:rPr>
              <w:t xml:space="preserve"> na základe predchádzajúcich analýz Útvaru hodnoty za peniaze (tzv. priebežná implementačná správa</w:t>
            </w:r>
            <w:r>
              <w:rPr>
                <w:sz w:val="20"/>
              </w:rPr>
              <w:t xml:space="preserve"> za rok 2019</w:t>
            </w:r>
            <w:r w:rsidRPr="00A6482B">
              <w:rPr>
                <w:sz w:val="20"/>
                <w:vertAlign w:val="superscript"/>
              </w:rPr>
              <w:footnoteReference w:id="85"/>
            </w:r>
            <w:r w:rsidRPr="00A566A9">
              <w:rPr>
                <w:sz w:val="20"/>
              </w:rPr>
              <w:t>) so zameraním na zdravotníctvo, dopravu, informatizáciu, vzdelávanie, životné prostredie, trh práce a sociálne politiky</w:t>
            </w:r>
            <w:r w:rsidRPr="000C2927">
              <w:rPr>
                <w:sz w:val="20"/>
                <w:vertAlign w:val="superscript"/>
              </w:rPr>
              <w:footnoteReference w:id="86"/>
            </w:r>
            <w:r w:rsidR="008E749C">
              <w:rPr>
                <w:sz w:val="20"/>
              </w:rPr>
              <w:t xml:space="preserve">. </w:t>
            </w:r>
            <w:r w:rsidRPr="00A566A9">
              <w:rPr>
                <w:sz w:val="20"/>
              </w:rPr>
              <w:t xml:space="preserve">Implementácia 188 opatrení zaznamenala v 1. polroku 2019 progres v životnom prostredí a v školstve, stagnovala v doprave a informatizácii, pričom opačný trend zaznamenala v rezorte zdravotníctva, na trhu práce a v oblasti sociálnych politík. Dosiahnutá úspora je minimálna, čo do istej miery súvisí s tým, že implementácia navrhovaných opatrení nie je záväzná. Kvalita dát, ich dostupnosť a validácia zostáva pre všetky rezorty i naďalej problémom. Pre kvalitný odpočet plnenia opatrení a tvorbu verejných politík je zároveň kľúčové aj zdieľanie dát medzi jednotlivými ústrednými orgánmi štátnej správy a ich podriadenými organizáciami. </w:t>
            </w:r>
          </w:p>
          <w:bookmarkEnd w:id="815"/>
          <w:p w14:paraId="0730F485" w14:textId="77777777" w:rsidR="00CA541F" w:rsidRPr="00140569" w:rsidRDefault="00CA541F" w:rsidP="005E72B4">
            <w:pPr>
              <w:jc w:val="both"/>
              <w:rPr>
                <w:sz w:val="16"/>
                <w:szCs w:val="16"/>
              </w:rPr>
            </w:pPr>
          </w:p>
          <w:p w14:paraId="7C2143EA" w14:textId="54A6D6B3" w:rsidR="00CA541F" w:rsidRDefault="00CA541F" w:rsidP="005E72B4">
            <w:pPr>
              <w:jc w:val="both"/>
              <w:rPr>
                <w:sz w:val="20"/>
              </w:rPr>
            </w:pPr>
            <w:bookmarkStart w:id="816" w:name="_Toc522105457"/>
            <w:r w:rsidRPr="000C2927">
              <w:rPr>
                <w:sz w:val="20"/>
              </w:rPr>
              <w:t>Nad rámec implementačnej správy bol</w:t>
            </w:r>
            <w:r w:rsidR="0023663F">
              <w:rPr>
                <w:sz w:val="20"/>
              </w:rPr>
              <w:t>a</w:t>
            </w:r>
            <w:r w:rsidRPr="000C2927">
              <w:rPr>
                <w:sz w:val="20"/>
              </w:rPr>
              <w:t xml:space="preserve"> súčasťou rozpočtu (príloha č. 8) Záverečná správa revízie výdavkov na zdravotníctvo</w:t>
            </w:r>
            <w:r w:rsidR="00553CB8">
              <w:rPr>
                <w:sz w:val="20"/>
              </w:rPr>
              <w:t xml:space="preserve"> pripravená</w:t>
            </w:r>
            <w:r w:rsidRPr="000C2927">
              <w:rPr>
                <w:sz w:val="20"/>
              </w:rPr>
              <w:t xml:space="preserve"> Útvar</w:t>
            </w:r>
            <w:r w:rsidR="00553CB8">
              <w:rPr>
                <w:sz w:val="20"/>
              </w:rPr>
              <w:t>om</w:t>
            </w:r>
            <w:r w:rsidRPr="000C2927">
              <w:rPr>
                <w:sz w:val="20"/>
              </w:rPr>
              <w:t xml:space="preserve"> hodnoty za peniaze</w:t>
            </w:r>
            <w:r w:rsidRPr="000C2927">
              <w:rPr>
                <w:rStyle w:val="FootnoteReference"/>
                <w:sz w:val="20"/>
              </w:rPr>
              <w:footnoteReference w:id="87"/>
            </w:r>
            <w:r w:rsidR="00706C98">
              <w:rPr>
                <w:sz w:val="20"/>
              </w:rPr>
              <w:t xml:space="preserve">. </w:t>
            </w:r>
            <w:r w:rsidR="00706C98" w:rsidRPr="00706C98">
              <w:rPr>
                <w:sz w:val="20"/>
              </w:rPr>
              <w:t>Revízia výdavkov na jednej strane identifikuje úspory v oblastiach, kde sú prostriedky využívané neefektívne, na druhej strane stanov</w:t>
            </w:r>
            <w:r w:rsidR="00553CB8">
              <w:rPr>
                <w:sz w:val="20"/>
              </w:rPr>
              <w:t>uje</w:t>
            </w:r>
            <w:r w:rsidR="00706C98" w:rsidRPr="00706C98">
              <w:rPr>
                <w:sz w:val="20"/>
              </w:rPr>
              <w:t xml:space="preserve"> oblasti pre realokáciu</w:t>
            </w:r>
            <w:r w:rsidR="00706C98">
              <w:rPr>
                <w:rFonts w:ascii="Arial" w:hAnsi="Arial" w:cs="Arial"/>
                <w:sz w:val="28"/>
                <w:szCs w:val="28"/>
              </w:rPr>
              <w:t xml:space="preserve"> </w:t>
            </w:r>
            <w:r w:rsidR="00706C98" w:rsidRPr="00571B5D">
              <w:rPr>
                <w:sz w:val="20"/>
              </w:rPr>
              <w:t>usporených zdrojov</w:t>
            </w:r>
            <w:r w:rsidRPr="000C2927">
              <w:rPr>
                <w:rStyle w:val="FootnoteReference"/>
                <w:sz w:val="20"/>
              </w:rPr>
              <w:footnoteReference w:id="88"/>
            </w:r>
            <w:r w:rsidRPr="000C2927">
              <w:rPr>
                <w:sz w:val="20"/>
              </w:rPr>
              <w:t xml:space="preserve">. </w:t>
            </w:r>
            <w:bookmarkEnd w:id="816"/>
          </w:p>
          <w:p w14:paraId="233771A7" w14:textId="77777777" w:rsidR="00CA541F" w:rsidRPr="000C2927" w:rsidRDefault="00CA541F" w:rsidP="005E72B4">
            <w:pPr>
              <w:jc w:val="both"/>
              <w:rPr>
                <w:sz w:val="20"/>
              </w:rPr>
            </w:pPr>
          </w:p>
          <w:p w14:paraId="210FE112" w14:textId="77777777" w:rsidR="00CA541F" w:rsidRPr="00B90C14" w:rsidRDefault="00CA541F" w:rsidP="005E72B4">
            <w:pPr>
              <w:jc w:val="both"/>
              <w:rPr>
                <w:b/>
                <w:bCs/>
                <w:i/>
                <w:iCs/>
                <w:sz w:val="20"/>
              </w:rPr>
            </w:pPr>
            <w:r w:rsidRPr="00B90C14">
              <w:rPr>
                <w:b/>
                <w:bCs/>
                <w:i/>
                <w:iCs/>
                <w:sz w:val="20"/>
              </w:rPr>
              <w:t>Návrh rozpočtového plánu na rok 2020</w:t>
            </w:r>
          </w:p>
          <w:p w14:paraId="72DE637C" w14:textId="77777777" w:rsidR="00CA541F" w:rsidRDefault="00CA541F" w:rsidP="005E72B4">
            <w:pPr>
              <w:jc w:val="both"/>
              <w:rPr>
                <w:sz w:val="20"/>
              </w:rPr>
            </w:pPr>
            <w:r w:rsidRPr="00A566A9">
              <w:rPr>
                <w:sz w:val="20"/>
              </w:rPr>
              <w:t>V zmysle požiadaviek Európskej komisie MF SR pripravilo aj Návrh rozpočtového plánu SR na rok 2020, ktorý poskytuje doplňujúce informácie k Návrhu rozpočtu verejnej správy na roky 2020 až 2022 schváleného vládou. Materiál predstavuje analytický pohľad na hospodárenie verejnej správy. Definujú sa v ňom ciele vlády na nadchádzajúce obdobie, k dispozícii je podrobnejšia kvantifikácia opatrení na dosiahnutie stanovených cieľov, vyčíslenie analytických fiškálnych ukazovateľov ako štrukturálne saldo rozpočtu, výdavkové pravidlo, scenár nezmenených politík. Tento dokument svojím obsahom sčasti kompenzoval chýbajúce informácie z RVS 2020-2022.</w:t>
            </w:r>
          </w:p>
          <w:p w14:paraId="4A045818" w14:textId="6ECABDC0" w:rsidR="00CA541F" w:rsidRPr="00656795" w:rsidRDefault="00CA541F" w:rsidP="005E72B4">
            <w:pPr>
              <w:jc w:val="both"/>
              <w:rPr>
                <w:sz w:val="10"/>
                <w:szCs w:val="10"/>
              </w:rPr>
            </w:pPr>
          </w:p>
        </w:tc>
      </w:tr>
    </w:tbl>
    <w:p w14:paraId="0527C512" w14:textId="2C550F58" w:rsidR="0053122D" w:rsidRDefault="0053122D" w:rsidP="00CA541F">
      <w:pPr>
        <w:jc w:val="both"/>
        <w:rPr>
          <w:b/>
        </w:rPr>
      </w:pPr>
      <w:r>
        <w:rPr>
          <w:b/>
        </w:rPr>
        <w:lastRenderedPageBreak/>
        <w:t>Hodnotenie rozpočtu z pohľadu zámerov ústavného zákona</w:t>
      </w:r>
    </w:p>
    <w:p w14:paraId="1BB0AEEC" w14:textId="6F3D5D78" w:rsidR="0053122D" w:rsidRDefault="0053122D" w:rsidP="00CA541F">
      <w:pPr>
        <w:jc w:val="both"/>
        <w:rPr>
          <w:b/>
        </w:rPr>
      </w:pPr>
    </w:p>
    <w:p w14:paraId="17D955C8" w14:textId="28053FF7" w:rsidR="00CA541F" w:rsidRPr="00627BB1" w:rsidRDefault="00CA541F" w:rsidP="00CA541F">
      <w:pPr>
        <w:jc w:val="both"/>
        <w:rPr>
          <w:szCs w:val="10"/>
          <w:highlight w:val="yellow"/>
        </w:rPr>
      </w:pPr>
      <w:r w:rsidRPr="00627BB1">
        <w:rPr>
          <w:szCs w:val="10"/>
        </w:rPr>
        <w:t xml:space="preserve">RRZ popri zákonom definovaných požiadavkách na obsah rozpočtu posudzuje rozpočtovú transparentnosť aj z hľadiska vypovedacej schopnosti a zrozumiteľnosti informácií uvedených v dokumentoch rozpočtu, kvality poskytnutých informácií v rozpočte, konzistentného použitia metodiky ESA2010 a miery kontroly parlamentu nad schvaľovaním a plnením rozpočtu. Do týchto oblastí smerovali aj odporúčania RRZ v správe z augusta 2019, pričom s výnimkou pokračovania revízie výdavkov nedošlo v tomto smere k žiadnemu </w:t>
      </w:r>
      <w:r w:rsidR="002C34B6">
        <w:rPr>
          <w:szCs w:val="10"/>
        </w:rPr>
        <w:t xml:space="preserve">výraznému </w:t>
      </w:r>
      <w:r w:rsidRPr="00627BB1">
        <w:rPr>
          <w:szCs w:val="10"/>
        </w:rPr>
        <w:t>posunu.</w:t>
      </w:r>
    </w:p>
    <w:p w14:paraId="07BC9082" w14:textId="77777777" w:rsidR="00CA541F" w:rsidRPr="00627BB1" w:rsidRDefault="00CA541F" w:rsidP="00CA541F">
      <w:pPr>
        <w:jc w:val="both"/>
        <w:rPr>
          <w:szCs w:val="10"/>
          <w:highlight w:val="yellow"/>
        </w:rPr>
      </w:pPr>
    </w:p>
    <w:p w14:paraId="5D921122" w14:textId="6C73A884" w:rsidR="00CA541F" w:rsidRPr="00A91334" w:rsidRDefault="00CA541F" w:rsidP="00CA541F">
      <w:pPr>
        <w:jc w:val="both"/>
      </w:pPr>
      <w:bookmarkStart w:id="817" w:name="_Hlk48564882"/>
      <w:r w:rsidRPr="00A91334">
        <w:rPr>
          <w:b/>
        </w:rPr>
        <w:t>Pozitív</w:t>
      </w:r>
      <w:r w:rsidR="007C250B">
        <w:rPr>
          <w:b/>
        </w:rPr>
        <w:t>ne</w:t>
      </w:r>
      <w:r w:rsidRPr="00A91334">
        <w:rPr>
          <w:b/>
        </w:rPr>
        <w:t xml:space="preserve"> </w:t>
      </w:r>
      <w:r w:rsidR="0053122D">
        <w:rPr>
          <w:b/>
        </w:rPr>
        <w:t>možno vnímať</w:t>
      </w:r>
      <w:r w:rsidRPr="00A91334">
        <w:rPr>
          <w:b/>
        </w:rPr>
        <w:t xml:space="preserve"> prezentovanie opatrení v rezorte zdravotníctva</w:t>
      </w:r>
      <w:r w:rsidRPr="00A91334">
        <w:t>. Ide o jedinú oblasť, v ktorej je rozpočet zostavený na základe scenára nezmenených politík</w:t>
      </w:r>
      <w:r w:rsidR="00C3754D">
        <w:t xml:space="preserve"> na najbližšie tri roky</w:t>
      </w:r>
      <w:r w:rsidRPr="00A91334">
        <w:t xml:space="preserve">, ku ktorému sú </w:t>
      </w:r>
      <w:r w:rsidR="00C3754D">
        <w:t xml:space="preserve">v roku 2020 </w:t>
      </w:r>
      <w:r w:rsidRPr="00A91334">
        <w:t>pripočítané vplyvy nových opatrení. Jednotlivé opatrenia sú zároveň popísané. Tento prístup umožní transparentne porovnať predpoklady rozpočtu so skutočným vývojom, vrátane podrobnej identifikácie prípadných príčin rozdielov. V budúcnosti by bolo potrebné rozšíriť tento spôsob prezentovania opatrení aj na ďalšie roky trojročného rozpočtu, ako aj na ostatné zložky rozpočtu verejnej správy.</w:t>
      </w:r>
      <w:bookmarkEnd w:id="817"/>
    </w:p>
    <w:p w14:paraId="47A83824" w14:textId="77777777" w:rsidR="00CA541F" w:rsidRPr="00F50AC7" w:rsidRDefault="00CA541F" w:rsidP="00CA541F">
      <w:pPr>
        <w:jc w:val="both"/>
        <w:rPr>
          <w:szCs w:val="10"/>
        </w:rPr>
      </w:pPr>
    </w:p>
    <w:p w14:paraId="79AD14B5" w14:textId="4BBCE7A4" w:rsidR="00C3754D" w:rsidRDefault="007C250B" w:rsidP="00CA541F">
      <w:pPr>
        <w:jc w:val="both"/>
        <w:rPr>
          <w:szCs w:val="10"/>
        </w:rPr>
      </w:pPr>
      <w:bookmarkStart w:id="818" w:name="_Hlk48565014"/>
      <w:r>
        <w:rPr>
          <w:szCs w:val="10"/>
        </w:rPr>
        <w:t xml:space="preserve">RRZ </w:t>
      </w:r>
      <w:r w:rsidRPr="00C3754D">
        <w:rPr>
          <w:szCs w:val="10"/>
        </w:rPr>
        <w:t>považuje</w:t>
      </w:r>
      <w:r>
        <w:rPr>
          <w:szCs w:val="10"/>
        </w:rPr>
        <w:t xml:space="preserve"> z</w:t>
      </w:r>
      <w:r w:rsidR="00C3754D" w:rsidRPr="00C3754D">
        <w:rPr>
          <w:szCs w:val="10"/>
        </w:rPr>
        <w:t xml:space="preserve">a </w:t>
      </w:r>
      <w:r w:rsidR="00C3754D" w:rsidRPr="0053122D">
        <w:rPr>
          <w:b/>
          <w:szCs w:val="10"/>
        </w:rPr>
        <w:t>najvýznamnejšie nedostatky</w:t>
      </w:r>
      <w:r w:rsidR="00C3754D" w:rsidRPr="00C3754D">
        <w:rPr>
          <w:szCs w:val="10"/>
        </w:rPr>
        <w:t xml:space="preserve"> </w:t>
      </w:r>
      <w:r w:rsidR="00C3754D">
        <w:rPr>
          <w:szCs w:val="10"/>
        </w:rPr>
        <w:t>schváleného</w:t>
      </w:r>
      <w:r w:rsidR="00C3754D" w:rsidRPr="00C3754D">
        <w:rPr>
          <w:szCs w:val="10"/>
        </w:rPr>
        <w:t xml:space="preserve"> rozpočtu</w:t>
      </w:r>
      <w:r w:rsidR="00C3754D">
        <w:rPr>
          <w:szCs w:val="10"/>
        </w:rPr>
        <w:t xml:space="preserve"> </w:t>
      </w:r>
      <w:r>
        <w:rPr>
          <w:szCs w:val="10"/>
        </w:rPr>
        <w:t>nasledovné body</w:t>
      </w:r>
      <w:r w:rsidR="00C3754D" w:rsidRPr="00C3754D">
        <w:rPr>
          <w:szCs w:val="10"/>
        </w:rPr>
        <w:t>:</w:t>
      </w:r>
    </w:p>
    <w:p w14:paraId="29C282DB" w14:textId="41AC5108" w:rsidR="00C3754D" w:rsidRDefault="00C3754D" w:rsidP="0053122D">
      <w:pPr>
        <w:pStyle w:val="ListParagraph"/>
        <w:spacing w:after="0" w:line="240" w:lineRule="auto"/>
        <w:jc w:val="both"/>
        <w:rPr>
          <w:rFonts w:ascii="Constantia" w:hAnsi="Constantia"/>
        </w:rPr>
      </w:pPr>
    </w:p>
    <w:p w14:paraId="190CAA33" w14:textId="1D34E541" w:rsidR="0053122D" w:rsidRPr="00AA4050" w:rsidRDefault="009B4DE1" w:rsidP="0053122D">
      <w:pPr>
        <w:pStyle w:val="ListParagraph"/>
        <w:numPr>
          <w:ilvl w:val="0"/>
          <w:numId w:val="36"/>
        </w:numPr>
        <w:spacing w:after="0" w:line="240" w:lineRule="auto"/>
        <w:jc w:val="both"/>
        <w:rPr>
          <w:rFonts w:ascii="Constantia" w:hAnsi="Constantia"/>
          <w:bCs/>
        </w:rPr>
      </w:pPr>
      <w:r>
        <w:rPr>
          <w:rFonts w:ascii="Constantia" w:hAnsi="Constantia"/>
          <w:b/>
        </w:rPr>
        <w:t>Trojročný r</w:t>
      </w:r>
      <w:r w:rsidR="0053122D" w:rsidRPr="000D0705">
        <w:rPr>
          <w:rFonts w:ascii="Constantia" w:hAnsi="Constantia"/>
          <w:b/>
        </w:rPr>
        <w:t>ozpočet</w:t>
      </w:r>
      <w:r>
        <w:rPr>
          <w:rFonts w:ascii="Constantia" w:hAnsi="Constantia"/>
          <w:b/>
        </w:rPr>
        <w:t xml:space="preserve"> neobsahoval všetky opatrenia potrebné na splnenie stanovených cieľov</w:t>
      </w:r>
      <w:r w:rsidRPr="00AA4050">
        <w:rPr>
          <w:rFonts w:ascii="Constantia" w:hAnsi="Constantia"/>
          <w:bCs/>
          <w:vertAlign w:val="superscript"/>
        </w:rPr>
        <w:footnoteReference w:id="89"/>
      </w:r>
      <w:r>
        <w:rPr>
          <w:rFonts w:ascii="Constantia" w:hAnsi="Constantia"/>
          <w:b/>
        </w:rPr>
        <w:t>.</w:t>
      </w:r>
      <w:r w:rsidR="0053122D" w:rsidRPr="000D0705">
        <w:rPr>
          <w:rFonts w:ascii="Constantia" w:hAnsi="Constantia"/>
          <w:b/>
        </w:rPr>
        <w:t xml:space="preserve"> </w:t>
      </w:r>
      <w:r>
        <w:rPr>
          <w:rFonts w:ascii="Constantia" w:hAnsi="Constantia"/>
          <w:bCs/>
        </w:rPr>
        <w:t>Zároveň</w:t>
      </w:r>
      <w:r w:rsidR="0053122D" w:rsidRPr="00AA4050">
        <w:rPr>
          <w:rFonts w:ascii="Constantia" w:hAnsi="Constantia"/>
          <w:bCs/>
        </w:rPr>
        <w:t xml:space="preserve"> </w:t>
      </w:r>
      <w:r w:rsidR="0053122D" w:rsidRPr="004A79A6">
        <w:rPr>
          <w:rFonts w:ascii="Constantia" w:hAnsi="Constantia"/>
          <w:b/>
        </w:rPr>
        <w:t xml:space="preserve">všetky ukazovatele </w:t>
      </w:r>
      <w:r w:rsidR="0053122D" w:rsidRPr="008E749C">
        <w:rPr>
          <w:rFonts w:ascii="Constantia" w:hAnsi="Constantia"/>
        </w:rPr>
        <w:t>(hrubý dlh, štrukturálne saldo a</w:t>
      </w:r>
      <w:r w:rsidR="006A3945">
        <w:rPr>
          <w:rFonts w:ascii="Constantia" w:hAnsi="Constantia"/>
        </w:rPr>
        <w:t> </w:t>
      </w:r>
      <w:r w:rsidR="0053122D" w:rsidRPr="008E749C">
        <w:rPr>
          <w:rFonts w:ascii="Constantia" w:hAnsi="Constantia"/>
        </w:rPr>
        <w:t>tempo rastu výdavkov),</w:t>
      </w:r>
      <w:r w:rsidR="0053122D" w:rsidRPr="004A79A6">
        <w:rPr>
          <w:rFonts w:ascii="Constantia" w:hAnsi="Constantia"/>
          <w:b/>
        </w:rPr>
        <w:t xml:space="preserve"> ktoré sú dôležité z hľadiska posúdenia rozpočtu, sú vypočítané za predpokladu naplnenia rozpočtových cieľov</w:t>
      </w:r>
      <w:r w:rsidR="0053122D" w:rsidRPr="00AA4050">
        <w:rPr>
          <w:rFonts w:ascii="Constantia" w:hAnsi="Constantia"/>
          <w:bCs/>
        </w:rPr>
        <w:t>. Tento spôsob prezentácie rozpočtu neodôvodnene vytvára pozitívnejší obraz o </w:t>
      </w:r>
      <w:r>
        <w:rPr>
          <w:rFonts w:ascii="Constantia" w:hAnsi="Constantia"/>
          <w:bCs/>
        </w:rPr>
        <w:t>budúcom vývoji verejných financií</w:t>
      </w:r>
      <w:r w:rsidRPr="00AA4050">
        <w:rPr>
          <w:rFonts w:ascii="Constantia" w:hAnsi="Constantia"/>
          <w:bCs/>
        </w:rPr>
        <w:t xml:space="preserve"> </w:t>
      </w:r>
      <w:r w:rsidR="0053122D" w:rsidRPr="00AA4050">
        <w:rPr>
          <w:rFonts w:ascii="Constantia" w:hAnsi="Constantia"/>
          <w:bCs/>
        </w:rPr>
        <w:t>a potláča do úzadia informácie o skutočných rozpočtovaných hodnotách a dôsledkoch pre plnenie európskych a národných fiškálnych pravidiel.</w:t>
      </w:r>
    </w:p>
    <w:p w14:paraId="31A8BCE5" w14:textId="77777777" w:rsidR="00C3754D" w:rsidRPr="00F50AC7" w:rsidRDefault="00C3754D" w:rsidP="00CA541F">
      <w:pPr>
        <w:jc w:val="both"/>
        <w:rPr>
          <w:szCs w:val="10"/>
        </w:rPr>
      </w:pPr>
    </w:p>
    <w:p w14:paraId="1539B0E2" w14:textId="7459DE09" w:rsidR="0053122D" w:rsidRPr="003B7675" w:rsidRDefault="0053122D" w:rsidP="0053122D">
      <w:pPr>
        <w:pStyle w:val="ListParagraph"/>
        <w:numPr>
          <w:ilvl w:val="0"/>
          <w:numId w:val="19"/>
        </w:numPr>
        <w:spacing w:after="0" w:line="240" w:lineRule="auto"/>
        <w:ind w:left="714" w:hanging="357"/>
        <w:jc w:val="both"/>
        <w:rPr>
          <w:rFonts w:ascii="Constantia" w:hAnsi="Constantia"/>
        </w:rPr>
      </w:pPr>
      <w:r w:rsidRPr="003B7675">
        <w:rPr>
          <w:rFonts w:ascii="Constantia" w:hAnsi="Constantia"/>
          <w:b/>
        </w:rPr>
        <w:t xml:space="preserve">Príjmy z dividend, </w:t>
      </w:r>
      <w:r w:rsidRPr="003B7675">
        <w:rPr>
          <w:rFonts w:ascii="Constantia" w:hAnsi="Constantia"/>
        </w:rPr>
        <w:t xml:space="preserve">najmä v prípade SPP a VSE Holding, </w:t>
      </w:r>
      <w:r w:rsidRPr="003B7675">
        <w:rPr>
          <w:rFonts w:ascii="Constantia" w:hAnsi="Constantia"/>
          <w:b/>
        </w:rPr>
        <w:t xml:space="preserve">sú opakovane netransparentne rozpočtované. </w:t>
      </w:r>
      <w:r w:rsidRPr="003B7675">
        <w:rPr>
          <w:rFonts w:ascii="Constantia" w:hAnsi="Constantia"/>
        </w:rPr>
        <w:t>Rozpočtované hodnoty v rokoch 2020 až 2022 nereflektovali menej priaznivý vývoj skutočnej výšky dividend, pričom na základe rozpočtu, ani dodatočne vyžiadaných údajov od ministerstva financií a ministerstva hospodárstva neboli RRZ zrejmé dôvody optimistických predpokladov o ich vývoji</w:t>
      </w:r>
      <w:r w:rsidRPr="003B7675">
        <w:rPr>
          <w:rStyle w:val="FootnoteReference"/>
          <w:rFonts w:ascii="Constantia" w:hAnsi="Constantia"/>
        </w:rPr>
        <w:footnoteReference w:id="90"/>
      </w:r>
      <w:r w:rsidRPr="003B7675">
        <w:rPr>
          <w:rFonts w:ascii="Constantia" w:hAnsi="Constantia"/>
        </w:rPr>
        <w:t xml:space="preserve">. </w:t>
      </w:r>
    </w:p>
    <w:p w14:paraId="29448E06" w14:textId="78C5BA4B" w:rsidR="0053122D" w:rsidRPr="0053122D" w:rsidRDefault="0053122D" w:rsidP="0053122D">
      <w:pPr>
        <w:jc w:val="both"/>
        <w:rPr>
          <w:szCs w:val="10"/>
        </w:rPr>
      </w:pPr>
    </w:p>
    <w:p w14:paraId="63F49DCF" w14:textId="60D24AE6" w:rsidR="0053122D" w:rsidRPr="0053122D" w:rsidRDefault="0053122D" w:rsidP="0053122D">
      <w:pPr>
        <w:pStyle w:val="ListParagraph"/>
        <w:numPr>
          <w:ilvl w:val="0"/>
          <w:numId w:val="19"/>
        </w:numPr>
        <w:spacing w:after="0" w:line="240" w:lineRule="auto"/>
        <w:jc w:val="both"/>
        <w:rPr>
          <w:rFonts w:ascii="Constantia" w:hAnsi="Constantia"/>
          <w:szCs w:val="10"/>
        </w:rPr>
      </w:pPr>
      <w:r w:rsidRPr="0053122D">
        <w:rPr>
          <w:rFonts w:ascii="Constantia" w:hAnsi="Constantia"/>
          <w:b/>
          <w:bCs/>
          <w:szCs w:val="10"/>
        </w:rPr>
        <w:t>RRZ opakovane poukazuje na to, že príjmy z predaja emisných kvót a úrokové náklady štátneho dlhu nie sú v rozpočte zaznamenané v zmysle metodiky ESA2010.</w:t>
      </w:r>
      <w:r w:rsidRPr="0053122D">
        <w:rPr>
          <w:rFonts w:ascii="Constantia" w:hAnsi="Constantia"/>
          <w:szCs w:val="10"/>
        </w:rPr>
        <w:t xml:space="preserve"> Potvrdzujú to aj skutočné údaje notifikované Eurostatom. Zároveň do rozpočtu boli zapracované len niektoré vplyvy súvisiace s benchmarkovou revíziou národných účtov. </w:t>
      </w:r>
      <w:r w:rsidRPr="0053122D">
        <w:rPr>
          <w:rFonts w:ascii="Constantia" w:hAnsi="Constantia"/>
          <w:b/>
          <w:bCs/>
          <w:szCs w:val="10"/>
        </w:rPr>
        <w:t>Významným nedostatkom je nezahrnutie vplyvu schémy dotovania elektrickej energie z obnoviteľných zdrojov do rozpočtu</w:t>
      </w:r>
      <w:r w:rsidRPr="0053122D">
        <w:rPr>
          <w:rFonts w:ascii="Constantia" w:hAnsi="Constantia"/>
          <w:szCs w:val="10"/>
        </w:rPr>
        <w:t>, keďže v roku 2018 zvýšila daňové príjmy a výdavky na dotácie o 0,7 % HDP. Došlo tým k skresleniu vývoja výdavkov v roku 2019, pričom zároveň existuje aj riziko negatívneho vplyvu na saldo verejnej správy.</w:t>
      </w:r>
    </w:p>
    <w:p w14:paraId="6AE04168" w14:textId="77777777" w:rsidR="0053122D" w:rsidRPr="0053122D" w:rsidRDefault="0053122D" w:rsidP="0053122D">
      <w:pPr>
        <w:jc w:val="both"/>
        <w:rPr>
          <w:szCs w:val="10"/>
        </w:rPr>
      </w:pPr>
    </w:p>
    <w:p w14:paraId="05A75519" w14:textId="77777777" w:rsidR="004F690B" w:rsidRPr="009F0790" w:rsidRDefault="004F690B" w:rsidP="004F690B">
      <w:pPr>
        <w:pStyle w:val="ListParagraph"/>
        <w:numPr>
          <w:ilvl w:val="0"/>
          <w:numId w:val="36"/>
        </w:numPr>
        <w:spacing w:after="0" w:line="240" w:lineRule="auto"/>
        <w:jc w:val="both"/>
        <w:rPr>
          <w:rFonts w:ascii="Constantia" w:hAnsi="Constantia"/>
        </w:rPr>
      </w:pPr>
      <w:r w:rsidRPr="009F0790">
        <w:rPr>
          <w:rFonts w:ascii="Constantia" w:hAnsi="Constantia"/>
        </w:rPr>
        <w:lastRenderedPageBreak/>
        <w:t xml:space="preserve">Rozpočet </w:t>
      </w:r>
      <w:r w:rsidRPr="009F0790">
        <w:rPr>
          <w:rFonts w:ascii="Constantia" w:hAnsi="Constantia"/>
          <w:b/>
          <w:bCs/>
        </w:rPr>
        <w:t>obsah</w:t>
      </w:r>
      <w:r>
        <w:rPr>
          <w:rFonts w:ascii="Constantia" w:hAnsi="Constantia"/>
          <w:b/>
          <w:bCs/>
        </w:rPr>
        <w:t>o</w:t>
      </w:r>
      <w:r w:rsidRPr="009F0790">
        <w:rPr>
          <w:rFonts w:ascii="Constantia" w:hAnsi="Constantia"/>
          <w:b/>
          <w:bCs/>
        </w:rPr>
        <w:t>val pozitívne vplyvy z opatrení, ktoré sa v roku 2020 s vysokou pravdepodobnosťou nezrealizujú.</w:t>
      </w:r>
      <w:r w:rsidRPr="009F0790">
        <w:rPr>
          <w:rFonts w:ascii="Constantia" w:hAnsi="Constantia"/>
        </w:rPr>
        <w:t xml:space="preserve"> Ide o príjmy z označovania pohonných látok nanomarkermi, ktoré závisia od uzatvorenia zmluvy s výrobcom identifikačnej látky, testovania tejto látky a následného zavedenia do praxe. Druhou položkou je zvýšenie poplatku za skladovanie núdzových zásob ropy, ktoré je podmienené rozhodnutím agentúry. Ani v jednom prípade zatiaľ nedošlo k rozhodnutiu, na základe ktorého by bolo možné očakávať dodatočné príjmy v roku 2020. Na prípadné výpadky príjmov </w:t>
      </w:r>
      <w:r>
        <w:rPr>
          <w:rFonts w:ascii="Constantia" w:hAnsi="Constantia"/>
        </w:rPr>
        <w:t>nebola v</w:t>
      </w:r>
      <w:r w:rsidRPr="009F0790">
        <w:rPr>
          <w:rFonts w:ascii="Constantia" w:hAnsi="Constantia"/>
        </w:rPr>
        <w:t xml:space="preserve"> rozpočte vytvorená žiadna konkrétna rezerva. </w:t>
      </w:r>
    </w:p>
    <w:p w14:paraId="289DE382" w14:textId="7F784505" w:rsidR="0053122D" w:rsidRDefault="0053122D" w:rsidP="00CA541F">
      <w:pPr>
        <w:jc w:val="both"/>
        <w:rPr>
          <w:szCs w:val="10"/>
        </w:rPr>
      </w:pPr>
    </w:p>
    <w:p w14:paraId="041C20B2" w14:textId="7E9040BA" w:rsidR="004F690B" w:rsidRDefault="004F690B" w:rsidP="004F690B">
      <w:pPr>
        <w:pStyle w:val="ListParagraph"/>
        <w:numPr>
          <w:ilvl w:val="0"/>
          <w:numId w:val="36"/>
        </w:numPr>
        <w:spacing w:after="0" w:line="240" w:lineRule="auto"/>
        <w:jc w:val="both"/>
        <w:rPr>
          <w:rFonts w:ascii="Constantia" w:hAnsi="Constantia"/>
          <w:bCs/>
        </w:rPr>
      </w:pPr>
      <w:r w:rsidRPr="00BC7B99">
        <w:rPr>
          <w:rFonts w:ascii="Constantia" w:hAnsi="Constantia"/>
          <w:bCs/>
        </w:rPr>
        <w:t xml:space="preserve">Rozpočet v niektorých častiach </w:t>
      </w:r>
      <w:r w:rsidRPr="00BC7B99">
        <w:rPr>
          <w:rFonts w:ascii="Constantia" w:hAnsi="Constantia"/>
          <w:b/>
        </w:rPr>
        <w:t>nereagoval na odlišný vývoj v roku 2019 v porovnaní s predpokladmi schváleného rozpočtu na rok 2019</w:t>
      </w:r>
      <w:r w:rsidRPr="00BC7B99">
        <w:rPr>
          <w:rFonts w:ascii="Constantia" w:hAnsi="Constantia"/>
          <w:bCs/>
        </w:rPr>
        <w:t xml:space="preserve">, čo bez prijatia dodatočných opatrení </w:t>
      </w:r>
      <w:r w:rsidRPr="00BC7B99">
        <w:rPr>
          <w:rFonts w:ascii="Constantia" w:hAnsi="Constantia"/>
          <w:b/>
        </w:rPr>
        <w:t xml:space="preserve">automaticky </w:t>
      </w:r>
      <w:r>
        <w:rPr>
          <w:rFonts w:ascii="Constantia" w:hAnsi="Constantia"/>
          <w:b/>
        </w:rPr>
        <w:t>zvýšilo</w:t>
      </w:r>
      <w:r w:rsidRPr="00BC7B99">
        <w:rPr>
          <w:rFonts w:ascii="Constantia" w:hAnsi="Constantia"/>
          <w:b/>
        </w:rPr>
        <w:t xml:space="preserve"> riziká v roku 2020</w:t>
      </w:r>
      <w:r w:rsidRPr="00BC7B99">
        <w:rPr>
          <w:rFonts w:ascii="Constantia" w:hAnsi="Constantia"/>
          <w:bCs/>
        </w:rPr>
        <w:t xml:space="preserve">. Ide najmä o podhodnotenie vývoja výdavkov Sociálnej poisťovne zo správneho fondu (najmä mzdy a prevádzka) a niektorých vyplácaných dávok a podhodnotené prevádzkové výdavky Železničnej spoločnosti Slovensko. </w:t>
      </w:r>
    </w:p>
    <w:p w14:paraId="1F08D78B" w14:textId="77777777" w:rsidR="00CA541F" w:rsidRPr="00DD4CE6" w:rsidRDefault="00CA541F" w:rsidP="004F690B">
      <w:pPr>
        <w:pStyle w:val="ListParagraph"/>
        <w:spacing w:after="0" w:line="240" w:lineRule="auto"/>
        <w:jc w:val="both"/>
        <w:rPr>
          <w:rFonts w:ascii="Constantia" w:hAnsi="Constantia"/>
        </w:rPr>
      </w:pPr>
    </w:p>
    <w:p w14:paraId="3141AAC4" w14:textId="77777777" w:rsidR="00CA541F" w:rsidRPr="00DD4CE6" w:rsidRDefault="00CA541F" w:rsidP="00CA541F">
      <w:pPr>
        <w:pStyle w:val="ListParagraph"/>
        <w:numPr>
          <w:ilvl w:val="0"/>
          <w:numId w:val="18"/>
        </w:numPr>
        <w:spacing w:line="240" w:lineRule="auto"/>
        <w:jc w:val="both"/>
        <w:rPr>
          <w:rFonts w:ascii="Constantia" w:hAnsi="Constantia"/>
        </w:rPr>
      </w:pPr>
      <w:r w:rsidRPr="00DD4CE6">
        <w:rPr>
          <w:rFonts w:ascii="Constantia" w:hAnsi="Constantia"/>
          <w:b/>
        </w:rPr>
        <w:t>Rozpočtované a vykazované údaje nie sú úplne porovnateľné</w:t>
      </w:r>
      <w:r w:rsidRPr="00DD4CE6">
        <w:rPr>
          <w:rFonts w:ascii="Constantia" w:hAnsi="Constantia"/>
        </w:rPr>
        <w:t xml:space="preserve">, čo znižuje vypovedaciu schopnosť niektorých analytických ukazovateľov (napríklad tempa rastu výdavkov). Zo zákona </w:t>
      </w:r>
      <w:r w:rsidRPr="003E0ABA">
        <w:rPr>
          <w:rFonts w:ascii="Constantia" w:hAnsi="Constantia"/>
        </w:rPr>
        <w:t>sa nerozpočtujú podnikateľské príjmy a výdavky verejných vysokých škôl. Zároveň nie sú v rozpočte zahrnuté predpoklady vývoja príjmov a výdavkov niektorých subjektov</w:t>
      </w:r>
      <w:r w:rsidRPr="00DD4CE6">
        <w:rPr>
          <w:rFonts w:ascii="Constantia" w:hAnsi="Constantia"/>
        </w:rPr>
        <w:t xml:space="preserve"> ústrednej vlády (napríklad štátne podniky Rudné bane a Hydromeliorácie) a samospráv (niektoré podniky a neziskové spoločnosti).</w:t>
      </w:r>
    </w:p>
    <w:p w14:paraId="51049886" w14:textId="77777777" w:rsidR="00CA541F" w:rsidRPr="004F690B" w:rsidRDefault="00CA541F" w:rsidP="00CA541F">
      <w:pPr>
        <w:pStyle w:val="ListParagraph"/>
        <w:spacing w:after="0" w:line="240" w:lineRule="auto"/>
        <w:ind w:left="714"/>
        <w:jc w:val="both"/>
        <w:rPr>
          <w:rFonts w:ascii="Constantia" w:hAnsi="Constantia"/>
        </w:rPr>
      </w:pPr>
    </w:p>
    <w:p w14:paraId="5D15DADB" w14:textId="508A5D3C" w:rsidR="00CA541F" w:rsidRPr="004F690B" w:rsidRDefault="00CA541F" w:rsidP="004F690B">
      <w:pPr>
        <w:pStyle w:val="ListParagraph"/>
        <w:numPr>
          <w:ilvl w:val="0"/>
          <w:numId w:val="20"/>
        </w:numPr>
        <w:spacing w:after="0" w:line="240" w:lineRule="auto"/>
        <w:jc w:val="both"/>
        <w:rPr>
          <w:rFonts w:ascii="Constantia" w:hAnsi="Constantia"/>
          <w:b/>
        </w:rPr>
      </w:pPr>
      <w:r w:rsidRPr="004F690B">
        <w:rPr>
          <w:rFonts w:ascii="Constantia" w:hAnsi="Constantia"/>
        </w:rPr>
        <w:t xml:space="preserve">Podľa RRZ súčasný </w:t>
      </w:r>
      <w:r w:rsidRPr="004F690B">
        <w:rPr>
          <w:rFonts w:ascii="Constantia" w:hAnsi="Constantia"/>
          <w:b/>
        </w:rPr>
        <w:t>legislatívny rámec schvaľovania rozpočtu v NR SR</w:t>
      </w:r>
      <w:r w:rsidRPr="004F690B">
        <w:rPr>
          <w:rFonts w:ascii="Constantia" w:hAnsi="Constantia"/>
        </w:rPr>
        <w:t xml:space="preserve"> nie je z pohľadu predmetu a obsahu schvaľovaných dokumentov vyhovujúci. Schvaľovanie hotovostného štátneho rozpočtu NR SR na najbližší rok je dané historicky a už nepostačuje na zachytenie kľúčových sledovaných parametrov verejných financií a všetkých zmien vo verejných financiách v súlade s európskymi štandardmi definovanými metodikou ESA2010. Príkladom sú aj zmeny rozpočtu v oblasti salda verejnej správy. Pozmeňujúcimi návrhmi v NR SR bol upravený len rozpočet na rok 2020. Súčasne, rozpočtované saldá verejnej správy na roky 2021 a 2022 RRZ zistila len na</w:t>
      </w:r>
      <w:r w:rsidR="004E1D22">
        <w:rPr>
          <w:rFonts w:ascii="Constantia" w:hAnsi="Constantia"/>
        </w:rPr>
        <w:t> </w:t>
      </w:r>
      <w:r w:rsidRPr="004F690B">
        <w:rPr>
          <w:rFonts w:ascii="Constantia" w:hAnsi="Constantia"/>
        </w:rPr>
        <w:t>základe dodatočne vyžiadaných informácií od MF SR</w:t>
      </w:r>
      <w:r w:rsidRPr="004F690B">
        <w:rPr>
          <w:rStyle w:val="FootnoteReference"/>
          <w:rFonts w:ascii="Constantia" w:hAnsi="Constantia" w:cs="Arial"/>
        </w:rPr>
        <w:footnoteReference w:id="91"/>
      </w:r>
      <w:r w:rsidRPr="004F690B">
        <w:rPr>
          <w:rFonts w:ascii="Constantia" w:hAnsi="Constantia"/>
        </w:rPr>
        <w:t>.</w:t>
      </w:r>
      <w:r w:rsidR="00092B26" w:rsidRPr="004F690B">
        <w:rPr>
          <w:rFonts w:ascii="Constantia" w:hAnsi="Constantia"/>
        </w:rPr>
        <w:t xml:space="preserve"> </w:t>
      </w:r>
      <w:r w:rsidRPr="004F690B">
        <w:rPr>
          <w:rFonts w:ascii="Constantia" w:hAnsi="Constantia"/>
          <w:b/>
        </w:rPr>
        <w:t>Niektoré legislatívne zmeny ovplyvňujúce rozpočet verejnej správy schválené v NR SR neboli zapracované v</w:t>
      </w:r>
      <w:r w:rsidR="007C0073">
        <w:rPr>
          <w:rFonts w:ascii="Constantia" w:hAnsi="Constantia"/>
          <w:b/>
        </w:rPr>
        <w:t> </w:t>
      </w:r>
      <w:r w:rsidRPr="004F690B">
        <w:rPr>
          <w:rFonts w:ascii="Constantia" w:hAnsi="Constantia"/>
          <w:b/>
        </w:rPr>
        <w:t xml:space="preserve">rozpočte. </w:t>
      </w:r>
      <w:r w:rsidRPr="004F690B">
        <w:rPr>
          <w:rFonts w:ascii="Constantia" w:hAnsi="Constantia"/>
        </w:rPr>
        <w:t xml:space="preserve">Ide o zmeny v minimálnych dôchodkoch, ktoré boli prijaté nad rámec úpravy zohľadnenej v schválenom rozpočte a zavedenie dlhodobého ošetrovného. </w:t>
      </w:r>
    </w:p>
    <w:p w14:paraId="2A79DF59" w14:textId="77777777" w:rsidR="00CA541F" w:rsidRPr="004F690B" w:rsidRDefault="00CA541F" w:rsidP="004F690B">
      <w:pPr>
        <w:pStyle w:val="ListParagraph"/>
        <w:spacing w:after="0" w:line="240" w:lineRule="auto"/>
        <w:ind w:left="714" w:hanging="357"/>
        <w:jc w:val="both"/>
        <w:rPr>
          <w:rFonts w:ascii="Constantia" w:hAnsi="Constantia"/>
          <w:sz w:val="16"/>
        </w:rPr>
      </w:pPr>
    </w:p>
    <w:p w14:paraId="76DAF9F8" w14:textId="043359F1" w:rsidR="004F690B" w:rsidRDefault="004F690B" w:rsidP="00CA541F">
      <w:pPr>
        <w:pStyle w:val="ListParagraph"/>
        <w:numPr>
          <w:ilvl w:val="0"/>
          <w:numId w:val="16"/>
        </w:numPr>
        <w:spacing w:line="240" w:lineRule="auto"/>
        <w:jc w:val="both"/>
        <w:rPr>
          <w:rFonts w:ascii="Constantia" w:hAnsi="Constantia"/>
        </w:rPr>
      </w:pPr>
      <w:r w:rsidRPr="004F690B">
        <w:rPr>
          <w:rFonts w:ascii="Constantia" w:hAnsi="Constantia"/>
          <w:b/>
          <w:bCs/>
        </w:rPr>
        <w:t>Chýbajú transparentné pravidlá pre použitie rezerv zahrnutých v rozpočte a</w:t>
      </w:r>
      <w:r w:rsidR="007C0073">
        <w:rPr>
          <w:rFonts w:ascii="Constantia" w:hAnsi="Constantia"/>
          <w:b/>
          <w:bCs/>
        </w:rPr>
        <w:t> </w:t>
      </w:r>
      <w:r w:rsidRPr="004F690B">
        <w:rPr>
          <w:rFonts w:ascii="Constantia" w:hAnsi="Constantia"/>
          <w:b/>
          <w:bCs/>
        </w:rPr>
        <w:t>povinnosť zverejnenia ich skutočného použitia.</w:t>
      </w:r>
      <w:r>
        <w:rPr>
          <w:rFonts w:ascii="Constantia" w:hAnsi="Constantia"/>
        </w:rPr>
        <w:t xml:space="preserve"> </w:t>
      </w:r>
      <w:r w:rsidRPr="004F690B">
        <w:rPr>
          <w:rFonts w:ascii="Constantia" w:hAnsi="Constantia"/>
        </w:rPr>
        <w:t>Veľkosť rezerv štátneho rozpočtu sa v</w:t>
      </w:r>
      <w:r>
        <w:rPr>
          <w:rFonts w:ascii="Constantia" w:hAnsi="Constantia"/>
        </w:rPr>
        <w:t xml:space="preserve"> </w:t>
      </w:r>
      <w:r w:rsidRPr="004F690B">
        <w:rPr>
          <w:rFonts w:ascii="Constantia" w:hAnsi="Constantia"/>
        </w:rPr>
        <w:t>porovnaní s</w:t>
      </w:r>
      <w:r>
        <w:rPr>
          <w:rFonts w:ascii="Constantia" w:hAnsi="Constantia"/>
        </w:rPr>
        <w:t xml:space="preserve"> </w:t>
      </w:r>
      <w:r w:rsidRPr="004F690B">
        <w:rPr>
          <w:rFonts w:ascii="Constantia" w:hAnsi="Constantia"/>
        </w:rPr>
        <w:t>minuloročným rozpočtom znížila</w:t>
      </w:r>
      <w:r>
        <w:rPr>
          <w:rFonts w:ascii="Constantia" w:hAnsi="Constantia"/>
        </w:rPr>
        <w:t xml:space="preserve"> </w:t>
      </w:r>
      <w:r w:rsidRPr="00F26869">
        <w:rPr>
          <w:rFonts w:ascii="Constantia" w:hAnsi="Constantia"/>
        </w:rPr>
        <w:t xml:space="preserve">(graf </w:t>
      </w:r>
      <w:r w:rsidR="00A76E50" w:rsidRPr="00F26869">
        <w:rPr>
          <w:rFonts w:ascii="Constantia" w:hAnsi="Constantia"/>
        </w:rPr>
        <w:t>1</w:t>
      </w:r>
      <w:r w:rsidR="00A76E50">
        <w:rPr>
          <w:rFonts w:ascii="Constantia" w:hAnsi="Constantia"/>
        </w:rPr>
        <w:t>3</w:t>
      </w:r>
      <w:r w:rsidRPr="00F26869">
        <w:rPr>
          <w:rFonts w:ascii="Constantia" w:hAnsi="Constantia"/>
        </w:rPr>
        <w:t>)</w:t>
      </w:r>
      <w:r w:rsidRPr="004F690B">
        <w:rPr>
          <w:rFonts w:ascii="Constantia" w:hAnsi="Constantia"/>
        </w:rPr>
        <w:t>, pričom všetky rezervy majú špecifikovaný svoj účel. Z</w:t>
      </w:r>
      <w:r>
        <w:rPr>
          <w:rFonts w:ascii="Constantia" w:hAnsi="Constantia"/>
        </w:rPr>
        <w:t xml:space="preserve"> </w:t>
      </w:r>
      <w:r w:rsidRPr="004F690B">
        <w:rPr>
          <w:rFonts w:ascii="Constantia" w:hAnsi="Constantia"/>
        </w:rPr>
        <w:t>pohľadu miery kontroly NR SR nad výdavkami rozpočtu to možno vnímať pozitívne. Na druhej strane, aj napriek ich špecifikovaniu môžu byť tieto prostriedky na základe rozhodnutia ministra financií alebo vlády použité aj na iný účel.</w:t>
      </w:r>
    </w:p>
    <w:p w14:paraId="0838711F" w14:textId="77777777" w:rsidR="00CA541F" w:rsidRPr="00627BB1" w:rsidRDefault="00CA541F" w:rsidP="00CA541F">
      <w:pPr>
        <w:pStyle w:val="ListParagraph"/>
        <w:rPr>
          <w:rFonts w:ascii="Constantia" w:hAnsi="Constantia"/>
          <w:sz w:val="18"/>
          <w:highlight w:val="yellow"/>
        </w:rPr>
      </w:pPr>
    </w:p>
    <w:p w14:paraId="785863DC" w14:textId="6727A056" w:rsidR="00CA541F" w:rsidRPr="002B104D" w:rsidRDefault="00CA541F" w:rsidP="00CA541F">
      <w:pPr>
        <w:pStyle w:val="ListParagraph"/>
        <w:spacing w:line="240" w:lineRule="auto"/>
        <w:ind w:left="714"/>
        <w:jc w:val="both"/>
        <w:rPr>
          <w:rFonts w:ascii="Constantia" w:hAnsi="Constantia"/>
        </w:rPr>
      </w:pPr>
      <w:r w:rsidRPr="002B104D">
        <w:rPr>
          <w:rFonts w:ascii="Constantia" w:hAnsi="Constantia"/>
        </w:rPr>
        <w:lastRenderedPageBreak/>
        <w:t xml:space="preserve">Zákon o rozpočtových pravidlách verejnej správy uvádza len tri konkrétne rezervy (rezerva vlády SR, rezerva predsedu vlády SR a rezerva na prostriedky EÚ a odvody do EÚ), o použití ktorých je NR SR informovaná. Tvoria však iba približne </w:t>
      </w:r>
      <w:r w:rsidR="00C22411" w:rsidRPr="002B104D">
        <w:rPr>
          <w:rFonts w:ascii="Constantia" w:hAnsi="Constantia"/>
        </w:rPr>
        <w:t>13</w:t>
      </w:r>
      <w:r w:rsidR="00C64FDE">
        <w:rPr>
          <w:rFonts w:ascii="Constantia" w:hAnsi="Constantia"/>
        </w:rPr>
        <w:t> </w:t>
      </w:r>
      <w:r w:rsidRPr="002B104D">
        <w:rPr>
          <w:rFonts w:ascii="Constantia" w:hAnsi="Constantia"/>
        </w:rPr>
        <w:t xml:space="preserve">% všetkých rezerv (graf </w:t>
      </w:r>
      <w:r w:rsidR="00A76E50" w:rsidRPr="002B104D">
        <w:rPr>
          <w:rFonts w:ascii="Constantia" w:hAnsi="Constantia"/>
        </w:rPr>
        <w:t>1</w:t>
      </w:r>
      <w:r w:rsidR="00A76E50">
        <w:rPr>
          <w:rFonts w:ascii="Constantia" w:hAnsi="Constantia"/>
        </w:rPr>
        <w:t>4</w:t>
      </w:r>
      <w:r w:rsidRPr="002B104D">
        <w:rPr>
          <w:rFonts w:ascii="Constantia" w:hAnsi="Constantia"/>
        </w:rPr>
        <w:t>). Informácie o použití ostatných rezerv (približne 8</w:t>
      </w:r>
      <w:r w:rsidR="002B104D" w:rsidRPr="002B104D">
        <w:rPr>
          <w:rFonts w:ascii="Constantia" w:hAnsi="Constantia"/>
        </w:rPr>
        <w:t>7</w:t>
      </w:r>
      <w:r w:rsidRPr="002B104D">
        <w:rPr>
          <w:rFonts w:ascii="Constantia" w:hAnsi="Constantia"/>
        </w:rPr>
        <w:t xml:space="preserve"> % všetkých rezerv) sa nezverejňujú, NR SR o nich nie je informovaná.</w:t>
      </w:r>
    </w:p>
    <w:p w14:paraId="6EF361FB" w14:textId="0A02D97E" w:rsidR="00A8547B" w:rsidRDefault="00A8547B" w:rsidP="00CA541F">
      <w:pPr>
        <w:pStyle w:val="ListParagraph"/>
        <w:spacing w:line="240" w:lineRule="auto"/>
        <w:ind w:left="714"/>
        <w:jc w:val="both"/>
        <w:rPr>
          <w:rFonts w:ascii="Constantia" w:hAnsi="Constantia"/>
        </w:rPr>
      </w:pPr>
    </w:p>
    <w:p w14:paraId="2A5E5B44" w14:textId="604DC6DE" w:rsidR="00A8547B" w:rsidRPr="002B104D" w:rsidRDefault="00A8547B" w:rsidP="00CA541F">
      <w:pPr>
        <w:pStyle w:val="ListParagraph"/>
        <w:spacing w:line="240" w:lineRule="auto"/>
        <w:ind w:left="714"/>
        <w:jc w:val="both"/>
        <w:rPr>
          <w:rFonts w:ascii="Constantia" w:hAnsi="Constantia"/>
        </w:rPr>
      </w:pPr>
      <w:r>
        <w:rPr>
          <w:rFonts w:ascii="Constantia" w:hAnsi="Constantia"/>
        </w:rPr>
        <w:t xml:space="preserve">Z tohto pohľadu možno pozitívne vnímať zámer </w:t>
      </w:r>
      <w:r w:rsidR="00E0034B">
        <w:rPr>
          <w:rFonts w:ascii="Constantia" w:hAnsi="Constantia"/>
        </w:rPr>
        <w:t>vlády</w:t>
      </w:r>
      <w:r w:rsidR="00E0034B" w:rsidRPr="002B104D">
        <w:rPr>
          <w:rStyle w:val="FootnoteReference"/>
          <w:rFonts w:ascii="Constantia" w:hAnsi="Constantia"/>
        </w:rPr>
        <w:footnoteReference w:id="92"/>
      </w:r>
      <w:r>
        <w:rPr>
          <w:rFonts w:ascii="Constantia" w:hAnsi="Constantia"/>
        </w:rPr>
        <w:t xml:space="preserve"> upraviť v pripravovanej novele zákona o rozpočtových pravidlách verejnej správy pravidlá pre tvorbu a použitie rezerv v štátnom rozpočte, ako aj obsahové náležitosti informácie o hospodárení s rozpočtovými rezervami, ktorú bude predkladať vláda Národnej rade SR.</w:t>
      </w:r>
    </w:p>
    <w:tbl>
      <w:tblPr>
        <w:tblW w:w="5000" w:type="pct"/>
        <w:jc w:val="center"/>
        <w:tblLayout w:type="fixed"/>
        <w:tblLook w:val="01E0" w:firstRow="1" w:lastRow="1" w:firstColumn="1" w:lastColumn="1" w:noHBand="0" w:noVBand="0"/>
      </w:tblPr>
      <w:tblGrid>
        <w:gridCol w:w="4394"/>
        <w:gridCol w:w="283"/>
        <w:gridCol w:w="4393"/>
      </w:tblGrid>
      <w:tr w:rsidR="00CA541F" w:rsidRPr="005E20F6" w14:paraId="0822AA8A" w14:textId="77777777" w:rsidTr="00FA67C0">
        <w:trPr>
          <w:jc w:val="center"/>
        </w:trPr>
        <w:tc>
          <w:tcPr>
            <w:tcW w:w="4394" w:type="dxa"/>
            <w:tcBorders>
              <w:bottom w:val="single" w:sz="4" w:space="0" w:color="13B5EA"/>
            </w:tcBorders>
            <w:shd w:val="clear" w:color="auto" w:fill="auto"/>
            <w:vAlign w:val="center"/>
          </w:tcPr>
          <w:p w14:paraId="71FBF890" w14:textId="22D32810" w:rsidR="00CA541F" w:rsidRPr="005E20F6" w:rsidRDefault="00CA541F" w:rsidP="005E72B4">
            <w:pPr>
              <w:jc w:val="both"/>
              <w:rPr>
                <w:sz w:val="20"/>
              </w:rPr>
            </w:pPr>
            <w:bookmarkStart w:id="819" w:name="_Toc49506925"/>
            <w:bookmarkEnd w:id="818"/>
            <w:r w:rsidRPr="005E20F6">
              <w:rPr>
                <w:rStyle w:val="grafChar"/>
                <w:rFonts w:eastAsiaTheme="minorHAnsi"/>
                <w:sz w:val="20"/>
              </w:rPr>
              <w:t>Graf </w:t>
            </w:r>
            <w:r w:rsidR="00A76E50" w:rsidRPr="005E20F6">
              <w:rPr>
                <w:rStyle w:val="grafChar"/>
                <w:rFonts w:eastAsiaTheme="minorHAnsi"/>
                <w:sz w:val="20"/>
              </w:rPr>
              <w:t>1</w:t>
            </w:r>
            <w:r w:rsidR="00A76E50">
              <w:rPr>
                <w:rStyle w:val="grafChar"/>
                <w:rFonts w:eastAsiaTheme="minorHAnsi"/>
                <w:sz w:val="20"/>
              </w:rPr>
              <w:t>3</w:t>
            </w:r>
            <w:r w:rsidRPr="005E20F6">
              <w:rPr>
                <w:rStyle w:val="grafChar"/>
                <w:rFonts w:eastAsiaTheme="minorHAnsi"/>
                <w:sz w:val="20"/>
              </w:rPr>
              <w:t>: Rozpočtované rezervy a ich podiel na celkových výdavkoch štátneho rozpočtu</w:t>
            </w:r>
            <w:bookmarkEnd w:id="819"/>
          </w:p>
        </w:tc>
        <w:tc>
          <w:tcPr>
            <w:tcW w:w="283" w:type="dxa"/>
            <w:shd w:val="clear" w:color="auto" w:fill="auto"/>
            <w:vAlign w:val="center"/>
          </w:tcPr>
          <w:p w14:paraId="6A7BA013" w14:textId="77777777" w:rsidR="00CA541F" w:rsidRPr="005E20F6" w:rsidRDefault="00CA541F" w:rsidP="005E72B4">
            <w:pPr>
              <w:rPr>
                <w:b/>
                <w:color w:val="13B5EA"/>
                <w:sz w:val="20"/>
              </w:rPr>
            </w:pPr>
          </w:p>
        </w:tc>
        <w:tc>
          <w:tcPr>
            <w:tcW w:w="4393" w:type="dxa"/>
            <w:tcBorders>
              <w:bottom w:val="single" w:sz="4" w:space="0" w:color="13B5EA"/>
            </w:tcBorders>
            <w:shd w:val="clear" w:color="auto" w:fill="auto"/>
            <w:vAlign w:val="center"/>
          </w:tcPr>
          <w:p w14:paraId="23B8EB2C" w14:textId="19B4B97E" w:rsidR="00CA541F" w:rsidRPr="005E20F6" w:rsidRDefault="00CA541F" w:rsidP="005E72B4">
            <w:pPr>
              <w:jc w:val="both"/>
              <w:rPr>
                <w:rStyle w:val="grafChar"/>
                <w:rFonts w:eastAsiaTheme="minorHAnsi"/>
                <w:sz w:val="20"/>
              </w:rPr>
            </w:pPr>
            <w:bookmarkStart w:id="820" w:name="_Toc49506926"/>
            <w:r w:rsidRPr="005E20F6">
              <w:rPr>
                <w:rStyle w:val="grafChar"/>
                <w:rFonts w:eastAsiaTheme="minorHAnsi"/>
                <w:sz w:val="20"/>
              </w:rPr>
              <w:t>Graf </w:t>
            </w:r>
            <w:r w:rsidR="00A76E50" w:rsidRPr="005E20F6">
              <w:rPr>
                <w:rStyle w:val="grafChar"/>
                <w:rFonts w:eastAsiaTheme="minorHAnsi"/>
                <w:sz w:val="20"/>
              </w:rPr>
              <w:t>1</w:t>
            </w:r>
            <w:r w:rsidR="00A76E50">
              <w:rPr>
                <w:rStyle w:val="grafChar"/>
                <w:rFonts w:eastAsiaTheme="minorHAnsi"/>
                <w:sz w:val="20"/>
              </w:rPr>
              <w:t>4</w:t>
            </w:r>
            <w:r w:rsidRPr="005E20F6">
              <w:rPr>
                <w:rStyle w:val="grafChar"/>
                <w:rFonts w:eastAsiaTheme="minorHAnsi"/>
                <w:sz w:val="20"/>
              </w:rPr>
              <w:t>: Rezervy štátneho rozpočtu</w:t>
            </w:r>
            <w:bookmarkEnd w:id="820"/>
            <w:r w:rsidRPr="005E20F6">
              <w:rPr>
                <w:rStyle w:val="grafChar"/>
                <w:rFonts w:eastAsiaTheme="minorHAnsi"/>
                <w:sz w:val="20"/>
              </w:rPr>
              <w:t xml:space="preserve"> </w:t>
            </w:r>
            <w:r w:rsidRPr="005E20F6">
              <w:rPr>
                <w:rFonts w:eastAsiaTheme="minorHAnsi"/>
                <w:b/>
                <w:color w:val="13B5EA"/>
                <w:sz w:val="20"/>
              </w:rPr>
              <w:t>(mil. eur)</w:t>
            </w:r>
          </w:p>
        </w:tc>
      </w:tr>
      <w:tr w:rsidR="00CA541F" w:rsidRPr="005E20F6" w14:paraId="4DF8A6EE" w14:textId="77777777" w:rsidTr="00FA67C0">
        <w:trPr>
          <w:trHeight w:hRule="exact" w:val="2778"/>
          <w:jc w:val="center"/>
        </w:trPr>
        <w:tc>
          <w:tcPr>
            <w:tcW w:w="4394" w:type="dxa"/>
            <w:tcBorders>
              <w:top w:val="single" w:sz="4" w:space="0" w:color="13B5EA"/>
              <w:bottom w:val="single" w:sz="4" w:space="0" w:color="13B5EA"/>
            </w:tcBorders>
            <w:shd w:val="clear" w:color="auto" w:fill="auto"/>
            <w:vAlign w:val="center"/>
          </w:tcPr>
          <w:p w14:paraId="34F52269" w14:textId="2B04EFE2" w:rsidR="00CA541F" w:rsidRPr="005E20F6" w:rsidRDefault="4D45340D" w:rsidP="005E72B4">
            <w:pPr>
              <w:jc w:val="center"/>
            </w:pPr>
            <w:r>
              <w:rPr>
                <w:noProof/>
              </w:rPr>
              <w:drawing>
                <wp:inline distT="0" distB="0" distL="0" distR="0" wp14:anchorId="1A221820" wp14:editId="104721C9">
                  <wp:extent cx="2545292" cy="1821180"/>
                  <wp:effectExtent l="0" t="0" r="7620" b="7620"/>
                  <wp:docPr id="189871216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9">
                            <a:extLst>
                              <a:ext uri="{28A0092B-C50C-407E-A947-70E740481C1C}">
                                <a14:useLocalDpi xmlns:a14="http://schemas.microsoft.com/office/drawing/2010/main" val="0"/>
                              </a:ext>
                            </a:extLst>
                          </a:blip>
                          <a:stretch>
                            <a:fillRect/>
                          </a:stretch>
                        </pic:blipFill>
                        <pic:spPr>
                          <a:xfrm>
                            <a:off x="0" y="0"/>
                            <a:ext cx="2545292" cy="1821180"/>
                          </a:xfrm>
                          <a:prstGeom prst="rect">
                            <a:avLst/>
                          </a:prstGeom>
                        </pic:spPr>
                      </pic:pic>
                    </a:graphicData>
                  </a:graphic>
                </wp:inline>
              </w:drawing>
            </w:r>
          </w:p>
        </w:tc>
        <w:tc>
          <w:tcPr>
            <w:tcW w:w="283" w:type="dxa"/>
            <w:shd w:val="clear" w:color="auto" w:fill="auto"/>
          </w:tcPr>
          <w:p w14:paraId="3B35EB6A" w14:textId="77777777" w:rsidR="00CA541F" w:rsidRPr="005E20F6" w:rsidRDefault="00CA541F" w:rsidP="005E72B4"/>
          <w:p w14:paraId="1E95101C" w14:textId="77777777" w:rsidR="00CA541F" w:rsidRPr="005E20F6" w:rsidRDefault="00CA541F" w:rsidP="005E72B4"/>
          <w:p w14:paraId="5797CA67" w14:textId="77777777" w:rsidR="00CA541F" w:rsidRPr="005E20F6" w:rsidRDefault="00CA541F" w:rsidP="005E72B4"/>
          <w:p w14:paraId="753CAF26" w14:textId="77777777" w:rsidR="00CA541F" w:rsidRPr="005E20F6" w:rsidRDefault="00CA541F" w:rsidP="005E72B4"/>
          <w:p w14:paraId="34184DED" w14:textId="77777777" w:rsidR="00CA541F" w:rsidRPr="005E20F6" w:rsidRDefault="00CA541F" w:rsidP="005E72B4"/>
          <w:p w14:paraId="23724029" w14:textId="77777777" w:rsidR="00CA541F" w:rsidRPr="005E20F6" w:rsidRDefault="00CA541F" w:rsidP="005E72B4"/>
          <w:p w14:paraId="71142E2C" w14:textId="77777777" w:rsidR="00CA541F" w:rsidRPr="005E20F6" w:rsidRDefault="00CA541F" w:rsidP="005E72B4"/>
          <w:p w14:paraId="2E3C408D" w14:textId="77777777" w:rsidR="00CA541F" w:rsidRPr="005E20F6" w:rsidRDefault="00CA541F" w:rsidP="005E72B4"/>
          <w:p w14:paraId="588530B8" w14:textId="77777777" w:rsidR="00CA541F" w:rsidRPr="005E20F6" w:rsidRDefault="00CA541F" w:rsidP="005E72B4"/>
          <w:p w14:paraId="08AAF856" w14:textId="77777777" w:rsidR="00CA541F" w:rsidRPr="005E20F6" w:rsidRDefault="00CA541F" w:rsidP="005E72B4"/>
        </w:tc>
        <w:tc>
          <w:tcPr>
            <w:tcW w:w="4393" w:type="dxa"/>
            <w:tcBorders>
              <w:top w:val="single" w:sz="4" w:space="0" w:color="13B5EA"/>
            </w:tcBorders>
            <w:shd w:val="clear" w:color="auto" w:fill="auto"/>
            <w:vAlign w:val="center"/>
          </w:tcPr>
          <w:p w14:paraId="2205A787" w14:textId="60C585BD" w:rsidR="00CA541F" w:rsidRPr="005E20F6" w:rsidRDefault="585683F5" w:rsidP="005E72B4">
            <w:pPr>
              <w:ind w:left="-78" w:right="-172"/>
              <w:jc w:val="center"/>
            </w:pPr>
            <w:r>
              <w:rPr>
                <w:noProof/>
              </w:rPr>
              <w:drawing>
                <wp:inline distT="0" distB="0" distL="0" distR="0" wp14:anchorId="76C55519" wp14:editId="125E907F">
                  <wp:extent cx="2554605" cy="1762125"/>
                  <wp:effectExtent l="0" t="0" r="0" b="9525"/>
                  <wp:docPr id="62802698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0">
                            <a:extLst>
                              <a:ext uri="{28A0092B-C50C-407E-A947-70E740481C1C}">
                                <a14:useLocalDpi xmlns:a14="http://schemas.microsoft.com/office/drawing/2010/main" val="0"/>
                              </a:ext>
                            </a:extLst>
                          </a:blip>
                          <a:stretch>
                            <a:fillRect/>
                          </a:stretch>
                        </pic:blipFill>
                        <pic:spPr>
                          <a:xfrm>
                            <a:off x="0" y="0"/>
                            <a:ext cx="2554605" cy="1762125"/>
                          </a:xfrm>
                          <a:prstGeom prst="rect">
                            <a:avLst/>
                          </a:prstGeom>
                        </pic:spPr>
                      </pic:pic>
                    </a:graphicData>
                  </a:graphic>
                </wp:inline>
              </w:drawing>
            </w:r>
          </w:p>
        </w:tc>
      </w:tr>
      <w:tr w:rsidR="00CA541F" w:rsidRPr="005E20F6" w14:paraId="5BA4BE54" w14:textId="77777777" w:rsidTr="00FA67C0">
        <w:trPr>
          <w:trHeight w:val="264"/>
          <w:jc w:val="center"/>
        </w:trPr>
        <w:tc>
          <w:tcPr>
            <w:tcW w:w="4394" w:type="dxa"/>
            <w:tcBorders>
              <w:top w:val="single" w:sz="4" w:space="0" w:color="13B5EA"/>
            </w:tcBorders>
            <w:shd w:val="clear" w:color="auto" w:fill="auto"/>
          </w:tcPr>
          <w:p w14:paraId="5728DDD6" w14:textId="38C1FC30" w:rsidR="00CA541F" w:rsidRPr="005E20F6" w:rsidRDefault="00CA541F" w:rsidP="005E72B4">
            <w:pPr>
              <w:rPr>
                <w:i/>
                <w:color w:val="13B5EA"/>
                <w:sz w:val="16"/>
                <w:szCs w:val="16"/>
              </w:rPr>
            </w:pPr>
            <w:r w:rsidRPr="005E20F6">
              <w:rPr>
                <w:i/>
                <w:color w:val="13B5EA"/>
                <w:sz w:val="16"/>
                <w:szCs w:val="16"/>
              </w:rPr>
              <w:t>* Rozpočet VS na roky 20</w:t>
            </w:r>
            <w:r w:rsidR="001A155A" w:rsidRPr="005E20F6">
              <w:rPr>
                <w:i/>
                <w:color w:val="13B5EA"/>
                <w:sz w:val="16"/>
                <w:szCs w:val="16"/>
              </w:rPr>
              <w:t>20</w:t>
            </w:r>
            <w:r w:rsidRPr="005E20F6">
              <w:rPr>
                <w:i/>
                <w:color w:val="13B5EA"/>
                <w:sz w:val="16"/>
                <w:szCs w:val="16"/>
              </w:rPr>
              <w:t>-202</w:t>
            </w:r>
            <w:r w:rsidR="001A155A" w:rsidRPr="005E20F6">
              <w:rPr>
                <w:i/>
                <w:color w:val="13B5EA"/>
                <w:sz w:val="16"/>
                <w:szCs w:val="16"/>
              </w:rPr>
              <w:t>2</w:t>
            </w:r>
            <w:r w:rsidRPr="005E20F6">
              <w:rPr>
                <w:i/>
                <w:color w:val="13B5EA"/>
                <w:sz w:val="16"/>
                <w:szCs w:val="16"/>
              </w:rPr>
              <w:t xml:space="preserve">                  Zdroj: RRZ, MF SR</w:t>
            </w:r>
          </w:p>
        </w:tc>
        <w:tc>
          <w:tcPr>
            <w:tcW w:w="283" w:type="dxa"/>
            <w:shd w:val="clear" w:color="auto" w:fill="auto"/>
          </w:tcPr>
          <w:p w14:paraId="55D351BA" w14:textId="77777777" w:rsidR="00CA541F" w:rsidRPr="005E20F6" w:rsidRDefault="00CA541F" w:rsidP="005E72B4">
            <w:pPr>
              <w:jc w:val="right"/>
              <w:rPr>
                <w:i/>
                <w:color w:val="13B5EA"/>
                <w:sz w:val="16"/>
                <w:szCs w:val="16"/>
              </w:rPr>
            </w:pPr>
          </w:p>
        </w:tc>
        <w:tc>
          <w:tcPr>
            <w:tcW w:w="4393" w:type="dxa"/>
            <w:shd w:val="clear" w:color="auto" w:fill="auto"/>
          </w:tcPr>
          <w:p w14:paraId="26F3377F" w14:textId="6415F259" w:rsidR="00CA541F" w:rsidRPr="005E20F6" w:rsidRDefault="00CA541F" w:rsidP="005E72B4">
            <w:pPr>
              <w:pBdr>
                <w:top w:val="single" w:sz="4" w:space="1" w:color="13B5EA"/>
              </w:pBdr>
              <w:rPr>
                <w:i/>
                <w:color w:val="13B5EA"/>
                <w:sz w:val="16"/>
                <w:szCs w:val="16"/>
              </w:rPr>
            </w:pPr>
            <w:r w:rsidRPr="005E20F6">
              <w:rPr>
                <w:i/>
                <w:color w:val="13B5EA"/>
                <w:sz w:val="16"/>
                <w:szCs w:val="16"/>
              </w:rPr>
              <w:t>R – Rozpočet VS na roky 20</w:t>
            </w:r>
            <w:r w:rsidR="005E20F6" w:rsidRPr="005E20F6">
              <w:rPr>
                <w:i/>
                <w:color w:val="13B5EA"/>
                <w:sz w:val="16"/>
                <w:szCs w:val="16"/>
              </w:rPr>
              <w:t>20</w:t>
            </w:r>
            <w:r w:rsidRPr="005E20F6">
              <w:rPr>
                <w:i/>
                <w:color w:val="13B5EA"/>
                <w:sz w:val="16"/>
                <w:szCs w:val="16"/>
              </w:rPr>
              <w:t>-202</w:t>
            </w:r>
            <w:r w:rsidR="005E20F6" w:rsidRPr="005E20F6">
              <w:rPr>
                <w:i/>
                <w:color w:val="13B5EA"/>
                <w:sz w:val="16"/>
                <w:szCs w:val="16"/>
              </w:rPr>
              <w:t>2</w:t>
            </w:r>
            <w:r w:rsidRPr="005E20F6">
              <w:rPr>
                <w:i/>
                <w:color w:val="13B5EA"/>
                <w:sz w:val="16"/>
                <w:szCs w:val="16"/>
              </w:rPr>
              <w:t xml:space="preserve">              Zdroj: RRZ, MF SR</w:t>
            </w:r>
          </w:p>
        </w:tc>
      </w:tr>
    </w:tbl>
    <w:p w14:paraId="5A268963" w14:textId="77777777" w:rsidR="00CA541F" w:rsidRPr="00627BB1" w:rsidRDefault="00CA541F" w:rsidP="00CA541F">
      <w:pPr>
        <w:pStyle w:val="ListParagraph"/>
        <w:spacing w:line="240" w:lineRule="auto"/>
        <w:ind w:left="714"/>
        <w:jc w:val="both"/>
        <w:rPr>
          <w:rFonts w:ascii="Constantia" w:hAnsi="Constantia"/>
          <w:highlight w:val="yellow"/>
        </w:rPr>
      </w:pPr>
    </w:p>
    <w:p w14:paraId="137171E2" w14:textId="0BDF14CF" w:rsidR="00CA541F" w:rsidRPr="00DD4CE6" w:rsidRDefault="00CA541F" w:rsidP="00CA541F">
      <w:pPr>
        <w:pStyle w:val="ListParagraph"/>
        <w:numPr>
          <w:ilvl w:val="0"/>
          <w:numId w:val="16"/>
        </w:numPr>
        <w:spacing w:line="240" w:lineRule="auto"/>
        <w:ind w:left="714" w:hanging="357"/>
        <w:jc w:val="both"/>
        <w:rPr>
          <w:rFonts w:ascii="Constantia" w:hAnsi="Constantia"/>
        </w:rPr>
      </w:pPr>
      <w:bookmarkStart w:id="821" w:name="_Hlk48565031"/>
      <w:r w:rsidRPr="00DD4CE6">
        <w:rPr>
          <w:rFonts w:ascii="Constantia" w:hAnsi="Constantia"/>
          <w:b/>
        </w:rPr>
        <w:t>Kontrolu NR SR nad výdavkami rozpočtu znižujú aj nepoužité a do ďalších rokov prenesené</w:t>
      </w:r>
      <w:r w:rsidRPr="00DD4CE6">
        <w:rPr>
          <w:rStyle w:val="FootnoteReference"/>
          <w:rFonts w:ascii="Constantia" w:hAnsi="Constantia"/>
          <w:b/>
        </w:rPr>
        <w:footnoteReference w:id="93"/>
      </w:r>
      <w:r w:rsidRPr="00DD4CE6">
        <w:rPr>
          <w:rFonts w:ascii="Constantia" w:hAnsi="Constantia"/>
          <w:b/>
        </w:rPr>
        <w:t xml:space="preserve"> kapitálové výdavky štátneho rozpočtu, ktoré nemajú stanovený konkrétny účel použitia</w:t>
      </w:r>
      <w:r w:rsidRPr="00DD4CE6">
        <w:rPr>
          <w:rStyle w:val="FootnoteReference"/>
          <w:rFonts w:ascii="Constantia" w:hAnsi="Constantia"/>
        </w:rPr>
        <w:footnoteReference w:id="94"/>
      </w:r>
      <w:r w:rsidRPr="00DD4CE6">
        <w:rPr>
          <w:rFonts w:ascii="Constantia" w:hAnsi="Constantia"/>
        </w:rPr>
        <w:t xml:space="preserve"> a sú k dispozícii v kapitole Všeobecnej pokladničnej správy (VPS). Ich veľkosť sa výrazne zvýšila od roku 2015 (graf 1</w:t>
      </w:r>
      <w:r w:rsidR="00A76E50">
        <w:rPr>
          <w:rFonts w:ascii="Constantia" w:hAnsi="Constantia"/>
        </w:rPr>
        <w:t>5</w:t>
      </w:r>
      <w:r w:rsidRPr="00DD4CE6">
        <w:rPr>
          <w:rFonts w:ascii="Constantia" w:hAnsi="Constantia"/>
        </w:rPr>
        <w:t xml:space="preserve">), pričom </w:t>
      </w:r>
      <w:r w:rsidR="0053397F">
        <w:rPr>
          <w:rFonts w:ascii="Constantia" w:hAnsi="Constantia"/>
        </w:rPr>
        <w:t>v roku 2019 klesl</w:t>
      </w:r>
      <w:r w:rsidR="00F16D64">
        <w:rPr>
          <w:rFonts w:ascii="Constantia" w:hAnsi="Constantia"/>
        </w:rPr>
        <w:t>a</w:t>
      </w:r>
      <w:r w:rsidR="0053397F">
        <w:rPr>
          <w:rFonts w:ascii="Constantia" w:hAnsi="Constantia"/>
        </w:rPr>
        <w:t xml:space="preserve"> na približne 0,5 % HDP.</w:t>
      </w:r>
      <w:r w:rsidRPr="00DD4CE6">
        <w:rPr>
          <w:rFonts w:ascii="Constantia" w:hAnsi="Constantia"/>
        </w:rPr>
        <w:t xml:space="preserve"> </w:t>
      </w:r>
      <w:r w:rsidR="0053397F">
        <w:rPr>
          <w:rFonts w:ascii="Constantia" w:hAnsi="Constantia"/>
        </w:rPr>
        <w:t>O</w:t>
      </w:r>
      <w:r w:rsidRPr="00DD4CE6">
        <w:rPr>
          <w:rFonts w:ascii="Constantia" w:hAnsi="Constantia"/>
        </w:rPr>
        <w:t xml:space="preserve"> ich použití rozhoduje vláda alebo minister financií. V prípade rezerv, ktoré majú všeobecne definovaný účel použitia, presuny medzi rokmi výrazne znižujú transparentnosť ich použitia. </w:t>
      </w:r>
    </w:p>
    <w:bookmarkEnd w:id="821"/>
    <w:p w14:paraId="022AB98E" w14:textId="71966E82" w:rsidR="00CA541F" w:rsidRDefault="00CA541F" w:rsidP="00A8547B">
      <w:pPr>
        <w:pStyle w:val="ListParagraph"/>
        <w:spacing w:line="240" w:lineRule="auto"/>
        <w:ind w:left="714"/>
        <w:jc w:val="both"/>
        <w:rPr>
          <w:rFonts w:ascii="Constantia" w:hAnsi="Constantia"/>
        </w:rPr>
      </w:pPr>
    </w:p>
    <w:p w14:paraId="331A740D" w14:textId="18E2F642" w:rsidR="000C1E43" w:rsidRDefault="000C1E43" w:rsidP="00A8547B">
      <w:pPr>
        <w:pStyle w:val="ListParagraph"/>
        <w:spacing w:line="240" w:lineRule="auto"/>
        <w:ind w:left="714"/>
        <w:jc w:val="both"/>
        <w:rPr>
          <w:rFonts w:ascii="Constantia" w:hAnsi="Constantia"/>
        </w:rPr>
      </w:pPr>
    </w:p>
    <w:p w14:paraId="560E0C28" w14:textId="1224944F" w:rsidR="000C1E43" w:rsidRDefault="000C1E43" w:rsidP="00A8547B">
      <w:pPr>
        <w:pStyle w:val="ListParagraph"/>
        <w:spacing w:line="240" w:lineRule="auto"/>
        <w:ind w:left="714"/>
        <w:jc w:val="both"/>
        <w:rPr>
          <w:rFonts w:ascii="Constantia" w:hAnsi="Constantia"/>
        </w:rPr>
      </w:pPr>
    </w:p>
    <w:p w14:paraId="205A4735" w14:textId="5D61C79F" w:rsidR="000C1E43" w:rsidRDefault="000C1E43" w:rsidP="00A8547B">
      <w:pPr>
        <w:pStyle w:val="ListParagraph"/>
        <w:spacing w:line="240" w:lineRule="auto"/>
        <w:ind w:left="714"/>
        <w:jc w:val="both"/>
        <w:rPr>
          <w:rFonts w:ascii="Constantia" w:hAnsi="Constantia"/>
        </w:rPr>
      </w:pPr>
    </w:p>
    <w:p w14:paraId="0B33FF20" w14:textId="6646A83F" w:rsidR="000C1E43" w:rsidRDefault="000C1E43" w:rsidP="00A8547B">
      <w:pPr>
        <w:pStyle w:val="ListParagraph"/>
        <w:spacing w:line="240" w:lineRule="auto"/>
        <w:ind w:left="714"/>
        <w:jc w:val="both"/>
        <w:rPr>
          <w:rFonts w:ascii="Constantia" w:hAnsi="Constantia"/>
        </w:rPr>
      </w:pPr>
    </w:p>
    <w:p w14:paraId="3FB16B9A" w14:textId="4B8B2C8D" w:rsidR="000C1E43" w:rsidRDefault="000C1E43" w:rsidP="00A8547B">
      <w:pPr>
        <w:pStyle w:val="ListParagraph"/>
        <w:spacing w:line="240" w:lineRule="auto"/>
        <w:ind w:left="714"/>
        <w:jc w:val="both"/>
        <w:rPr>
          <w:rFonts w:ascii="Constantia" w:hAnsi="Constantia"/>
        </w:rPr>
      </w:pPr>
    </w:p>
    <w:p w14:paraId="3538FD0F" w14:textId="4B579F22" w:rsidR="000C1E43" w:rsidRDefault="000C1E43" w:rsidP="00A8547B">
      <w:pPr>
        <w:pStyle w:val="ListParagraph"/>
        <w:spacing w:line="240" w:lineRule="auto"/>
        <w:ind w:left="714"/>
        <w:jc w:val="both"/>
        <w:rPr>
          <w:rFonts w:ascii="Constantia" w:hAnsi="Constantia"/>
        </w:rPr>
      </w:pPr>
    </w:p>
    <w:tbl>
      <w:tblPr>
        <w:tblW w:w="5103" w:type="dxa"/>
        <w:jc w:val="center"/>
        <w:tblLayout w:type="fixed"/>
        <w:tblLook w:val="01E0" w:firstRow="1" w:lastRow="1" w:firstColumn="1" w:lastColumn="1" w:noHBand="0" w:noVBand="0"/>
      </w:tblPr>
      <w:tblGrid>
        <w:gridCol w:w="5103"/>
      </w:tblGrid>
      <w:tr w:rsidR="00A8547B" w:rsidRPr="00627BB1" w14:paraId="272D0844" w14:textId="77777777" w:rsidTr="004E1D22">
        <w:trPr>
          <w:jc w:val="center"/>
        </w:trPr>
        <w:tc>
          <w:tcPr>
            <w:tcW w:w="5103" w:type="dxa"/>
            <w:tcBorders>
              <w:top w:val="nil"/>
              <w:bottom w:val="single" w:sz="4" w:space="0" w:color="13B5EA"/>
            </w:tcBorders>
            <w:shd w:val="clear" w:color="auto" w:fill="auto"/>
            <w:vAlign w:val="center"/>
          </w:tcPr>
          <w:p w14:paraId="7DD31DD9" w14:textId="4AC86CA9" w:rsidR="00A8547B" w:rsidRPr="00630F5D" w:rsidRDefault="00A8547B" w:rsidP="00C76114">
            <w:pPr>
              <w:jc w:val="both"/>
              <w:rPr>
                <w:rStyle w:val="grafChar"/>
                <w:b w:val="0"/>
                <w:color w:val="auto"/>
                <w:sz w:val="20"/>
              </w:rPr>
            </w:pPr>
            <w:bookmarkStart w:id="822" w:name="_Toc49506927"/>
            <w:r w:rsidRPr="00630F5D">
              <w:rPr>
                <w:rStyle w:val="grafChar"/>
                <w:rFonts w:eastAsiaTheme="minorHAnsi"/>
                <w:sz w:val="20"/>
              </w:rPr>
              <w:lastRenderedPageBreak/>
              <w:t>Graf </w:t>
            </w:r>
            <w:r w:rsidR="00A76E50" w:rsidRPr="00630F5D">
              <w:rPr>
                <w:rStyle w:val="grafChar"/>
                <w:rFonts w:eastAsiaTheme="minorHAnsi"/>
                <w:sz w:val="20"/>
              </w:rPr>
              <w:t>1</w:t>
            </w:r>
            <w:r w:rsidR="00A76E50">
              <w:rPr>
                <w:rStyle w:val="grafChar"/>
                <w:rFonts w:eastAsiaTheme="minorHAnsi"/>
                <w:sz w:val="20"/>
              </w:rPr>
              <w:t>5</w:t>
            </w:r>
            <w:r w:rsidRPr="00630F5D">
              <w:rPr>
                <w:rStyle w:val="grafChar"/>
                <w:rFonts w:eastAsiaTheme="minorHAnsi"/>
                <w:sz w:val="20"/>
              </w:rPr>
              <w:t>: Kapitálové výdavky ŠR presunuté do ďalších rokov</w:t>
            </w:r>
            <w:bookmarkEnd w:id="822"/>
            <w:r w:rsidRPr="00630F5D">
              <w:rPr>
                <w:rFonts w:eastAsiaTheme="minorHAnsi"/>
                <w:b/>
                <w:color w:val="13B5EA"/>
                <w:sz w:val="20"/>
              </w:rPr>
              <w:t xml:space="preserve"> (% HDP)</w:t>
            </w:r>
          </w:p>
        </w:tc>
      </w:tr>
      <w:tr w:rsidR="00A8547B" w:rsidRPr="00627BB1" w14:paraId="56201D19" w14:textId="77777777" w:rsidTr="004E1D22">
        <w:trPr>
          <w:trHeight w:hRule="exact" w:val="2778"/>
          <w:jc w:val="center"/>
        </w:trPr>
        <w:tc>
          <w:tcPr>
            <w:tcW w:w="5103" w:type="dxa"/>
            <w:tcBorders>
              <w:top w:val="single" w:sz="4" w:space="0" w:color="13B5EA"/>
              <w:bottom w:val="dotted" w:sz="4" w:space="0" w:color="00B0F0"/>
            </w:tcBorders>
            <w:shd w:val="clear" w:color="auto" w:fill="auto"/>
            <w:vAlign w:val="center"/>
          </w:tcPr>
          <w:p w14:paraId="05A2EB0E" w14:textId="77777777" w:rsidR="00A8547B" w:rsidRPr="00630F5D" w:rsidRDefault="3FC4D5A1" w:rsidP="00C76114">
            <w:pPr>
              <w:ind w:left="-78" w:right="-172"/>
              <w:jc w:val="center"/>
            </w:pPr>
            <w:r>
              <w:rPr>
                <w:noProof/>
              </w:rPr>
              <w:drawing>
                <wp:inline distT="0" distB="0" distL="0" distR="0" wp14:anchorId="1CDC710C" wp14:editId="4A7F73E0">
                  <wp:extent cx="3034190" cy="1704814"/>
                  <wp:effectExtent l="0" t="0" r="0" b="0"/>
                  <wp:docPr id="4966775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1">
                            <a:extLst>
                              <a:ext uri="{28A0092B-C50C-407E-A947-70E740481C1C}">
                                <a14:useLocalDpi xmlns:a14="http://schemas.microsoft.com/office/drawing/2010/main" val="0"/>
                              </a:ext>
                            </a:extLst>
                          </a:blip>
                          <a:stretch>
                            <a:fillRect/>
                          </a:stretch>
                        </pic:blipFill>
                        <pic:spPr>
                          <a:xfrm>
                            <a:off x="0" y="0"/>
                            <a:ext cx="3034190" cy="1704814"/>
                          </a:xfrm>
                          <a:prstGeom prst="rect">
                            <a:avLst/>
                          </a:prstGeom>
                        </pic:spPr>
                      </pic:pic>
                    </a:graphicData>
                  </a:graphic>
                </wp:inline>
              </w:drawing>
            </w:r>
          </w:p>
        </w:tc>
      </w:tr>
      <w:tr w:rsidR="00A8547B" w:rsidRPr="00114DA2" w14:paraId="51FE1E47" w14:textId="77777777" w:rsidTr="004E1D22">
        <w:trPr>
          <w:trHeight w:val="687"/>
          <w:jc w:val="center"/>
        </w:trPr>
        <w:tc>
          <w:tcPr>
            <w:tcW w:w="5103" w:type="dxa"/>
            <w:tcBorders>
              <w:top w:val="single" w:sz="4" w:space="0" w:color="00B0F0"/>
            </w:tcBorders>
            <w:shd w:val="clear" w:color="auto" w:fill="auto"/>
          </w:tcPr>
          <w:p w14:paraId="29093DF2" w14:textId="77777777" w:rsidR="00A8547B" w:rsidRPr="00630F5D" w:rsidRDefault="00A8547B" w:rsidP="00C76114">
            <w:pPr>
              <w:rPr>
                <w:i/>
                <w:color w:val="13B5EA"/>
                <w:sz w:val="16"/>
                <w:szCs w:val="16"/>
              </w:rPr>
            </w:pPr>
            <w:r w:rsidRPr="00630F5D">
              <w:rPr>
                <w:i/>
                <w:color w:val="13B5EA"/>
                <w:sz w:val="16"/>
                <w:szCs w:val="16"/>
              </w:rPr>
              <w:t>Pozn.: KV – kapitálové výdavky                                                 Zdroj: MF SR</w:t>
            </w:r>
          </w:p>
          <w:p w14:paraId="629A3C09" w14:textId="77777777" w:rsidR="00A8547B" w:rsidRPr="00780E88" w:rsidRDefault="00A8547B" w:rsidP="00C76114">
            <w:pPr>
              <w:rPr>
                <w:i/>
                <w:color w:val="13B5EA"/>
                <w:sz w:val="16"/>
                <w:szCs w:val="16"/>
              </w:rPr>
            </w:pPr>
            <w:r w:rsidRPr="00630F5D">
              <w:rPr>
                <w:i/>
                <w:color w:val="13B5EA"/>
                <w:sz w:val="16"/>
                <w:szCs w:val="16"/>
              </w:rPr>
              <w:t>Ide o výdavky, ktoré sa rozpočtujú na daný rok (zdroj 111), nepoužijú sa a zaviažu sa s možnosťou použitia v ďalších rokoch.</w:t>
            </w:r>
          </w:p>
        </w:tc>
      </w:tr>
    </w:tbl>
    <w:p w14:paraId="69F76367" w14:textId="77777777" w:rsidR="00CA541F" w:rsidRDefault="00CA541F" w:rsidP="00A8547B">
      <w:pPr>
        <w:pStyle w:val="ListParagraph"/>
        <w:spacing w:line="240" w:lineRule="auto"/>
        <w:ind w:left="714"/>
        <w:jc w:val="both"/>
        <w:rPr>
          <w:rFonts w:ascii="Constantia" w:hAnsi="Constantia"/>
        </w:rPr>
      </w:pPr>
    </w:p>
    <w:p w14:paraId="66B9EDC0" w14:textId="671F8FDD" w:rsidR="00092B26" w:rsidRPr="00FF1309" w:rsidRDefault="00A8547B" w:rsidP="00A8547B">
      <w:pPr>
        <w:pStyle w:val="ListParagraph"/>
        <w:numPr>
          <w:ilvl w:val="0"/>
          <w:numId w:val="16"/>
        </w:numPr>
        <w:spacing w:after="0" w:line="240" w:lineRule="auto"/>
        <w:ind w:left="714" w:hanging="357"/>
        <w:jc w:val="both"/>
        <w:rPr>
          <w:rFonts w:ascii="Constantia" w:hAnsi="Constantia"/>
        </w:rPr>
      </w:pPr>
      <w:bookmarkStart w:id="823" w:name="_Hlk48565045"/>
      <w:r w:rsidRPr="00FF1309">
        <w:rPr>
          <w:rFonts w:ascii="Constantia" w:hAnsi="Constantia"/>
          <w:b/>
        </w:rPr>
        <w:t xml:space="preserve">V priebehu implementácie rozpočtu došlo </w:t>
      </w:r>
      <w:r w:rsidR="00FF1309" w:rsidRPr="00FF1309">
        <w:rPr>
          <w:rFonts w:ascii="Constantia" w:hAnsi="Constantia"/>
          <w:b/>
          <w:bCs/>
        </w:rPr>
        <w:t>zavedením</w:t>
      </w:r>
      <w:r w:rsidRPr="00FF1309">
        <w:rPr>
          <w:rFonts w:ascii="Constantia" w:hAnsi="Constantia"/>
          <w:b/>
        </w:rPr>
        <w:t xml:space="preserve"> 13. </w:t>
      </w:r>
      <w:r w:rsidRPr="00FF1309">
        <w:rPr>
          <w:rFonts w:ascii="Constantia" w:hAnsi="Constantia"/>
          <w:b/>
          <w:bCs/>
        </w:rPr>
        <w:t>dôchodkov</w:t>
      </w:r>
      <w:r w:rsidR="00FF1309" w:rsidRPr="00FF1309">
        <w:rPr>
          <w:rFonts w:ascii="Constantia" w:hAnsi="Constantia"/>
          <w:b/>
          <w:bCs/>
        </w:rPr>
        <w:t xml:space="preserve"> vo februári 2020</w:t>
      </w:r>
      <w:r w:rsidRPr="00FF1309">
        <w:rPr>
          <w:rFonts w:ascii="Constantia" w:hAnsi="Constantia"/>
          <w:b/>
          <w:bCs/>
        </w:rPr>
        <w:t xml:space="preserve"> k</w:t>
      </w:r>
      <w:r w:rsidR="00FF1309" w:rsidRPr="00FF1309">
        <w:rPr>
          <w:rFonts w:ascii="Constantia" w:hAnsi="Constantia"/>
          <w:b/>
          <w:bCs/>
        </w:rPr>
        <w:t> </w:t>
      </w:r>
      <w:r w:rsidRPr="00FF1309">
        <w:rPr>
          <w:rFonts w:ascii="Constantia" w:hAnsi="Constantia"/>
          <w:b/>
          <w:bCs/>
        </w:rPr>
        <w:t>význa</w:t>
      </w:r>
      <w:r w:rsidR="00FF1309" w:rsidRPr="00FF1309">
        <w:rPr>
          <w:rFonts w:ascii="Constantia" w:hAnsi="Constantia"/>
          <w:b/>
          <w:bCs/>
        </w:rPr>
        <w:t>mnému zásahu do</w:t>
      </w:r>
      <w:r w:rsidRPr="00FF1309">
        <w:rPr>
          <w:rFonts w:ascii="Constantia" w:hAnsi="Constantia"/>
          <w:b/>
          <w:bCs/>
        </w:rPr>
        <w:t> rozpočt</w:t>
      </w:r>
      <w:r w:rsidR="00FF1309" w:rsidRPr="00FF1309">
        <w:rPr>
          <w:rFonts w:ascii="Constantia" w:hAnsi="Constantia"/>
          <w:b/>
          <w:bCs/>
        </w:rPr>
        <w:t>u na rok 2020</w:t>
      </w:r>
      <w:r w:rsidR="00FF1309">
        <w:rPr>
          <w:rFonts w:ascii="Constantia" w:hAnsi="Constantia"/>
          <w:b/>
          <w:bCs/>
        </w:rPr>
        <w:t xml:space="preserve"> a porušeniu rozpočtových pravidiel</w:t>
      </w:r>
      <w:r w:rsidRPr="00FF1309">
        <w:rPr>
          <w:rFonts w:ascii="Constantia" w:hAnsi="Constantia"/>
          <w:b/>
          <w:bCs/>
        </w:rPr>
        <w:t>.</w:t>
      </w:r>
      <w:r w:rsidRPr="00FF1309">
        <w:rPr>
          <w:rFonts w:ascii="Constantia" w:hAnsi="Constantia"/>
        </w:rPr>
        <w:t xml:space="preserve"> T</w:t>
      </w:r>
      <w:r w:rsidR="00FF1309" w:rsidRPr="00FF1309">
        <w:rPr>
          <w:rFonts w:ascii="Constantia" w:hAnsi="Constantia"/>
        </w:rPr>
        <w:t xml:space="preserve">oto opatrenie navýšilo výdavky rozpočtu o odhadovaných </w:t>
      </w:r>
      <w:r w:rsidR="00FF1309">
        <w:rPr>
          <w:rFonts w:ascii="Constantia" w:hAnsi="Constantia"/>
        </w:rPr>
        <w:t>442</w:t>
      </w:r>
      <w:r w:rsidR="00FF1309" w:rsidRPr="00FF1309">
        <w:rPr>
          <w:rFonts w:ascii="Constantia" w:hAnsi="Constantia"/>
        </w:rPr>
        <w:t xml:space="preserve"> mil. eur</w:t>
      </w:r>
      <w:r w:rsidR="00FF1309">
        <w:rPr>
          <w:rFonts w:ascii="Constantia" w:hAnsi="Constantia"/>
        </w:rPr>
        <w:t xml:space="preserve"> (0,5 % HDP)</w:t>
      </w:r>
      <w:r w:rsidR="00FF1309" w:rsidRPr="00FF1309">
        <w:rPr>
          <w:rFonts w:ascii="Constantia" w:hAnsi="Constantia"/>
        </w:rPr>
        <w:t xml:space="preserve"> v roku 2020</w:t>
      </w:r>
      <w:r w:rsidRPr="00FF1309">
        <w:rPr>
          <w:rFonts w:ascii="Constantia" w:hAnsi="Constantia"/>
        </w:rPr>
        <w:t xml:space="preserve"> bez </w:t>
      </w:r>
      <w:r w:rsidR="00FF1309" w:rsidRPr="00FF1309">
        <w:rPr>
          <w:rFonts w:ascii="Constantia" w:hAnsi="Constantia"/>
        </w:rPr>
        <w:t xml:space="preserve">toho, aby v čase jeho schvaľovania bolo </w:t>
      </w:r>
      <w:r w:rsidRPr="00FF1309">
        <w:rPr>
          <w:rFonts w:ascii="Constantia" w:hAnsi="Constantia"/>
        </w:rPr>
        <w:t>zabezpečen</w:t>
      </w:r>
      <w:r w:rsidR="00FF1309" w:rsidRPr="00FF1309">
        <w:rPr>
          <w:rFonts w:ascii="Constantia" w:hAnsi="Constantia"/>
        </w:rPr>
        <w:t>é</w:t>
      </w:r>
      <w:r w:rsidRPr="00FF1309">
        <w:rPr>
          <w:rFonts w:ascii="Constantia" w:hAnsi="Constantia"/>
        </w:rPr>
        <w:t xml:space="preserve"> adekvátne financovani</w:t>
      </w:r>
      <w:r w:rsidR="00FF1309" w:rsidRPr="00FF1309">
        <w:rPr>
          <w:rFonts w:ascii="Constantia" w:hAnsi="Constantia"/>
        </w:rPr>
        <w:t>e</w:t>
      </w:r>
      <w:r w:rsidRPr="00FF1309">
        <w:rPr>
          <w:rFonts w:ascii="Constantia" w:hAnsi="Constantia"/>
        </w:rPr>
        <w:t xml:space="preserve">. </w:t>
      </w:r>
      <w:r w:rsidR="00FF1309" w:rsidRPr="00FF1309">
        <w:rPr>
          <w:rFonts w:ascii="Constantia" w:hAnsi="Constantia"/>
        </w:rPr>
        <w:t xml:space="preserve">Navýšeniu výdavkov legislatívnou zmenou nezabránil ani existujúci </w:t>
      </w:r>
      <w:r w:rsidRPr="00FF1309">
        <w:rPr>
          <w:rFonts w:ascii="Constantia" w:hAnsi="Constantia"/>
        </w:rPr>
        <w:t xml:space="preserve">záväzný limit výdavkov na rok 2020 </w:t>
      </w:r>
      <w:r w:rsidR="00FF1309" w:rsidRPr="00FF1309">
        <w:rPr>
          <w:rFonts w:ascii="Constantia" w:hAnsi="Constantia"/>
        </w:rPr>
        <w:t>schválený vládou v januári 2020</w:t>
      </w:r>
      <w:r w:rsidRPr="00FF1309">
        <w:rPr>
          <w:rFonts w:ascii="Constantia" w:hAnsi="Constantia"/>
        </w:rPr>
        <w:t xml:space="preserve"> v dôsledku identifikovanej výraznej odchýlky od plnenia pravidla o vyrovnanom rozpočte.</w:t>
      </w:r>
    </w:p>
    <w:bookmarkEnd w:id="823"/>
    <w:p w14:paraId="101CBACE" w14:textId="77777777" w:rsidR="00EE26BE" w:rsidRPr="00B81300" w:rsidRDefault="00EE26BE" w:rsidP="00CA541F">
      <w:pPr>
        <w:jc w:val="both"/>
        <w:rPr>
          <w:szCs w:val="10"/>
          <w:highlight w:val="yellow"/>
        </w:rPr>
      </w:pPr>
    </w:p>
    <w:p w14:paraId="5D52E0F4" w14:textId="77777777" w:rsidR="00CA541F" w:rsidRPr="002062C1" w:rsidRDefault="00CA541F" w:rsidP="00CA541F">
      <w:pPr>
        <w:jc w:val="both"/>
        <w:rPr>
          <w:b/>
          <w:color w:val="58595B"/>
          <w:sz w:val="24"/>
        </w:rPr>
      </w:pPr>
      <w:r w:rsidRPr="002062C1">
        <w:rPr>
          <w:b/>
          <w:color w:val="58595B"/>
          <w:sz w:val="24"/>
        </w:rPr>
        <w:t>3.2.2 Súhrnná výročná správa</w:t>
      </w:r>
    </w:p>
    <w:p w14:paraId="4F8CE933" w14:textId="77777777" w:rsidR="00CA541F" w:rsidRPr="002062C1" w:rsidRDefault="00CA541F" w:rsidP="00CA541F">
      <w:pPr>
        <w:jc w:val="both"/>
        <w:rPr>
          <w:szCs w:val="22"/>
        </w:rPr>
      </w:pPr>
    </w:p>
    <w:p w14:paraId="6BDB2D54" w14:textId="77777777" w:rsidR="00CA541F" w:rsidRPr="002062C1" w:rsidRDefault="00CA541F" w:rsidP="00CA541F">
      <w:pPr>
        <w:autoSpaceDE w:val="0"/>
        <w:autoSpaceDN w:val="0"/>
        <w:adjustRightInd w:val="0"/>
        <w:jc w:val="both"/>
        <w:rPr>
          <w:rFonts w:eastAsiaTheme="minorHAnsi" w:cs="ITCBookmanEE"/>
          <w:color w:val="231F20"/>
          <w:szCs w:val="22"/>
          <w:lang w:eastAsia="en-US"/>
        </w:rPr>
      </w:pPr>
      <w:r w:rsidRPr="002062C1">
        <w:rPr>
          <w:rFonts w:eastAsiaTheme="minorHAnsi" w:cs="ITCBookmanEE"/>
          <w:color w:val="231F20"/>
          <w:szCs w:val="22"/>
          <w:lang w:eastAsia="en-US"/>
        </w:rPr>
        <w:t xml:space="preserve">Zámerom súhrnnej výročnej správy Slovenskej republiky </w:t>
      </w:r>
      <w:r w:rsidRPr="002062C1">
        <w:rPr>
          <w:rFonts w:eastAsia="Cambria"/>
        </w:rPr>
        <w:t>je priniesť pohľad na stav a vývoj hospodárenia verejných financií krajiny, vrátane vyčíslenia čistého bohatstva. Úst</w:t>
      </w:r>
      <w:r w:rsidRPr="002062C1">
        <w:rPr>
          <w:rFonts w:eastAsiaTheme="minorHAnsi" w:cs="ITCBookmanEE"/>
          <w:color w:val="231F20"/>
          <w:szCs w:val="22"/>
          <w:lang w:eastAsia="en-US"/>
        </w:rPr>
        <w:t xml:space="preserve">avný zákon definuje nasledovné údaje (okrem údajov, ktoré ustanovuje osobitný zákon), ktoré by správa mala obsahovať: </w:t>
      </w:r>
    </w:p>
    <w:p w14:paraId="5266ED9F" w14:textId="77777777" w:rsidR="00CA541F" w:rsidRPr="002062C1" w:rsidRDefault="00CA541F" w:rsidP="00CA541F">
      <w:pPr>
        <w:pStyle w:val="ListParagraph"/>
        <w:numPr>
          <w:ilvl w:val="0"/>
          <w:numId w:val="8"/>
        </w:numPr>
        <w:autoSpaceDE w:val="0"/>
        <w:autoSpaceDN w:val="0"/>
        <w:adjustRightInd w:val="0"/>
        <w:spacing w:after="0" w:line="240" w:lineRule="auto"/>
        <w:jc w:val="both"/>
        <w:rPr>
          <w:rFonts w:ascii="Constantia" w:eastAsiaTheme="minorHAnsi" w:hAnsi="Constantia" w:cs="ITCBookmanEE"/>
          <w:color w:val="231F20"/>
        </w:rPr>
      </w:pPr>
      <w:r w:rsidRPr="002062C1">
        <w:rPr>
          <w:rFonts w:ascii="Constantia" w:eastAsiaTheme="minorHAnsi" w:hAnsi="Constantia" w:cs="ITCBookmanEE"/>
          <w:color w:val="231F20"/>
        </w:rPr>
        <w:t xml:space="preserve">bilanciu rozpočtu verejnej správy, </w:t>
      </w:r>
    </w:p>
    <w:p w14:paraId="51B6BB36" w14:textId="77777777" w:rsidR="00CA541F" w:rsidRPr="002062C1" w:rsidRDefault="00CA541F" w:rsidP="00CA541F">
      <w:pPr>
        <w:pStyle w:val="ListParagraph"/>
        <w:numPr>
          <w:ilvl w:val="0"/>
          <w:numId w:val="8"/>
        </w:numPr>
        <w:autoSpaceDE w:val="0"/>
        <w:autoSpaceDN w:val="0"/>
        <w:adjustRightInd w:val="0"/>
        <w:spacing w:after="0" w:line="240" w:lineRule="auto"/>
        <w:jc w:val="both"/>
        <w:rPr>
          <w:rFonts w:ascii="Constantia" w:eastAsia="Cambria" w:hAnsi="Constantia"/>
        </w:rPr>
      </w:pPr>
      <w:r w:rsidRPr="002062C1">
        <w:rPr>
          <w:rFonts w:ascii="Constantia" w:eastAsiaTheme="minorHAnsi" w:hAnsi="Constantia" w:cs="ITCBookmanEE"/>
          <w:color w:val="231F20"/>
        </w:rPr>
        <w:t>jednorazové vplyvy,</w:t>
      </w:r>
    </w:p>
    <w:p w14:paraId="6A38E746" w14:textId="77777777" w:rsidR="00CA541F" w:rsidRPr="002062C1" w:rsidRDefault="00CA541F" w:rsidP="00CA541F">
      <w:pPr>
        <w:pStyle w:val="ListParagraph"/>
        <w:numPr>
          <w:ilvl w:val="0"/>
          <w:numId w:val="8"/>
        </w:numPr>
        <w:autoSpaceDE w:val="0"/>
        <w:autoSpaceDN w:val="0"/>
        <w:adjustRightInd w:val="0"/>
        <w:spacing w:after="0" w:line="240" w:lineRule="auto"/>
        <w:jc w:val="both"/>
        <w:rPr>
          <w:rFonts w:ascii="Constantia" w:eastAsia="Cambria" w:hAnsi="Constantia"/>
        </w:rPr>
      </w:pPr>
      <w:r w:rsidRPr="002062C1">
        <w:rPr>
          <w:rFonts w:ascii="Constantia" w:eastAsiaTheme="minorHAnsi" w:hAnsi="Constantia" w:cs="ITCBookmanEE"/>
          <w:color w:val="231F20"/>
        </w:rPr>
        <w:t xml:space="preserve">vyhodnotenie plnenia cieľov stratégie riadenia štátneho dlhu, </w:t>
      </w:r>
    </w:p>
    <w:p w14:paraId="240D4E69" w14:textId="77777777" w:rsidR="00CA541F" w:rsidRPr="002062C1" w:rsidRDefault="00CA541F" w:rsidP="00CA541F">
      <w:pPr>
        <w:pStyle w:val="ListParagraph"/>
        <w:numPr>
          <w:ilvl w:val="0"/>
          <w:numId w:val="8"/>
        </w:numPr>
        <w:autoSpaceDE w:val="0"/>
        <w:autoSpaceDN w:val="0"/>
        <w:adjustRightInd w:val="0"/>
        <w:spacing w:after="0" w:line="240" w:lineRule="auto"/>
        <w:jc w:val="both"/>
        <w:rPr>
          <w:rFonts w:ascii="Constantia" w:eastAsia="Cambria" w:hAnsi="Constantia"/>
        </w:rPr>
      </w:pPr>
      <w:r w:rsidRPr="002062C1">
        <w:rPr>
          <w:rFonts w:ascii="Constantia" w:eastAsiaTheme="minorHAnsi" w:hAnsi="Constantia" w:cs="ITCBookmanEE"/>
          <w:color w:val="231F20"/>
        </w:rPr>
        <w:t>výšku čistého bohatstva Slovenskej republiky,</w:t>
      </w:r>
    </w:p>
    <w:p w14:paraId="2D85CDCA" w14:textId="77777777" w:rsidR="00CA541F" w:rsidRPr="002062C1" w:rsidRDefault="00CA541F" w:rsidP="00CA541F">
      <w:pPr>
        <w:pStyle w:val="ListParagraph"/>
        <w:numPr>
          <w:ilvl w:val="0"/>
          <w:numId w:val="8"/>
        </w:numPr>
        <w:autoSpaceDE w:val="0"/>
        <w:autoSpaceDN w:val="0"/>
        <w:adjustRightInd w:val="0"/>
        <w:spacing w:after="0" w:line="240" w:lineRule="auto"/>
        <w:jc w:val="both"/>
        <w:rPr>
          <w:rFonts w:ascii="Constantia" w:eastAsia="Cambria" w:hAnsi="Constantia"/>
        </w:rPr>
      </w:pPr>
      <w:r w:rsidRPr="002062C1">
        <w:rPr>
          <w:rFonts w:ascii="Constantia" w:eastAsiaTheme="minorHAnsi" w:hAnsi="Constantia" w:cs="ITCBookmanEE"/>
          <w:color w:val="231F20"/>
        </w:rPr>
        <w:t>hospodárenie podnikov štátnej správy.</w:t>
      </w:r>
    </w:p>
    <w:p w14:paraId="01348857" w14:textId="77777777" w:rsidR="00CA541F" w:rsidRPr="00B81300" w:rsidRDefault="00CA541F" w:rsidP="00CA541F">
      <w:pPr>
        <w:jc w:val="both"/>
        <w:rPr>
          <w:rFonts w:eastAsia="Cambria"/>
          <w:sz w:val="18"/>
          <w:highlight w:val="yellow"/>
        </w:rPr>
      </w:pPr>
    </w:p>
    <w:p w14:paraId="575F2FCB" w14:textId="77777777" w:rsidR="00CA541F" w:rsidRPr="00F46DA8" w:rsidRDefault="00CA541F" w:rsidP="00CA541F">
      <w:pPr>
        <w:jc w:val="both"/>
        <w:rPr>
          <w:rFonts w:eastAsia="Calibri"/>
        </w:rPr>
      </w:pPr>
      <w:r w:rsidRPr="00F46DA8">
        <w:rPr>
          <w:szCs w:val="22"/>
        </w:rPr>
        <w:t>Návrh súhrnnej výročnej správy SR za rok 2018 schválila vláda dňa 6. novembra 2019 a NR SR ho vzala na vedomie dňa 27. novembra 2019</w:t>
      </w:r>
      <w:r w:rsidRPr="00F46DA8">
        <w:t>.</w:t>
      </w:r>
      <w:r w:rsidRPr="00F46DA8">
        <w:rPr>
          <w:lang w:eastAsia="cs-CZ"/>
        </w:rPr>
        <w:t xml:space="preserve"> </w:t>
      </w:r>
    </w:p>
    <w:p w14:paraId="79B975CE" w14:textId="5C32FD06" w:rsidR="00CA541F" w:rsidRPr="00F46DA8" w:rsidRDefault="00CA541F" w:rsidP="00CA541F">
      <w:pPr>
        <w:jc w:val="both"/>
        <w:rPr>
          <w:sz w:val="18"/>
        </w:rPr>
      </w:pPr>
    </w:p>
    <w:p w14:paraId="2B21C32C" w14:textId="0409C778" w:rsidR="00122E96" w:rsidRDefault="00122E96" w:rsidP="00CA541F">
      <w:pPr>
        <w:jc w:val="both"/>
        <w:rPr>
          <w:sz w:val="18"/>
        </w:rPr>
      </w:pPr>
      <w:r>
        <w:rPr>
          <w:b/>
        </w:rPr>
        <w:t>Hodnotenie plnenia zákonom daných požiadaviek</w:t>
      </w:r>
    </w:p>
    <w:p w14:paraId="16C44EA5" w14:textId="77777777" w:rsidR="00122E96" w:rsidRPr="00F46DA8" w:rsidRDefault="00122E96" w:rsidP="00CA541F">
      <w:pPr>
        <w:jc w:val="both"/>
        <w:rPr>
          <w:sz w:val="18"/>
        </w:rPr>
      </w:pPr>
    </w:p>
    <w:p w14:paraId="3D55F2CB" w14:textId="6E1FB4EE" w:rsidR="00122E96" w:rsidRDefault="00CA541F" w:rsidP="00CA541F">
      <w:pPr>
        <w:jc w:val="both"/>
      </w:pPr>
      <w:r w:rsidRPr="00F46DA8">
        <w:rPr>
          <w:b/>
        </w:rPr>
        <w:t>V súhrnnej výročnej správe sú uvedené všetky zákonom definované údaje</w:t>
      </w:r>
      <w:r w:rsidRPr="00F46DA8">
        <w:t xml:space="preserve"> (popis obsahu správy je uvedený v boxe </w:t>
      </w:r>
      <w:r w:rsidR="00163A0C">
        <w:t>8</w:t>
      </w:r>
      <w:r w:rsidRPr="00F46DA8">
        <w:t>).</w:t>
      </w:r>
    </w:p>
    <w:p w14:paraId="7DE156E9" w14:textId="48D021CE" w:rsidR="00475086" w:rsidRDefault="00475086" w:rsidP="00CA541F">
      <w:pPr>
        <w:jc w:val="both"/>
      </w:pPr>
    </w:p>
    <w:p w14:paraId="73ADAABC" w14:textId="687BD266" w:rsidR="00475086" w:rsidRDefault="00475086" w:rsidP="00CA541F">
      <w:pPr>
        <w:jc w:val="both"/>
      </w:pPr>
    </w:p>
    <w:p w14:paraId="714386AB" w14:textId="46923260" w:rsidR="00475086" w:rsidRDefault="00475086" w:rsidP="00CA541F">
      <w:pPr>
        <w:jc w:val="both"/>
      </w:pPr>
    </w:p>
    <w:p w14:paraId="71A36836" w14:textId="77777777" w:rsidR="00475086" w:rsidRDefault="00475086" w:rsidP="00CA541F">
      <w:pPr>
        <w:jc w:val="both"/>
      </w:pPr>
    </w:p>
    <w:p w14:paraId="444840A6" w14:textId="77777777" w:rsidR="00122E96" w:rsidRPr="00B81300" w:rsidRDefault="00122E96" w:rsidP="00122E96">
      <w:pPr>
        <w:jc w:val="both"/>
        <w:rPr>
          <w:rFonts w:eastAsia="Cambria"/>
          <w:sz w:val="20"/>
          <w:highlight w:val="yellow"/>
        </w:rPr>
      </w:pPr>
    </w:p>
    <w:tbl>
      <w:tblPr>
        <w:tblW w:w="0" w:type="auto"/>
        <w:jc w:val="center"/>
        <w:tblBorders>
          <w:top w:val="single" w:sz="12" w:space="0" w:color="13B5EA"/>
          <w:left w:val="single" w:sz="12" w:space="0" w:color="13B5EA"/>
          <w:bottom w:val="single" w:sz="12" w:space="0" w:color="13B5EA"/>
          <w:right w:val="single" w:sz="12" w:space="0" w:color="13B5EA"/>
        </w:tblBorders>
        <w:shd w:val="clear" w:color="auto" w:fill="B1E8F9"/>
        <w:tblLook w:val="04A0" w:firstRow="1" w:lastRow="0" w:firstColumn="1" w:lastColumn="0" w:noHBand="0" w:noVBand="1"/>
      </w:tblPr>
      <w:tblGrid>
        <w:gridCol w:w="9040"/>
      </w:tblGrid>
      <w:tr w:rsidR="00122E96" w:rsidRPr="00B81300" w14:paraId="0E4264D5" w14:textId="77777777" w:rsidTr="00122E96">
        <w:trPr>
          <w:jc w:val="center"/>
        </w:trPr>
        <w:tc>
          <w:tcPr>
            <w:tcW w:w="9040" w:type="dxa"/>
            <w:shd w:val="clear" w:color="auto" w:fill="B1E8F9"/>
            <w:vAlign w:val="center"/>
          </w:tcPr>
          <w:p w14:paraId="53096BE6" w14:textId="77777777" w:rsidR="00475086" w:rsidRPr="00475086" w:rsidRDefault="00475086" w:rsidP="00475086">
            <w:pPr>
              <w:rPr>
                <w:sz w:val="10"/>
                <w:szCs w:val="8"/>
              </w:rPr>
            </w:pPr>
          </w:p>
          <w:p w14:paraId="22E50589" w14:textId="64E07E4C" w:rsidR="00122E96" w:rsidRPr="00F46DA8" w:rsidRDefault="00122E96" w:rsidP="00122E96">
            <w:pPr>
              <w:pStyle w:val="box"/>
              <w:rPr>
                <w:sz w:val="20"/>
                <w:szCs w:val="20"/>
                <w:lang w:val="sk-SK"/>
              </w:rPr>
            </w:pPr>
            <w:bookmarkStart w:id="824" w:name="_Toc49506898"/>
            <w:r w:rsidRPr="00F46DA8">
              <w:rPr>
                <w:sz w:val="20"/>
                <w:szCs w:val="20"/>
                <w:lang w:val="sk-SK"/>
              </w:rPr>
              <w:t xml:space="preserve">Box </w:t>
            </w:r>
            <w:r w:rsidR="00163A0C">
              <w:rPr>
                <w:sz w:val="20"/>
                <w:szCs w:val="20"/>
                <w:lang w:val="sk-SK"/>
              </w:rPr>
              <w:t>8</w:t>
            </w:r>
            <w:r w:rsidRPr="00F46DA8">
              <w:rPr>
                <w:sz w:val="20"/>
                <w:szCs w:val="20"/>
                <w:lang w:val="sk-SK"/>
              </w:rPr>
              <w:t>: Obsah Súhrnnej výročnej správy Slovenskej republiky za rok 2018</w:t>
            </w:r>
            <w:bookmarkEnd w:id="824"/>
          </w:p>
          <w:p w14:paraId="47121B75" w14:textId="77777777" w:rsidR="00122E96" w:rsidRPr="00971BBC" w:rsidRDefault="00122E96" w:rsidP="00122E96">
            <w:pPr>
              <w:jc w:val="both"/>
              <w:rPr>
                <w:sz w:val="16"/>
                <w:szCs w:val="28"/>
              </w:rPr>
            </w:pPr>
          </w:p>
          <w:p w14:paraId="1CB4244F" w14:textId="68A39E8F" w:rsidR="00122E96" w:rsidRPr="00B81300" w:rsidRDefault="00122E96" w:rsidP="00122E96">
            <w:pPr>
              <w:jc w:val="both"/>
              <w:rPr>
                <w:rFonts w:eastAsia="Cambria"/>
                <w:sz w:val="20"/>
                <w:highlight w:val="yellow"/>
              </w:rPr>
            </w:pPr>
            <w:r w:rsidRPr="00F46DA8">
              <w:rPr>
                <w:rFonts w:eastAsia="Cambria"/>
                <w:sz w:val="20"/>
              </w:rPr>
              <w:t xml:space="preserve">Správa obsahuje </w:t>
            </w:r>
            <w:r w:rsidRPr="00F46DA8">
              <w:rPr>
                <w:rFonts w:eastAsia="Cambria"/>
                <w:b/>
                <w:sz w:val="20"/>
              </w:rPr>
              <w:t>konsolidovanú bilanciu príjmov a výdavkov za celú verejnú správu</w:t>
            </w:r>
            <w:r w:rsidRPr="00F46DA8">
              <w:rPr>
                <w:rFonts w:eastAsia="Cambria"/>
                <w:sz w:val="20"/>
              </w:rPr>
              <w:t xml:space="preserve"> na horizonte troch rokov (2016-2018) a bilancie jednotlivých subjektov verejnej správy v metodike ESA 2010. </w:t>
            </w:r>
            <w:r>
              <w:rPr>
                <w:rFonts w:eastAsia="Cambria"/>
                <w:sz w:val="20"/>
              </w:rPr>
              <w:t>Údaje obsiahnuté v správe boli predmetom rozsiahlej benchmarkovej revízie</w:t>
            </w:r>
            <w:r>
              <w:rPr>
                <w:rStyle w:val="FootnoteReference"/>
                <w:rFonts w:eastAsia="Cambria"/>
                <w:sz w:val="20"/>
              </w:rPr>
              <w:footnoteReference w:id="95"/>
            </w:r>
            <w:r>
              <w:rPr>
                <w:rFonts w:eastAsia="Cambria"/>
                <w:sz w:val="20"/>
              </w:rPr>
              <w:t xml:space="preserve">, ktorú Štatistický úrad SR uskutočnil v súlade s publikovanými </w:t>
            </w:r>
            <w:r w:rsidRPr="007A1DC7">
              <w:rPr>
                <w:rFonts w:eastAsia="Cambria"/>
                <w:sz w:val="20"/>
              </w:rPr>
              <w:t>dokumentami</w:t>
            </w:r>
            <w:r w:rsidRPr="007A1DC7">
              <w:rPr>
                <w:rStyle w:val="FootnoteReference"/>
                <w:rFonts w:eastAsia="Cambria"/>
                <w:sz w:val="20"/>
              </w:rPr>
              <w:footnoteReference w:id="96"/>
            </w:r>
            <w:r w:rsidRPr="007A1DC7">
              <w:rPr>
                <w:rFonts w:eastAsia="Cambria"/>
                <w:sz w:val="20"/>
              </w:rPr>
              <w:t xml:space="preserve"> Eurostatu</w:t>
            </w:r>
            <w:r>
              <w:rPr>
                <w:rFonts w:eastAsia="Cambria"/>
                <w:sz w:val="20"/>
              </w:rPr>
              <w:t xml:space="preserve">. </w:t>
            </w:r>
            <w:r w:rsidRPr="0012764E">
              <w:rPr>
                <w:rFonts w:eastAsia="Cambria"/>
                <w:sz w:val="20"/>
              </w:rPr>
              <w:t xml:space="preserve">Dokument obsahuje detailnejšiu štruktúru príjmov a výdavkov verejnej správy doplnenú o textovú informáciu o vývoji daných položiek </w:t>
            </w:r>
            <w:r w:rsidRPr="0087785F">
              <w:rPr>
                <w:rFonts w:eastAsia="Cambria"/>
                <w:sz w:val="20"/>
              </w:rPr>
              <w:t>v posledných troch rokoch, ako aj ich medziročný nárast v poslednom roku. Súčasťou príloh (Príloha 1) je prehľadná, sumarizujúca tabuľka hospodárenia jednotlivých subjektov VS v metodike ESA2010 v členení za skutočnosť, rozpočet a rozdiel oproti rozpočtu, ktorá sčasti podáva informáciu o dianí v rámci zložiek verejnej správy.</w:t>
            </w:r>
          </w:p>
          <w:p w14:paraId="45E1A525" w14:textId="77777777" w:rsidR="00122E96" w:rsidRPr="00B81300" w:rsidRDefault="00122E96" w:rsidP="00122E96">
            <w:pPr>
              <w:jc w:val="both"/>
              <w:rPr>
                <w:rFonts w:eastAsia="Cambria"/>
                <w:sz w:val="20"/>
                <w:highlight w:val="yellow"/>
              </w:rPr>
            </w:pPr>
          </w:p>
          <w:p w14:paraId="7C8949FD" w14:textId="6806BEDF" w:rsidR="00122E96" w:rsidRDefault="00122E96" w:rsidP="00122E96">
            <w:pPr>
              <w:jc w:val="both"/>
              <w:rPr>
                <w:rFonts w:eastAsia="Cambria"/>
                <w:sz w:val="20"/>
              </w:rPr>
            </w:pPr>
            <w:r w:rsidRPr="0087785F">
              <w:rPr>
                <w:rFonts w:eastAsia="Cambria"/>
                <w:sz w:val="20"/>
              </w:rPr>
              <w:t xml:space="preserve">Správa sa zameriava na </w:t>
            </w:r>
            <w:r w:rsidRPr="0087785F">
              <w:rPr>
                <w:rFonts w:eastAsia="Cambria"/>
                <w:b/>
                <w:sz w:val="20"/>
              </w:rPr>
              <w:t>popis medziročného vývoja príjmov a výdavkov verejnej správy v metodike ESA2010</w:t>
            </w:r>
            <w:r>
              <w:rPr>
                <w:rFonts w:eastAsia="Cambria"/>
                <w:b/>
                <w:sz w:val="20"/>
              </w:rPr>
              <w:t xml:space="preserve"> </w:t>
            </w:r>
            <w:r>
              <w:rPr>
                <w:rFonts w:eastAsia="Cambria"/>
                <w:bCs/>
                <w:sz w:val="20"/>
              </w:rPr>
              <w:t>a podáva tak informáciu o hlavných príčinách vývoja v predmetných položkách</w:t>
            </w:r>
            <w:r w:rsidRPr="0087785F">
              <w:rPr>
                <w:rFonts w:eastAsia="Cambria"/>
                <w:sz w:val="20"/>
              </w:rPr>
              <w:t>.</w:t>
            </w:r>
          </w:p>
          <w:p w14:paraId="39E86F0A" w14:textId="77777777" w:rsidR="00122E96" w:rsidRPr="00B81300" w:rsidRDefault="00122E96" w:rsidP="00122E96">
            <w:pPr>
              <w:jc w:val="both"/>
              <w:rPr>
                <w:rFonts w:eastAsia="Cambria"/>
                <w:sz w:val="20"/>
                <w:highlight w:val="yellow"/>
              </w:rPr>
            </w:pPr>
          </w:p>
          <w:p w14:paraId="24F89D7D" w14:textId="77777777" w:rsidR="00122E96" w:rsidRPr="0012764E" w:rsidRDefault="00122E96" w:rsidP="00122E96">
            <w:pPr>
              <w:jc w:val="both"/>
              <w:rPr>
                <w:rFonts w:eastAsia="Cambria"/>
                <w:sz w:val="20"/>
              </w:rPr>
            </w:pPr>
            <w:r w:rsidRPr="0012764E">
              <w:rPr>
                <w:rFonts w:eastAsia="Cambria"/>
                <w:sz w:val="20"/>
              </w:rPr>
              <w:t xml:space="preserve">Súčasťou správy je aj odhad </w:t>
            </w:r>
            <w:r w:rsidRPr="0012764E">
              <w:rPr>
                <w:rFonts w:eastAsia="Cambria"/>
                <w:b/>
                <w:sz w:val="20"/>
              </w:rPr>
              <w:t>štrukturálneho salda verejnej správy</w:t>
            </w:r>
            <w:r w:rsidRPr="0012764E">
              <w:rPr>
                <w:rFonts w:eastAsia="Cambria"/>
                <w:sz w:val="20"/>
              </w:rPr>
              <w:t xml:space="preserve"> za rok 2018. Podľa prepočtov MF SR dosiahol štrukturálny deficit 1,5 % HDP, pričom </w:t>
            </w:r>
            <w:r w:rsidRPr="0012764E">
              <w:rPr>
                <w:rFonts w:eastAsia="Cambria"/>
                <w:b/>
                <w:sz w:val="20"/>
              </w:rPr>
              <w:t>cyklická zložka</w:t>
            </w:r>
            <w:r w:rsidRPr="0012764E">
              <w:rPr>
                <w:rFonts w:eastAsia="Cambria"/>
                <w:sz w:val="20"/>
              </w:rPr>
              <w:t xml:space="preserve"> zodpovedá metodike Európskej komisie a makroekonomickej prognóze MF SR schválenej výborom pre makroekonomické prognózy. Identifikované </w:t>
            </w:r>
            <w:r w:rsidRPr="0012764E">
              <w:rPr>
                <w:rFonts w:eastAsia="Cambria"/>
                <w:b/>
                <w:sz w:val="20"/>
              </w:rPr>
              <w:t>jednorazové opatrenia</w:t>
            </w:r>
            <w:r w:rsidRPr="0012764E">
              <w:rPr>
                <w:rFonts w:eastAsia="Cambria"/>
                <w:sz w:val="20"/>
              </w:rPr>
              <w:t xml:space="preserve"> sú zverejnené v tabuľke pokrývajúcej trojročný horizont 2016-2018. </w:t>
            </w:r>
            <w:r w:rsidRPr="0012764E">
              <w:rPr>
                <w:b/>
                <w:sz w:val="20"/>
              </w:rPr>
              <w:t xml:space="preserve">Čistý dlh SR </w:t>
            </w:r>
            <w:r w:rsidRPr="0012764E">
              <w:rPr>
                <w:sz w:val="20"/>
              </w:rPr>
              <w:t>dosiahol k 31.12.2018 43,4 % HDP a oproti roku 2017 klesol o 2,3 p.b.</w:t>
            </w:r>
          </w:p>
          <w:p w14:paraId="70BE897E" w14:textId="77777777" w:rsidR="00122E96" w:rsidRPr="0012764E" w:rsidRDefault="00122E96" w:rsidP="00122E96">
            <w:pPr>
              <w:jc w:val="both"/>
              <w:rPr>
                <w:rFonts w:eastAsia="Cambria"/>
                <w:sz w:val="20"/>
              </w:rPr>
            </w:pPr>
          </w:p>
          <w:p w14:paraId="58AD92BE" w14:textId="65D55291" w:rsidR="00122E96" w:rsidRPr="00B81300" w:rsidRDefault="00122E96" w:rsidP="00122E96">
            <w:pPr>
              <w:jc w:val="both"/>
              <w:rPr>
                <w:rFonts w:eastAsia="Cambria"/>
                <w:sz w:val="20"/>
                <w:highlight w:val="yellow"/>
              </w:rPr>
            </w:pPr>
            <w:r w:rsidRPr="000D70FB">
              <w:rPr>
                <w:rFonts w:eastAsia="Cambria"/>
                <w:sz w:val="20"/>
              </w:rPr>
              <w:t xml:space="preserve">Materiál </w:t>
            </w:r>
            <w:r w:rsidRPr="000D70FB">
              <w:rPr>
                <w:rFonts w:eastAsia="Cambria"/>
                <w:b/>
                <w:sz w:val="20"/>
              </w:rPr>
              <w:t>obsahuje vyhodnotenie plnenia cieľov stratégie riadenia štátneho dlhu za rok 2018</w:t>
            </w:r>
            <w:r w:rsidRPr="000D70FB">
              <w:rPr>
                <w:sz w:val="20"/>
              </w:rPr>
              <w:t xml:space="preserve"> v skrátenej podobe</w:t>
            </w:r>
            <w:r w:rsidRPr="000D70FB">
              <w:rPr>
                <w:sz w:val="20"/>
                <w:vertAlign w:val="superscript"/>
              </w:rPr>
              <w:footnoteReference w:id="97"/>
            </w:r>
            <w:r w:rsidRPr="000D70FB">
              <w:rPr>
                <w:sz w:val="20"/>
              </w:rPr>
              <w:t xml:space="preserve">, pričom viac sa zameriava na kvantitatívne ukazovatele riadenia dlhu. Cieľom riadenia dlhu je dosiahnutie tesného priblíženia sa k stanoveným hodnotám, resp. udržanie parametrov dlhu čo najbližšie k stanoveným hodnotám. </w:t>
            </w:r>
            <w:r w:rsidRPr="00A1508A">
              <w:rPr>
                <w:rFonts w:eastAsia="Cambria"/>
                <w:sz w:val="20"/>
              </w:rPr>
              <w:t>Správa konštatuje, že p</w:t>
            </w:r>
            <w:r w:rsidRPr="00A1508A">
              <w:rPr>
                <w:sz w:val="20"/>
              </w:rPr>
              <w:t>riaznivé podmienky na finančných trhoch využilo Slovensko na zlepšenie rizikového profilu portfólia štátneho dlhu smerom k väčšej priemernej splatnosti a menšieho rizika negatívneho precenenia portfólia.</w:t>
            </w:r>
          </w:p>
          <w:p w14:paraId="15E3797D" w14:textId="77777777" w:rsidR="00122E96" w:rsidRPr="00B81300" w:rsidRDefault="00122E96" w:rsidP="00122E96">
            <w:pPr>
              <w:rPr>
                <w:rFonts w:eastAsia="Cambria"/>
                <w:sz w:val="20"/>
                <w:highlight w:val="yellow"/>
              </w:rPr>
            </w:pPr>
          </w:p>
          <w:p w14:paraId="52B86A8E" w14:textId="43CD718C" w:rsidR="00122E96" w:rsidRPr="000E7FDF" w:rsidRDefault="00122E96" w:rsidP="00122E96">
            <w:pPr>
              <w:jc w:val="both"/>
              <w:rPr>
                <w:sz w:val="20"/>
              </w:rPr>
            </w:pPr>
            <w:r w:rsidRPr="00A1508A">
              <w:rPr>
                <w:b/>
                <w:sz w:val="20"/>
              </w:rPr>
              <w:t>Čisté bohatstvo verejného sektora</w:t>
            </w:r>
            <w:r w:rsidRPr="00A1508A">
              <w:rPr>
                <w:sz w:val="20"/>
              </w:rPr>
              <w:t xml:space="preserve"> dosiahlo k 31.12.2018 zápornú hodnotu </w:t>
            </w:r>
            <w:r w:rsidRPr="00A1508A">
              <w:rPr>
                <w:rFonts w:eastAsiaTheme="minorHAnsi" w:cs="TimesNewRomanPS-BoldMT"/>
                <w:bCs/>
                <w:sz w:val="20"/>
              </w:rPr>
              <w:t>237 213 457</w:t>
            </w:r>
            <w:r w:rsidRPr="00A1508A">
              <w:rPr>
                <w:sz w:val="20"/>
              </w:rPr>
              <w:t xml:space="preserve"> tis. eur (- 264,4 % HDP). Oproti predchádzajúcemu roku sa prehĺbil negatívny podiel na HDP o 56,2 p.b., čo bolo prevažne spôsobené </w:t>
            </w:r>
            <w:r w:rsidRPr="000E7FDF">
              <w:rPr>
                <w:sz w:val="20"/>
              </w:rPr>
              <w:t>aktualizáciou demografických a makroekonomických projekcií a sčasti precenením majetku.</w:t>
            </w:r>
          </w:p>
          <w:p w14:paraId="07DCA1A1" w14:textId="77777777" w:rsidR="00122E96" w:rsidRPr="00B81300" w:rsidRDefault="00122E96" w:rsidP="00122E96">
            <w:pPr>
              <w:jc w:val="both"/>
              <w:rPr>
                <w:rFonts w:eastAsia="Cambria"/>
                <w:sz w:val="20"/>
                <w:highlight w:val="yellow"/>
              </w:rPr>
            </w:pPr>
          </w:p>
          <w:p w14:paraId="36316160" w14:textId="3B89DEC7" w:rsidR="00122E96" w:rsidRPr="00B81300" w:rsidRDefault="00122E96" w:rsidP="00122E96">
            <w:pPr>
              <w:jc w:val="both"/>
              <w:rPr>
                <w:rFonts w:eastAsia="Cambria"/>
                <w:sz w:val="20"/>
                <w:highlight w:val="yellow"/>
              </w:rPr>
            </w:pPr>
            <w:r w:rsidRPr="000E7FDF">
              <w:rPr>
                <w:rFonts w:eastAsia="Cambria"/>
                <w:sz w:val="20"/>
              </w:rPr>
              <w:t xml:space="preserve">V súlade s ústavným zákonom o rozpočtovej zodpovednosti je dôraz kladený aj na popis </w:t>
            </w:r>
            <w:r w:rsidRPr="000E7FDF">
              <w:rPr>
                <w:rFonts w:eastAsia="Cambria"/>
                <w:b/>
                <w:sz w:val="20"/>
              </w:rPr>
              <w:t>hospodárenia podnikov štátnej správy</w:t>
            </w:r>
            <w:r w:rsidRPr="000E7FDF">
              <w:rPr>
                <w:rFonts w:eastAsia="Cambria"/>
                <w:sz w:val="20"/>
              </w:rPr>
              <w:t xml:space="preserve">. Hlavný text správy prezentuje hospodárenie vybraných štátnych podnikov, ktoré sa podieľajú </w:t>
            </w:r>
            <w:r w:rsidR="00941A89" w:rsidRPr="00941A89">
              <w:rPr>
                <w:rFonts w:eastAsia="Cambria"/>
                <w:sz w:val="20"/>
              </w:rPr>
              <w:t>77,5</w:t>
            </w:r>
            <w:r w:rsidRPr="00941A89">
              <w:rPr>
                <w:rFonts w:eastAsia="Cambria"/>
                <w:sz w:val="20"/>
              </w:rPr>
              <w:t xml:space="preserve"> % na celkovom</w:t>
            </w:r>
            <w:r w:rsidRPr="00642E19">
              <w:rPr>
                <w:rFonts w:eastAsia="Cambria"/>
                <w:sz w:val="20"/>
              </w:rPr>
              <w:t xml:space="preserve"> vlastnom imaní všetkých podnikov štátnej správy prepočítaným na vlastnícke podiely štátu</w:t>
            </w:r>
            <w:r w:rsidR="00941A89" w:rsidRPr="000E7FDF">
              <w:rPr>
                <w:rFonts w:eastAsia="Cambria"/>
                <w:sz w:val="20"/>
              </w:rPr>
              <w:t xml:space="preserve"> </w:t>
            </w:r>
            <w:r w:rsidR="00941A89">
              <w:rPr>
                <w:rFonts w:eastAsia="Cambria"/>
                <w:sz w:val="20"/>
              </w:rPr>
              <w:t xml:space="preserve">a hospodárenie </w:t>
            </w:r>
            <w:r w:rsidR="00941A89" w:rsidRPr="000E7FDF">
              <w:rPr>
                <w:rFonts w:eastAsia="Cambria"/>
                <w:sz w:val="20"/>
              </w:rPr>
              <w:t>Národnej banky Slovenska</w:t>
            </w:r>
            <w:r w:rsidRPr="00642E19">
              <w:rPr>
                <w:rFonts w:eastAsia="Cambria"/>
                <w:sz w:val="20"/>
              </w:rPr>
              <w:t xml:space="preserve">. Súčasťou je aj analýza zameraná na päť hlavných položiek, ktoré spôsobujú prírastok alebo úbytok vlastného imania, a to na výsledok hospodárenia bežného účtovného obdobia, dividendy, priame vklady spoločníkov do vlastného imania, zmeny majetku a záväzkov z precenenia a ostatné zmeny. </w:t>
            </w:r>
            <w:r>
              <w:rPr>
                <w:rFonts w:eastAsia="Cambria"/>
                <w:sz w:val="20"/>
              </w:rPr>
              <w:t>Prvýkrát je súčasťou analýzy aj spoločnosť Debitum, a.s. ktorej hospodárenie bolo v roku 2018 výrazne ovplyvnené realizovaním koncepcie oddlženia zdravotníckych zariadení (dovtedy spoločnosť nebola hospodársky aktívna). P</w:t>
            </w:r>
            <w:r w:rsidRPr="005E6973">
              <w:rPr>
                <w:rFonts w:eastAsia="Cambria"/>
                <w:sz w:val="20"/>
              </w:rPr>
              <w:t>ríloh</w:t>
            </w:r>
            <w:r>
              <w:rPr>
                <w:rFonts w:eastAsia="Cambria"/>
                <w:sz w:val="20"/>
              </w:rPr>
              <w:t>a</w:t>
            </w:r>
            <w:r w:rsidRPr="005E6973">
              <w:rPr>
                <w:rFonts w:eastAsia="Cambria"/>
                <w:sz w:val="20"/>
              </w:rPr>
              <w:t xml:space="preserve"> č.</w:t>
            </w:r>
            <w:r w:rsidR="007C0073">
              <w:rPr>
                <w:rFonts w:eastAsia="Cambria"/>
                <w:sz w:val="20"/>
              </w:rPr>
              <w:t> </w:t>
            </w:r>
            <w:r w:rsidRPr="005E6973">
              <w:rPr>
                <w:rFonts w:eastAsia="Cambria"/>
                <w:sz w:val="20"/>
              </w:rPr>
              <w:t xml:space="preserve">1 </w:t>
            </w:r>
            <w:r>
              <w:rPr>
                <w:rFonts w:eastAsia="Cambria"/>
                <w:sz w:val="20"/>
              </w:rPr>
              <w:t>obsahuje</w:t>
            </w:r>
            <w:r w:rsidRPr="005E6973">
              <w:rPr>
                <w:rFonts w:eastAsia="Cambria"/>
                <w:sz w:val="20"/>
              </w:rPr>
              <w:t xml:space="preserve"> základné informácie o výsledku hospodárenia a vlastnom imaní všetkých podnikov štátnej </w:t>
            </w:r>
            <w:r w:rsidRPr="005E6973">
              <w:rPr>
                <w:rFonts w:eastAsia="Cambria"/>
                <w:sz w:val="20"/>
              </w:rPr>
              <w:lastRenderedPageBreak/>
              <w:t>správy a MH Manažmentu za roky 2016 až 2018, rovnako sa uvádza vlastnícky podiel štátu, ako aj medziročná zmena vyššie spomínaných ukazovateľov v poslednom roku.</w:t>
            </w:r>
          </w:p>
          <w:p w14:paraId="1F716915" w14:textId="77777777" w:rsidR="00122E96" w:rsidRPr="00182133" w:rsidRDefault="00122E96" w:rsidP="00122E96">
            <w:pPr>
              <w:jc w:val="both"/>
              <w:rPr>
                <w:rFonts w:eastAsia="Cambria"/>
                <w:sz w:val="20"/>
              </w:rPr>
            </w:pPr>
          </w:p>
          <w:p w14:paraId="04FE9386" w14:textId="221B4431" w:rsidR="00122E96" w:rsidRDefault="00122E96" w:rsidP="00122E96">
            <w:pPr>
              <w:jc w:val="both"/>
              <w:rPr>
                <w:rFonts w:eastAsia="Cambria"/>
                <w:sz w:val="20"/>
              </w:rPr>
            </w:pPr>
            <w:r w:rsidRPr="00182133">
              <w:rPr>
                <w:rFonts w:eastAsia="Cambria"/>
                <w:sz w:val="20"/>
              </w:rPr>
              <w:t xml:space="preserve">MF SR v správe potvrdilo zámer </w:t>
            </w:r>
            <w:r w:rsidRPr="00182133">
              <w:rPr>
                <w:rFonts w:eastAsia="Cambria"/>
                <w:b/>
                <w:sz w:val="20"/>
              </w:rPr>
              <w:t>postupne analyzovať aj také časti bohatstva krajiny, ktoré nie sú vykázané v účtovných výkazoch z dôvodu náročnosti ich kvantifikácie a ocenenia</w:t>
            </w:r>
            <w:r w:rsidRPr="00182133">
              <w:rPr>
                <w:rFonts w:eastAsia="Cambria"/>
                <w:sz w:val="20"/>
              </w:rPr>
              <w:t xml:space="preserve"> (napr.</w:t>
            </w:r>
            <w:r w:rsidR="003E00B3">
              <w:rPr>
                <w:rFonts w:eastAsia="Cambria"/>
                <w:sz w:val="20"/>
              </w:rPr>
              <w:t> </w:t>
            </w:r>
            <w:r w:rsidRPr="00182133">
              <w:rPr>
                <w:rFonts w:eastAsia="Cambria"/>
                <w:sz w:val="20"/>
              </w:rPr>
              <w:t>prírodné zdroje, ekologické bohatstvo a pod.).</w:t>
            </w:r>
          </w:p>
          <w:p w14:paraId="5CD90FDC" w14:textId="24E1C991" w:rsidR="00122E96" w:rsidRPr="00971BBC" w:rsidRDefault="00122E96" w:rsidP="00122E96">
            <w:pPr>
              <w:jc w:val="both"/>
              <w:rPr>
                <w:sz w:val="10"/>
                <w:szCs w:val="18"/>
                <w:highlight w:val="yellow"/>
              </w:rPr>
            </w:pPr>
          </w:p>
        </w:tc>
      </w:tr>
    </w:tbl>
    <w:p w14:paraId="608C7242" w14:textId="77777777" w:rsidR="00475086" w:rsidRDefault="00475086" w:rsidP="00122E96">
      <w:pPr>
        <w:jc w:val="both"/>
        <w:rPr>
          <w:b/>
        </w:rPr>
      </w:pPr>
    </w:p>
    <w:p w14:paraId="2E32062C" w14:textId="6244BD26" w:rsidR="00122E96" w:rsidRDefault="00122E96" w:rsidP="00122E96">
      <w:pPr>
        <w:jc w:val="both"/>
        <w:rPr>
          <w:b/>
        </w:rPr>
      </w:pPr>
      <w:r>
        <w:rPr>
          <w:b/>
        </w:rPr>
        <w:t xml:space="preserve">Hodnotenie </w:t>
      </w:r>
      <w:r w:rsidR="002120D9">
        <w:rPr>
          <w:b/>
        </w:rPr>
        <w:t>súhrnnej výročnej správy</w:t>
      </w:r>
      <w:r>
        <w:rPr>
          <w:b/>
        </w:rPr>
        <w:t xml:space="preserve"> z pohľadu zámerov ústavného zákona</w:t>
      </w:r>
    </w:p>
    <w:p w14:paraId="51A5AF64" w14:textId="77777777" w:rsidR="00122E96" w:rsidRDefault="00122E96" w:rsidP="00CA541F">
      <w:pPr>
        <w:jc w:val="both"/>
      </w:pPr>
    </w:p>
    <w:p w14:paraId="5AE95D31" w14:textId="35830CF8" w:rsidR="00CA541F" w:rsidRPr="00B81300" w:rsidRDefault="00CA541F" w:rsidP="00CA541F">
      <w:pPr>
        <w:jc w:val="both"/>
        <w:rPr>
          <w:szCs w:val="10"/>
          <w:highlight w:val="yellow"/>
        </w:rPr>
      </w:pPr>
      <w:r w:rsidRPr="00F46DA8">
        <w:rPr>
          <w:szCs w:val="10"/>
        </w:rPr>
        <w:t xml:space="preserve">RRZ popri zákonom definovaných požiadavkách na obsah správy posudzuje transparentnosť aj z hľadiska vypovedacej schopnosti a zrozumiteľnosti informácií uvedených v správe a možností skvalitnenia analýzy čistého bohatstva. </w:t>
      </w:r>
      <w:r w:rsidRPr="00083799">
        <w:rPr>
          <w:szCs w:val="10"/>
        </w:rPr>
        <w:t>Do týchto oblastí smerovali aj odporúčania RRZ v jej ostatných správach</w:t>
      </w:r>
      <w:r w:rsidR="00162C01">
        <w:rPr>
          <w:szCs w:val="10"/>
        </w:rPr>
        <w:t>, pričom sa v nich nedosiahol dostatočný pokrok</w:t>
      </w:r>
      <w:r w:rsidRPr="00083799">
        <w:rPr>
          <w:szCs w:val="10"/>
        </w:rPr>
        <w:t xml:space="preserve">: </w:t>
      </w:r>
    </w:p>
    <w:p w14:paraId="45A8F64B" w14:textId="77777777" w:rsidR="00CA541F" w:rsidRPr="00B81300" w:rsidRDefault="00CA541F" w:rsidP="00CA541F">
      <w:pPr>
        <w:jc w:val="both"/>
        <w:rPr>
          <w:highlight w:val="yellow"/>
        </w:rPr>
      </w:pPr>
    </w:p>
    <w:p w14:paraId="7DFD7EBF" w14:textId="77777777" w:rsidR="00CA541F" w:rsidRPr="00D77FB8" w:rsidRDefault="00CA541F" w:rsidP="00CA541F">
      <w:pPr>
        <w:pStyle w:val="ListParagraph"/>
        <w:numPr>
          <w:ilvl w:val="0"/>
          <w:numId w:val="10"/>
        </w:numPr>
        <w:spacing w:after="0" w:line="240" w:lineRule="auto"/>
        <w:jc w:val="both"/>
        <w:rPr>
          <w:rFonts w:ascii="Constantia" w:eastAsia="Cambria" w:hAnsi="Constantia"/>
        </w:rPr>
      </w:pPr>
      <w:bookmarkStart w:id="825" w:name="_Hlk48565072"/>
      <w:r w:rsidRPr="00D77FB8">
        <w:rPr>
          <w:rFonts w:ascii="Constantia" w:hAnsi="Constantia"/>
        </w:rPr>
        <w:t xml:space="preserve">Strednodobou ambíciou správy by malo byť </w:t>
      </w:r>
      <w:r w:rsidRPr="00D77FB8">
        <w:rPr>
          <w:rFonts w:ascii="Constantia" w:hAnsi="Constantia"/>
          <w:b/>
        </w:rPr>
        <w:t>zostavenie súvahy verejného sektora</w:t>
      </w:r>
      <w:r w:rsidRPr="00D77FB8">
        <w:rPr>
          <w:rFonts w:ascii="Constantia" w:hAnsi="Constantia"/>
        </w:rPr>
        <w:t>, čo si vyžiada rozšírenie pokrytia súhrnného celku verejnej správy na celý verejný sektor a zabezpečenie účtovnej konsolidácie.</w:t>
      </w:r>
      <w:r w:rsidRPr="00D77FB8">
        <w:rPr>
          <w:rFonts w:ascii="Constantia" w:eastAsia="Cambria" w:hAnsi="Constantia"/>
        </w:rPr>
        <w:t xml:space="preserve"> Malo by dôjsť aj k rozšíreniu údajovej základne ako i zlepšeniu postupov kvantifikácie niektorých položiek.</w:t>
      </w:r>
    </w:p>
    <w:p w14:paraId="00F46DFC" w14:textId="77777777" w:rsidR="00CA541F" w:rsidRPr="00D77FB8" w:rsidRDefault="00CA541F" w:rsidP="00CA541F">
      <w:pPr>
        <w:pStyle w:val="ListParagraph"/>
        <w:spacing w:after="0" w:line="240" w:lineRule="auto"/>
        <w:jc w:val="both"/>
        <w:rPr>
          <w:rFonts w:ascii="Constantia" w:eastAsia="Cambria" w:hAnsi="Constantia"/>
        </w:rPr>
      </w:pPr>
      <w:r w:rsidRPr="00D77FB8">
        <w:rPr>
          <w:rFonts w:ascii="Constantia" w:eastAsia="Cambria" w:hAnsi="Constantia"/>
        </w:rPr>
        <w:t xml:space="preserve"> </w:t>
      </w:r>
    </w:p>
    <w:p w14:paraId="3C2C151E" w14:textId="46AA94AA" w:rsidR="00CA541F" w:rsidRPr="00D77FB8" w:rsidRDefault="00CA541F" w:rsidP="00CA541F">
      <w:pPr>
        <w:pStyle w:val="ListParagraph"/>
        <w:spacing w:after="0" w:line="240" w:lineRule="auto"/>
        <w:jc w:val="both"/>
        <w:rPr>
          <w:rFonts w:ascii="Constantia" w:eastAsia="Cambria" w:hAnsi="Constantia"/>
        </w:rPr>
      </w:pPr>
      <w:bookmarkStart w:id="826" w:name="_Hlk522192482"/>
      <w:r w:rsidRPr="00D77FB8">
        <w:rPr>
          <w:rFonts w:ascii="Constantia" w:hAnsi="Constantia"/>
          <w:b/>
        </w:rPr>
        <w:t>Pokračovanie v zahrnutí zatiaľ nevyčíslených zložiek čistého bohatstva</w:t>
      </w:r>
      <w:r w:rsidRPr="00D77FB8">
        <w:rPr>
          <w:rFonts w:ascii="Constantia" w:hAnsi="Constantia"/>
        </w:rPr>
        <w:t xml:space="preserve"> a </w:t>
      </w:r>
      <w:r w:rsidRPr="00D77FB8">
        <w:rPr>
          <w:rFonts w:ascii="Constantia" w:hAnsi="Constantia"/>
          <w:b/>
        </w:rPr>
        <w:t>odstránenie zostávajúcich metodických nezrovnalostí pri jeho vykazovaní</w:t>
      </w:r>
      <w:r w:rsidRPr="00D77FB8">
        <w:rPr>
          <w:rFonts w:ascii="Constantia" w:hAnsi="Constantia"/>
        </w:rPr>
        <w:t xml:space="preserve"> (odlišný prístup odhadu implicitných záväzkov univerzálneho dôchodkového systému v</w:t>
      </w:r>
      <w:r w:rsidR="007C0073">
        <w:rPr>
          <w:rFonts w:ascii="Constantia" w:hAnsi="Constantia"/>
        </w:rPr>
        <w:t> </w:t>
      </w:r>
      <w:r w:rsidRPr="00D77FB8">
        <w:rPr>
          <w:rFonts w:ascii="Constantia" w:hAnsi="Constantia"/>
        </w:rPr>
        <w:t>porovnaní so systémom ozbrojených zložiek) by mohli prispieť k zlepšeniu vypovedacej schopnosti čistého bohatstva.</w:t>
      </w:r>
      <w:bookmarkEnd w:id="826"/>
    </w:p>
    <w:p w14:paraId="0232FF10" w14:textId="77777777" w:rsidR="00CA541F" w:rsidRPr="00B81300" w:rsidRDefault="00CA541F" w:rsidP="00CA541F">
      <w:pPr>
        <w:pStyle w:val="ListParagraph"/>
        <w:spacing w:after="0" w:line="240" w:lineRule="auto"/>
        <w:jc w:val="both"/>
        <w:rPr>
          <w:rFonts w:ascii="Constantia" w:eastAsia="Cambria" w:hAnsi="Constantia"/>
          <w:highlight w:val="yellow"/>
        </w:rPr>
      </w:pPr>
    </w:p>
    <w:p w14:paraId="796FBB9C" w14:textId="77777777" w:rsidR="00CA541F" w:rsidRPr="00083799" w:rsidRDefault="00CA541F" w:rsidP="00CA541F">
      <w:pPr>
        <w:pStyle w:val="ListParagraph"/>
        <w:numPr>
          <w:ilvl w:val="0"/>
          <w:numId w:val="10"/>
        </w:numPr>
        <w:spacing w:after="0" w:line="240" w:lineRule="auto"/>
        <w:jc w:val="both"/>
        <w:rPr>
          <w:rFonts w:ascii="Constantia" w:eastAsia="Cambria" w:hAnsi="Constantia"/>
        </w:rPr>
      </w:pPr>
      <w:r w:rsidRPr="00D77FB8">
        <w:rPr>
          <w:rFonts w:ascii="Constantia" w:hAnsi="Constantia"/>
        </w:rPr>
        <w:t xml:space="preserve">Z hľadiska interpretácie údajov je kľúčové zabezpečenie </w:t>
      </w:r>
      <w:r w:rsidRPr="00D77FB8">
        <w:rPr>
          <w:rFonts w:ascii="Constantia" w:hAnsi="Constantia"/>
          <w:b/>
        </w:rPr>
        <w:t>prepojenia zmeny čistého bohatstva s hospodárením vlády v metodike ESA2010</w:t>
      </w:r>
      <w:r w:rsidRPr="00D77FB8">
        <w:rPr>
          <w:rFonts w:ascii="Constantia" w:hAnsi="Constantia"/>
        </w:rPr>
        <w:t>, čo umožní p</w:t>
      </w:r>
      <w:r w:rsidRPr="00D77FB8">
        <w:rPr>
          <w:rFonts w:ascii="Constantia" w:eastAsia="Cambria" w:hAnsi="Constantia"/>
        </w:rPr>
        <w:t xml:space="preserve">osúdenie </w:t>
      </w:r>
      <w:r w:rsidRPr="00083799">
        <w:rPr>
          <w:rFonts w:ascii="Constantia" w:eastAsia="Cambria" w:hAnsi="Constantia"/>
        </w:rPr>
        <w:t>opatrení fiškálnej politiky vlády v kontexte zmien čistého bohatstva</w:t>
      </w:r>
      <w:r w:rsidRPr="00083799">
        <w:rPr>
          <w:rStyle w:val="FootnoteReference"/>
          <w:rFonts w:ascii="Constantia" w:eastAsia="Cambria" w:hAnsi="Constantia"/>
        </w:rPr>
        <w:footnoteReference w:id="98"/>
      </w:r>
      <w:r w:rsidRPr="00083799">
        <w:rPr>
          <w:rFonts w:ascii="Constantia" w:eastAsia="Cambria" w:hAnsi="Constantia"/>
        </w:rPr>
        <w:t>. Súčasné nastavenie zberu údajov zatiaľ takéto prepojenie neumožňuje</w:t>
      </w:r>
      <w:r w:rsidRPr="00083799">
        <w:rPr>
          <w:rStyle w:val="FootnoteReference"/>
          <w:rFonts w:ascii="Constantia" w:eastAsia="Cambria" w:hAnsi="Constantia"/>
        </w:rPr>
        <w:footnoteReference w:id="99"/>
      </w:r>
      <w:r w:rsidRPr="00083799">
        <w:rPr>
          <w:rFonts w:ascii="Constantia" w:eastAsia="Cambria" w:hAnsi="Constantia"/>
        </w:rPr>
        <w:t>.</w:t>
      </w:r>
    </w:p>
    <w:p w14:paraId="4E7D55B8" w14:textId="77777777" w:rsidR="00CA541F" w:rsidRPr="00083799" w:rsidRDefault="00CA541F" w:rsidP="00CA541F">
      <w:pPr>
        <w:jc w:val="both"/>
        <w:rPr>
          <w:rFonts w:eastAsia="Cambria"/>
        </w:rPr>
      </w:pPr>
    </w:p>
    <w:p w14:paraId="394E62F7" w14:textId="31BE02D2" w:rsidR="00CA541F" w:rsidRPr="00083799" w:rsidRDefault="00CA541F" w:rsidP="00CA541F">
      <w:pPr>
        <w:pStyle w:val="ListParagraph"/>
        <w:numPr>
          <w:ilvl w:val="0"/>
          <w:numId w:val="10"/>
        </w:numPr>
        <w:spacing w:after="0" w:line="240" w:lineRule="auto"/>
        <w:jc w:val="both"/>
        <w:rPr>
          <w:rFonts w:ascii="Constantia" w:hAnsi="Constantia"/>
        </w:rPr>
      </w:pPr>
      <w:r w:rsidRPr="00083799">
        <w:rPr>
          <w:rFonts w:ascii="Constantia" w:hAnsi="Constantia"/>
        </w:rPr>
        <w:t>V materiáloch hodnotiacich výsledok hospodárenia verejnej správy v metodike ESA2010 za predchádzajúci rok (súhrnná výročná správa a štátny záverečný účet</w:t>
      </w:r>
      <w:r w:rsidRPr="00083799">
        <w:rPr>
          <w:rStyle w:val="FootnoteReference"/>
          <w:rFonts w:eastAsia="Cambria"/>
          <w:sz w:val="20"/>
        </w:rPr>
        <w:footnoteReference w:id="100"/>
      </w:r>
      <w:r w:rsidRPr="00083799">
        <w:rPr>
          <w:rFonts w:ascii="Constantia" w:hAnsi="Constantia"/>
        </w:rPr>
        <w:t xml:space="preserve">) </w:t>
      </w:r>
      <w:r w:rsidRPr="00083799">
        <w:rPr>
          <w:rFonts w:ascii="Constantia" w:hAnsi="Constantia"/>
          <w:b/>
        </w:rPr>
        <w:t>chýba ucelený pohľad na vývoj príjmov, výdavkov a hrubého dlhu verejnej správy v porovnaní s predpokladmi rozpočtu</w:t>
      </w:r>
      <w:r w:rsidRPr="00083799">
        <w:rPr>
          <w:rFonts w:ascii="Constantia" w:hAnsi="Constantia"/>
        </w:rPr>
        <w:t xml:space="preserve">. Štátny záverečný účet (predkladaný vláde do konca apríla) obsahuje popis najvýznamnejších faktorov vysvetľujúcich rozdiely medzi rozpočtom a skutočnosťou a súhrnná výročná správa obsahuje tabuľky porovnávajúce skutočné príjmy a výdavky jednotlivých subjektov verejnej správy v porovnaní </w:t>
      </w:r>
      <w:r w:rsidRPr="00083799">
        <w:rPr>
          <w:rFonts w:ascii="Constantia" w:hAnsi="Constantia"/>
        </w:rPr>
        <w:lastRenderedPageBreak/>
        <w:t>s rozpočtom bez bližšieho popisu</w:t>
      </w:r>
      <w:r w:rsidRPr="00083799">
        <w:rPr>
          <w:rStyle w:val="FootnoteReference"/>
          <w:rFonts w:ascii="Constantia" w:eastAsia="Cambria" w:hAnsi="Constantia"/>
        </w:rPr>
        <w:footnoteReference w:id="101"/>
      </w:r>
      <w:r w:rsidRPr="00083799">
        <w:rPr>
          <w:rFonts w:ascii="Constantia" w:hAnsi="Constantia"/>
        </w:rPr>
        <w:t xml:space="preserve">. Vývoj hrubého dlhu v porovnaní s predpokladmi rozpočtu nie je v žiadnom dokumente vyhodnotený. </w:t>
      </w:r>
      <w:r w:rsidRPr="00083799">
        <w:rPr>
          <w:rFonts w:ascii="Constantia" w:hAnsi="Constantia"/>
          <w:b/>
        </w:rPr>
        <w:t>Bolo by preto vhodné všetky tieto prvky skoncentrovať do jedného materiálu, ideálne do štátneho záverečného účtu, pričom súhrnná výročná správa by informovala o prípadných revíziách údajov a nových informáciách.</w:t>
      </w:r>
    </w:p>
    <w:p w14:paraId="617EF4AC" w14:textId="77777777" w:rsidR="0036081B" w:rsidRPr="0036081B" w:rsidRDefault="0036081B" w:rsidP="0036081B">
      <w:pPr>
        <w:jc w:val="both"/>
      </w:pPr>
    </w:p>
    <w:bookmarkEnd w:id="825"/>
    <w:p w14:paraId="5E60B395" w14:textId="7A2E7770" w:rsidR="0016158C" w:rsidRPr="0016158C" w:rsidRDefault="007A1E0D" w:rsidP="0016158C">
      <w:pPr>
        <w:jc w:val="both"/>
      </w:pPr>
      <w:r>
        <w:t xml:space="preserve">Z hľadiska možných budúcich zmien </w:t>
      </w:r>
      <w:r w:rsidR="00162C01">
        <w:t>RRZ pozitívne vníma skutočnosť</w:t>
      </w:r>
      <w:r w:rsidR="0016158C">
        <w:t>, že dôraz na čisté bohatstvo sa stal súčasťou programového vyhlásenia vlády. Zámerom MF SR</w:t>
      </w:r>
      <w:r>
        <w:t xml:space="preserve"> v tejto oblasti</w:t>
      </w:r>
      <w:r w:rsidR="0016158C">
        <w:t xml:space="preserve"> je </w:t>
      </w:r>
      <w:r w:rsidR="00162C01">
        <w:t xml:space="preserve">najmä </w:t>
      </w:r>
      <w:r w:rsidR="0016158C">
        <w:t>skvalitňovanie údajovej základne pre výpočet čistého bohatstva, zlepš</w:t>
      </w:r>
      <w:r>
        <w:t>enie</w:t>
      </w:r>
      <w:r w:rsidR="0016158C">
        <w:t xml:space="preserve"> spravovani</w:t>
      </w:r>
      <w:r>
        <w:t>a</w:t>
      </w:r>
      <w:r w:rsidR="0016158C">
        <w:t xml:space="preserve"> štátnych aktív a pasív, zefektívn</w:t>
      </w:r>
      <w:r>
        <w:t>enie</w:t>
      </w:r>
      <w:r w:rsidR="0016158C">
        <w:t xml:space="preserve"> manažment</w:t>
      </w:r>
      <w:r>
        <w:t>u</w:t>
      </w:r>
      <w:r w:rsidR="0016158C">
        <w:t xml:space="preserve"> štátnych podnikov a posiln</w:t>
      </w:r>
      <w:r>
        <w:t>enie</w:t>
      </w:r>
      <w:r w:rsidR="0016158C">
        <w:t xml:space="preserve"> monitoring výkonu akcionárskych práv na MF SR. Nevyhnutnou súčasťou ďalšieho rozvoja metodiky čistého bohatstva je podľa MF SR aj analýza dostupných personálnych kapacít </w:t>
      </w:r>
      <w:r>
        <w:t>ministerstv</w:t>
      </w:r>
      <w:r w:rsidR="00162C01">
        <w:t>a</w:t>
      </w:r>
      <w:r w:rsidR="0016158C">
        <w:t xml:space="preserve"> a identifikácia zdrojov údajov.</w:t>
      </w:r>
    </w:p>
    <w:p w14:paraId="0E3352FC" w14:textId="77777777" w:rsidR="00CA541F" w:rsidRPr="00122E96" w:rsidRDefault="00CA541F" w:rsidP="00122E96">
      <w:pPr>
        <w:jc w:val="both"/>
      </w:pPr>
    </w:p>
    <w:p w14:paraId="45307307" w14:textId="77777777" w:rsidR="00CA541F" w:rsidRPr="005E6973" w:rsidRDefault="00CA541F" w:rsidP="00CA541F">
      <w:pPr>
        <w:pStyle w:val="Heading2"/>
        <w:numPr>
          <w:ilvl w:val="1"/>
          <w:numId w:val="2"/>
        </w:numPr>
        <w:spacing w:before="2" w:after="2"/>
        <w:ind w:left="567" w:hanging="567"/>
        <w:rPr>
          <w:b w:val="0"/>
        </w:rPr>
      </w:pPr>
      <w:bookmarkStart w:id="827" w:name="_Toc523390339"/>
      <w:bookmarkStart w:id="828" w:name="_Toc523390285"/>
      <w:bookmarkStart w:id="829" w:name="_Toc523391010"/>
      <w:bookmarkStart w:id="830" w:name="_Toc523391591"/>
      <w:bookmarkStart w:id="831" w:name="_Toc523392890"/>
      <w:bookmarkStart w:id="832" w:name="_Toc523393779"/>
      <w:bookmarkStart w:id="833" w:name="_Toc49506883"/>
      <w:r w:rsidRPr="005E6973">
        <w:t>Odporúčania RRZ na zlepšenie rozpočtovej transparentnosti</w:t>
      </w:r>
      <w:bookmarkEnd w:id="827"/>
      <w:bookmarkEnd w:id="828"/>
      <w:bookmarkEnd w:id="829"/>
      <w:bookmarkEnd w:id="830"/>
      <w:bookmarkEnd w:id="831"/>
      <w:bookmarkEnd w:id="832"/>
      <w:bookmarkEnd w:id="833"/>
    </w:p>
    <w:p w14:paraId="6EB9ACEE" w14:textId="77777777" w:rsidR="00CA541F" w:rsidRPr="005E6973" w:rsidRDefault="00CA541F" w:rsidP="00CA541F">
      <w:pPr>
        <w:rPr>
          <w:rFonts w:eastAsia="Cambria"/>
          <w:sz w:val="18"/>
        </w:rPr>
      </w:pPr>
    </w:p>
    <w:p w14:paraId="642C1B0C" w14:textId="77777777" w:rsidR="00CA541F" w:rsidRPr="005E6973" w:rsidRDefault="00CA541F" w:rsidP="00CA541F">
      <w:pPr>
        <w:jc w:val="both"/>
        <w:rPr>
          <w:rFonts w:eastAsia="Cambria"/>
        </w:rPr>
      </w:pPr>
      <w:r w:rsidRPr="005E6973">
        <w:rPr>
          <w:rFonts w:eastAsia="Cambria"/>
        </w:rPr>
        <w:t>Na základe hodnotenia plnenia pravidiel rozpočtovej transparentnosti RRZ sformulovala odporúčania</w:t>
      </w:r>
      <w:r w:rsidRPr="005E6973">
        <w:rPr>
          <w:rStyle w:val="FootnoteReference"/>
          <w:rFonts w:eastAsia="Cambria"/>
        </w:rPr>
        <w:footnoteReference w:id="102"/>
      </w:r>
      <w:r w:rsidRPr="005E6973">
        <w:rPr>
          <w:rFonts w:eastAsia="Cambria"/>
        </w:rPr>
        <w:t>, ktoré by prispeli k zvýšeniu transparentnosti verejných financií:</w:t>
      </w:r>
    </w:p>
    <w:p w14:paraId="0B168D7B" w14:textId="77777777" w:rsidR="00CA541F" w:rsidRPr="00511085" w:rsidRDefault="00CA541F" w:rsidP="00CA541F">
      <w:pPr>
        <w:jc w:val="both"/>
        <w:rPr>
          <w:b/>
        </w:rPr>
      </w:pPr>
    </w:p>
    <w:p w14:paraId="7B3E4D4B" w14:textId="77777777" w:rsidR="00CA541F" w:rsidRPr="00511085" w:rsidRDefault="00CA541F" w:rsidP="00CA541F">
      <w:pPr>
        <w:jc w:val="both"/>
        <w:rPr>
          <w:b/>
        </w:rPr>
      </w:pPr>
      <w:r w:rsidRPr="00511085">
        <w:rPr>
          <w:b/>
        </w:rPr>
        <w:t>Výbor pre daňové prognózy</w:t>
      </w:r>
    </w:p>
    <w:p w14:paraId="20283D7E" w14:textId="77777777" w:rsidR="00CA541F" w:rsidRPr="00511085" w:rsidRDefault="00CA541F" w:rsidP="00CA541F">
      <w:pPr>
        <w:pStyle w:val="ListParagraph"/>
        <w:numPr>
          <w:ilvl w:val="0"/>
          <w:numId w:val="14"/>
        </w:numPr>
        <w:spacing w:after="0" w:line="240" w:lineRule="auto"/>
        <w:ind w:left="447" w:hanging="425"/>
        <w:jc w:val="both"/>
        <w:rPr>
          <w:rFonts w:ascii="Constantia" w:hAnsi="Constantia"/>
          <w:szCs w:val="20"/>
        </w:rPr>
      </w:pPr>
      <w:r w:rsidRPr="00511085">
        <w:rPr>
          <w:rFonts w:ascii="Constantia" w:hAnsi="Constantia"/>
          <w:szCs w:val="20"/>
        </w:rPr>
        <w:t>Vo Výbore pre daňové prognózy schvaľovať prognózu všetkých daňových príjmov a odvodov v zmysle metodiky ESA2010 a vybraných nedaňových príjmov. Výrazne by sa tým zvýšila reálnosť dosiahnutia rozpočtovaných príjmov.</w:t>
      </w:r>
    </w:p>
    <w:p w14:paraId="42CBDF5E" w14:textId="77777777" w:rsidR="00CA541F" w:rsidRPr="00511085" w:rsidRDefault="00CA541F" w:rsidP="00CA541F">
      <w:pPr>
        <w:pStyle w:val="ListParagraph"/>
        <w:numPr>
          <w:ilvl w:val="0"/>
          <w:numId w:val="14"/>
        </w:numPr>
        <w:spacing w:after="0" w:line="240" w:lineRule="auto"/>
        <w:ind w:left="447" w:hanging="425"/>
        <w:jc w:val="both"/>
        <w:rPr>
          <w:rFonts w:ascii="Constantia" w:hAnsi="Constantia"/>
          <w:szCs w:val="20"/>
        </w:rPr>
      </w:pPr>
      <w:r w:rsidRPr="00511085">
        <w:rPr>
          <w:rFonts w:ascii="Constantia" w:hAnsi="Constantia"/>
          <w:szCs w:val="20"/>
        </w:rPr>
        <w:t xml:space="preserve">Uzákoniť v rámci príslušných ustanovení zákona o rozpočtovej zodpovednosti alebo zákona o rozpočtových pravidlách verejnej správy používanie prognózy daňových a odvodových príjmov schválenej Výborom pre daňové prognózy v celom rozpočtovom procese, t.j. od prípravy programu stability až po schválenie rozpočtu v NR SR, keďže odborné otázky, medzi ktoré patrí aj prognózovanie príjmov, by mali byť oddelené od politických rozhodnutí vlády a národnej rady. </w:t>
      </w:r>
    </w:p>
    <w:p w14:paraId="2244F5C3" w14:textId="77777777" w:rsidR="00CA541F" w:rsidRPr="00B81300" w:rsidRDefault="00CA541F" w:rsidP="00CA541F">
      <w:pPr>
        <w:jc w:val="both"/>
        <w:rPr>
          <w:highlight w:val="yellow"/>
        </w:rPr>
      </w:pPr>
    </w:p>
    <w:p w14:paraId="4A9500CC" w14:textId="77777777" w:rsidR="00CA541F" w:rsidRPr="00294D69" w:rsidRDefault="00CA541F" w:rsidP="00CA541F">
      <w:pPr>
        <w:jc w:val="both"/>
        <w:rPr>
          <w:b/>
        </w:rPr>
      </w:pPr>
      <w:r w:rsidRPr="00294D69">
        <w:rPr>
          <w:b/>
        </w:rPr>
        <w:t xml:space="preserve">Rozpočet verejnej správy </w:t>
      </w:r>
    </w:p>
    <w:p w14:paraId="514C6C79" w14:textId="77777777" w:rsidR="00CA541F" w:rsidRPr="00294D69" w:rsidRDefault="00CA541F" w:rsidP="00CA541F">
      <w:pPr>
        <w:pStyle w:val="ListParagraph"/>
        <w:numPr>
          <w:ilvl w:val="0"/>
          <w:numId w:val="15"/>
        </w:numPr>
        <w:spacing w:after="0" w:line="240" w:lineRule="auto"/>
        <w:ind w:left="447" w:hanging="425"/>
        <w:jc w:val="both"/>
        <w:rPr>
          <w:rFonts w:ascii="Constantia" w:hAnsi="Constantia"/>
          <w:szCs w:val="20"/>
        </w:rPr>
      </w:pPr>
      <w:r w:rsidRPr="00294D69">
        <w:rPr>
          <w:rFonts w:ascii="Constantia" w:hAnsi="Constantia"/>
          <w:szCs w:val="20"/>
        </w:rPr>
        <w:t>Zvýšiť záväznosť trojročného rozpočtu a schvaľovať v parlamente celý trojročný rozpočet verejnej správy a pozmeňujúce návrhy k nemu v súlade s metodikou ESA2010. Súčasný spôsob schvaľovania (schvaľuje sa hotovostný štátny rozpočet na najbližší rok) je daný historicky a nepostačuje na zachytenie kľúčových sledovaných parametrov a všetkých zmien vo verejných financiách.</w:t>
      </w:r>
    </w:p>
    <w:p w14:paraId="7BEA3A0A" w14:textId="77777777" w:rsidR="00CA541F" w:rsidRPr="00294D69" w:rsidRDefault="00CA541F" w:rsidP="00CA541F">
      <w:pPr>
        <w:pStyle w:val="ListParagraph"/>
        <w:numPr>
          <w:ilvl w:val="0"/>
          <w:numId w:val="15"/>
        </w:numPr>
        <w:spacing w:after="0" w:line="240" w:lineRule="auto"/>
        <w:ind w:left="447" w:hanging="425"/>
        <w:jc w:val="both"/>
        <w:rPr>
          <w:rFonts w:ascii="Constantia" w:hAnsi="Constantia"/>
          <w:szCs w:val="20"/>
        </w:rPr>
      </w:pPr>
      <w:r w:rsidRPr="00294D69">
        <w:rPr>
          <w:rFonts w:ascii="Constantia" w:hAnsi="Constantia"/>
          <w:szCs w:val="20"/>
        </w:rPr>
        <w:t xml:space="preserve">Upraviť legislatívny rámec tak, aby sa posilnila záväznosť rozpočtovaných výdavkov, vrátane stanovenia transparentných pravidiel pre tvorbu, použitie a zverejňovanie informácií o všetkých rezervách. </w:t>
      </w:r>
    </w:p>
    <w:p w14:paraId="63C19AE6" w14:textId="77777777" w:rsidR="00CA541F" w:rsidRPr="009C3D8F" w:rsidRDefault="00CA541F" w:rsidP="00CA541F">
      <w:pPr>
        <w:pStyle w:val="ListParagraph"/>
        <w:numPr>
          <w:ilvl w:val="0"/>
          <w:numId w:val="15"/>
        </w:numPr>
        <w:spacing w:after="0" w:line="240" w:lineRule="auto"/>
        <w:ind w:left="447" w:hanging="425"/>
        <w:jc w:val="both"/>
        <w:rPr>
          <w:rFonts w:ascii="Constantia" w:hAnsi="Constantia"/>
          <w:szCs w:val="18"/>
        </w:rPr>
      </w:pPr>
      <w:r w:rsidRPr="00294D69">
        <w:rPr>
          <w:rFonts w:ascii="Constantia" w:hAnsi="Constantia"/>
          <w:szCs w:val="18"/>
        </w:rPr>
        <w:t xml:space="preserve">Zvýšiť kvalitu poskytovaných informácií v rozpočte uvádzaním rozpočtových vplyvov jednotlivých legislatívnych opatrení v zmysle príslušného ustanovenia zákona </w:t>
      </w:r>
      <w:r w:rsidRPr="009C3D8F">
        <w:rPr>
          <w:rFonts w:ascii="Constantia" w:hAnsi="Constantia"/>
          <w:szCs w:val="18"/>
        </w:rPr>
        <w:lastRenderedPageBreak/>
        <w:t>o rozpočtových pravidlách verejnej správy a popisom všetkých opatrení zapracovaných do rozpočtu vrátane použitých predpokladov pri vyčíslení ich vplyvov.</w:t>
      </w:r>
    </w:p>
    <w:p w14:paraId="2D6D18AB" w14:textId="5F068BEF" w:rsidR="00CA541F" w:rsidRPr="002F7B2D" w:rsidRDefault="00CA541F" w:rsidP="00CA541F">
      <w:pPr>
        <w:pStyle w:val="ListParagraph"/>
        <w:numPr>
          <w:ilvl w:val="0"/>
          <w:numId w:val="15"/>
        </w:numPr>
        <w:spacing w:after="0" w:line="240" w:lineRule="auto"/>
        <w:ind w:left="447" w:hanging="425"/>
        <w:jc w:val="both"/>
        <w:rPr>
          <w:rFonts w:ascii="Constantia" w:hAnsi="Constantia"/>
          <w:sz w:val="20"/>
          <w:szCs w:val="18"/>
        </w:rPr>
      </w:pPr>
      <w:r w:rsidRPr="002F7B2D">
        <w:rPr>
          <w:rFonts w:ascii="Constantia" w:hAnsi="Constantia"/>
          <w:szCs w:val="20"/>
        </w:rPr>
        <w:t xml:space="preserve">Zverejňovať ukazovatele hospodárenia všetkých štátnych podnikov a podnikov MH Manažment. Hospodárenie podnikov doplniť o komentár aj v kontexte vyplácania dividend, vplyvu na výnos dane z príjmov právnických osôb a prípadných ďalších vzťahov s rozpočtom verejnej správy. Pokúsiť sa aspoň v kvalitatívnej rovine vyhodnotiť riziká plynúce z hospodárenia štátnych podnikov a podnikov MH Manažment. </w:t>
      </w:r>
    </w:p>
    <w:p w14:paraId="4D582D50" w14:textId="77777777" w:rsidR="00CA541F" w:rsidRPr="00294D69" w:rsidRDefault="00CA541F" w:rsidP="00CA541F">
      <w:pPr>
        <w:pStyle w:val="ListParagraph"/>
        <w:numPr>
          <w:ilvl w:val="0"/>
          <w:numId w:val="15"/>
        </w:numPr>
        <w:spacing w:after="0" w:line="240" w:lineRule="auto"/>
        <w:ind w:left="447" w:hanging="425"/>
        <w:jc w:val="both"/>
        <w:rPr>
          <w:rFonts w:ascii="Constantia" w:hAnsi="Constantia"/>
          <w:szCs w:val="18"/>
        </w:rPr>
      </w:pPr>
      <w:r w:rsidRPr="00294D69">
        <w:rPr>
          <w:rFonts w:ascii="Constantia" w:hAnsi="Constantia"/>
          <w:szCs w:val="18"/>
        </w:rPr>
        <w:t>Rozpočtovať všetky položky rozpočtu v súlade s metodikou ESA2010 a zahrnúť predpoklady o príjmoch a výdavkoch všetkých subjektov, ktoré sú v čase zostavovania rozpočtu súčasťou sektora verejnej správy.</w:t>
      </w:r>
    </w:p>
    <w:p w14:paraId="4ACF440F" w14:textId="77777777" w:rsidR="00CA541F" w:rsidRPr="00294D69" w:rsidRDefault="00CA541F" w:rsidP="00CA541F">
      <w:pPr>
        <w:pStyle w:val="ListParagraph"/>
        <w:numPr>
          <w:ilvl w:val="0"/>
          <w:numId w:val="15"/>
        </w:numPr>
        <w:spacing w:after="0" w:line="240" w:lineRule="auto"/>
        <w:ind w:left="447" w:hanging="425"/>
        <w:jc w:val="both"/>
        <w:rPr>
          <w:rFonts w:ascii="Constantia" w:hAnsi="Constantia"/>
          <w:szCs w:val="20"/>
        </w:rPr>
      </w:pPr>
      <w:r w:rsidRPr="00294D69">
        <w:rPr>
          <w:rFonts w:ascii="Constantia" w:hAnsi="Constantia"/>
          <w:szCs w:val="20"/>
        </w:rPr>
        <w:t>V dokumentoch rozpočtu informovať na jednom mieste o všetkých daňových príjmoch a odvodoch zapracovaných do rozpočtu vrátane zmien prijatých počas schvaľovania v NR SR.</w:t>
      </w:r>
    </w:p>
    <w:p w14:paraId="0C72BFCE" w14:textId="77777777" w:rsidR="00CA541F" w:rsidRPr="00294D69" w:rsidRDefault="00CA541F" w:rsidP="00CA541F">
      <w:pPr>
        <w:pStyle w:val="ListParagraph"/>
        <w:numPr>
          <w:ilvl w:val="0"/>
          <w:numId w:val="15"/>
        </w:numPr>
        <w:spacing w:after="0" w:line="240" w:lineRule="auto"/>
        <w:ind w:left="447" w:hanging="425"/>
        <w:jc w:val="both"/>
        <w:rPr>
          <w:rFonts w:ascii="Constantia" w:hAnsi="Constantia"/>
          <w:szCs w:val="20"/>
        </w:rPr>
      </w:pPr>
      <w:r w:rsidRPr="00294D69">
        <w:rPr>
          <w:rFonts w:ascii="Constantia" w:hAnsi="Constantia"/>
          <w:szCs w:val="20"/>
        </w:rPr>
        <w:t>Pokračovať v analýze ďalších oblastí verejných financií z hľadiska hodnoty za peniaze (VFM) a odpočte plnenia identifikovaných opatrení. Silnejšie previazanie rozpočtu s výsledkami získanými z VFM a jednoznačné informovanie o vplyvoch opatrení zapracovaných do rozpočtu by významne zvýšilo jeho transparentnosť a skvalitnilo diskusiu o prioritách vlády.</w:t>
      </w:r>
    </w:p>
    <w:p w14:paraId="2934F8D6" w14:textId="77777777" w:rsidR="00CA541F" w:rsidRPr="00182133" w:rsidRDefault="00CA541F" w:rsidP="00CA541F">
      <w:pPr>
        <w:ind w:left="345"/>
        <w:jc w:val="both"/>
      </w:pPr>
    </w:p>
    <w:p w14:paraId="703AE9A7" w14:textId="77777777" w:rsidR="00CA541F" w:rsidRPr="00182133" w:rsidRDefault="00CA541F" w:rsidP="00CA541F">
      <w:pPr>
        <w:jc w:val="both"/>
        <w:rPr>
          <w:b/>
        </w:rPr>
      </w:pPr>
      <w:r w:rsidRPr="00182133">
        <w:rPr>
          <w:b/>
        </w:rPr>
        <w:t>Súhrnná výročná správa</w:t>
      </w:r>
    </w:p>
    <w:p w14:paraId="1F22A98D" w14:textId="77777777" w:rsidR="00CA541F" w:rsidRPr="00182133" w:rsidRDefault="00CA541F" w:rsidP="00CA541F">
      <w:pPr>
        <w:numPr>
          <w:ilvl w:val="0"/>
          <w:numId w:val="5"/>
        </w:numPr>
        <w:ind w:left="345" w:hanging="320"/>
        <w:jc w:val="both"/>
      </w:pPr>
      <w:r w:rsidRPr="00182133">
        <w:t>Ocenenie zatiaľ nevyčíslených zložiek ukazovateľa čistého bohatstva a odstránenie zostávajúcich metodických nezrovnalostí pri jeho vykazovaní (odlišný prístup odhadu implicitných záväzkov univerzálneho dôchodkového systému v porovnaní so systémom ozbrojených zložiek) by mohli prispieť k zlepšeniu vypovedacej schopnosti čistého bohatstva.</w:t>
      </w:r>
    </w:p>
    <w:p w14:paraId="0FCF3FB2" w14:textId="77777777" w:rsidR="00CA541F" w:rsidRPr="00182133" w:rsidRDefault="00CA541F" w:rsidP="00CA541F">
      <w:pPr>
        <w:numPr>
          <w:ilvl w:val="0"/>
          <w:numId w:val="5"/>
        </w:numPr>
        <w:ind w:left="345" w:hanging="320"/>
        <w:jc w:val="both"/>
      </w:pPr>
      <w:r w:rsidRPr="00182133">
        <w:t>Vytvoriť technické podmienky a v spolupráci s RRZ definovať metodiku prepojenia salda a dlhu verejnej správy so zmenou čistého bohatstva.</w:t>
      </w:r>
    </w:p>
    <w:p w14:paraId="1CCB4F5B" w14:textId="77777777" w:rsidR="00CA541F" w:rsidRPr="00182133" w:rsidRDefault="00CA541F" w:rsidP="00CA541F">
      <w:pPr>
        <w:pStyle w:val="ListParagraph"/>
        <w:numPr>
          <w:ilvl w:val="0"/>
          <w:numId w:val="5"/>
        </w:numPr>
        <w:spacing w:after="0" w:line="240" w:lineRule="auto"/>
        <w:ind w:left="357" w:hanging="357"/>
        <w:jc w:val="both"/>
        <w:rPr>
          <w:rFonts w:ascii="Constantia" w:hAnsi="Constantia"/>
        </w:rPr>
      </w:pPr>
      <w:r w:rsidRPr="00182133">
        <w:rPr>
          <w:rFonts w:ascii="Constantia" w:hAnsi="Constantia"/>
        </w:rPr>
        <w:t>Ucelene informovať o príčinách rozdielneho vývoja príjmov, výdavkov a hrubého dlhu verejnej správy v porovnaní s rozpočtom (s dôrazom na vecné faktory a rozdiely v jednotlivých subjektoch) v jednom materiáli, ideálne v štátnom záverečnom účte. Súhrnná výročná správa by potom informovala o prípadných revíziách údajov a nových skutočnostiach.</w:t>
      </w:r>
    </w:p>
    <w:p w14:paraId="51340300" w14:textId="77777777" w:rsidR="005201A6" w:rsidRDefault="005201A6">
      <w:pPr>
        <w:rPr>
          <w:rFonts w:cs="Arial"/>
          <w:b/>
          <w:bCs/>
          <w:color w:val="58595B"/>
          <w:kern w:val="32"/>
          <w:sz w:val="32"/>
          <w:szCs w:val="32"/>
        </w:rPr>
      </w:pPr>
      <w:bookmarkStart w:id="834" w:name="_Toc521678166"/>
      <w:bookmarkStart w:id="835" w:name="_Toc521679443"/>
      <w:bookmarkStart w:id="836" w:name="_Toc523390340"/>
      <w:bookmarkStart w:id="837" w:name="_Toc523390286"/>
      <w:bookmarkStart w:id="838" w:name="_Toc523391011"/>
      <w:bookmarkStart w:id="839" w:name="_Toc523391592"/>
      <w:bookmarkStart w:id="840" w:name="_Toc523392891"/>
      <w:bookmarkStart w:id="841" w:name="_Toc523393780"/>
      <w:r>
        <w:rPr>
          <w:color w:val="58595B"/>
        </w:rPr>
        <w:br w:type="page"/>
      </w:r>
    </w:p>
    <w:p w14:paraId="540EDCE4" w14:textId="35CB3EC6" w:rsidR="00D6492C" w:rsidRPr="002062C1" w:rsidRDefault="00D6492C" w:rsidP="00D6492C">
      <w:pPr>
        <w:pStyle w:val="Heading1"/>
      </w:pPr>
      <w:bookmarkStart w:id="842" w:name="_Toc49506884"/>
      <w:r w:rsidRPr="002062C1">
        <w:rPr>
          <w:color w:val="58595B"/>
        </w:rPr>
        <w:lastRenderedPageBreak/>
        <w:t>Referencie</w:t>
      </w:r>
      <w:bookmarkEnd w:id="834"/>
      <w:bookmarkEnd w:id="835"/>
      <w:bookmarkEnd w:id="836"/>
      <w:bookmarkEnd w:id="837"/>
      <w:bookmarkEnd w:id="838"/>
      <w:bookmarkEnd w:id="839"/>
      <w:bookmarkEnd w:id="840"/>
      <w:bookmarkEnd w:id="841"/>
      <w:bookmarkEnd w:id="842"/>
    </w:p>
    <w:p w14:paraId="593CF29D" w14:textId="77777777" w:rsidR="00D6492C" w:rsidRPr="002062C1" w:rsidRDefault="00D6492C" w:rsidP="00D6492C">
      <w:pPr>
        <w:jc w:val="both"/>
      </w:pPr>
      <w:r w:rsidRPr="002062C1">
        <w:t xml:space="preserve"> </w:t>
      </w:r>
    </w:p>
    <w:p w14:paraId="48AF3607" w14:textId="33E5C9D9" w:rsidR="007B6070" w:rsidRDefault="007B6070" w:rsidP="00D6492C">
      <w:pPr>
        <w:jc w:val="both"/>
      </w:pPr>
      <w:r w:rsidRPr="007B6070">
        <w:t>GIBA, M., BUJŇÁK, V.: Ústavnoprávna analýza vybraných ustanovení ústavného zákona o</w:t>
      </w:r>
      <w:r w:rsidR="007C0073">
        <w:t> </w:t>
      </w:r>
      <w:r w:rsidRPr="007B6070">
        <w:t>rozpočtovej zodpovednosti zo dňa 31.07.2020. Analýza vypracovaná na základe zmluvy s</w:t>
      </w:r>
      <w:r w:rsidR="007C0073">
        <w:t> </w:t>
      </w:r>
      <w:r w:rsidRPr="007B6070">
        <w:t>Univerzitou Komenského v Bratislave, Právnickou fakultou zo dňa 22.05.2020</w:t>
      </w:r>
    </w:p>
    <w:p w14:paraId="352BBBBE" w14:textId="77777777" w:rsidR="007B6070" w:rsidRDefault="007B6070" w:rsidP="00D6492C">
      <w:pPr>
        <w:jc w:val="both"/>
      </w:pPr>
    </w:p>
    <w:p w14:paraId="12345E6F" w14:textId="04B880A4" w:rsidR="00D6492C" w:rsidRPr="002062C1" w:rsidRDefault="00D6492C" w:rsidP="00D6492C">
      <w:pPr>
        <w:jc w:val="both"/>
      </w:pPr>
      <w:r w:rsidRPr="002062C1">
        <w:t>Ministerstvo financií SR (2019): Zdôvodnenie výšky dlhu a návrh opatrení na jeho zníženie,</w:t>
      </w:r>
    </w:p>
    <w:p w14:paraId="7E17834A" w14:textId="77777777" w:rsidR="00D6492C" w:rsidRPr="002062C1" w:rsidRDefault="00D6492C" w:rsidP="00D6492C">
      <w:pPr>
        <w:jc w:val="both"/>
      </w:pPr>
      <w:r w:rsidRPr="002062C1">
        <w:t>materiál je zverejnený spolu s touto správou</w:t>
      </w:r>
    </w:p>
    <w:p w14:paraId="6714AC36" w14:textId="77777777" w:rsidR="00D6492C" w:rsidRPr="002062C1" w:rsidRDefault="00D6492C" w:rsidP="00D6492C">
      <w:pPr>
        <w:jc w:val="both"/>
        <w:rPr>
          <w:rStyle w:val="Hyperlink"/>
          <w:color w:val="13B5EA"/>
        </w:rPr>
      </w:pPr>
      <w:r w:rsidRPr="002062C1">
        <w:rPr>
          <w:rStyle w:val="Hyperlink"/>
          <w:color w:val="13B5EA"/>
        </w:rPr>
        <w:t>https://www.mfsr.sk/sk/financie/institut-financnej-politiky/strategicke-materialy/zdovodnenie-vysky-dlhu/</w:t>
      </w:r>
    </w:p>
    <w:p w14:paraId="1F1F770D" w14:textId="77777777" w:rsidR="00D6492C" w:rsidRPr="002062C1" w:rsidRDefault="00D6492C" w:rsidP="00D6492C">
      <w:pPr>
        <w:jc w:val="both"/>
      </w:pPr>
    </w:p>
    <w:p w14:paraId="1526E2A0" w14:textId="77777777" w:rsidR="00D6492C" w:rsidRPr="002062C1" w:rsidRDefault="00D6492C" w:rsidP="00D6492C">
      <w:pPr>
        <w:jc w:val="both"/>
      </w:pPr>
      <w:r w:rsidRPr="002062C1">
        <w:t>Ministerstvo financií SR (2018): Zdôvodnenie výšky dlhu a návrh opatrení na jeho zníženie,</w:t>
      </w:r>
    </w:p>
    <w:p w14:paraId="0FD0D0BF" w14:textId="77777777" w:rsidR="00D6492C" w:rsidRPr="002062C1" w:rsidRDefault="00D6492C" w:rsidP="00D6492C">
      <w:pPr>
        <w:jc w:val="both"/>
      </w:pPr>
      <w:r w:rsidRPr="002062C1">
        <w:t>materiál je zverejnený spolu s touto správou</w:t>
      </w:r>
    </w:p>
    <w:p w14:paraId="58E4E0D7" w14:textId="77777777" w:rsidR="00D6492C" w:rsidRPr="002062C1" w:rsidRDefault="008A30C7" w:rsidP="00D6492C">
      <w:pPr>
        <w:jc w:val="both"/>
        <w:rPr>
          <w:rStyle w:val="Hyperlink"/>
          <w:color w:val="13B5EA"/>
        </w:rPr>
      </w:pPr>
      <w:hyperlink r:id="rId32" w:history="1">
        <w:r w:rsidR="00D6492C" w:rsidRPr="002062C1">
          <w:rPr>
            <w:rStyle w:val="Hyperlink"/>
            <w:color w:val="13B5EA"/>
          </w:rPr>
          <w:t>https://www.mfsr.sk/sk/financie/institut-financnej-politiky/strategicke-materialy/zdovodnenie-vysky-dlhu/</w:t>
        </w:r>
      </w:hyperlink>
    </w:p>
    <w:p w14:paraId="5F926D72" w14:textId="77777777" w:rsidR="00D6492C" w:rsidRDefault="00D6492C" w:rsidP="00D6492C">
      <w:pPr>
        <w:jc w:val="both"/>
      </w:pPr>
    </w:p>
    <w:p w14:paraId="0F7DAA59" w14:textId="77777777" w:rsidR="00D6492C" w:rsidRPr="002062C1" w:rsidRDefault="00D6492C" w:rsidP="00D6492C">
      <w:pPr>
        <w:jc w:val="both"/>
      </w:pPr>
      <w:r w:rsidRPr="002062C1">
        <w:t>Ministerstvo financií SR (2019): Súhrnná výročná správa Slovenskej republiky za rok 2018,</w:t>
      </w:r>
    </w:p>
    <w:p w14:paraId="62FCDC71" w14:textId="77777777" w:rsidR="00D6492C" w:rsidRPr="002062C1" w:rsidRDefault="008A30C7" w:rsidP="00D6492C">
      <w:pPr>
        <w:jc w:val="both"/>
        <w:rPr>
          <w:color w:val="13B5EA"/>
        </w:rPr>
      </w:pPr>
      <w:hyperlink r:id="rId33" w:history="1">
        <w:r w:rsidR="00D6492C" w:rsidRPr="002062C1">
          <w:rPr>
            <w:rStyle w:val="Hyperlink"/>
            <w:color w:val="13B5EA"/>
          </w:rPr>
          <w:t>https://finance.gov.sk/sk/financie/statne-vykaznictvo/suhrnna-vyrocna-sprava-sr/</w:t>
        </w:r>
      </w:hyperlink>
    </w:p>
    <w:p w14:paraId="19A1B92A" w14:textId="77777777" w:rsidR="00D6492C" w:rsidRPr="002062C1" w:rsidRDefault="00D6492C" w:rsidP="00D6492C">
      <w:pPr>
        <w:jc w:val="both"/>
      </w:pPr>
    </w:p>
    <w:p w14:paraId="6C493920" w14:textId="77777777" w:rsidR="00D6492C" w:rsidRPr="002062C1" w:rsidRDefault="00D6492C" w:rsidP="00D6492C">
      <w:pPr>
        <w:jc w:val="both"/>
      </w:pPr>
      <w:r w:rsidRPr="002062C1">
        <w:t>Ministerstvo financií SR (2018): Súhrnná výročná správa Slovenskej republiky za rok 2017,</w:t>
      </w:r>
    </w:p>
    <w:p w14:paraId="50217BA8" w14:textId="77777777" w:rsidR="00D6492C" w:rsidRPr="002062C1" w:rsidRDefault="008A30C7" w:rsidP="00D6492C">
      <w:pPr>
        <w:jc w:val="both"/>
        <w:rPr>
          <w:color w:val="13B5EA"/>
        </w:rPr>
      </w:pPr>
      <w:hyperlink r:id="rId34" w:history="1">
        <w:r w:rsidR="00D6492C" w:rsidRPr="002062C1">
          <w:rPr>
            <w:rStyle w:val="Hyperlink"/>
            <w:color w:val="13B5EA"/>
          </w:rPr>
          <w:t>https://finance.gov.sk/sk/financie/statne-vykaznictvo/suhrnna-vyrocna-sprava-sr/</w:t>
        </w:r>
      </w:hyperlink>
    </w:p>
    <w:p w14:paraId="2F91BFC3" w14:textId="77777777" w:rsidR="00D6492C" w:rsidRPr="002062C1" w:rsidRDefault="00D6492C" w:rsidP="00D6492C">
      <w:pPr>
        <w:jc w:val="both"/>
      </w:pPr>
    </w:p>
    <w:p w14:paraId="05766C9E" w14:textId="77777777" w:rsidR="00D6492C" w:rsidRPr="002062C1" w:rsidRDefault="00D6492C" w:rsidP="00D6492C">
      <w:pPr>
        <w:jc w:val="both"/>
      </w:pPr>
      <w:r w:rsidRPr="002062C1">
        <w:t>Ministerstvo financií SR (2019): Rozpočet verejnej správy na roky 2020 až 2022,</w:t>
      </w:r>
    </w:p>
    <w:p w14:paraId="2B319588" w14:textId="77777777" w:rsidR="00D6492C" w:rsidRPr="002062C1" w:rsidRDefault="008A30C7" w:rsidP="00D6492C">
      <w:pPr>
        <w:jc w:val="both"/>
        <w:rPr>
          <w:color w:val="13B5EA"/>
        </w:rPr>
      </w:pPr>
      <w:hyperlink r:id="rId35" w:history="1">
        <w:r w:rsidR="00D6492C" w:rsidRPr="002062C1">
          <w:rPr>
            <w:rStyle w:val="Hyperlink"/>
            <w:color w:val="13B5EA"/>
          </w:rPr>
          <w:t>https://finance.gov.sk/sk/financie/verejne-financie/rozpocet-verejnej-spravy/</w:t>
        </w:r>
      </w:hyperlink>
    </w:p>
    <w:p w14:paraId="28425BB9" w14:textId="77777777" w:rsidR="00D6492C" w:rsidRPr="002062C1" w:rsidRDefault="00D6492C" w:rsidP="00D6492C">
      <w:pPr>
        <w:jc w:val="both"/>
        <w:rPr>
          <w:rStyle w:val="Hyperlink"/>
          <w:color w:val="13B5EA"/>
        </w:rPr>
      </w:pPr>
    </w:p>
    <w:p w14:paraId="14C58F78" w14:textId="77777777" w:rsidR="00D6492C" w:rsidRPr="002062C1" w:rsidRDefault="00D6492C" w:rsidP="00D6492C">
      <w:pPr>
        <w:jc w:val="both"/>
      </w:pPr>
      <w:r w:rsidRPr="002062C1">
        <w:t>Ministerstvo financií SR (2018): Rozpočet verejnej správy na roky 2019 až 2021,</w:t>
      </w:r>
    </w:p>
    <w:p w14:paraId="7A1D981A" w14:textId="77777777" w:rsidR="00D6492C" w:rsidRPr="002062C1" w:rsidRDefault="008A30C7" w:rsidP="00D6492C">
      <w:pPr>
        <w:jc w:val="both"/>
        <w:rPr>
          <w:color w:val="13B5EA"/>
        </w:rPr>
      </w:pPr>
      <w:hyperlink r:id="rId36" w:history="1">
        <w:r w:rsidR="00D6492C" w:rsidRPr="002062C1">
          <w:rPr>
            <w:rStyle w:val="Hyperlink"/>
            <w:color w:val="13B5EA"/>
          </w:rPr>
          <w:t>https://finance.gov.sk/sk/financie/verejne-financie/rozpocet-verejnej-spravy/</w:t>
        </w:r>
      </w:hyperlink>
    </w:p>
    <w:p w14:paraId="5C610F69" w14:textId="77777777" w:rsidR="00D6492C" w:rsidRPr="002062C1" w:rsidRDefault="00D6492C" w:rsidP="00D6492C">
      <w:pPr>
        <w:jc w:val="both"/>
      </w:pPr>
    </w:p>
    <w:p w14:paraId="129913A0" w14:textId="77777777" w:rsidR="00D6492C" w:rsidRPr="002062C1" w:rsidRDefault="00D6492C" w:rsidP="00D6492C">
      <w:pPr>
        <w:jc w:val="both"/>
      </w:pPr>
      <w:r w:rsidRPr="002062C1">
        <w:t xml:space="preserve">Inštitút finančnej politiky (2014): Zverejňovanie daňových výdavkov, </w:t>
      </w:r>
      <w:r w:rsidRPr="002062C1">
        <w:rPr>
          <w:i/>
        </w:rPr>
        <w:t xml:space="preserve">Manuál 13, </w:t>
      </w:r>
      <w:r w:rsidRPr="002062C1">
        <w:t>MF SR,</w:t>
      </w:r>
    </w:p>
    <w:p w14:paraId="1592AADB" w14:textId="77777777" w:rsidR="00D6492C" w:rsidRPr="002062C1" w:rsidRDefault="008A30C7" w:rsidP="00D6492C">
      <w:pPr>
        <w:jc w:val="both"/>
        <w:rPr>
          <w:color w:val="13B5EA"/>
        </w:rPr>
      </w:pPr>
      <w:hyperlink r:id="rId37" w:history="1">
        <w:r w:rsidR="00D6492C" w:rsidRPr="002062C1">
          <w:rPr>
            <w:rStyle w:val="Hyperlink"/>
            <w:color w:val="13B5EA"/>
          </w:rPr>
          <w:t>https://finance.gov.sk/sk/financie/institut-financnej-politiky/publikacie-ifp/manualy/zverejnovanie-danovych-vydavkov.html</w:t>
        </w:r>
      </w:hyperlink>
    </w:p>
    <w:p w14:paraId="36B16335" w14:textId="77777777" w:rsidR="00D6492C" w:rsidRPr="002062C1" w:rsidRDefault="00D6492C" w:rsidP="00D6492C">
      <w:pPr>
        <w:jc w:val="both"/>
        <w:rPr>
          <w:rStyle w:val="Hyperlink"/>
          <w:color w:val="13B5EA"/>
        </w:rPr>
      </w:pPr>
    </w:p>
    <w:p w14:paraId="4E37C550" w14:textId="77777777" w:rsidR="00D6492C" w:rsidRPr="002062C1" w:rsidRDefault="00D6492C" w:rsidP="00D6492C">
      <w:pPr>
        <w:jc w:val="both"/>
      </w:pPr>
      <w:r w:rsidRPr="002062C1">
        <w:t xml:space="preserve">Inštitút finančnej politiky (2015): Jednorazové vplyvy, </w:t>
      </w:r>
      <w:r w:rsidRPr="002062C1">
        <w:rPr>
          <w:i/>
        </w:rPr>
        <w:t xml:space="preserve">Manuál 8 (aktualizácia), </w:t>
      </w:r>
      <w:r w:rsidRPr="002062C1">
        <w:t>MF SR,</w:t>
      </w:r>
    </w:p>
    <w:p w14:paraId="4C997ED4" w14:textId="77777777" w:rsidR="00D6492C" w:rsidRPr="002062C1" w:rsidRDefault="008A30C7" w:rsidP="00D6492C">
      <w:pPr>
        <w:jc w:val="both"/>
        <w:rPr>
          <w:color w:val="13B5EA"/>
        </w:rPr>
      </w:pPr>
      <w:hyperlink r:id="rId38" w:history="1">
        <w:r w:rsidR="00D6492C" w:rsidRPr="002062C1">
          <w:rPr>
            <w:rStyle w:val="Hyperlink"/>
            <w:color w:val="13B5EA"/>
          </w:rPr>
          <w:t>https://finance.gov.sk/sk/financie/institut-financnej-politiky/publikacie-ifp/manualy/jednorazove-vplyvy.html</w:t>
        </w:r>
      </w:hyperlink>
    </w:p>
    <w:p w14:paraId="37A37304" w14:textId="77777777" w:rsidR="00D6492C" w:rsidRPr="002062C1" w:rsidRDefault="00D6492C" w:rsidP="00D6492C">
      <w:pPr>
        <w:jc w:val="both"/>
      </w:pPr>
    </w:p>
    <w:p w14:paraId="14803ECA" w14:textId="77777777" w:rsidR="00D6492C" w:rsidRPr="002062C1" w:rsidRDefault="00D6492C" w:rsidP="00D6492C">
      <w:pPr>
        <w:jc w:val="both"/>
      </w:pPr>
      <w:r w:rsidRPr="002062C1">
        <w:t>Inštitút finančnej politiky (2018): Skrutkovač na hodnotu za peniaze, diskusná štúdia č. 3, MF SR</w:t>
      </w:r>
    </w:p>
    <w:p w14:paraId="16F59929" w14:textId="77777777" w:rsidR="00D6492C" w:rsidRDefault="008A30C7" w:rsidP="00D6492C">
      <w:pPr>
        <w:jc w:val="both"/>
        <w:rPr>
          <w:rStyle w:val="Hyperlink"/>
          <w:color w:val="13B5EA"/>
        </w:rPr>
      </w:pPr>
      <w:hyperlink r:id="rId39" w:history="1">
        <w:r w:rsidR="00D6492C" w:rsidRPr="002062C1">
          <w:rPr>
            <w:rStyle w:val="Hyperlink"/>
            <w:color w:val="13B5EA"/>
          </w:rPr>
          <w:t>https://finance.gov.sk/sk/financie/institut-financnej-politiky/publikacie-ifp/diskusne-studie/3-skrutkovac-hodnotu-za-peniaze-oktober-2018.html</w:t>
        </w:r>
      </w:hyperlink>
    </w:p>
    <w:p w14:paraId="67018233" w14:textId="77777777" w:rsidR="00D6492C" w:rsidRDefault="00D6492C" w:rsidP="00D6492C">
      <w:pPr>
        <w:jc w:val="both"/>
        <w:rPr>
          <w:rStyle w:val="Hyperlink"/>
          <w:color w:val="13B5EA"/>
        </w:rPr>
      </w:pPr>
    </w:p>
    <w:p w14:paraId="3FECC33B" w14:textId="77777777" w:rsidR="00D6492C" w:rsidRPr="00BC27F0" w:rsidRDefault="00D6492C" w:rsidP="00D6492C">
      <w:pPr>
        <w:jc w:val="both"/>
      </w:pPr>
      <w:r w:rsidRPr="00BC27F0">
        <w:t>Rada pre rozpočtovú zodpovednosť (2019): Správa o hodnotení plnenia pravidiel rozpočtovej zodpovednosti a transparentnosti za rok 2018, </w:t>
      </w:r>
    </w:p>
    <w:p w14:paraId="790A8D11" w14:textId="77777777" w:rsidR="00D6492C" w:rsidRPr="00BC27F0" w:rsidRDefault="008A30C7" w:rsidP="00D6492C">
      <w:pPr>
        <w:jc w:val="both"/>
        <w:rPr>
          <w:rStyle w:val="Hyperlink"/>
          <w:color w:val="13B5EA"/>
        </w:rPr>
      </w:pPr>
      <w:hyperlink r:id="rId40" w:history="1">
        <w:r w:rsidR="00D6492C" w:rsidRPr="00BC27F0">
          <w:rPr>
            <w:rStyle w:val="Hyperlink"/>
            <w:color w:val="13B5EA"/>
          </w:rPr>
          <w:t>https://www.rozpoctovarada.sk/download2/hodnotenie_pravidiel_2019.pdf</w:t>
        </w:r>
      </w:hyperlink>
    </w:p>
    <w:p w14:paraId="24D2AED4" w14:textId="77777777" w:rsidR="00D6492C" w:rsidRDefault="00D6492C" w:rsidP="00D6492C">
      <w:pPr>
        <w:jc w:val="both"/>
      </w:pPr>
    </w:p>
    <w:p w14:paraId="4189B2FD" w14:textId="77777777" w:rsidR="00D6492C" w:rsidRPr="00BC27F0" w:rsidRDefault="00D6492C" w:rsidP="00D6492C">
      <w:pPr>
        <w:jc w:val="both"/>
      </w:pPr>
      <w:r w:rsidRPr="00BC27F0">
        <w:t>Rada pre rozpočtovú zodpovednosť (2018): Správa o hodnotení plnenia pravidiel rozpočtovej zodpovednosti a transparentnosti za rok 2017, </w:t>
      </w:r>
    </w:p>
    <w:p w14:paraId="5AA461AF" w14:textId="77777777" w:rsidR="00D6492C" w:rsidRPr="00BC27F0" w:rsidRDefault="00D6492C" w:rsidP="00D6492C">
      <w:pPr>
        <w:jc w:val="both"/>
        <w:rPr>
          <w:rStyle w:val="Hyperlink"/>
          <w:color w:val="13B5EA"/>
        </w:rPr>
      </w:pPr>
      <w:r w:rsidRPr="00BC27F0">
        <w:rPr>
          <w:rStyle w:val="Hyperlink"/>
          <w:color w:val="13B5EA"/>
        </w:rPr>
        <w:t>https://www.rozpoctovarada.sk/download2/hodnotenie_pravidiel_2018_final.pdf</w:t>
      </w:r>
    </w:p>
    <w:p w14:paraId="6F44653E" w14:textId="77777777" w:rsidR="00D6492C" w:rsidRDefault="00D6492C" w:rsidP="00D6492C">
      <w:pPr>
        <w:jc w:val="both"/>
        <w:rPr>
          <w:highlight w:val="yellow"/>
        </w:rPr>
      </w:pPr>
    </w:p>
    <w:p w14:paraId="2DECE03A" w14:textId="77777777" w:rsidR="00D6492C" w:rsidRPr="00BC27F0" w:rsidRDefault="00D6492C" w:rsidP="00D6492C">
      <w:pPr>
        <w:jc w:val="both"/>
      </w:pPr>
      <w:r w:rsidRPr="00BC27F0">
        <w:t>Rada pre rozpočtovú zodpovednosť (2019): Hodnotenie Návrhu rozpočtu verejnej správy na roky 2020 až 2022,</w:t>
      </w:r>
    </w:p>
    <w:p w14:paraId="7362EFB4" w14:textId="77777777" w:rsidR="00D6492C" w:rsidRPr="00BC27F0" w:rsidRDefault="008A30C7" w:rsidP="00D6492C">
      <w:pPr>
        <w:jc w:val="both"/>
        <w:rPr>
          <w:rStyle w:val="Hyperlink"/>
          <w:color w:val="13B5EA"/>
        </w:rPr>
      </w:pPr>
      <w:hyperlink r:id="rId41" w:history="1">
        <w:r w:rsidR="00D6492C" w:rsidRPr="00BC27F0">
          <w:rPr>
            <w:rStyle w:val="Hyperlink"/>
            <w:color w:val="13B5EA"/>
          </w:rPr>
          <w:t>https://www.rozpoctovarada.sk/download2/hodnotenie_rvs_2020_2022_zhrnutie.pdf</w:t>
        </w:r>
      </w:hyperlink>
    </w:p>
    <w:p w14:paraId="3592B60A" w14:textId="77777777" w:rsidR="00D6492C" w:rsidRPr="00BC27F0" w:rsidRDefault="008A30C7" w:rsidP="00D6492C">
      <w:pPr>
        <w:jc w:val="both"/>
        <w:rPr>
          <w:rStyle w:val="Hyperlink"/>
          <w:color w:val="13B5EA"/>
        </w:rPr>
      </w:pPr>
      <w:hyperlink r:id="rId42" w:history="1">
        <w:r w:rsidR="00D6492C" w:rsidRPr="00BC27F0">
          <w:rPr>
            <w:rStyle w:val="Hyperlink"/>
            <w:color w:val="13B5EA"/>
          </w:rPr>
          <w:t>https://www.rozpoctovarada.sk/download2/hodnotenie_rvs_2020_2022.pdf</w:t>
        </w:r>
      </w:hyperlink>
    </w:p>
    <w:p w14:paraId="585E7BF7" w14:textId="77777777" w:rsidR="00D6492C" w:rsidRPr="00BC27F0" w:rsidRDefault="008A30C7" w:rsidP="00D6492C">
      <w:pPr>
        <w:jc w:val="both"/>
        <w:rPr>
          <w:rStyle w:val="Hyperlink"/>
          <w:color w:val="13B5EA"/>
        </w:rPr>
      </w:pPr>
      <w:hyperlink r:id="rId43" w:history="1">
        <w:r w:rsidR="00D6492C" w:rsidRPr="00BC27F0">
          <w:rPr>
            <w:rStyle w:val="Hyperlink"/>
            <w:color w:val="13B5EA"/>
          </w:rPr>
          <w:t>https://www.rozpoctovarada.sk/download2/hodnotenie_rvs_2020_2022_addendum.pdf</w:t>
        </w:r>
      </w:hyperlink>
    </w:p>
    <w:p w14:paraId="3BC6A6DF" w14:textId="77777777" w:rsidR="00D6492C" w:rsidRPr="00B81300" w:rsidRDefault="00D6492C" w:rsidP="00D6492C">
      <w:pPr>
        <w:jc w:val="both"/>
        <w:rPr>
          <w:highlight w:val="yellow"/>
        </w:rPr>
      </w:pPr>
    </w:p>
    <w:p w14:paraId="4EFC8151" w14:textId="77777777" w:rsidR="00D6492C" w:rsidRPr="00BC27F0" w:rsidRDefault="00D6492C" w:rsidP="00D6492C">
      <w:pPr>
        <w:jc w:val="both"/>
      </w:pPr>
      <w:r w:rsidRPr="00BC27F0">
        <w:t>Rada pre rozpočtovú zodpovednosť (2018): Hodnotenie Návrhu rozpočtu verejnej správy na roky 2019 až 2021,</w:t>
      </w:r>
    </w:p>
    <w:p w14:paraId="47F9E521" w14:textId="77777777" w:rsidR="00D6492C" w:rsidRPr="00BC27F0" w:rsidRDefault="008A30C7" w:rsidP="00D6492C">
      <w:pPr>
        <w:jc w:val="both"/>
        <w:rPr>
          <w:color w:val="13B5EA"/>
        </w:rPr>
      </w:pPr>
      <w:hyperlink r:id="rId44" w:history="1">
        <w:r w:rsidR="00D6492C" w:rsidRPr="00BC27F0">
          <w:rPr>
            <w:rStyle w:val="Hyperlink"/>
            <w:color w:val="13B5EA"/>
          </w:rPr>
          <w:t>https://www.rozpoctovarada.sk/download2/hodnotenie_nrvs_2019_2021_zhrnutie.pdf</w:t>
        </w:r>
      </w:hyperlink>
    </w:p>
    <w:p w14:paraId="58D8019F" w14:textId="77777777" w:rsidR="00D6492C" w:rsidRPr="00BC27F0" w:rsidRDefault="008A30C7" w:rsidP="00D6492C">
      <w:pPr>
        <w:jc w:val="both"/>
        <w:rPr>
          <w:color w:val="13B5EA"/>
        </w:rPr>
      </w:pPr>
      <w:hyperlink r:id="rId45" w:history="1">
        <w:r w:rsidR="00D6492C" w:rsidRPr="00BC27F0">
          <w:rPr>
            <w:rStyle w:val="Hyperlink"/>
            <w:color w:val="13B5EA"/>
          </w:rPr>
          <w:t>https://www.rozpoctovarada.sk/download2/hodnotenie_nrvs_2019_2021.pdf</w:t>
        </w:r>
      </w:hyperlink>
    </w:p>
    <w:p w14:paraId="71C31A68" w14:textId="77777777" w:rsidR="00D6492C" w:rsidRPr="00BC27F0" w:rsidRDefault="008A30C7" w:rsidP="00D6492C">
      <w:pPr>
        <w:jc w:val="both"/>
        <w:rPr>
          <w:color w:val="13B5EA"/>
        </w:rPr>
      </w:pPr>
      <w:hyperlink r:id="rId46" w:history="1">
        <w:r w:rsidR="00D6492C" w:rsidRPr="00BC27F0">
          <w:rPr>
            <w:rStyle w:val="Hyperlink"/>
            <w:color w:val="13B5EA"/>
          </w:rPr>
          <w:t>https://www.rozpoctovarada.sk/download2/hodnotenie_rvs_2019_2021_addendum.pdf</w:t>
        </w:r>
      </w:hyperlink>
    </w:p>
    <w:p w14:paraId="64D90C54" w14:textId="77777777" w:rsidR="00D6492C" w:rsidRPr="00B81300" w:rsidRDefault="00D6492C" w:rsidP="00D6492C">
      <w:pPr>
        <w:jc w:val="both"/>
        <w:rPr>
          <w:rStyle w:val="Hyperlink"/>
          <w:color w:val="13B5EA"/>
          <w:highlight w:val="yellow"/>
        </w:rPr>
      </w:pPr>
    </w:p>
    <w:p w14:paraId="75BAD8CA" w14:textId="77777777" w:rsidR="00D6492C" w:rsidRPr="00BC27F0" w:rsidRDefault="00D6492C" w:rsidP="00D6492C">
      <w:pPr>
        <w:jc w:val="both"/>
        <w:rPr>
          <w:color w:val="13B5EA"/>
        </w:rPr>
      </w:pPr>
      <w:r w:rsidRPr="00BC27F0">
        <w:t xml:space="preserve">Rada pre rozpočtovú zodpovednosť (2020): Správa o dlhodobej udržateľnosti verejných financií, </w:t>
      </w:r>
    </w:p>
    <w:p w14:paraId="1C1BBB44" w14:textId="77777777" w:rsidR="00D6492C" w:rsidRPr="00BC27F0" w:rsidRDefault="008A30C7" w:rsidP="00D6492C">
      <w:pPr>
        <w:jc w:val="both"/>
        <w:rPr>
          <w:rStyle w:val="Hyperlink"/>
          <w:color w:val="13B5EA"/>
        </w:rPr>
      </w:pPr>
      <w:hyperlink r:id="rId47" w:history="1">
        <w:r w:rsidR="00D6492C" w:rsidRPr="00BC27F0">
          <w:rPr>
            <w:rStyle w:val="Hyperlink"/>
            <w:color w:val="13B5EA"/>
          </w:rPr>
          <w:t>https://www.rozpoctovarada.sk/download2/sustainability_report_2020_zhrnutie.pdf</w:t>
        </w:r>
      </w:hyperlink>
    </w:p>
    <w:p w14:paraId="6EEBD92C" w14:textId="77777777" w:rsidR="00D6492C" w:rsidRPr="00BC27F0" w:rsidRDefault="008A30C7" w:rsidP="00D6492C">
      <w:pPr>
        <w:jc w:val="both"/>
        <w:rPr>
          <w:rStyle w:val="Hyperlink"/>
          <w:color w:val="13B5EA"/>
        </w:rPr>
      </w:pPr>
      <w:hyperlink r:id="rId48" w:history="1">
        <w:r w:rsidR="00D6492C" w:rsidRPr="00BC27F0">
          <w:rPr>
            <w:rStyle w:val="Hyperlink"/>
            <w:color w:val="13B5EA"/>
          </w:rPr>
          <w:t>https://www.rozpoctovarada.sk/download2/sustainability_report_2020.pdf</w:t>
        </w:r>
      </w:hyperlink>
    </w:p>
    <w:p w14:paraId="68F75309" w14:textId="77777777" w:rsidR="00D6492C" w:rsidRDefault="00D6492C" w:rsidP="00D6492C">
      <w:pPr>
        <w:jc w:val="both"/>
        <w:rPr>
          <w:highlight w:val="yellow"/>
        </w:rPr>
      </w:pPr>
    </w:p>
    <w:p w14:paraId="73396964" w14:textId="77777777" w:rsidR="00D6492C" w:rsidRPr="00BC27F0" w:rsidRDefault="00D6492C" w:rsidP="00D6492C">
      <w:pPr>
        <w:jc w:val="both"/>
        <w:rPr>
          <w:color w:val="13B5EA"/>
        </w:rPr>
      </w:pPr>
      <w:r w:rsidRPr="00BC27F0">
        <w:t xml:space="preserve">Rada pre rozpočtovú zodpovednosť (2019): Správa o dlhodobej udržateľnosti verejných financií, </w:t>
      </w:r>
    </w:p>
    <w:p w14:paraId="7C8D1B75" w14:textId="77777777" w:rsidR="00D6492C" w:rsidRPr="00BC27F0" w:rsidRDefault="008A30C7" w:rsidP="00D6492C">
      <w:pPr>
        <w:jc w:val="both"/>
        <w:rPr>
          <w:color w:val="13B5EA"/>
        </w:rPr>
      </w:pPr>
      <w:hyperlink r:id="rId49" w:history="1">
        <w:r w:rsidR="00D6492C" w:rsidRPr="00BC27F0">
          <w:rPr>
            <w:rStyle w:val="Hyperlink"/>
            <w:color w:val="13B5EA"/>
          </w:rPr>
          <w:t>https://www.rozpoctovarada.sk/download2/sustainability_report_2019_zhrnutie_final.pdf</w:t>
        </w:r>
      </w:hyperlink>
    </w:p>
    <w:p w14:paraId="4C635AB4" w14:textId="77777777" w:rsidR="00D6492C" w:rsidRPr="00BC27F0" w:rsidRDefault="008A30C7" w:rsidP="00D6492C">
      <w:pPr>
        <w:jc w:val="both"/>
        <w:rPr>
          <w:color w:val="13B5EA"/>
        </w:rPr>
      </w:pPr>
      <w:hyperlink r:id="rId50" w:history="1">
        <w:r w:rsidR="00D6492C" w:rsidRPr="00BC27F0">
          <w:rPr>
            <w:rStyle w:val="Hyperlink"/>
            <w:color w:val="13B5EA"/>
          </w:rPr>
          <w:t>https://www.rozpoctovarada.sk/download2/sustainability_report_2019_final.pdf</w:t>
        </w:r>
      </w:hyperlink>
    </w:p>
    <w:p w14:paraId="1A9B8755" w14:textId="77777777" w:rsidR="00D6492C" w:rsidRPr="00B81300" w:rsidRDefault="00D6492C" w:rsidP="00D6492C">
      <w:pPr>
        <w:jc w:val="both"/>
        <w:rPr>
          <w:color w:val="13B5EA"/>
          <w:highlight w:val="yellow"/>
        </w:rPr>
      </w:pPr>
    </w:p>
    <w:p w14:paraId="5BA3767C" w14:textId="77777777" w:rsidR="00D6492C" w:rsidRPr="00BC27F0" w:rsidRDefault="00D6492C" w:rsidP="00D6492C">
      <w:pPr>
        <w:jc w:val="both"/>
      </w:pPr>
      <w:r w:rsidRPr="00BC27F0">
        <w:t>Rada pre rozpočtovú zodpovednosť (2019): Hodnotenie strednodobých rozpočtových cieľov na roky 2020 až 2022,</w:t>
      </w:r>
    </w:p>
    <w:p w14:paraId="29054C23" w14:textId="77777777" w:rsidR="00D6492C" w:rsidRPr="00BC27F0" w:rsidRDefault="008A30C7" w:rsidP="00D6492C">
      <w:pPr>
        <w:jc w:val="both"/>
        <w:rPr>
          <w:rStyle w:val="Hyperlink"/>
          <w:color w:val="13B5EA"/>
        </w:rPr>
      </w:pPr>
      <w:hyperlink r:id="rId51" w:history="1">
        <w:r w:rsidR="00D6492C" w:rsidRPr="00BC27F0">
          <w:rPr>
            <w:rStyle w:val="Hyperlink"/>
            <w:color w:val="13B5EA"/>
          </w:rPr>
          <w:t>https://www.rozpoctovarada.sk/download2/strednodobe_ciele_2019_zhrnutie.pdf</w:t>
        </w:r>
      </w:hyperlink>
    </w:p>
    <w:p w14:paraId="4B46B36E" w14:textId="77777777" w:rsidR="00D6492C" w:rsidRPr="00BC27F0" w:rsidRDefault="008A30C7" w:rsidP="00D6492C">
      <w:pPr>
        <w:jc w:val="both"/>
        <w:rPr>
          <w:rStyle w:val="Hyperlink"/>
          <w:color w:val="13B5EA"/>
        </w:rPr>
      </w:pPr>
      <w:hyperlink r:id="rId52" w:history="1">
        <w:r w:rsidR="00D6492C" w:rsidRPr="00BC27F0">
          <w:rPr>
            <w:rStyle w:val="Hyperlink"/>
            <w:color w:val="13B5EA"/>
          </w:rPr>
          <w:t>https://www.rozpoctovarada.sk/download2/strednodobe_ciele_2019.pdf</w:t>
        </w:r>
      </w:hyperlink>
    </w:p>
    <w:p w14:paraId="725E5F32" w14:textId="77777777" w:rsidR="00D6492C" w:rsidRPr="00B81300" w:rsidRDefault="00D6492C" w:rsidP="00D6492C">
      <w:pPr>
        <w:jc w:val="both"/>
        <w:rPr>
          <w:highlight w:val="yellow"/>
        </w:rPr>
      </w:pPr>
    </w:p>
    <w:p w14:paraId="2976F202" w14:textId="77777777" w:rsidR="00D6492C" w:rsidRPr="00BC27F0" w:rsidRDefault="00D6492C" w:rsidP="00D6492C">
      <w:pPr>
        <w:jc w:val="both"/>
      </w:pPr>
      <w:r w:rsidRPr="00BC27F0">
        <w:t>Rada pre rozpočtovú zodpovednosť (2019): Hodnotenie plnenia pravidla o vyrovnanom rozpočte za rok 2018,</w:t>
      </w:r>
    </w:p>
    <w:p w14:paraId="532EFF7B" w14:textId="77777777" w:rsidR="00D6492C" w:rsidRDefault="008A30C7" w:rsidP="00D6492C">
      <w:pPr>
        <w:jc w:val="both"/>
        <w:rPr>
          <w:color w:val="13B5EA"/>
          <w:u w:val="single"/>
        </w:rPr>
      </w:pPr>
      <w:hyperlink r:id="rId53" w:history="1">
        <w:r w:rsidR="00D6492C" w:rsidRPr="00BC27F0">
          <w:rPr>
            <w:color w:val="13B5EA"/>
          </w:rPr>
          <w:t>https://www.rozpoctovarada.sk/download2/fiscal_compact_2018_dec_zhrnutie.pdf</w:t>
        </w:r>
      </w:hyperlink>
    </w:p>
    <w:p w14:paraId="4D0BF9D5" w14:textId="77777777" w:rsidR="00D6492C" w:rsidRDefault="00D6492C" w:rsidP="00D6492C">
      <w:pPr>
        <w:jc w:val="both"/>
        <w:rPr>
          <w:color w:val="13B5EA"/>
          <w:u w:val="single"/>
        </w:rPr>
      </w:pPr>
      <w:r w:rsidRPr="00BC27F0">
        <w:rPr>
          <w:color w:val="13B5EA"/>
          <w:u w:val="single"/>
        </w:rPr>
        <w:t>https://www.rozpoctovarada.sk/download2/korekcny_mechanizmus_hodnotenie_dec2019.pdf</w:t>
      </w:r>
    </w:p>
    <w:p w14:paraId="5F7C4CA6" w14:textId="77777777" w:rsidR="00D6492C" w:rsidRPr="00BC27F0" w:rsidRDefault="008A30C7" w:rsidP="00D6492C">
      <w:pPr>
        <w:jc w:val="both"/>
        <w:rPr>
          <w:color w:val="13B5EA"/>
          <w:u w:val="single"/>
        </w:rPr>
      </w:pPr>
      <w:hyperlink r:id="rId54" w:history="1">
        <w:r w:rsidR="00D6492C" w:rsidRPr="00BC27F0">
          <w:rPr>
            <w:color w:val="13B5EA"/>
          </w:rPr>
          <w:t>https://www.rozpoctovarada.sk/download2/fiscal_compact_2018_dec.pdf</w:t>
        </w:r>
      </w:hyperlink>
    </w:p>
    <w:p w14:paraId="3E956834" w14:textId="77777777" w:rsidR="00D6492C" w:rsidRPr="00B81300" w:rsidRDefault="00D6492C" w:rsidP="00D6492C">
      <w:pPr>
        <w:jc w:val="both"/>
        <w:rPr>
          <w:highlight w:val="yellow"/>
        </w:rPr>
      </w:pPr>
    </w:p>
    <w:p w14:paraId="04CB5BF3" w14:textId="77777777" w:rsidR="00D6492C" w:rsidRPr="002062C1" w:rsidRDefault="00D6492C" w:rsidP="00D6492C">
      <w:pPr>
        <w:jc w:val="both"/>
        <w:rPr>
          <w:i/>
        </w:rPr>
      </w:pPr>
      <w:r w:rsidRPr="002062C1">
        <w:t xml:space="preserve">Rada pre rozpočtovú zodpovednosť (2012): Ako vyhodnocovať dlhodobú udržateľnosť verejných financií?, </w:t>
      </w:r>
      <w:r w:rsidRPr="002062C1">
        <w:rPr>
          <w:i/>
        </w:rPr>
        <w:t xml:space="preserve">Diskusná štúdia 1/2012, </w:t>
      </w:r>
    </w:p>
    <w:p w14:paraId="08933094" w14:textId="77777777" w:rsidR="00D6492C" w:rsidRPr="002062C1" w:rsidRDefault="008A30C7" w:rsidP="00D6492C">
      <w:pPr>
        <w:jc w:val="both"/>
        <w:rPr>
          <w:rStyle w:val="Hyperlink"/>
          <w:color w:val="13B5EA"/>
        </w:rPr>
      </w:pPr>
      <w:hyperlink r:id="rId55" w:history="1">
        <w:r w:rsidR="00D6492C" w:rsidRPr="002062C1">
          <w:rPr>
            <w:rStyle w:val="Hyperlink"/>
            <w:color w:val="13B5EA"/>
          </w:rPr>
          <w:t>http://www.rozpoctovarada.sk/download2/dp1_2012_final.pdf</w:t>
        </w:r>
      </w:hyperlink>
    </w:p>
    <w:p w14:paraId="11BB5331" w14:textId="77777777" w:rsidR="00D6492C" w:rsidRPr="002062C1" w:rsidRDefault="00D6492C" w:rsidP="00D6492C">
      <w:pPr>
        <w:jc w:val="both"/>
        <w:rPr>
          <w:color w:val="13B5EA"/>
        </w:rPr>
      </w:pPr>
    </w:p>
    <w:p w14:paraId="5A7345D5" w14:textId="77777777" w:rsidR="00D6492C" w:rsidRPr="002062C1" w:rsidRDefault="00D6492C" w:rsidP="00D6492C">
      <w:pPr>
        <w:jc w:val="both"/>
        <w:rPr>
          <w:i/>
        </w:rPr>
      </w:pPr>
      <w:r w:rsidRPr="002062C1">
        <w:t xml:space="preserve">Rada pre rozpočtovú zodpovednosť (2015): Zostavenie základného scenára vývoja verejných financií, </w:t>
      </w:r>
      <w:r w:rsidRPr="002062C1">
        <w:rPr>
          <w:i/>
        </w:rPr>
        <w:t xml:space="preserve">Diskusná štúdia 2/2015, </w:t>
      </w:r>
    </w:p>
    <w:p w14:paraId="134ADDB7" w14:textId="77777777" w:rsidR="00D6492C" w:rsidRPr="002062C1" w:rsidRDefault="008A30C7" w:rsidP="00D6492C">
      <w:pPr>
        <w:jc w:val="both"/>
        <w:rPr>
          <w:rStyle w:val="Hyperlink"/>
          <w:color w:val="13B5EA"/>
        </w:rPr>
      </w:pPr>
      <w:hyperlink r:id="rId56" w:history="1">
        <w:r w:rsidR="00D6492C" w:rsidRPr="002062C1">
          <w:rPr>
            <w:rStyle w:val="Hyperlink"/>
            <w:color w:val="13B5EA"/>
          </w:rPr>
          <w:t>http://www.rozpoctovarada.sk/svk/rozpocet/277/zostavenie-zakladneho-scenara-vyvoja-verejnych-financii</w:t>
        </w:r>
      </w:hyperlink>
    </w:p>
    <w:p w14:paraId="3A286715" w14:textId="77777777" w:rsidR="00D6492C" w:rsidRPr="00B81300" w:rsidRDefault="00D6492C" w:rsidP="00D6492C">
      <w:pPr>
        <w:jc w:val="both"/>
        <w:rPr>
          <w:color w:val="13B5EA"/>
          <w:highlight w:val="yellow"/>
        </w:rPr>
      </w:pPr>
    </w:p>
    <w:p w14:paraId="3B0773E9" w14:textId="77777777" w:rsidR="00D6492C" w:rsidRPr="002062C1" w:rsidRDefault="00D6492C" w:rsidP="00D6492C">
      <w:pPr>
        <w:jc w:val="both"/>
      </w:pPr>
      <w:r w:rsidRPr="002062C1">
        <w:t>Ústavný zákon č. 493/2011 Z. z. o rozpočtovej zodpovednosti</w:t>
      </w:r>
    </w:p>
    <w:p w14:paraId="27F67EF9" w14:textId="77777777" w:rsidR="00D6492C" w:rsidRPr="002062C1" w:rsidRDefault="00D6492C" w:rsidP="00D6492C">
      <w:pPr>
        <w:jc w:val="both"/>
      </w:pPr>
    </w:p>
    <w:p w14:paraId="3671DB51" w14:textId="77777777" w:rsidR="00D6492C" w:rsidRPr="002062C1" w:rsidRDefault="00D6492C" w:rsidP="00D6492C">
      <w:pPr>
        <w:jc w:val="both"/>
      </w:pPr>
      <w:r w:rsidRPr="002062C1">
        <w:t>Zákon č. 523/2004 Z. z. o rozpočtových pravidlách verejnej správy</w:t>
      </w:r>
    </w:p>
    <w:p w14:paraId="48F7897E" w14:textId="77777777" w:rsidR="00D6492C" w:rsidRPr="002062C1" w:rsidRDefault="00D6492C" w:rsidP="00D6492C">
      <w:pPr>
        <w:jc w:val="both"/>
      </w:pPr>
    </w:p>
    <w:p w14:paraId="5B628329" w14:textId="77777777" w:rsidR="00D6492C" w:rsidRDefault="00D6492C" w:rsidP="00D6492C">
      <w:r w:rsidRPr="002062C1">
        <w:t>Zákon č. 583/2004 Z. z. o rozpočtových pravidlách územnej samosprávy</w:t>
      </w:r>
    </w:p>
    <w:p w14:paraId="3EB018AC" w14:textId="77777777" w:rsidR="00CA541F" w:rsidRPr="00182133" w:rsidRDefault="00CA541F" w:rsidP="00CA541F">
      <w:pPr>
        <w:rPr>
          <w:rFonts w:cs="Arial"/>
          <w:b/>
          <w:color w:val="58595B"/>
          <w:kern w:val="32"/>
          <w:sz w:val="32"/>
          <w:szCs w:val="32"/>
        </w:rPr>
      </w:pPr>
      <w:r w:rsidRPr="00182133">
        <w:rPr>
          <w:color w:val="58595B"/>
        </w:rPr>
        <w:br w:type="page"/>
      </w:r>
    </w:p>
    <w:p w14:paraId="5E63B4DE" w14:textId="1499F456" w:rsidR="003C54E1" w:rsidRPr="009C03E3" w:rsidRDefault="003C54E1" w:rsidP="003C54E1">
      <w:pPr>
        <w:pStyle w:val="Heading1"/>
        <w:spacing w:before="0" w:after="0"/>
        <w:jc w:val="left"/>
        <w:rPr>
          <w:color w:val="58595B"/>
        </w:rPr>
      </w:pPr>
      <w:bookmarkStart w:id="843" w:name="_Toc49506885"/>
      <w:r w:rsidRPr="009C03E3">
        <w:lastRenderedPageBreak/>
        <w:t>Príloha 1 – Prehľad plnenia pravidiel rozpočtovej zodpovednosti a transparentnosti</w:t>
      </w:r>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843"/>
    </w:p>
    <w:p w14:paraId="321E8FAD" w14:textId="77777777" w:rsidR="003C54E1" w:rsidRPr="00B81300" w:rsidRDefault="003C54E1" w:rsidP="003C54E1">
      <w:pPr>
        <w:rPr>
          <w:color w:val="3C3C3B"/>
          <w:sz w:val="10"/>
          <w:highlight w:val="yellow"/>
        </w:rPr>
      </w:pPr>
    </w:p>
    <w:p w14:paraId="597AB052" w14:textId="77777777" w:rsidR="003C54E1" w:rsidRPr="00B81300" w:rsidRDefault="003C54E1" w:rsidP="003C54E1">
      <w:pPr>
        <w:rPr>
          <w:color w:val="3C3C3B"/>
          <w:sz w:val="10"/>
          <w:highlight w:val="yellow"/>
        </w:rPr>
      </w:pPr>
    </w:p>
    <w:tbl>
      <w:tblPr>
        <w:tblW w:w="11199" w:type="dxa"/>
        <w:jc w:val="center"/>
        <w:tblCellMar>
          <w:left w:w="70" w:type="dxa"/>
          <w:right w:w="70" w:type="dxa"/>
        </w:tblCellMar>
        <w:tblLook w:val="04A0" w:firstRow="1" w:lastRow="0" w:firstColumn="1" w:lastColumn="0" w:noHBand="0" w:noVBand="1"/>
      </w:tblPr>
      <w:tblGrid>
        <w:gridCol w:w="815"/>
        <w:gridCol w:w="751"/>
        <w:gridCol w:w="489"/>
        <w:gridCol w:w="4536"/>
        <w:gridCol w:w="1963"/>
        <w:gridCol w:w="2645"/>
      </w:tblGrid>
      <w:tr w:rsidR="003C54E1" w:rsidRPr="00B81300" w14:paraId="5FB28E42" w14:textId="77777777" w:rsidTr="00C60115">
        <w:trPr>
          <w:trHeight w:val="285"/>
          <w:jc w:val="center"/>
        </w:trPr>
        <w:tc>
          <w:tcPr>
            <w:tcW w:w="6591" w:type="dxa"/>
            <w:gridSpan w:val="4"/>
            <w:tcBorders>
              <w:top w:val="nil"/>
              <w:left w:val="nil"/>
              <w:bottom w:val="nil"/>
              <w:right w:val="nil"/>
            </w:tcBorders>
            <w:shd w:val="clear" w:color="auto" w:fill="auto"/>
            <w:noWrap/>
            <w:vAlign w:val="center"/>
            <w:hideMark/>
          </w:tcPr>
          <w:p w14:paraId="52CB16C6" w14:textId="1CCB3AC0" w:rsidR="003C54E1" w:rsidRPr="0049251C" w:rsidRDefault="003C54E1" w:rsidP="00D1024E">
            <w:pPr>
              <w:pStyle w:val="tab"/>
              <w:rPr>
                <w:b w:val="0"/>
                <w:szCs w:val="20"/>
              </w:rPr>
            </w:pPr>
            <w:bookmarkStart w:id="844" w:name="_Toc396319155"/>
            <w:bookmarkStart w:id="845" w:name="_Toc426548385"/>
            <w:bookmarkStart w:id="846" w:name="_Toc428178595"/>
            <w:bookmarkStart w:id="847" w:name="_Toc428351653"/>
            <w:bookmarkStart w:id="848" w:name="_Toc458502423"/>
            <w:bookmarkStart w:id="849" w:name="_Toc459208003"/>
            <w:bookmarkStart w:id="850" w:name="_Toc459275418"/>
            <w:bookmarkStart w:id="851" w:name="_Toc489954220"/>
            <w:bookmarkStart w:id="852" w:name="_Toc490143836"/>
            <w:bookmarkStart w:id="853" w:name="_Toc490642139"/>
            <w:bookmarkStart w:id="854" w:name="_Toc522105523"/>
            <w:bookmarkStart w:id="855" w:name="_Toc522200675"/>
            <w:bookmarkStart w:id="856" w:name="_Toc523390261"/>
            <w:bookmarkStart w:id="857" w:name="_Toc523392866"/>
            <w:bookmarkStart w:id="858" w:name="_Toc49506902"/>
            <w:r w:rsidRPr="0049251C">
              <w:rPr>
                <w:szCs w:val="20"/>
              </w:rPr>
              <w:t xml:space="preserve">Tab </w:t>
            </w:r>
            <w:r w:rsidR="00210990" w:rsidRPr="0049251C">
              <w:rPr>
                <w:szCs w:val="20"/>
              </w:rPr>
              <w:t>3</w:t>
            </w:r>
            <w:r w:rsidRPr="0049251C">
              <w:rPr>
                <w:szCs w:val="20"/>
              </w:rPr>
              <w:t>: Plnenie pravidiel rozpočtovej zodpovednosti</w:t>
            </w:r>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p>
        </w:tc>
        <w:tc>
          <w:tcPr>
            <w:tcW w:w="1963" w:type="dxa"/>
            <w:tcBorders>
              <w:top w:val="nil"/>
              <w:left w:val="nil"/>
              <w:bottom w:val="nil"/>
              <w:right w:val="nil"/>
            </w:tcBorders>
            <w:shd w:val="clear" w:color="auto" w:fill="auto"/>
            <w:noWrap/>
            <w:vAlign w:val="center"/>
            <w:hideMark/>
          </w:tcPr>
          <w:p w14:paraId="543593BA" w14:textId="77777777" w:rsidR="003C54E1" w:rsidRPr="0049251C" w:rsidRDefault="003C54E1" w:rsidP="002E1C2E">
            <w:pPr>
              <w:rPr>
                <w:b/>
                <w:color w:val="13B5EA"/>
                <w:sz w:val="20"/>
              </w:rPr>
            </w:pPr>
          </w:p>
        </w:tc>
        <w:tc>
          <w:tcPr>
            <w:tcW w:w="2645" w:type="dxa"/>
            <w:tcBorders>
              <w:top w:val="nil"/>
              <w:left w:val="nil"/>
              <w:bottom w:val="nil"/>
              <w:right w:val="nil"/>
            </w:tcBorders>
            <w:shd w:val="clear" w:color="auto" w:fill="auto"/>
            <w:noWrap/>
            <w:vAlign w:val="center"/>
            <w:hideMark/>
          </w:tcPr>
          <w:p w14:paraId="267132B2" w14:textId="77777777" w:rsidR="003C54E1" w:rsidRPr="0049251C" w:rsidRDefault="003C54E1" w:rsidP="002E1C2E">
            <w:pPr>
              <w:rPr>
                <w:rFonts w:ascii="Times New Roman" w:hAnsi="Times New Roman"/>
                <w:sz w:val="20"/>
              </w:rPr>
            </w:pPr>
          </w:p>
        </w:tc>
      </w:tr>
      <w:tr w:rsidR="003C54E1" w:rsidRPr="00B81300" w14:paraId="7AAECDFF" w14:textId="77777777" w:rsidTr="00C60115">
        <w:trPr>
          <w:trHeight w:val="285"/>
          <w:jc w:val="center"/>
        </w:trPr>
        <w:tc>
          <w:tcPr>
            <w:tcW w:w="815" w:type="dxa"/>
            <w:tcBorders>
              <w:top w:val="nil"/>
              <w:left w:val="nil"/>
              <w:bottom w:val="nil"/>
              <w:right w:val="nil"/>
            </w:tcBorders>
            <w:shd w:val="clear" w:color="000000" w:fill="13B5EA"/>
            <w:noWrap/>
            <w:vAlign w:val="center"/>
            <w:hideMark/>
          </w:tcPr>
          <w:p w14:paraId="600871A3" w14:textId="77777777" w:rsidR="003C54E1" w:rsidRPr="0049251C" w:rsidRDefault="003C54E1" w:rsidP="002E1C2E">
            <w:pPr>
              <w:jc w:val="center"/>
              <w:rPr>
                <w:b/>
                <w:color w:val="FFFFFF"/>
                <w:sz w:val="20"/>
              </w:rPr>
            </w:pPr>
            <w:r w:rsidRPr="0049251C">
              <w:rPr>
                <w:b/>
                <w:color w:val="FFFFFF"/>
                <w:sz w:val="20"/>
              </w:rPr>
              <w:t>Článok</w:t>
            </w:r>
          </w:p>
        </w:tc>
        <w:tc>
          <w:tcPr>
            <w:tcW w:w="751" w:type="dxa"/>
            <w:tcBorders>
              <w:top w:val="nil"/>
              <w:left w:val="nil"/>
              <w:bottom w:val="nil"/>
              <w:right w:val="nil"/>
            </w:tcBorders>
            <w:shd w:val="clear" w:color="000000" w:fill="13B5EA"/>
            <w:noWrap/>
            <w:vAlign w:val="center"/>
            <w:hideMark/>
          </w:tcPr>
          <w:p w14:paraId="3EFC5720" w14:textId="77777777" w:rsidR="003C54E1" w:rsidRPr="0049251C" w:rsidRDefault="003C54E1" w:rsidP="002E1C2E">
            <w:pPr>
              <w:jc w:val="center"/>
              <w:rPr>
                <w:b/>
                <w:color w:val="FFFFFF"/>
                <w:sz w:val="20"/>
              </w:rPr>
            </w:pPr>
            <w:r w:rsidRPr="0049251C">
              <w:rPr>
                <w:b/>
                <w:color w:val="FFFFFF"/>
                <w:sz w:val="20"/>
              </w:rPr>
              <w:t>Odsek</w:t>
            </w:r>
          </w:p>
        </w:tc>
        <w:tc>
          <w:tcPr>
            <w:tcW w:w="5025" w:type="dxa"/>
            <w:gridSpan w:val="2"/>
            <w:tcBorders>
              <w:top w:val="nil"/>
              <w:left w:val="nil"/>
              <w:bottom w:val="nil"/>
              <w:right w:val="nil"/>
            </w:tcBorders>
            <w:shd w:val="clear" w:color="000000" w:fill="13B5EA"/>
            <w:noWrap/>
            <w:vAlign w:val="center"/>
            <w:hideMark/>
          </w:tcPr>
          <w:p w14:paraId="71A74974" w14:textId="77777777" w:rsidR="003C54E1" w:rsidRPr="0049251C" w:rsidRDefault="003C54E1" w:rsidP="002E1C2E">
            <w:pPr>
              <w:ind w:firstLineChars="100" w:firstLine="201"/>
              <w:rPr>
                <w:b/>
                <w:color w:val="FFFFFF"/>
                <w:sz w:val="20"/>
              </w:rPr>
            </w:pPr>
            <w:r w:rsidRPr="0049251C">
              <w:rPr>
                <w:b/>
                <w:color w:val="FFFFFF"/>
                <w:sz w:val="20"/>
              </w:rPr>
              <w:t>Znenie ústavného zákona</w:t>
            </w:r>
          </w:p>
        </w:tc>
        <w:tc>
          <w:tcPr>
            <w:tcW w:w="1963" w:type="dxa"/>
            <w:tcBorders>
              <w:top w:val="nil"/>
              <w:left w:val="nil"/>
              <w:bottom w:val="nil"/>
              <w:right w:val="nil"/>
            </w:tcBorders>
            <w:shd w:val="clear" w:color="000000" w:fill="13B5EA"/>
            <w:noWrap/>
            <w:vAlign w:val="center"/>
            <w:hideMark/>
          </w:tcPr>
          <w:p w14:paraId="39B9D762" w14:textId="77777777" w:rsidR="003C54E1" w:rsidRPr="0049251C" w:rsidRDefault="003C54E1" w:rsidP="002E1C2E">
            <w:pPr>
              <w:jc w:val="center"/>
              <w:rPr>
                <w:b/>
                <w:color w:val="FFFFFF"/>
                <w:sz w:val="20"/>
              </w:rPr>
            </w:pPr>
            <w:r w:rsidRPr="0049251C">
              <w:rPr>
                <w:b/>
                <w:color w:val="FFFFFF"/>
                <w:sz w:val="20"/>
              </w:rPr>
              <w:t>Plnenie</w:t>
            </w:r>
          </w:p>
        </w:tc>
        <w:tc>
          <w:tcPr>
            <w:tcW w:w="2645" w:type="dxa"/>
            <w:tcBorders>
              <w:top w:val="nil"/>
              <w:left w:val="nil"/>
              <w:bottom w:val="nil"/>
              <w:right w:val="nil"/>
            </w:tcBorders>
            <w:shd w:val="clear" w:color="000000" w:fill="13B5EA"/>
            <w:noWrap/>
            <w:vAlign w:val="center"/>
            <w:hideMark/>
          </w:tcPr>
          <w:p w14:paraId="2988A857" w14:textId="77777777" w:rsidR="003C54E1" w:rsidRPr="0049251C" w:rsidRDefault="003C54E1" w:rsidP="002E1C2E">
            <w:pPr>
              <w:rPr>
                <w:b/>
                <w:color w:val="FFFFFF"/>
                <w:sz w:val="20"/>
              </w:rPr>
            </w:pPr>
            <w:r w:rsidRPr="0049251C">
              <w:rPr>
                <w:b/>
                <w:color w:val="FFFFFF"/>
                <w:sz w:val="20"/>
              </w:rPr>
              <w:t>Poznámky</w:t>
            </w:r>
          </w:p>
        </w:tc>
      </w:tr>
      <w:tr w:rsidR="002D6BB0" w:rsidRPr="00B81300" w14:paraId="436A25EE" w14:textId="77777777" w:rsidTr="00C60115">
        <w:trPr>
          <w:trHeight w:val="285"/>
          <w:jc w:val="center"/>
        </w:trPr>
        <w:tc>
          <w:tcPr>
            <w:tcW w:w="815" w:type="dxa"/>
            <w:tcBorders>
              <w:top w:val="nil"/>
              <w:left w:val="nil"/>
              <w:bottom w:val="nil"/>
              <w:right w:val="nil"/>
            </w:tcBorders>
            <w:shd w:val="clear" w:color="auto" w:fill="auto"/>
            <w:noWrap/>
          </w:tcPr>
          <w:p w14:paraId="5D5826E8" w14:textId="019B9640" w:rsidR="002D6BB0" w:rsidRPr="0049251C" w:rsidRDefault="002D6BB0" w:rsidP="002D6BB0">
            <w:pPr>
              <w:jc w:val="center"/>
              <w:rPr>
                <w:sz w:val="18"/>
                <w:szCs w:val="18"/>
              </w:rPr>
            </w:pPr>
            <w:r w:rsidRPr="0049251C">
              <w:rPr>
                <w:sz w:val="18"/>
                <w:szCs w:val="18"/>
              </w:rPr>
              <w:t>12*</w:t>
            </w:r>
          </w:p>
        </w:tc>
        <w:tc>
          <w:tcPr>
            <w:tcW w:w="751" w:type="dxa"/>
            <w:tcBorders>
              <w:top w:val="nil"/>
              <w:left w:val="nil"/>
              <w:bottom w:val="nil"/>
              <w:right w:val="nil"/>
            </w:tcBorders>
            <w:shd w:val="clear" w:color="auto" w:fill="auto"/>
            <w:noWrap/>
          </w:tcPr>
          <w:p w14:paraId="19D97677" w14:textId="06DE78FF" w:rsidR="002D6BB0" w:rsidRPr="0049251C" w:rsidRDefault="002D6BB0" w:rsidP="002D6BB0">
            <w:pPr>
              <w:jc w:val="center"/>
              <w:rPr>
                <w:sz w:val="18"/>
                <w:szCs w:val="18"/>
              </w:rPr>
            </w:pPr>
            <w:r w:rsidRPr="0049251C">
              <w:rPr>
                <w:sz w:val="18"/>
                <w:szCs w:val="18"/>
              </w:rPr>
              <w:t>(3)</w:t>
            </w:r>
          </w:p>
        </w:tc>
        <w:tc>
          <w:tcPr>
            <w:tcW w:w="5025" w:type="dxa"/>
            <w:gridSpan w:val="2"/>
            <w:tcBorders>
              <w:top w:val="nil"/>
              <w:left w:val="nil"/>
              <w:bottom w:val="nil"/>
              <w:right w:val="nil"/>
            </w:tcBorders>
            <w:shd w:val="clear" w:color="auto" w:fill="auto"/>
            <w:noWrap/>
            <w:vAlign w:val="center"/>
          </w:tcPr>
          <w:p w14:paraId="46A26116" w14:textId="124030D7" w:rsidR="002D6BB0" w:rsidRPr="0049251C" w:rsidRDefault="002D6BB0" w:rsidP="002D6BB0">
            <w:pPr>
              <w:autoSpaceDE w:val="0"/>
              <w:autoSpaceDN w:val="0"/>
              <w:adjustRightInd w:val="0"/>
              <w:jc w:val="both"/>
              <w:rPr>
                <w:color w:val="000000"/>
                <w:sz w:val="18"/>
                <w:szCs w:val="18"/>
              </w:rPr>
            </w:pPr>
            <w:r w:rsidRPr="0049251C">
              <w:rPr>
                <w:color w:val="000000"/>
                <w:sz w:val="18"/>
                <w:szCs w:val="18"/>
              </w:rPr>
              <w:t xml:space="preserve">Ak výška dlhu dosiahne </w:t>
            </w:r>
            <w:r w:rsidR="001A1559">
              <w:rPr>
                <w:color w:val="000000"/>
                <w:sz w:val="18"/>
                <w:szCs w:val="18"/>
              </w:rPr>
              <w:t>49</w:t>
            </w:r>
            <w:r w:rsidRPr="0049251C">
              <w:rPr>
                <w:color w:val="000000"/>
                <w:sz w:val="18"/>
                <w:szCs w:val="18"/>
              </w:rPr>
              <w:t xml:space="preserve"> % podielu na HDP a zároveň nedosiahne 5</w:t>
            </w:r>
            <w:r w:rsidR="001A1559">
              <w:rPr>
                <w:color w:val="000000"/>
                <w:sz w:val="18"/>
                <w:szCs w:val="18"/>
              </w:rPr>
              <w:t>2</w:t>
            </w:r>
            <w:r w:rsidRPr="0049251C">
              <w:rPr>
                <w:color w:val="000000"/>
                <w:sz w:val="18"/>
                <w:szCs w:val="18"/>
              </w:rPr>
              <w:t xml:space="preserve"> % podielu na HDP</w:t>
            </w:r>
            <w:r w:rsidR="001A1559">
              <w:rPr>
                <w:color w:val="000000"/>
                <w:sz w:val="18"/>
                <w:szCs w:val="18"/>
              </w:rPr>
              <w:t xml:space="preserve"> (v roku 2018)</w:t>
            </w:r>
            <w:r w:rsidRPr="0049251C">
              <w:rPr>
                <w:color w:val="000000"/>
                <w:sz w:val="18"/>
                <w:szCs w:val="18"/>
              </w:rPr>
              <w:t>, ministerstvo financií zasiela národnej rade písomné zdôvodnenie výšky dlhu vrátane návrhu opatrení na jeho zníženie.</w:t>
            </w:r>
          </w:p>
        </w:tc>
        <w:tc>
          <w:tcPr>
            <w:tcW w:w="1963" w:type="dxa"/>
            <w:tcBorders>
              <w:top w:val="nil"/>
              <w:left w:val="nil"/>
              <w:bottom w:val="nil"/>
              <w:right w:val="nil"/>
            </w:tcBorders>
            <w:shd w:val="clear" w:color="auto" w:fill="auto"/>
            <w:noWrap/>
            <w:vAlign w:val="center"/>
          </w:tcPr>
          <w:p w14:paraId="5E736920" w14:textId="14A2A1EB" w:rsidR="002D6BB0" w:rsidRPr="00EC01FF" w:rsidRDefault="002D6BB0" w:rsidP="002D6BB0">
            <w:pPr>
              <w:jc w:val="center"/>
              <w:rPr>
                <w:b/>
                <w:color w:val="13B5EA"/>
                <w:sz w:val="18"/>
                <w:szCs w:val="18"/>
              </w:rPr>
            </w:pPr>
            <w:r w:rsidRPr="00EC01FF">
              <w:rPr>
                <w:b/>
                <w:color w:val="13B5EA"/>
                <w:sz w:val="18"/>
                <w:szCs w:val="18"/>
              </w:rPr>
              <w:t xml:space="preserve">splnené za rok </w:t>
            </w:r>
            <w:r w:rsidRPr="00EC01FF">
              <w:rPr>
                <w:b/>
                <w:bCs/>
                <w:color w:val="13B5EA"/>
                <w:sz w:val="18"/>
                <w:szCs w:val="18"/>
              </w:rPr>
              <w:t>201</w:t>
            </w:r>
            <w:r w:rsidR="00EC01FF" w:rsidRPr="00EC01FF">
              <w:rPr>
                <w:b/>
                <w:bCs/>
                <w:color w:val="13B5EA"/>
                <w:sz w:val="18"/>
                <w:szCs w:val="18"/>
              </w:rPr>
              <w:t>8</w:t>
            </w:r>
            <w:r w:rsidRPr="00EC01FF">
              <w:rPr>
                <w:b/>
                <w:color w:val="13B5EA"/>
                <w:sz w:val="18"/>
                <w:szCs w:val="18"/>
              </w:rPr>
              <w:t>,</w:t>
            </w:r>
            <w:r w:rsidRPr="00EC01FF">
              <w:rPr>
                <w:b/>
                <w:sz w:val="18"/>
                <w:szCs w:val="18"/>
              </w:rPr>
              <w:t xml:space="preserve"> zatiaľ bez sankcie za rok 201</w:t>
            </w:r>
            <w:r w:rsidR="00EC01FF" w:rsidRPr="00EC01FF">
              <w:rPr>
                <w:b/>
                <w:sz w:val="18"/>
                <w:szCs w:val="18"/>
              </w:rPr>
              <w:t>9</w:t>
            </w:r>
          </w:p>
        </w:tc>
        <w:tc>
          <w:tcPr>
            <w:tcW w:w="2645" w:type="dxa"/>
            <w:tcBorders>
              <w:top w:val="nil"/>
              <w:left w:val="nil"/>
              <w:bottom w:val="nil"/>
              <w:right w:val="nil"/>
            </w:tcBorders>
            <w:shd w:val="clear" w:color="auto" w:fill="auto"/>
            <w:noWrap/>
            <w:vAlign w:val="center"/>
          </w:tcPr>
          <w:p w14:paraId="0C94CC31" w14:textId="11620BCD" w:rsidR="002D6BB0" w:rsidRPr="00EC01FF" w:rsidRDefault="002D6BB0" w:rsidP="002D6BB0">
            <w:pPr>
              <w:jc w:val="both"/>
              <w:rPr>
                <w:sz w:val="18"/>
                <w:szCs w:val="18"/>
              </w:rPr>
            </w:pPr>
            <w:r w:rsidRPr="00EC01FF">
              <w:rPr>
                <w:sz w:val="18"/>
                <w:szCs w:val="18"/>
              </w:rPr>
              <w:t>Splnenie za rok 201</w:t>
            </w:r>
            <w:r w:rsidR="00EC01FF" w:rsidRPr="00EC01FF">
              <w:rPr>
                <w:sz w:val="18"/>
                <w:szCs w:val="18"/>
              </w:rPr>
              <w:t>9</w:t>
            </w:r>
            <w:r w:rsidRPr="00EC01FF">
              <w:rPr>
                <w:sz w:val="18"/>
                <w:szCs w:val="18"/>
              </w:rPr>
              <w:t xml:space="preserve"> vyhodnotí RRZ v roku 20</w:t>
            </w:r>
            <w:r w:rsidR="00B8365D" w:rsidRPr="00EC01FF">
              <w:rPr>
                <w:sz w:val="18"/>
                <w:szCs w:val="18"/>
              </w:rPr>
              <w:t>2</w:t>
            </w:r>
            <w:r w:rsidR="00EC01FF" w:rsidRPr="00EC01FF">
              <w:rPr>
                <w:sz w:val="18"/>
                <w:szCs w:val="18"/>
              </w:rPr>
              <w:t>1</w:t>
            </w:r>
            <w:r w:rsidRPr="00EC01FF">
              <w:rPr>
                <w:sz w:val="18"/>
                <w:szCs w:val="18"/>
              </w:rPr>
              <w:t>.</w:t>
            </w:r>
          </w:p>
        </w:tc>
      </w:tr>
      <w:tr w:rsidR="00D2465C" w:rsidRPr="00B81300" w14:paraId="69A1048A" w14:textId="77777777" w:rsidTr="00C40AB1">
        <w:trPr>
          <w:trHeight w:val="285"/>
          <w:jc w:val="center"/>
        </w:trPr>
        <w:tc>
          <w:tcPr>
            <w:tcW w:w="815" w:type="dxa"/>
            <w:tcBorders>
              <w:top w:val="single" w:sz="4" w:space="0" w:color="13B5EA"/>
              <w:left w:val="nil"/>
              <w:bottom w:val="nil"/>
              <w:right w:val="nil"/>
            </w:tcBorders>
            <w:shd w:val="clear" w:color="auto" w:fill="auto"/>
            <w:noWrap/>
            <w:vAlign w:val="center"/>
            <w:hideMark/>
          </w:tcPr>
          <w:p w14:paraId="3EA7B218" w14:textId="77777777" w:rsidR="00D2465C" w:rsidRPr="0049251C" w:rsidRDefault="00D2465C" w:rsidP="00D2465C">
            <w:pPr>
              <w:ind w:firstLineChars="100" w:firstLine="180"/>
              <w:rPr>
                <w:color w:val="000000"/>
                <w:sz w:val="18"/>
                <w:szCs w:val="18"/>
              </w:rPr>
            </w:pPr>
            <w:r w:rsidRPr="0049251C">
              <w:rPr>
                <w:color w:val="000000"/>
                <w:sz w:val="18"/>
                <w:szCs w:val="18"/>
              </w:rPr>
              <w:t>6</w:t>
            </w:r>
          </w:p>
        </w:tc>
        <w:tc>
          <w:tcPr>
            <w:tcW w:w="751" w:type="dxa"/>
            <w:tcBorders>
              <w:top w:val="single" w:sz="4" w:space="0" w:color="13B5EA"/>
              <w:left w:val="nil"/>
              <w:bottom w:val="nil"/>
              <w:right w:val="nil"/>
            </w:tcBorders>
            <w:shd w:val="clear" w:color="auto" w:fill="auto"/>
            <w:noWrap/>
            <w:vAlign w:val="center"/>
            <w:hideMark/>
          </w:tcPr>
          <w:p w14:paraId="4268295F" w14:textId="77777777" w:rsidR="00D2465C" w:rsidRPr="0049251C" w:rsidRDefault="00D2465C" w:rsidP="00D2465C">
            <w:pPr>
              <w:jc w:val="center"/>
              <w:rPr>
                <w:color w:val="000000"/>
                <w:sz w:val="18"/>
                <w:szCs w:val="18"/>
              </w:rPr>
            </w:pPr>
            <w:r w:rsidRPr="0049251C">
              <w:rPr>
                <w:color w:val="000000"/>
                <w:sz w:val="18"/>
                <w:szCs w:val="18"/>
              </w:rPr>
              <w:t>(1)</w:t>
            </w:r>
          </w:p>
        </w:tc>
        <w:tc>
          <w:tcPr>
            <w:tcW w:w="5025" w:type="dxa"/>
            <w:gridSpan w:val="2"/>
            <w:vMerge w:val="restart"/>
            <w:tcBorders>
              <w:top w:val="single" w:sz="4" w:space="0" w:color="13B5EA"/>
              <w:left w:val="nil"/>
              <w:bottom w:val="nil"/>
              <w:right w:val="nil"/>
            </w:tcBorders>
            <w:shd w:val="clear" w:color="auto" w:fill="auto"/>
            <w:vAlign w:val="center"/>
            <w:hideMark/>
          </w:tcPr>
          <w:p w14:paraId="3107F582" w14:textId="3FA5F3CC" w:rsidR="00D2465C" w:rsidRPr="0049251C" w:rsidRDefault="00D2465C" w:rsidP="00D2465C">
            <w:pPr>
              <w:jc w:val="both"/>
              <w:rPr>
                <w:color w:val="000000"/>
                <w:sz w:val="18"/>
                <w:szCs w:val="18"/>
              </w:rPr>
            </w:pPr>
            <w:r w:rsidRPr="0049251C">
              <w:rPr>
                <w:color w:val="000000"/>
                <w:sz w:val="18"/>
                <w:szCs w:val="18"/>
              </w:rPr>
              <w:t>Štát finančne nezabezpečuje platobnú schopnosť a nezodpovedá za platobnú schopnosť obce alebo vyššieho územného celku. Postup pri riešení platobnej neschopnosti obce alebo vyššieho územného celku ustanovuje zákon.</w:t>
            </w:r>
          </w:p>
        </w:tc>
        <w:tc>
          <w:tcPr>
            <w:tcW w:w="1963" w:type="dxa"/>
            <w:vMerge w:val="restart"/>
            <w:tcBorders>
              <w:top w:val="single" w:sz="4" w:space="0" w:color="13B5EA"/>
              <w:left w:val="nil"/>
              <w:right w:val="nil"/>
            </w:tcBorders>
            <w:shd w:val="clear" w:color="auto" w:fill="auto"/>
            <w:noWrap/>
            <w:vAlign w:val="center"/>
            <w:hideMark/>
          </w:tcPr>
          <w:p w14:paraId="19624775" w14:textId="77777777" w:rsidR="00D2465C" w:rsidRPr="00651AAB" w:rsidRDefault="00D2465C" w:rsidP="00D2465C">
            <w:pPr>
              <w:jc w:val="center"/>
              <w:rPr>
                <w:b/>
                <w:color w:val="13B5EA"/>
                <w:sz w:val="18"/>
                <w:szCs w:val="18"/>
              </w:rPr>
            </w:pPr>
            <w:r w:rsidRPr="00651AAB">
              <w:rPr>
                <w:b/>
                <w:color w:val="13B5EA"/>
                <w:sz w:val="18"/>
                <w:szCs w:val="18"/>
              </w:rPr>
              <w:t>splnené</w:t>
            </w:r>
          </w:p>
        </w:tc>
        <w:tc>
          <w:tcPr>
            <w:tcW w:w="2645" w:type="dxa"/>
            <w:vMerge w:val="restart"/>
            <w:tcBorders>
              <w:top w:val="single" w:sz="4" w:space="0" w:color="13B5EA"/>
              <w:left w:val="nil"/>
              <w:right w:val="nil"/>
            </w:tcBorders>
            <w:shd w:val="clear" w:color="auto" w:fill="auto"/>
            <w:noWrap/>
            <w:vAlign w:val="center"/>
            <w:hideMark/>
          </w:tcPr>
          <w:p w14:paraId="6A5C1510" w14:textId="236B2833" w:rsidR="00D2465C" w:rsidRPr="00651AAB" w:rsidRDefault="00D2465C" w:rsidP="005B1494">
            <w:pPr>
              <w:jc w:val="both"/>
              <w:rPr>
                <w:color w:val="000000"/>
                <w:sz w:val="18"/>
                <w:szCs w:val="18"/>
              </w:rPr>
            </w:pPr>
            <w:r w:rsidRPr="00651AAB">
              <w:rPr>
                <w:color w:val="000000"/>
                <w:sz w:val="18"/>
                <w:szCs w:val="18"/>
              </w:rPr>
              <w:t>Vo viacerých prípadoch však zásahy vlády (poskytnutie úveru</w:t>
            </w:r>
            <w:r w:rsidR="000D21DE" w:rsidRPr="00651AAB">
              <w:rPr>
                <w:color w:val="000000"/>
                <w:sz w:val="18"/>
                <w:szCs w:val="18"/>
              </w:rPr>
              <w:t>, odpustenie</w:t>
            </w:r>
            <w:r w:rsidRPr="00651AAB">
              <w:rPr>
                <w:color w:val="000000"/>
                <w:sz w:val="18"/>
                <w:szCs w:val="18"/>
              </w:rPr>
              <w:t xml:space="preserve">) zlepšili finančnú pozíciu samosprávy. </w:t>
            </w:r>
          </w:p>
        </w:tc>
      </w:tr>
      <w:tr w:rsidR="00D2465C" w:rsidRPr="00B81300" w14:paraId="49A7328A" w14:textId="77777777" w:rsidTr="00C40AB1">
        <w:trPr>
          <w:trHeight w:val="825"/>
          <w:jc w:val="center"/>
        </w:trPr>
        <w:tc>
          <w:tcPr>
            <w:tcW w:w="815" w:type="dxa"/>
            <w:tcBorders>
              <w:top w:val="nil"/>
              <w:left w:val="nil"/>
              <w:bottom w:val="nil"/>
              <w:right w:val="nil"/>
            </w:tcBorders>
            <w:shd w:val="clear" w:color="auto" w:fill="auto"/>
            <w:noWrap/>
            <w:vAlign w:val="center"/>
            <w:hideMark/>
          </w:tcPr>
          <w:p w14:paraId="61381A64" w14:textId="77777777" w:rsidR="00D2465C" w:rsidRPr="0049251C" w:rsidRDefault="00D2465C" w:rsidP="00D2465C">
            <w:pPr>
              <w:rPr>
                <w:color w:val="000000"/>
                <w:sz w:val="18"/>
                <w:szCs w:val="18"/>
              </w:rPr>
            </w:pPr>
          </w:p>
        </w:tc>
        <w:tc>
          <w:tcPr>
            <w:tcW w:w="751" w:type="dxa"/>
            <w:tcBorders>
              <w:top w:val="nil"/>
              <w:left w:val="nil"/>
              <w:bottom w:val="nil"/>
              <w:right w:val="nil"/>
            </w:tcBorders>
            <w:shd w:val="clear" w:color="auto" w:fill="auto"/>
            <w:noWrap/>
            <w:vAlign w:val="center"/>
            <w:hideMark/>
          </w:tcPr>
          <w:p w14:paraId="40595C9F" w14:textId="77777777" w:rsidR="00D2465C" w:rsidRPr="0049251C" w:rsidRDefault="00D2465C" w:rsidP="00D2465C">
            <w:pPr>
              <w:ind w:firstLineChars="100" w:firstLine="200"/>
              <w:rPr>
                <w:rFonts w:ascii="Times New Roman" w:hAnsi="Times New Roman"/>
                <w:sz w:val="20"/>
              </w:rPr>
            </w:pPr>
          </w:p>
        </w:tc>
        <w:tc>
          <w:tcPr>
            <w:tcW w:w="5025" w:type="dxa"/>
            <w:gridSpan w:val="2"/>
            <w:vMerge/>
            <w:tcBorders>
              <w:top w:val="nil"/>
              <w:left w:val="nil"/>
              <w:bottom w:val="nil"/>
              <w:right w:val="nil"/>
            </w:tcBorders>
            <w:shd w:val="clear" w:color="auto" w:fill="auto"/>
            <w:vAlign w:val="center"/>
            <w:hideMark/>
          </w:tcPr>
          <w:p w14:paraId="3F4327FD" w14:textId="77777777" w:rsidR="00D2465C" w:rsidRPr="0049251C" w:rsidRDefault="00D2465C" w:rsidP="00D2465C">
            <w:pPr>
              <w:jc w:val="both"/>
              <w:rPr>
                <w:color w:val="000000"/>
                <w:sz w:val="18"/>
                <w:szCs w:val="18"/>
              </w:rPr>
            </w:pPr>
          </w:p>
        </w:tc>
        <w:tc>
          <w:tcPr>
            <w:tcW w:w="1963" w:type="dxa"/>
            <w:vMerge/>
            <w:tcBorders>
              <w:left w:val="nil"/>
              <w:bottom w:val="nil"/>
              <w:right w:val="nil"/>
            </w:tcBorders>
            <w:shd w:val="clear" w:color="auto" w:fill="auto"/>
            <w:noWrap/>
            <w:vAlign w:val="center"/>
            <w:hideMark/>
          </w:tcPr>
          <w:p w14:paraId="0E61E1CA" w14:textId="77777777" w:rsidR="00D2465C" w:rsidRPr="00B81300" w:rsidRDefault="00D2465C" w:rsidP="00D2465C">
            <w:pPr>
              <w:jc w:val="center"/>
              <w:rPr>
                <w:rFonts w:ascii="Times New Roman" w:hAnsi="Times New Roman"/>
                <w:sz w:val="20"/>
                <w:highlight w:val="yellow"/>
              </w:rPr>
            </w:pPr>
          </w:p>
        </w:tc>
        <w:tc>
          <w:tcPr>
            <w:tcW w:w="2645" w:type="dxa"/>
            <w:vMerge/>
            <w:tcBorders>
              <w:left w:val="nil"/>
              <w:bottom w:val="nil"/>
              <w:right w:val="nil"/>
            </w:tcBorders>
            <w:shd w:val="clear" w:color="auto" w:fill="auto"/>
            <w:noWrap/>
            <w:vAlign w:val="center"/>
            <w:hideMark/>
          </w:tcPr>
          <w:p w14:paraId="5C1FC3CB" w14:textId="77777777" w:rsidR="00D2465C" w:rsidRPr="00B81300" w:rsidRDefault="00D2465C" w:rsidP="005B1494">
            <w:pPr>
              <w:jc w:val="both"/>
              <w:rPr>
                <w:rFonts w:ascii="Times New Roman" w:hAnsi="Times New Roman"/>
                <w:sz w:val="20"/>
                <w:highlight w:val="yellow"/>
              </w:rPr>
            </w:pPr>
          </w:p>
        </w:tc>
      </w:tr>
      <w:tr w:rsidR="006B3595" w:rsidRPr="00B81300" w14:paraId="687F1872" w14:textId="77777777" w:rsidTr="00550217">
        <w:trPr>
          <w:trHeight w:val="285"/>
          <w:jc w:val="center"/>
        </w:trPr>
        <w:tc>
          <w:tcPr>
            <w:tcW w:w="815" w:type="dxa"/>
            <w:tcBorders>
              <w:top w:val="nil"/>
              <w:left w:val="nil"/>
              <w:bottom w:val="nil"/>
              <w:right w:val="nil"/>
            </w:tcBorders>
            <w:shd w:val="clear" w:color="auto" w:fill="auto"/>
            <w:noWrap/>
            <w:vAlign w:val="center"/>
            <w:hideMark/>
          </w:tcPr>
          <w:p w14:paraId="2E4AB246" w14:textId="77777777" w:rsidR="006B3595" w:rsidRPr="0049251C" w:rsidRDefault="006B3595"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02A5EE9E" w14:textId="77777777" w:rsidR="006B3595" w:rsidRPr="0049251C" w:rsidRDefault="006B3595" w:rsidP="00D2465C">
            <w:pPr>
              <w:jc w:val="center"/>
              <w:rPr>
                <w:color w:val="000000"/>
                <w:sz w:val="18"/>
                <w:szCs w:val="18"/>
              </w:rPr>
            </w:pPr>
            <w:r w:rsidRPr="0049251C">
              <w:rPr>
                <w:color w:val="000000"/>
                <w:sz w:val="18"/>
                <w:szCs w:val="18"/>
              </w:rPr>
              <w:t>(2)</w:t>
            </w:r>
          </w:p>
        </w:tc>
        <w:tc>
          <w:tcPr>
            <w:tcW w:w="5025" w:type="dxa"/>
            <w:gridSpan w:val="2"/>
            <w:vMerge w:val="restart"/>
            <w:tcBorders>
              <w:top w:val="nil"/>
              <w:left w:val="nil"/>
              <w:bottom w:val="nil"/>
              <w:right w:val="nil"/>
            </w:tcBorders>
            <w:shd w:val="clear" w:color="auto" w:fill="auto"/>
            <w:vAlign w:val="center"/>
            <w:hideMark/>
          </w:tcPr>
          <w:p w14:paraId="32BFC5F1" w14:textId="77777777" w:rsidR="006B3595" w:rsidRPr="0049251C" w:rsidRDefault="006B3595" w:rsidP="00D2465C">
            <w:pPr>
              <w:jc w:val="both"/>
              <w:rPr>
                <w:color w:val="000000"/>
                <w:sz w:val="18"/>
                <w:szCs w:val="18"/>
              </w:rPr>
            </w:pPr>
            <w:r w:rsidRPr="0049251C">
              <w:rPr>
                <w:color w:val="000000"/>
                <w:sz w:val="18"/>
                <w:szCs w:val="18"/>
              </w:rPr>
              <w:t>Ak zákon pri úprave pôsobnosti ustanovuje nové úlohy obci alebo vyššiemu územnému celku, štát na ich plnenie súčasne zabezpečí obci alebo vyššiemu územnému celku zodpovedajúce finančné prostriedky.</w:t>
            </w:r>
          </w:p>
        </w:tc>
        <w:tc>
          <w:tcPr>
            <w:tcW w:w="1963" w:type="dxa"/>
            <w:vMerge w:val="restart"/>
            <w:tcBorders>
              <w:top w:val="nil"/>
              <w:left w:val="nil"/>
              <w:right w:val="nil"/>
            </w:tcBorders>
            <w:shd w:val="clear" w:color="auto" w:fill="auto"/>
            <w:noWrap/>
            <w:vAlign w:val="center"/>
            <w:hideMark/>
          </w:tcPr>
          <w:p w14:paraId="02197E48" w14:textId="6B89D6F4" w:rsidR="006B3595" w:rsidRPr="00B81300" w:rsidRDefault="00651AAB" w:rsidP="00D2465C">
            <w:pPr>
              <w:jc w:val="center"/>
              <w:rPr>
                <w:b/>
                <w:color w:val="13B5EA"/>
                <w:sz w:val="18"/>
                <w:szCs w:val="18"/>
                <w:highlight w:val="yellow"/>
              </w:rPr>
            </w:pPr>
            <w:r w:rsidRPr="00651AAB">
              <w:rPr>
                <w:b/>
                <w:color w:val="13B5EA"/>
                <w:sz w:val="18"/>
                <w:szCs w:val="18"/>
              </w:rPr>
              <w:t xml:space="preserve"> splnené</w:t>
            </w:r>
          </w:p>
        </w:tc>
        <w:tc>
          <w:tcPr>
            <w:tcW w:w="2645" w:type="dxa"/>
            <w:vMerge w:val="restart"/>
            <w:tcBorders>
              <w:top w:val="nil"/>
              <w:left w:val="nil"/>
              <w:right w:val="nil"/>
            </w:tcBorders>
            <w:shd w:val="clear" w:color="auto" w:fill="auto"/>
            <w:noWrap/>
            <w:vAlign w:val="center"/>
            <w:hideMark/>
          </w:tcPr>
          <w:p w14:paraId="270E3E77" w14:textId="5F1F920C" w:rsidR="006B3595" w:rsidRPr="00B81300" w:rsidRDefault="00437EEA" w:rsidP="005B1494">
            <w:pPr>
              <w:jc w:val="both"/>
              <w:rPr>
                <w:color w:val="13B5EA"/>
                <w:sz w:val="18"/>
                <w:szCs w:val="18"/>
                <w:highlight w:val="yellow"/>
              </w:rPr>
            </w:pPr>
            <w:r w:rsidRPr="00437EEA">
              <w:rPr>
                <w:bCs/>
                <w:sz w:val="18"/>
                <w:szCs w:val="18"/>
              </w:rPr>
              <w:t>V prípade chodníkovej novely nejde o novú úlohu a v prípade bezplatného stravovania išlo o čiastočné krytie nákladov a vytvorenie mechanizmu na krytie ostatných dodatočných nákladov.</w:t>
            </w:r>
          </w:p>
        </w:tc>
      </w:tr>
      <w:tr w:rsidR="006B3595" w:rsidRPr="00B81300" w14:paraId="55FBF8AF" w14:textId="77777777" w:rsidTr="00550217">
        <w:trPr>
          <w:trHeight w:val="285"/>
          <w:jc w:val="center"/>
        </w:trPr>
        <w:tc>
          <w:tcPr>
            <w:tcW w:w="815" w:type="dxa"/>
            <w:tcBorders>
              <w:top w:val="nil"/>
              <w:left w:val="nil"/>
              <w:bottom w:val="nil"/>
              <w:right w:val="nil"/>
            </w:tcBorders>
            <w:shd w:val="clear" w:color="auto" w:fill="auto"/>
            <w:noWrap/>
            <w:vAlign w:val="center"/>
            <w:hideMark/>
          </w:tcPr>
          <w:p w14:paraId="6ED9CD9D" w14:textId="77777777" w:rsidR="006B3595" w:rsidRPr="0049251C" w:rsidRDefault="006B3595"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34B1F812" w14:textId="77777777" w:rsidR="006B3595" w:rsidRPr="0049251C" w:rsidRDefault="006B3595" w:rsidP="00D2465C">
            <w:pPr>
              <w:ind w:firstLineChars="100" w:firstLine="200"/>
              <w:rPr>
                <w:rFonts w:ascii="Times New Roman" w:hAnsi="Times New Roman"/>
                <w:sz w:val="20"/>
              </w:rPr>
            </w:pPr>
          </w:p>
        </w:tc>
        <w:tc>
          <w:tcPr>
            <w:tcW w:w="5025" w:type="dxa"/>
            <w:gridSpan w:val="2"/>
            <w:vMerge/>
            <w:tcBorders>
              <w:top w:val="nil"/>
              <w:left w:val="nil"/>
              <w:bottom w:val="nil"/>
              <w:right w:val="nil"/>
            </w:tcBorders>
            <w:shd w:val="clear" w:color="auto" w:fill="auto"/>
            <w:vAlign w:val="center"/>
            <w:hideMark/>
          </w:tcPr>
          <w:p w14:paraId="2A86A414" w14:textId="77777777" w:rsidR="006B3595" w:rsidRPr="0049251C" w:rsidRDefault="006B3595" w:rsidP="00D2465C">
            <w:pPr>
              <w:jc w:val="both"/>
              <w:rPr>
                <w:color w:val="000000"/>
                <w:sz w:val="18"/>
                <w:szCs w:val="18"/>
              </w:rPr>
            </w:pPr>
          </w:p>
        </w:tc>
        <w:tc>
          <w:tcPr>
            <w:tcW w:w="1963" w:type="dxa"/>
            <w:vMerge/>
            <w:tcBorders>
              <w:left w:val="nil"/>
              <w:bottom w:val="nil"/>
              <w:right w:val="nil"/>
            </w:tcBorders>
            <w:shd w:val="clear" w:color="auto" w:fill="auto"/>
            <w:noWrap/>
            <w:vAlign w:val="center"/>
            <w:hideMark/>
          </w:tcPr>
          <w:p w14:paraId="0A516F6E" w14:textId="77777777" w:rsidR="006B3595" w:rsidRPr="00B81300" w:rsidRDefault="006B3595" w:rsidP="00D2465C">
            <w:pPr>
              <w:jc w:val="center"/>
              <w:rPr>
                <w:rFonts w:ascii="Times New Roman" w:hAnsi="Times New Roman"/>
                <w:sz w:val="20"/>
                <w:highlight w:val="yellow"/>
              </w:rPr>
            </w:pPr>
          </w:p>
        </w:tc>
        <w:tc>
          <w:tcPr>
            <w:tcW w:w="2645" w:type="dxa"/>
            <w:vMerge/>
            <w:tcBorders>
              <w:left w:val="nil"/>
              <w:bottom w:val="nil"/>
              <w:right w:val="nil"/>
            </w:tcBorders>
            <w:shd w:val="clear" w:color="auto" w:fill="auto"/>
            <w:noWrap/>
            <w:vAlign w:val="center"/>
            <w:hideMark/>
          </w:tcPr>
          <w:p w14:paraId="712C9278" w14:textId="77777777" w:rsidR="006B3595" w:rsidRPr="00B81300" w:rsidRDefault="006B3595" w:rsidP="005B1494">
            <w:pPr>
              <w:jc w:val="both"/>
              <w:rPr>
                <w:rFonts w:ascii="Times New Roman" w:hAnsi="Times New Roman"/>
                <w:sz w:val="20"/>
                <w:highlight w:val="yellow"/>
              </w:rPr>
            </w:pPr>
          </w:p>
        </w:tc>
      </w:tr>
      <w:tr w:rsidR="00D2465C" w:rsidRPr="00B81300" w14:paraId="45F1FE36"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3E802B6A"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560E532E" w14:textId="77777777" w:rsidR="00D2465C" w:rsidRPr="0049251C" w:rsidRDefault="00D2465C" w:rsidP="00D2465C">
            <w:pPr>
              <w:jc w:val="center"/>
              <w:rPr>
                <w:color w:val="000000"/>
                <w:sz w:val="18"/>
                <w:szCs w:val="18"/>
              </w:rPr>
            </w:pPr>
            <w:r w:rsidRPr="0049251C">
              <w:rPr>
                <w:color w:val="000000"/>
                <w:sz w:val="18"/>
                <w:szCs w:val="18"/>
              </w:rPr>
              <w:t>(3)</w:t>
            </w:r>
          </w:p>
        </w:tc>
        <w:tc>
          <w:tcPr>
            <w:tcW w:w="5025" w:type="dxa"/>
            <w:gridSpan w:val="2"/>
            <w:vMerge w:val="restart"/>
            <w:tcBorders>
              <w:top w:val="nil"/>
              <w:left w:val="nil"/>
              <w:bottom w:val="nil"/>
              <w:right w:val="nil"/>
            </w:tcBorders>
            <w:shd w:val="clear" w:color="auto" w:fill="auto"/>
            <w:vAlign w:val="center"/>
            <w:hideMark/>
          </w:tcPr>
          <w:p w14:paraId="7E99E519" w14:textId="0555662F" w:rsidR="00D2465C" w:rsidRPr="0049251C" w:rsidRDefault="00D2465C" w:rsidP="00D2465C">
            <w:pPr>
              <w:jc w:val="both"/>
              <w:rPr>
                <w:color w:val="000000"/>
                <w:sz w:val="18"/>
                <w:szCs w:val="18"/>
              </w:rPr>
            </w:pPr>
            <w:r w:rsidRPr="0049251C">
              <w:rPr>
                <w:color w:val="000000"/>
                <w:sz w:val="18"/>
                <w:szCs w:val="18"/>
              </w:rPr>
              <w:t>Ak celková suma dlhu obce alebo vyššieho územného celku dosiahne 60 % skutočných bežných príjmov predchádzajúceho rozpočtového roka a viac, obec alebo vyšší územný celok sú povinní zaplatiť pokutu, ktorú ukladá ministerstvo financií, a</w:t>
            </w:r>
            <w:r w:rsidR="00B81645" w:rsidRPr="0049251C">
              <w:rPr>
                <w:color w:val="000000"/>
                <w:sz w:val="18"/>
                <w:szCs w:val="18"/>
              </w:rPr>
              <w:t> </w:t>
            </w:r>
            <w:r w:rsidRPr="0049251C">
              <w:rPr>
                <w:color w:val="000000"/>
                <w:sz w:val="18"/>
                <w:szCs w:val="18"/>
              </w:rPr>
              <w:t>to vo výške 5 % z rozdielu medzi celkovou sumou dlhu a</w:t>
            </w:r>
            <w:r w:rsidR="00B81645" w:rsidRPr="0049251C">
              <w:rPr>
                <w:color w:val="000000"/>
                <w:sz w:val="18"/>
                <w:szCs w:val="18"/>
              </w:rPr>
              <w:t> </w:t>
            </w:r>
            <w:r w:rsidRPr="0049251C">
              <w:rPr>
                <w:color w:val="000000"/>
                <w:sz w:val="18"/>
                <w:szCs w:val="18"/>
              </w:rPr>
              <w:t>60</w:t>
            </w:r>
            <w:r w:rsidR="00B81645" w:rsidRPr="0049251C">
              <w:rPr>
                <w:color w:val="000000"/>
                <w:sz w:val="18"/>
                <w:szCs w:val="18"/>
              </w:rPr>
              <w:t> </w:t>
            </w:r>
            <w:r w:rsidRPr="0049251C">
              <w:rPr>
                <w:color w:val="000000"/>
                <w:sz w:val="18"/>
                <w:szCs w:val="18"/>
              </w:rPr>
              <w:t>% skutočných bežných príjmov predchádzajúceho rozpočtového roka. Celkovú sumu dlhu obce alebo vyššieho územného celku ustanovuje zákon.</w:t>
            </w:r>
          </w:p>
        </w:tc>
        <w:tc>
          <w:tcPr>
            <w:tcW w:w="1963" w:type="dxa"/>
            <w:tcBorders>
              <w:top w:val="nil"/>
              <w:left w:val="nil"/>
              <w:bottom w:val="nil"/>
              <w:right w:val="nil"/>
            </w:tcBorders>
            <w:shd w:val="clear" w:color="auto" w:fill="auto"/>
            <w:noWrap/>
            <w:vAlign w:val="center"/>
            <w:hideMark/>
          </w:tcPr>
          <w:p w14:paraId="33666E76" w14:textId="77777777" w:rsidR="001B73D0" w:rsidRPr="00EC01FF" w:rsidRDefault="001B73D0" w:rsidP="00D2465C">
            <w:pPr>
              <w:jc w:val="center"/>
              <w:rPr>
                <w:b/>
                <w:color w:val="000000"/>
                <w:sz w:val="18"/>
                <w:szCs w:val="18"/>
              </w:rPr>
            </w:pPr>
          </w:p>
          <w:p w14:paraId="70F6E4AB" w14:textId="3A77FD01" w:rsidR="00D2465C" w:rsidRPr="00EC01FF" w:rsidRDefault="00BE3307" w:rsidP="00D2465C">
            <w:pPr>
              <w:jc w:val="center"/>
              <w:rPr>
                <w:b/>
                <w:color w:val="000000"/>
                <w:sz w:val="18"/>
                <w:szCs w:val="18"/>
              </w:rPr>
            </w:pPr>
            <w:r w:rsidRPr="00EC01FF">
              <w:rPr>
                <w:b/>
                <w:color w:val="000000"/>
                <w:sz w:val="18"/>
                <w:szCs w:val="18"/>
              </w:rPr>
              <w:t>prebieha overovanie</w:t>
            </w:r>
          </w:p>
        </w:tc>
        <w:tc>
          <w:tcPr>
            <w:tcW w:w="2645" w:type="dxa"/>
            <w:vMerge w:val="restart"/>
            <w:tcBorders>
              <w:top w:val="nil"/>
              <w:left w:val="nil"/>
              <w:right w:val="nil"/>
            </w:tcBorders>
            <w:shd w:val="clear" w:color="auto" w:fill="auto"/>
            <w:noWrap/>
            <w:vAlign w:val="center"/>
            <w:hideMark/>
          </w:tcPr>
          <w:p w14:paraId="4AAF663D" w14:textId="439E6A58" w:rsidR="00D2465C" w:rsidRPr="00B81300" w:rsidRDefault="00E225D9" w:rsidP="005B1494">
            <w:pPr>
              <w:jc w:val="both"/>
              <w:rPr>
                <w:color w:val="000000"/>
                <w:sz w:val="18"/>
                <w:szCs w:val="18"/>
                <w:highlight w:val="yellow"/>
              </w:rPr>
            </w:pPr>
            <w:r w:rsidRPr="00EC01FF">
              <w:rPr>
                <w:color w:val="000000"/>
                <w:sz w:val="18"/>
                <w:szCs w:val="18"/>
              </w:rPr>
              <w:t>V</w:t>
            </w:r>
            <w:r w:rsidR="00901A5D" w:rsidRPr="00EC01FF">
              <w:rPr>
                <w:color w:val="000000"/>
                <w:sz w:val="18"/>
                <w:szCs w:val="18"/>
              </w:rPr>
              <w:t> </w:t>
            </w:r>
            <w:r w:rsidRPr="00EC01FF">
              <w:rPr>
                <w:color w:val="000000"/>
                <w:sz w:val="18"/>
                <w:szCs w:val="18"/>
              </w:rPr>
              <w:t xml:space="preserve">súčasnosti prebieha overovanie výšky dlhu </w:t>
            </w:r>
            <w:r w:rsidR="009506F3" w:rsidRPr="00EC01FF">
              <w:rPr>
                <w:color w:val="000000"/>
                <w:sz w:val="18"/>
                <w:szCs w:val="18"/>
              </w:rPr>
              <w:t xml:space="preserve">za rok </w:t>
            </w:r>
            <w:r w:rsidR="00615BB8" w:rsidRPr="00EC01FF">
              <w:rPr>
                <w:color w:val="000000"/>
                <w:sz w:val="18"/>
                <w:szCs w:val="18"/>
              </w:rPr>
              <w:t>201</w:t>
            </w:r>
            <w:r w:rsidR="00EC01FF" w:rsidRPr="00EC01FF">
              <w:rPr>
                <w:color w:val="000000"/>
                <w:sz w:val="18"/>
                <w:szCs w:val="18"/>
              </w:rPr>
              <w:t>9</w:t>
            </w:r>
            <w:r w:rsidR="009506F3" w:rsidRPr="00EC01FF">
              <w:rPr>
                <w:color w:val="000000"/>
                <w:sz w:val="18"/>
                <w:szCs w:val="18"/>
              </w:rPr>
              <w:t xml:space="preserve"> </w:t>
            </w:r>
            <w:r w:rsidRPr="00EC01FF">
              <w:rPr>
                <w:color w:val="000000"/>
                <w:sz w:val="18"/>
                <w:szCs w:val="18"/>
              </w:rPr>
              <w:t>u </w:t>
            </w:r>
            <w:r w:rsidR="00DA11E5">
              <w:rPr>
                <w:color w:val="000000"/>
                <w:sz w:val="18"/>
                <w:szCs w:val="18"/>
              </w:rPr>
              <w:t>30</w:t>
            </w:r>
            <w:r w:rsidRPr="00EC01FF">
              <w:rPr>
                <w:color w:val="000000"/>
                <w:sz w:val="18"/>
                <w:szCs w:val="18"/>
              </w:rPr>
              <w:t xml:space="preserve"> obcí</w:t>
            </w:r>
            <w:r w:rsidR="00D2465C" w:rsidRPr="00EC01FF">
              <w:rPr>
                <w:color w:val="000000"/>
                <w:sz w:val="18"/>
                <w:szCs w:val="18"/>
              </w:rPr>
              <w:t>.</w:t>
            </w:r>
            <w:r w:rsidRPr="00EC01FF">
              <w:rPr>
                <w:color w:val="000000"/>
                <w:sz w:val="18"/>
                <w:szCs w:val="18"/>
              </w:rPr>
              <w:t xml:space="preserve"> </w:t>
            </w:r>
            <w:r w:rsidR="00731733" w:rsidRPr="00EC01FF">
              <w:rPr>
                <w:color w:val="000000"/>
                <w:sz w:val="18"/>
                <w:szCs w:val="18"/>
              </w:rPr>
              <w:t>O</w:t>
            </w:r>
            <w:r w:rsidR="00D576B1" w:rsidRPr="00EC01FF">
              <w:rPr>
                <w:color w:val="000000"/>
                <w:sz w:val="18"/>
                <w:szCs w:val="18"/>
              </w:rPr>
              <w:t xml:space="preserve">slovených </w:t>
            </w:r>
            <w:r w:rsidR="00731733" w:rsidRPr="00EC01FF">
              <w:rPr>
                <w:color w:val="000000"/>
                <w:sz w:val="18"/>
                <w:szCs w:val="18"/>
              </w:rPr>
              <w:t>bolo</w:t>
            </w:r>
            <w:r w:rsidR="00D576B1" w:rsidRPr="00EC01FF">
              <w:rPr>
                <w:color w:val="000000"/>
                <w:sz w:val="18"/>
                <w:szCs w:val="18"/>
              </w:rPr>
              <w:t xml:space="preserve"> aj </w:t>
            </w:r>
            <w:r w:rsidR="00EC01FF" w:rsidRPr="00EC01FF">
              <w:rPr>
                <w:color w:val="000000"/>
                <w:sz w:val="18"/>
                <w:szCs w:val="18"/>
              </w:rPr>
              <w:t>9</w:t>
            </w:r>
            <w:r w:rsidR="00D576B1" w:rsidRPr="00EC01FF">
              <w:rPr>
                <w:color w:val="000000"/>
                <w:sz w:val="18"/>
                <w:szCs w:val="18"/>
              </w:rPr>
              <w:t xml:space="preserve"> obcí, ktoré n</w:t>
            </w:r>
            <w:r w:rsidR="00F62352" w:rsidRPr="00EC01FF">
              <w:rPr>
                <w:color w:val="000000"/>
                <w:sz w:val="18"/>
                <w:szCs w:val="18"/>
              </w:rPr>
              <w:t>epredložili potrebné</w:t>
            </w:r>
            <w:r w:rsidR="00D576B1" w:rsidRPr="00EC01FF">
              <w:rPr>
                <w:color w:val="000000"/>
                <w:sz w:val="18"/>
                <w:szCs w:val="18"/>
              </w:rPr>
              <w:t xml:space="preserve"> výkazy.</w:t>
            </w:r>
            <w:r w:rsidR="006B6879" w:rsidRPr="00EC01FF">
              <w:rPr>
                <w:color w:val="000000"/>
                <w:sz w:val="18"/>
                <w:szCs w:val="18"/>
              </w:rPr>
              <w:t xml:space="preserve"> </w:t>
            </w:r>
            <w:r w:rsidRPr="00EC01FF">
              <w:rPr>
                <w:color w:val="000000"/>
                <w:sz w:val="18"/>
                <w:szCs w:val="18"/>
              </w:rPr>
              <w:t xml:space="preserve">Po </w:t>
            </w:r>
            <w:r w:rsidR="00454D82" w:rsidRPr="00EC01FF">
              <w:rPr>
                <w:color w:val="000000"/>
                <w:sz w:val="18"/>
                <w:szCs w:val="18"/>
              </w:rPr>
              <w:t>preverení</w:t>
            </w:r>
            <w:r w:rsidRPr="00EC01FF">
              <w:rPr>
                <w:color w:val="000000"/>
                <w:sz w:val="18"/>
                <w:szCs w:val="18"/>
              </w:rPr>
              <w:t xml:space="preserve"> výšky dlhu začne </w:t>
            </w:r>
            <w:r w:rsidR="000F46FF" w:rsidRPr="00EC01FF">
              <w:rPr>
                <w:color w:val="000000"/>
                <w:sz w:val="18"/>
                <w:szCs w:val="18"/>
              </w:rPr>
              <w:t>MF SR</w:t>
            </w:r>
            <w:r w:rsidRPr="00EC01FF">
              <w:rPr>
                <w:color w:val="000000"/>
                <w:sz w:val="18"/>
                <w:szCs w:val="18"/>
              </w:rPr>
              <w:t xml:space="preserve"> správne konanie o u</w:t>
            </w:r>
            <w:r w:rsidR="0070781F" w:rsidRPr="00EC01FF">
              <w:rPr>
                <w:color w:val="000000"/>
                <w:sz w:val="18"/>
                <w:szCs w:val="18"/>
              </w:rPr>
              <w:t>ložení</w:t>
            </w:r>
            <w:r w:rsidRPr="00EC01FF">
              <w:rPr>
                <w:color w:val="000000"/>
                <w:sz w:val="18"/>
                <w:szCs w:val="18"/>
              </w:rPr>
              <w:t xml:space="preserve"> pokuty.</w:t>
            </w:r>
          </w:p>
        </w:tc>
      </w:tr>
      <w:tr w:rsidR="00D2465C" w:rsidRPr="00B81300" w14:paraId="72986807"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6FB24577" w14:textId="77777777" w:rsidR="00D2465C" w:rsidRPr="0049251C" w:rsidRDefault="00D2465C" w:rsidP="00D2465C">
            <w:pPr>
              <w:rPr>
                <w:color w:val="000000"/>
                <w:sz w:val="18"/>
                <w:szCs w:val="18"/>
              </w:rPr>
            </w:pPr>
          </w:p>
        </w:tc>
        <w:tc>
          <w:tcPr>
            <w:tcW w:w="751" w:type="dxa"/>
            <w:tcBorders>
              <w:top w:val="nil"/>
              <w:left w:val="nil"/>
              <w:bottom w:val="nil"/>
              <w:right w:val="nil"/>
            </w:tcBorders>
            <w:shd w:val="clear" w:color="auto" w:fill="auto"/>
            <w:noWrap/>
            <w:vAlign w:val="center"/>
            <w:hideMark/>
          </w:tcPr>
          <w:p w14:paraId="251FDCFE" w14:textId="77777777" w:rsidR="00D2465C" w:rsidRPr="0049251C" w:rsidRDefault="00D2465C" w:rsidP="00D2465C">
            <w:pPr>
              <w:ind w:firstLineChars="100" w:firstLine="200"/>
              <w:rPr>
                <w:rFonts w:ascii="Times New Roman" w:hAnsi="Times New Roman"/>
                <w:sz w:val="20"/>
              </w:rPr>
            </w:pPr>
          </w:p>
        </w:tc>
        <w:tc>
          <w:tcPr>
            <w:tcW w:w="5025" w:type="dxa"/>
            <w:gridSpan w:val="2"/>
            <w:vMerge/>
            <w:tcBorders>
              <w:top w:val="nil"/>
              <w:left w:val="nil"/>
              <w:bottom w:val="nil"/>
              <w:right w:val="nil"/>
            </w:tcBorders>
            <w:vAlign w:val="center"/>
            <w:hideMark/>
          </w:tcPr>
          <w:p w14:paraId="526DD25E" w14:textId="77777777" w:rsidR="00D2465C" w:rsidRPr="0049251C" w:rsidRDefault="00D2465C" w:rsidP="00D2465C">
            <w:pPr>
              <w:rPr>
                <w:color w:val="000000"/>
                <w:sz w:val="18"/>
                <w:szCs w:val="18"/>
              </w:rPr>
            </w:pPr>
          </w:p>
        </w:tc>
        <w:tc>
          <w:tcPr>
            <w:tcW w:w="1963" w:type="dxa"/>
            <w:tcBorders>
              <w:top w:val="nil"/>
              <w:left w:val="nil"/>
              <w:bottom w:val="nil"/>
              <w:right w:val="nil"/>
            </w:tcBorders>
            <w:shd w:val="clear" w:color="auto" w:fill="auto"/>
            <w:noWrap/>
            <w:vAlign w:val="center"/>
            <w:hideMark/>
          </w:tcPr>
          <w:p w14:paraId="5A2C2EAC" w14:textId="77777777" w:rsidR="00D2465C" w:rsidRPr="00B81300" w:rsidRDefault="00D2465C" w:rsidP="00D2465C">
            <w:pPr>
              <w:jc w:val="center"/>
              <w:rPr>
                <w:rFonts w:ascii="Times New Roman" w:hAnsi="Times New Roman"/>
                <w:sz w:val="20"/>
                <w:highlight w:val="yellow"/>
              </w:rPr>
            </w:pPr>
          </w:p>
        </w:tc>
        <w:tc>
          <w:tcPr>
            <w:tcW w:w="2645" w:type="dxa"/>
            <w:vMerge/>
            <w:tcBorders>
              <w:left w:val="nil"/>
              <w:right w:val="nil"/>
            </w:tcBorders>
            <w:shd w:val="clear" w:color="auto" w:fill="auto"/>
            <w:noWrap/>
            <w:vAlign w:val="center"/>
            <w:hideMark/>
          </w:tcPr>
          <w:p w14:paraId="6C07641C" w14:textId="77777777" w:rsidR="00D2465C" w:rsidRPr="00B81300" w:rsidRDefault="00D2465C" w:rsidP="005B1494">
            <w:pPr>
              <w:jc w:val="both"/>
              <w:rPr>
                <w:rFonts w:ascii="Times New Roman" w:hAnsi="Times New Roman"/>
                <w:sz w:val="20"/>
                <w:highlight w:val="yellow"/>
              </w:rPr>
            </w:pPr>
          </w:p>
        </w:tc>
      </w:tr>
      <w:tr w:rsidR="00D2465C" w:rsidRPr="00B81300" w14:paraId="795F863F"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5BDBB713"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170B2859" w14:textId="77777777" w:rsidR="00D2465C" w:rsidRPr="0049251C" w:rsidRDefault="00D2465C" w:rsidP="00D2465C">
            <w:pPr>
              <w:ind w:firstLineChars="100" w:firstLine="200"/>
              <w:rPr>
                <w:rFonts w:ascii="Times New Roman" w:hAnsi="Times New Roman"/>
                <w:sz w:val="20"/>
              </w:rPr>
            </w:pPr>
          </w:p>
        </w:tc>
        <w:tc>
          <w:tcPr>
            <w:tcW w:w="5025" w:type="dxa"/>
            <w:gridSpan w:val="2"/>
            <w:vMerge/>
            <w:tcBorders>
              <w:top w:val="nil"/>
              <w:left w:val="nil"/>
              <w:bottom w:val="nil"/>
              <w:right w:val="nil"/>
            </w:tcBorders>
            <w:vAlign w:val="center"/>
            <w:hideMark/>
          </w:tcPr>
          <w:p w14:paraId="2217AD02" w14:textId="77777777" w:rsidR="00D2465C" w:rsidRPr="0049251C" w:rsidRDefault="00D2465C" w:rsidP="00D2465C">
            <w:pPr>
              <w:rPr>
                <w:color w:val="000000"/>
                <w:sz w:val="18"/>
                <w:szCs w:val="18"/>
              </w:rPr>
            </w:pPr>
          </w:p>
        </w:tc>
        <w:tc>
          <w:tcPr>
            <w:tcW w:w="1963" w:type="dxa"/>
            <w:tcBorders>
              <w:top w:val="nil"/>
              <w:left w:val="nil"/>
              <w:bottom w:val="nil"/>
              <w:right w:val="nil"/>
            </w:tcBorders>
            <w:shd w:val="clear" w:color="auto" w:fill="auto"/>
            <w:noWrap/>
            <w:vAlign w:val="center"/>
            <w:hideMark/>
          </w:tcPr>
          <w:p w14:paraId="0154F4EE" w14:textId="77777777" w:rsidR="00D2465C" w:rsidRPr="00B81300" w:rsidRDefault="00D2465C" w:rsidP="00D2465C">
            <w:pPr>
              <w:jc w:val="center"/>
              <w:rPr>
                <w:rFonts w:ascii="Times New Roman" w:hAnsi="Times New Roman"/>
                <w:sz w:val="20"/>
                <w:highlight w:val="yellow"/>
              </w:rPr>
            </w:pPr>
          </w:p>
        </w:tc>
        <w:tc>
          <w:tcPr>
            <w:tcW w:w="2645" w:type="dxa"/>
            <w:vMerge/>
            <w:tcBorders>
              <w:left w:val="nil"/>
              <w:bottom w:val="nil"/>
              <w:right w:val="nil"/>
            </w:tcBorders>
            <w:shd w:val="clear" w:color="auto" w:fill="auto"/>
            <w:noWrap/>
            <w:vAlign w:val="center"/>
            <w:hideMark/>
          </w:tcPr>
          <w:p w14:paraId="334501B7" w14:textId="77777777" w:rsidR="00D2465C" w:rsidRPr="00B81300" w:rsidRDefault="00D2465C" w:rsidP="005B1494">
            <w:pPr>
              <w:jc w:val="both"/>
              <w:rPr>
                <w:rFonts w:ascii="Times New Roman" w:hAnsi="Times New Roman"/>
                <w:sz w:val="20"/>
                <w:highlight w:val="yellow"/>
              </w:rPr>
            </w:pPr>
          </w:p>
        </w:tc>
      </w:tr>
      <w:tr w:rsidR="00D2465C" w:rsidRPr="00B81300" w14:paraId="4DA4F49C"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60AE1024"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10AE10DE" w14:textId="77777777" w:rsidR="00D2465C" w:rsidRPr="0049251C" w:rsidRDefault="00D2465C" w:rsidP="00D2465C">
            <w:pPr>
              <w:ind w:firstLineChars="100" w:firstLine="200"/>
              <w:rPr>
                <w:rFonts w:ascii="Times New Roman" w:hAnsi="Times New Roman"/>
                <w:sz w:val="20"/>
              </w:rPr>
            </w:pPr>
          </w:p>
        </w:tc>
        <w:tc>
          <w:tcPr>
            <w:tcW w:w="5025" w:type="dxa"/>
            <w:gridSpan w:val="2"/>
            <w:vMerge/>
            <w:tcBorders>
              <w:top w:val="nil"/>
              <w:left w:val="nil"/>
              <w:bottom w:val="nil"/>
              <w:right w:val="nil"/>
            </w:tcBorders>
            <w:vAlign w:val="center"/>
            <w:hideMark/>
          </w:tcPr>
          <w:p w14:paraId="00C9DBAF" w14:textId="77777777" w:rsidR="00D2465C" w:rsidRPr="0049251C" w:rsidRDefault="00D2465C" w:rsidP="00D2465C">
            <w:pPr>
              <w:rPr>
                <w:color w:val="000000"/>
                <w:sz w:val="18"/>
                <w:szCs w:val="18"/>
              </w:rPr>
            </w:pPr>
          </w:p>
        </w:tc>
        <w:tc>
          <w:tcPr>
            <w:tcW w:w="1963" w:type="dxa"/>
            <w:tcBorders>
              <w:top w:val="nil"/>
              <w:left w:val="nil"/>
              <w:bottom w:val="nil"/>
              <w:right w:val="nil"/>
            </w:tcBorders>
            <w:shd w:val="clear" w:color="auto" w:fill="auto"/>
            <w:noWrap/>
            <w:vAlign w:val="center"/>
            <w:hideMark/>
          </w:tcPr>
          <w:p w14:paraId="5AFD838B" w14:textId="77777777" w:rsidR="00D2465C" w:rsidRPr="00B81300" w:rsidRDefault="00D2465C" w:rsidP="00D2465C">
            <w:pPr>
              <w:rPr>
                <w:rFonts w:ascii="Times New Roman" w:hAnsi="Times New Roman"/>
                <w:sz w:val="20"/>
                <w:highlight w:val="yellow"/>
              </w:rPr>
            </w:pPr>
          </w:p>
        </w:tc>
        <w:tc>
          <w:tcPr>
            <w:tcW w:w="2645" w:type="dxa"/>
            <w:tcBorders>
              <w:top w:val="nil"/>
              <w:left w:val="nil"/>
              <w:bottom w:val="nil"/>
              <w:right w:val="nil"/>
            </w:tcBorders>
            <w:shd w:val="clear" w:color="auto" w:fill="auto"/>
            <w:noWrap/>
            <w:vAlign w:val="center"/>
            <w:hideMark/>
          </w:tcPr>
          <w:p w14:paraId="4AAC4376" w14:textId="77777777" w:rsidR="00D2465C" w:rsidRPr="00B81300" w:rsidRDefault="00D2465C" w:rsidP="005B1494">
            <w:pPr>
              <w:jc w:val="both"/>
              <w:rPr>
                <w:rFonts w:ascii="Times New Roman" w:hAnsi="Times New Roman"/>
                <w:sz w:val="20"/>
                <w:highlight w:val="yellow"/>
              </w:rPr>
            </w:pPr>
          </w:p>
        </w:tc>
      </w:tr>
      <w:tr w:rsidR="00D2465C" w:rsidRPr="00B81300" w14:paraId="4F565C04"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4C48F058"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25393A7C" w14:textId="77777777" w:rsidR="00D2465C" w:rsidRPr="0049251C" w:rsidRDefault="00D2465C" w:rsidP="00D2465C">
            <w:pPr>
              <w:jc w:val="center"/>
              <w:rPr>
                <w:color w:val="000000"/>
                <w:sz w:val="18"/>
                <w:szCs w:val="18"/>
              </w:rPr>
            </w:pPr>
            <w:r w:rsidRPr="0049251C">
              <w:rPr>
                <w:color w:val="000000"/>
                <w:sz w:val="18"/>
                <w:szCs w:val="18"/>
              </w:rPr>
              <w:t>(4)</w:t>
            </w:r>
          </w:p>
        </w:tc>
        <w:tc>
          <w:tcPr>
            <w:tcW w:w="5025" w:type="dxa"/>
            <w:gridSpan w:val="2"/>
            <w:vMerge w:val="restart"/>
            <w:tcBorders>
              <w:top w:val="nil"/>
              <w:left w:val="nil"/>
              <w:bottom w:val="single" w:sz="4" w:space="0" w:color="13B5EA"/>
              <w:right w:val="nil"/>
            </w:tcBorders>
            <w:shd w:val="clear" w:color="auto" w:fill="auto"/>
            <w:vAlign w:val="center"/>
            <w:hideMark/>
          </w:tcPr>
          <w:p w14:paraId="1F856AB6" w14:textId="6EC76D13" w:rsidR="00D2465C" w:rsidRPr="0049251C" w:rsidRDefault="00D2465C" w:rsidP="00AE5816">
            <w:pPr>
              <w:jc w:val="both"/>
              <w:rPr>
                <w:color w:val="000000"/>
                <w:sz w:val="18"/>
                <w:szCs w:val="18"/>
              </w:rPr>
            </w:pPr>
            <w:r w:rsidRPr="0049251C">
              <w:rPr>
                <w:color w:val="000000"/>
                <w:sz w:val="18"/>
                <w:szCs w:val="18"/>
              </w:rPr>
              <w:t>Povinnosť uplatňovať ustanovenie odseku 3 sa neuplatní počas 24 mesiacov počnúc prvým dňom nasledujúcim po dni, v</w:t>
            </w:r>
            <w:r w:rsidR="00B81645" w:rsidRPr="0049251C">
              <w:rPr>
                <w:color w:val="000000"/>
                <w:sz w:val="18"/>
                <w:szCs w:val="18"/>
              </w:rPr>
              <w:t> </w:t>
            </w:r>
            <w:r w:rsidRPr="0049251C">
              <w:rPr>
                <w:color w:val="000000"/>
                <w:sz w:val="18"/>
                <w:szCs w:val="18"/>
              </w:rPr>
              <w:t>ktorom sa uskutočnilo ustanovujúce zasadnutie obecného zastupiteľstva alebo zastupiteľstva vyššieho územného celku, ak nebola vo voľbách ako nový starosta, nový primátor alebo nový predseda vyššieho územného celku zvolená tá istá fyzická osoba, ako v predchádzajúcom volebnom období.</w:t>
            </w:r>
          </w:p>
        </w:tc>
        <w:tc>
          <w:tcPr>
            <w:tcW w:w="1963" w:type="dxa"/>
            <w:tcBorders>
              <w:top w:val="nil"/>
              <w:left w:val="nil"/>
              <w:bottom w:val="nil"/>
              <w:right w:val="nil"/>
            </w:tcBorders>
            <w:shd w:val="clear" w:color="auto" w:fill="auto"/>
            <w:noWrap/>
            <w:vAlign w:val="center"/>
            <w:hideMark/>
          </w:tcPr>
          <w:p w14:paraId="5C5B7C6A" w14:textId="127E97C4" w:rsidR="00D2465C" w:rsidRPr="00B81300" w:rsidRDefault="00BE3307" w:rsidP="00D2465C">
            <w:pPr>
              <w:jc w:val="center"/>
              <w:rPr>
                <w:color w:val="000000"/>
                <w:sz w:val="18"/>
                <w:szCs w:val="18"/>
                <w:highlight w:val="yellow"/>
              </w:rPr>
            </w:pPr>
            <w:r w:rsidRPr="00C86706">
              <w:rPr>
                <w:b/>
                <w:color w:val="13B5EA"/>
                <w:sz w:val="18"/>
                <w:szCs w:val="18"/>
              </w:rPr>
              <w:t>splnené</w:t>
            </w:r>
          </w:p>
        </w:tc>
        <w:tc>
          <w:tcPr>
            <w:tcW w:w="2645" w:type="dxa"/>
            <w:vMerge w:val="restart"/>
            <w:tcBorders>
              <w:top w:val="nil"/>
              <w:left w:val="nil"/>
              <w:right w:val="nil"/>
            </w:tcBorders>
            <w:shd w:val="clear" w:color="auto" w:fill="auto"/>
            <w:noWrap/>
            <w:vAlign w:val="center"/>
            <w:hideMark/>
          </w:tcPr>
          <w:p w14:paraId="3CC0E678" w14:textId="7021F252" w:rsidR="00D2465C" w:rsidRPr="00B81300" w:rsidRDefault="00B44C26" w:rsidP="005B1494">
            <w:pPr>
              <w:jc w:val="both"/>
              <w:rPr>
                <w:color w:val="000000"/>
                <w:sz w:val="18"/>
                <w:szCs w:val="18"/>
                <w:highlight w:val="yellow"/>
              </w:rPr>
            </w:pPr>
            <w:r w:rsidRPr="001A6848">
              <w:rPr>
                <w:color w:val="000000"/>
                <w:sz w:val="18"/>
                <w:szCs w:val="18"/>
              </w:rPr>
              <w:t>Za rok 201</w:t>
            </w:r>
            <w:r w:rsidR="001A6848" w:rsidRPr="001A6848">
              <w:rPr>
                <w:color w:val="000000"/>
                <w:sz w:val="18"/>
                <w:szCs w:val="18"/>
              </w:rPr>
              <w:t>9</w:t>
            </w:r>
            <w:r w:rsidR="00E225D9" w:rsidRPr="001A6848">
              <w:rPr>
                <w:color w:val="000000"/>
                <w:sz w:val="18"/>
                <w:szCs w:val="18"/>
              </w:rPr>
              <w:t xml:space="preserve"> </w:t>
            </w:r>
            <w:r w:rsidR="00053BB7" w:rsidRPr="001A6848">
              <w:rPr>
                <w:color w:val="000000"/>
                <w:sz w:val="18"/>
                <w:szCs w:val="18"/>
              </w:rPr>
              <w:t xml:space="preserve">sa </w:t>
            </w:r>
            <w:r w:rsidR="00E2198D" w:rsidRPr="001A6848">
              <w:rPr>
                <w:color w:val="000000"/>
                <w:sz w:val="18"/>
                <w:szCs w:val="18"/>
              </w:rPr>
              <w:t xml:space="preserve">táto výnimka </w:t>
            </w:r>
            <w:r w:rsidR="008E462D" w:rsidRPr="001A6848">
              <w:rPr>
                <w:color w:val="000000"/>
                <w:sz w:val="18"/>
                <w:szCs w:val="18"/>
              </w:rPr>
              <w:t xml:space="preserve">uplatňuje v prípade </w:t>
            </w:r>
            <w:r w:rsidR="00171105" w:rsidRPr="004A79A6">
              <w:rPr>
                <w:color w:val="000000"/>
                <w:sz w:val="18"/>
                <w:szCs w:val="18"/>
              </w:rPr>
              <w:t xml:space="preserve">12 </w:t>
            </w:r>
            <w:r w:rsidR="00556D51" w:rsidRPr="001A6848">
              <w:rPr>
                <w:color w:val="000000"/>
                <w:sz w:val="18"/>
                <w:szCs w:val="18"/>
              </w:rPr>
              <w:t>obcí</w:t>
            </w:r>
            <w:r w:rsidR="00E225D9" w:rsidRPr="001A6848">
              <w:rPr>
                <w:color w:val="000000"/>
                <w:sz w:val="18"/>
                <w:szCs w:val="18"/>
              </w:rPr>
              <w:t>.</w:t>
            </w:r>
          </w:p>
        </w:tc>
      </w:tr>
      <w:tr w:rsidR="00D2465C" w:rsidRPr="00B81300" w14:paraId="1FB19ECC"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3F14D7CD" w14:textId="77777777" w:rsidR="00D2465C" w:rsidRPr="0049251C" w:rsidRDefault="00D2465C" w:rsidP="00D2465C">
            <w:pPr>
              <w:rPr>
                <w:color w:val="000000"/>
                <w:sz w:val="18"/>
                <w:szCs w:val="18"/>
              </w:rPr>
            </w:pPr>
          </w:p>
        </w:tc>
        <w:tc>
          <w:tcPr>
            <w:tcW w:w="751" w:type="dxa"/>
            <w:tcBorders>
              <w:top w:val="nil"/>
              <w:left w:val="nil"/>
              <w:bottom w:val="nil"/>
              <w:right w:val="nil"/>
            </w:tcBorders>
            <w:shd w:val="clear" w:color="auto" w:fill="auto"/>
            <w:noWrap/>
            <w:vAlign w:val="center"/>
            <w:hideMark/>
          </w:tcPr>
          <w:p w14:paraId="1DA79EDA" w14:textId="77777777" w:rsidR="00D2465C" w:rsidRPr="0049251C" w:rsidRDefault="00D2465C" w:rsidP="00D2465C">
            <w:pPr>
              <w:ind w:firstLineChars="100" w:firstLine="200"/>
              <w:rPr>
                <w:rFonts w:ascii="Times New Roman" w:hAnsi="Times New Roman"/>
                <w:sz w:val="20"/>
              </w:rPr>
            </w:pPr>
          </w:p>
        </w:tc>
        <w:tc>
          <w:tcPr>
            <w:tcW w:w="5025" w:type="dxa"/>
            <w:gridSpan w:val="2"/>
            <w:vMerge/>
            <w:tcBorders>
              <w:top w:val="nil"/>
              <w:left w:val="nil"/>
              <w:bottom w:val="nil"/>
              <w:right w:val="nil"/>
            </w:tcBorders>
            <w:vAlign w:val="center"/>
            <w:hideMark/>
          </w:tcPr>
          <w:p w14:paraId="4285E0B2" w14:textId="77777777" w:rsidR="00D2465C" w:rsidRPr="0049251C" w:rsidRDefault="00D2465C" w:rsidP="00D2465C">
            <w:pPr>
              <w:rPr>
                <w:color w:val="000000"/>
                <w:sz w:val="18"/>
                <w:szCs w:val="18"/>
              </w:rPr>
            </w:pPr>
          </w:p>
        </w:tc>
        <w:tc>
          <w:tcPr>
            <w:tcW w:w="1963" w:type="dxa"/>
            <w:tcBorders>
              <w:top w:val="nil"/>
              <w:left w:val="nil"/>
              <w:bottom w:val="nil"/>
              <w:right w:val="nil"/>
            </w:tcBorders>
            <w:shd w:val="clear" w:color="auto" w:fill="auto"/>
            <w:noWrap/>
            <w:vAlign w:val="center"/>
            <w:hideMark/>
          </w:tcPr>
          <w:p w14:paraId="2509DBCA" w14:textId="77777777" w:rsidR="00D2465C" w:rsidRPr="00B81300" w:rsidRDefault="00D2465C" w:rsidP="00D2465C">
            <w:pPr>
              <w:jc w:val="center"/>
              <w:rPr>
                <w:rFonts w:ascii="Times New Roman" w:hAnsi="Times New Roman"/>
                <w:sz w:val="20"/>
                <w:highlight w:val="yellow"/>
              </w:rPr>
            </w:pPr>
          </w:p>
        </w:tc>
        <w:tc>
          <w:tcPr>
            <w:tcW w:w="2645" w:type="dxa"/>
            <w:vMerge/>
            <w:tcBorders>
              <w:left w:val="nil"/>
              <w:right w:val="nil"/>
            </w:tcBorders>
            <w:shd w:val="clear" w:color="auto" w:fill="auto"/>
            <w:noWrap/>
            <w:vAlign w:val="center"/>
            <w:hideMark/>
          </w:tcPr>
          <w:p w14:paraId="0641A708" w14:textId="77777777" w:rsidR="00D2465C" w:rsidRPr="00B81300" w:rsidRDefault="00D2465C" w:rsidP="00D2465C">
            <w:pPr>
              <w:jc w:val="center"/>
              <w:rPr>
                <w:rFonts w:ascii="Times New Roman" w:hAnsi="Times New Roman"/>
                <w:sz w:val="20"/>
                <w:highlight w:val="yellow"/>
              </w:rPr>
            </w:pPr>
          </w:p>
        </w:tc>
      </w:tr>
      <w:tr w:rsidR="00D2465C" w:rsidRPr="00B81300" w14:paraId="39B63677"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7C25B71F"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4DEF173F" w14:textId="77777777" w:rsidR="00D2465C" w:rsidRPr="0049251C" w:rsidRDefault="00D2465C" w:rsidP="00D2465C">
            <w:pPr>
              <w:ind w:firstLineChars="100" w:firstLine="200"/>
              <w:rPr>
                <w:rFonts w:ascii="Times New Roman" w:hAnsi="Times New Roman"/>
                <w:sz w:val="20"/>
              </w:rPr>
            </w:pPr>
          </w:p>
        </w:tc>
        <w:tc>
          <w:tcPr>
            <w:tcW w:w="5025" w:type="dxa"/>
            <w:gridSpan w:val="2"/>
            <w:vMerge/>
            <w:tcBorders>
              <w:top w:val="nil"/>
              <w:left w:val="nil"/>
              <w:bottom w:val="nil"/>
              <w:right w:val="nil"/>
            </w:tcBorders>
            <w:vAlign w:val="center"/>
            <w:hideMark/>
          </w:tcPr>
          <w:p w14:paraId="685BB6CF" w14:textId="77777777" w:rsidR="00D2465C" w:rsidRPr="0049251C" w:rsidRDefault="00D2465C" w:rsidP="00D2465C">
            <w:pPr>
              <w:rPr>
                <w:color w:val="000000"/>
                <w:sz w:val="18"/>
                <w:szCs w:val="18"/>
              </w:rPr>
            </w:pPr>
          </w:p>
        </w:tc>
        <w:tc>
          <w:tcPr>
            <w:tcW w:w="1963" w:type="dxa"/>
            <w:tcBorders>
              <w:top w:val="nil"/>
              <w:left w:val="nil"/>
              <w:bottom w:val="nil"/>
              <w:right w:val="nil"/>
            </w:tcBorders>
            <w:shd w:val="clear" w:color="auto" w:fill="auto"/>
            <w:noWrap/>
            <w:vAlign w:val="center"/>
            <w:hideMark/>
          </w:tcPr>
          <w:p w14:paraId="218104C2" w14:textId="77777777" w:rsidR="00D2465C" w:rsidRPr="00B81300" w:rsidRDefault="00D2465C" w:rsidP="00D2465C">
            <w:pPr>
              <w:jc w:val="center"/>
              <w:rPr>
                <w:rFonts w:ascii="Times New Roman" w:hAnsi="Times New Roman"/>
                <w:sz w:val="20"/>
                <w:highlight w:val="yellow"/>
              </w:rPr>
            </w:pPr>
          </w:p>
        </w:tc>
        <w:tc>
          <w:tcPr>
            <w:tcW w:w="2645" w:type="dxa"/>
            <w:vMerge/>
            <w:tcBorders>
              <w:left w:val="nil"/>
              <w:bottom w:val="nil"/>
              <w:right w:val="nil"/>
            </w:tcBorders>
            <w:shd w:val="clear" w:color="auto" w:fill="auto"/>
            <w:noWrap/>
            <w:vAlign w:val="center"/>
            <w:hideMark/>
          </w:tcPr>
          <w:p w14:paraId="6DA04CFB" w14:textId="77777777" w:rsidR="00D2465C" w:rsidRPr="00B81300" w:rsidRDefault="00D2465C" w:rsidP="00D2465C">
            <w:pPr>
              <w:jc w:val="center"/>
              <w:rPr>
                <w:rFonts w:ascii="Times New Roman" w:hAnsi="Times New Roman"/>
                <w:sz w:val="20"/>
                <w:highlight w:val="yellow"/>
              </w:rPr>
            </w:pPr>
          </w:p>
        </w:tc>
      </w:tr>
      <w:tr w:rsidR="00D2465C" w:rsidRPr="00B81300" w14:paraId="5184CCE4" w14:textId="77777777" w:rsidTr="00C60115">
        <w:trPr>
          <w:trHeight w:val="285"/>
          <w:jc w:val="center"/>
        </w:trPr>
        <w:tc>
          <w:tcPr>
            <w:tcW w:w="815" w:type="dxa"/>
            <w:tcBorders>
              <w:top w:val="nil"/>
              <w:left w:val="nil"/>
              <w:bottom w:val="single" w:sz="4" w:space="0" w:color="13B5EA"/>
              <w:right w:val="nil"/>
            </w:tcBorders>
            <w:shd w:val="clear" w:color="auto" w:fill="auto"/>
            <w:noWrap/>
            <w:vAlign w:val="center"/>
            <w:hideMark/>
          </w:tcPr>
          <w:p w14:paraId="1E5441AF" w14:textId="77777777" w:rsidR="00D2465C" w:rsidRPr="0049251C" w:rsidRDefault="00D2465C" w:rsidP="00D2465C">
            <w:pPr>
              <w:ind w:firstLineChars="100" w:firstLine="180"/>
              <w:rPr>
                <w:color w:val="A6A6A6"/>
                <w:sz w:val="18"/>
                <w:szCs w:val="18"/>
              </w:rPr>
            </w:pPr>
            <w:r w:rsidRPr="0049251C">
              <w:rPr>
                <w:color w:val="A6A6A6"/>
                <w:sz w:val="18"/>
                <w:szCs w:val="18"/>
              </w:rPr>
              <w:t> </w:t>
            </w:r>
          </w:p>
        </w:tc>
        <w:tc>
          <w:tcPr>
            <w:tcW w:w="751" w:type="dxa"/>
            <w:tcBorders>
              <w:top w:val="nil"/>
              <w:left w:val="nil"/>
              <w:bottom w:val="single" w:sz="4" w:space="0" w:color="13B5EA"/>
              <w:right w:val="nil"/>
            </w:tcBorders>
            <w:shd w:val="clear" w:color="auto" w:fill="auto"/>
            <w:noWrap/>
            <w:vAlign w:val="center"/>
            <w:hideMark/>
          </w:tcPr>
          <w:p w14:paraId="216890DF" w14:textId="77777777" w:rsidR="00D2465C" w:rsidRPr="0049251C" w:rsidRDefault="00D2465C" w:rsidP="00D2465C">
            <w:pPr>
              <w:jc w:val="center"/>
              <w:rPr>
                <w:color w:val="000000"/>
                <w:sz w:val="18"/>
                <w:szCs w:val="18"/>
              </w:rPr>
            </w:pPr>
            <w:r w:rsidRPr="0049251C">
              <w:rPr>
                <w:color w:val="000000"/>
                <w:sz w:val="18"/>
                <w:szCs w:val="18"/>
              </w:rPr>
              <w:t> </w:t>
            </w:r>
          </w:p>
        </w:tc>
        <w:tc>
          <w:tcPr>
            <w:tcW w:w="5025" w:type="dxa"/>
            <w:gridSpan w:val="2"/>
            <w:vMerge/>
            <w:tcBorders>
              <w:top w:val="nil"/>
              <w:left w:val="nil"/>
              <w:bottom w:val="single" w:sz="4" w:space="0" w:color="13B5EA"/>
              <w:right w:val="nil"/>
            </w:tcBorders>
            <w:vAlign w:val="center"/>
            <w:hideMark/>
          </w:tcPr>
          <w:p w14:paraId="438A7AA0" w14:textId="77777777" w:rsidR="00D2465C" w:rsidRPr="0049251C" w:rsidRDefault="00D2465C" w:rsidP="00D2465C">
            <w:pPr>
              <w:rPr>
                <w:color w:val="000000"/>
                <w:sz w:val="18"/>
                <w:szCs w:val="18"/>
              </w:rPr>
            </w:pPr>
          </w:p>
        </w:tc>
        <w:tc>
          <w:tcPr>
            <w:tcW w:w="1963" w:type="dxa"/>
            <w:tcBorders>
              <w:top w:val="nil"/>
              <w:left w:val="nil"/>
              <w:bottom w:val="single" w:sz="4" w:space="0" w:color="13B5EA"/>
              <w:right w:val="nil"/>
            </w:tcBorders>
            <w:shd w:val="clear" w:color="auto" w:fill="auto"/>
            <w:noWrap/>
            <w:vAlign w:val="center"/>
            <w:hideMark/>
          </w:tcPr>
          <w:p w14:paraId="328F2E22" w14:textId="77777777" w:rsidR="00D2465C" w:rsidRPr="008A584F" w:rsidRDefault="00D2465C" w:rsidP="00D2465C">
            <w:pPr>
              <w:jc w:val="center"/>
              <w:rPr>
                <w:color w:val="000000"/>
                <w:sz w:val="18"/>
                <w:szCs w:val="18"/>
              </w:rPr>
            </w:pPr>
            <w:r w:rsidRPr="008A584F">
              <w:rPr>
                <w:color w:val="000000"/>
                <w:sz w:val="18"/>
                <w:szCs w:val="18"/>
              </w:rPr>
              <w:t> </w:t>
            </w:r>
          </w:p>
        </w:tc>
        <w:tc>
          <w:tcPr>
            <w:tcW w:w="2645" w:type="dxa"/>
            <w:tcBorders>
              <w:top w:val="nil"/>
              <w:left w:val="nil"/>
              <w:bottom w:val="single" w:sz="4" w:space="0" w:color="13B5EA"/>
              <w:right w:val="nil"/>
            </w:tcBorders>
            <w:shd w:val="clear" w:color="auto" w:fill="auto"/>
            <w:noWrap/>
            <w:vAlign w:val="center"/>
            <w:hideMark/>
          </w:tcPr>
          <w:p w14:paraId="39E9984E" w14:textId="77777777" w:rsidR="00D2465C" w:rsidRPr="008A584F" w:rsidRDefault="00D2465C" w:rsidP="00D2465C">
            <w:pPr>
              <w:rPr>
                <w:color w:val="000000"/>
                <w:sz w:val="18"/>
                <w:szCs w:val="18"/>
              </w:rPr>
            </w:pPr>
            <w:r w:rsidRPr="008A584F">
              <w:rPr>
                <w:color w:val="000000"/>
                <w:sz w:val="18"/>
                <w:szCs w:val="18"/>
              </w:rPr>
              <w:t> </w:t>
            </w:r>
          </w:p>
        </w:tc>
      </w:tr>
      <w:tr w:rsidR="00D2465C" w:rsidRPr="00B81300" w14:paraId="7D86E4B9"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6EB51786" w14:textId="77777777" w:rsidR="00D2465C" w:rsidRPr="0049251C" w:rsidRDefault="00D2465C" w:rsidP="00D2465C">
            <w:pPr>
              <w:ind w:firstLineChars="100" w:firstLine="180"/>
              <w:rPr>
                <w:color w:val="000000"/>
                <w:sz w:val="18"/>
                <w:szCs w:val="18"/>
              </w:rPr>
            </w:pPr>
            <w:r w:rsidRPr="0049251C">
              <w:rPr>
                <w:color w:val="000000"/>
                <w:sz w:val="18"/>
                <w:szCs w:val="18"/>
              </w:rPr>
              <w:t>7</w:t>
            </w:r>
          </w:p>
        </w:tc>
        <w:tc>
          <w:tcPr>
            <w:tcW w:w="751" w:type="dxa"/>
            <w:tcBorders>
              <w:top w:val="nil"/>
              <w:left w:val="nil"/>
              <w:bottom w:val="nil"/>
              <w:right w:val="nil"/>
            </w:tcBorders>
            <w:shd w:val="clear" w:color="auto" w:fill="auto"/>
            <w:noWrap/>
            <w:vAlign w:val="center"/>
            <w:hideMark/>
          </w:tcPr>
          <w:p w14:paraId="34546192" w14:textId="77777777" w:rsidR="00D2465C" w:rsidRPr="0049251C" w:rsidRDefault="00D2465C" w:rsidP="00D2465C">
            <w:pPr>
              <w:jc w:val="center"/>
              <w:rPr>
                <w:color w:val="000000"/>
                <w:sz w:val="18"/>
                <w:szCs w:val="18"/>
              </w:rPr>
            </w:pPr>
            <w:r w:rsidRPr="0049251C">
              <w:rPr>
                <w:color w:val="000000"/>
                <w:sz w:val="18"/>
                <w:szCs w:val="18"/>
              </w:rPr>
              <w:t>(1)</w:t>
            </w:r>
          </w:p>
        </w:tc>
        <w:tc>
          <w:tcPr>
            <w:tcW w:w="5025" w:type="dxa"/>
            <w:gridSpan w:val="2"/>
            <w:vMerge w:val="restart"/>
            <w:tcBorders>
              <w:top w:val="single" w:sz="4" w:space="0" w:color="13B5EA"/>
              <w:left w:val="nil"/>
              <w:bottom w:val="nil"/>
              <w:right w:val="nil"/>
            </w:tcBorders>
            <w:shd w:val="clear" w:color="auto" w:fill="auto"/>
            <w:vAlign w:val="center"/>
            <w:hideMark/>
          </w:tcPr>
          <w:p w14:paraId="242FFB7A" w14:textId="05EFCC54" w:rsidR="00D2465C" w:rsidRPr="0049251C" w:rsidRDefault="00D2465C" w:rsidP="00B81645">
            <w:pPr>
              <w:jc w:val="both"/>
              <w:rPr>
                <w:color w:val="000000" w:themeColor="text1"/>
                <w:sz w:val="18"/>
                <w:szCs w:val="18"/>
              </w:rPr>
            </w:pPr>
            <w:r w:rsidRPr="0049251C">
              <w:rPr>
                <w:color w:val="000000" w:themeColor="text1"/>
                <w:sz w:val="18"/>
                <w:szCs w:val="18"/>
              </w:rPr>
              <w:t>Rada pred určením ukazovateľa dlhodobej udržateľnosti zverejní na svojom webovom sídle metodológiu výpočtov a</w:t>
            </w:r>
            <w:r w:rsidR="00B81645" w:rsidRPr="0049251C">
              <w:rPr>
                <w:color w:val="000000" w:themeColor="text1"/>
                <w:sz w:val="18"/>
                <w:szCs w:val="18"/>
              </w:rPr>
              <w:t> </w:t>
            </w:r>
            <w:r w:rsidRPr="0049251C">
              <w:rPr>
                <w:color w:val="000000" w:themeColor="text1"/>
                <w:sz w:val="18"/>
                <w:szCs w:val="18"/>
              </w:rPr>
              <w:t>predpoklady, ktoré použije pri určení ukazovateľa dlhodobej udržateľnosti.</w:t>
            </w:r>
          </w:p>
        </w:tc>
        <w:tc>
          <w:tcPr>
            <w:tcW w:w="1963" w:type="dxa"/>
            <w:tcBorders>
              <w:top w:val="nil"/>
              <w:left w:val="nil"/>
              <w:bottom w:val="nil"/>
              <w:right w:val="nil"/>
            </w:tcBorders>
            <w:shd w:val="clear" w:color="auto" w:fill="auto"/>
            <w:noWrap/>
            <w:vAlign w:val="center"/>
            <w:hideMark/>
          </w:tcPr>
          <w:p w14:paraId="5FCF3E33" w14:textId="77777777" w:rsidR="00D2465C" w:rsidRPr="008A584F" w:rsidRDefault="00D2465C" w:rsidP="00D2465C">
            <w:pPr>
              <w:jc w:val="center"/>
              <w:rPr>
                <w:b/>
                <w:color w:val="13B5EA"/>
                <w:sz w:val="18"/>
                <w:szCs w:val="18"/>
              </w:rPr>
            </w:pPr>
            <w:r w:rsidRPr="008A584F">
              <w:rPr>
                <w:b/>
                <w:color w:val="13B5EA"/>
                <w:sz w:val="18"/>
                <w:szCs w:val="18"/>
              </w:rPr>
              <w:t>splnené</w:t>
            </w:r>
          </w:p>
        </w:tc>
        <w:tc>
          <w:tcPr>
            <w:tcW w:w="2645" w:type="dxa"/>
            <w:vMerge w:val="restart"/>
            <w:tcBorders>
              <w:top w:val="nil"/>
              <w:left w:val="nil"/>
              <w:bottom w:val="nil"/>
              <w:right w:val="nil"/>
            </w:tcBorders>
            <w:shd w:val="clear" w:color="auto" w:fill="auto"/>
            <w:vAlign w:val="center"/>
            <w:hideMark/>
          </w:tcPr>
          <w:p w14:paraId="2C92244A" w14:textId="42CC5C48" w:rsidR="00D2465C" w:rsidRPr="008A584F" w:rsidRDefault="008A30C7" w:rsidP="005B1494">
            <w:pPr>
              <w:jc w:val="both"/>
              <w:rPr>
                <w:color w:val="0000FF"/>
                <w:sz w:val="18"/>
                <w:szCs w:val="18"/>
              </w:rPr>
            </w:pPr>
            <w:hyperlink r:id="rId57" w:history="1">
              <w:r w:rsidR="00D2465C" w:rsidRPr="008A584F">
                <w:rPr>
                  <w:sz w:val="18"/>
                  <w:szCs w:val="18"/>
                </w:rPr>
                <w:t xml:space="preserve">Diskusné štúdie s názvom </w:t>
              </w:r>
              <w:r w:rsidR="00D2465C" w:rsidRPr="008A584F">
                <w:rPr>
                  <w:color w:val="13B5EA"/>
                  <w:sz w:val="18"/>
                  <w:szCs w:val="18"/>
                  <w:u w:val="single"/>
                </w:rPr>
                <w:t>Ako vyhodnocovať dlhodobú udržateľnosť verejných financií?</w:t>
              </w:r>
            </w:hyperlink>
            <w:r w:rsidR="00D2465C" w:rsidRPr="008A584F">
              <w:rPr>
                <w:color w:val="13B5EA"/>
                <w:sz w:val="18"/>
                <w:szCs w:val="18"/>
              </w:rPr>
              <w:t xml:space="preserve"> </w:t>
            </w:r>
            <w:r w:rsidR="00D2465C" w:rsidRPr="008A584F">
              <w:rPr>
                <w:sz w:val="18"/>
                <w:szCs w:val="18"/>
              </w:rPr>
              <w:t>a</w:t>
            </w:r>
            <w:r w:rsidR="00D2465C" w:rsidRPr="008A584F">
              <w:rPr>
                <w:color w:val="13B5EA"/>
                <w:sz w:val="18"/>
                <w:szCs w:val="18"/>
              </w:rPr>
              <w:t> </w:t>
            </w:r>
            <w:hyperlink r:id="rId58" w:history="1">
              <w:r w:rsidR="00D2465C" w:rsidRPr="008A584F">
                <w:rPr>
                  <w:rStyle w:val="Hyperlink"/>
                  <w:color w:val="13B5EA"/>
                  <w:sz w:val="18"/>
                  <w:szCs w:val="18"/>
                </w:rPr>
                <w:t>Zostavenie základného scenára vývoja verejných financií</w:t>
              </w:r>
            </w:hyperlink>
          </w:p>
        </w:tc>
      </w:tr>
      <w:tr w:rsidR="00D2465C" w:rsidRPr="00B81300" w14:paraId="3CFA23BA"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3B01961A" w14:textId="77777777" w:rsidR="00D2465C" w:rsidRPr="0049251C" w:rsidRDefault="00D2465C" w:rsidP="00D2465C">
            <w:pPr>
              <w:rPr>
                <w:color w:val="0000FF"/>
                <w:sz w:val="18"/>
                <w:szCs w:val="18"/>
              </w:rPr>
            </w:pPr>
          </w:p>
        </w:tc>
        <w:tc>
          <w:tcPr>
            <w:tcW w:w="751" w:type="dxa"/>
            <w:tcBorders>
              <w:top w:val="nil"/>
              <w:left w:val="nil"/>
              <w:bottom w:val="nil"/>
              <w:right w:val="nil"/>
            </w:tcBorders>
            <w:shd w:val="clear" w:color="auto" w:fill="auto"/>
            <w:noWrap/>
            <w:vAlign w:val="center"/>
            <w:hideMark/>
          </w:tcPr>
          <w:p w14:paraId="46E837E4" w14:textId="77777777" w:rsidR="00D2465C" w:rsidRPr="0049251C" w:rsidRDefault="00D2465C" w:rsidP="00D2465C">
            <w:pPr>
              <w:rPr>
                <w:rFonts w:ascii="Times New Roman" w:hAnsi="Times New Roman"/>
                <w:sz w:val="20"/>
              </w:rPr>
            </w:pPr>
          </w:p>
        </w:tc>
        <w:tc>
          <w:tcPr>
            <w:tcW w:w="5025" w:type="dxa"/>
            <w:gridSpan w:val="2"/>
            <w:vMerge/>
            <w:tcBorders>
              <w:top w:val="nil"/>
              <w:left w:val="nil"/>
              <w:bottom w:val="nil"/>
              <w:right w:val="nil"/>
            </w:tcBorders>
            <w:vAlign w:val="center"/>
            <w:hideMark/>
          </w:tcPr>
          <w:p w14:paraId="55B4F480" w14:textId="77777777" w:rsidR="00D2465C" w:rsidRPr="0049251C" w:rsidRDefault="00D2465C" w:rsidP="00D2465C">
            <w:pPr>
              <w:rPr>
                <w:color w:val="000000" w:themeColor="text1"/>
                <w:sz w:val="18"/>
                <w:szCs w:val="18"/>
              </w:rPr>
            </w:pPr>
          </w:p>
        </w:tc>
        <w:tc>
          <w:tcPr>
            <w:tcW w:w="1963" w:type="dxa"/>
            <w:tcBorders>
              <w:top w:val="nil"/>
              <w:left w:val="nil"/>
              <w:bottom w:val="nil"/>
              <w:right w:val="nil"/>
            </w:tcBorders>
            <w:shd w:val="clear" w:color="auto" w:fill="auto"/>
            <w:noWrap/>
            <w:vAlign w:val="center"/>
            <w:hideMark/>
          </w:tcPr>
          <w:p w14:paraId="1A14C811" w14:textId="77777777" w:rsidR="00D2465C" w:rsidRPr="00B81300" w:rsidRDefault="00D2465C" w:rsidP="00D2465C">
            <w:pPr>
              <w:jc w:val="center"/>
              <w:rPr>
                <w:rFonts w:ascii="Times New Roman" w:hAnsi="Times New Roman"/>
                <w:sz w:val="20"/>
                <w:highlight w:val="yellow"/>
              </w:rPr>
            </w:pPr>
          </w:p>
        </w:tc>
        <w:tc>
          <w:tcPr>
            <w:tcW w:w="2645" w:type="dxa"/>
            <w:vMerge/>
            <w:tcBorders>
              <w:top w:val="nil"/>
              <w:left w:val="nil"/>
              <w:bottom w:val="nil"/>
              <w:right w:val="nil"/>
            </w:tcBorders>
            <w:vAlign w:val="center"/>
            <w:hideMark/>
          </w:tcPr>
          <w:p w14:paraId="2A4BE76E" w14:textId="77777777" w:rsidR="00D2465C" w:rsidRPr="00B81300" w:rsidRDefault="00D2465C" w:rsidP="005B1494">
            <w:pPr>
              <w:jc w:val="both"/>
              <w:rPr>
                <w:color w:val="0000FF"/>
                <w:sz w:val="18"/>
                <w:szCs w:val="18"/>
                <w:highlight w:val="yellow"/>
              </w:rPr>
            </w:pPr>
          </w:p>
        </w:tc>
      </w:tr>
      <w:tr w:rsidR="00D2465C" w:rsidRPr="00B81300" w14:paraId="6FF7B055"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63397C52" w14:textId="77777777" w:rsidR="00D2465C" w:rsidRPr="0049251C" w:rsidRDefault="00D2465C" w:rsidP="00D2465C">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2F634941" w14:textId="77777777" w:rsidR="00D2465C" w:rsidRPr="0049251C" w:rsidRDefault="00D2465C" w:rsidP="00D2465C">
            <w:pPr>
              <w:jc w:val="center"/>
              <w:rPr>
                <w:color w:val="000000"/>
                <w:sz w:val="18"/>
                <w:szCs w:val="18"/>
              </w:rPr>
            </w:pPr>
            <w:r w:rsidRPr="0049251C">
              <w:rPr>
                <w:color w:val="000000"/>
                <w:sz w:val="18"/>
                <w:szCs w:val="18"/>
              </w:rPr>
              <w:t>(2)</w:t>
            </w:r>
          </w:p>
        </w:tc>
        <w:tc>
          <w:tcPr>
            <w:tcW w:w="5025" w:type="dxa"/>
            <w:gridSpan w:val="2"/>
            <w:tcBorders>
              <w:top w:val="nil"/>
              <w:left w:val="nil"/>
              <w:bottom w:val="nil"/>
              <w:right w:val="nil"/>
            </w:tcBorders>
            <w:shd w:val="clear" w:color="auto" w:fill="auto"/>
            <w:noWrap/>
            <w:vAlign w:val="center"/>
            <w:hideMark/>
          </w:tcPr>
          <w:p w14:paraId="0EFE18EF" w14:textId="77777777" w:rsidR="00D2465C" w:rsidRPr="0049251C" w:rsidRDefault="00D2465C" w:rsidP="00D2465C">
            <w:pPr>
              <w:rPr>
                <w:color w:val="000000" w:themeColor="text1"/>
                <w:sz w:val="18"/>
                <w:szCs w:val="18"/>
              </w:rPr>
            </w:pPr>
            <w:r w:rsidRPr="0049251C">
              <w:rPr>
                <w:color w:val="000000" w:themeColor="text1"/>
                <w:sz w:val="18"/>
                <w:szCs w:val="18"/>
              </w:rPr>
              <w:t>Rada pri určení ukazovateľa dlhodobej udržateľnosti zohľadňuje</w:t>
            </w:r>
          </w:p>
        </w:tc>
        <w:tc>
          <w:tcPr>
            <w:tcW w:w="1963" w:type="dxa"/>
            <w:tcBorders>
              <w:top w:val="nil"/>
              <w:left w:val="nil"/>
              <w:bottom w:val="nil"/>
              <w:right w:val="nil"/>
            </w:tcBorders>
            <w:shd w:val="clear" w:color="auto" w:fill="auto"/>
            <w:noWrap/>
            <w:vAlign w:val="center"/>
            <w:hideMark/>
          </w:tcPr>
          <w:p w14:paraId="450F45E4" w14:textId="77777777" w:rsidR="00D2465C" w:rsidRPr="00B81300" w:rsidRDefault="00D2465C" w:rsidP="00D2465C">
            <w:pPr>
              <w:rPr>
                <w:color w:val="000000"/>
                <w:sz w:val="18"/>
                <w:szCs w:val="18"/>
                <w:highlight w:val="yellow"/>
              </w:rPr>
            </w:pPr>
          </w:p>
        </w:tc>
        <w:tc>
          <w:tcPr>
            <w:tcW w:w="2645" w:type="dxa"/>
            <w:tcBorders>
              <w:top w:val="nil"/>
              <w:left w:val="nil"/>
              <w:bottom w:val="nil"/>
              <w:right w:val="nil"/>
            </w:tcBorders>
            <w:shd w:val="clear" w:color="auto" w:fill="auto"/>
            <w:noWrap/>
            <w:vAlign w:val="center"/>
            <w:hideMark/>
          </w:tcPr>
          <w:p w14:paraId="75F91716" w14:textId="77777777" w:rsidR="00D2465C" w:rsidRPr="00B81300" w:rsidRDefault="00D2465C" w:rsidP="005B1494">
            <w:pPr>
              <w:jc w:val="both"/>
              <w:rPr>
                <w:rFonts w:ascii="Times New Roman" w:hAnsi="Times New Roman"/>
                <w:sz w:val="20"/>
                <w:highlight w:val="yellow"/>
              </w:rPr>
            </w:pPr>
          </w:p>
        </w:tc>
      </w:tr>
      <w:tr w:rsidR="00D2465C" w:rsidRPr="00B81300" w14:paraId="19D27DEE"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0C34AB23"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5B9613BD" w14:textId="77777777" w:rsidR="00D2465C" w:rsidRPr="0049251C" w:rsidRDefault="00D2465C" w:rsidP="00D2465C">
            <w:pPr>
              <w:jc w:val="center"/>
              <w:rPr>
                <w:rFonts w:ascii="Times New Roman" w:hAnsi="Times New Roman"/>
                <w:sz w:val="20"/>
              </w:rPr>
            </w:pPr>
          </w:p>
        </w:tc>
        <w:tc>
          <w:tcPr>
            <w:tcW w:w="489" w:type="dxa"/>
            <w:tcBorders>
              <w:top w:val="nil"/>
              <w:left w:val="nil"/>
              <w:bottom w:val="nil"/>
              <w:right w:val="nil"/>
            </w:tcBorders>
            <w:shd w:val="clear" w:color="auto" w:fill="auto"/>
            <w:noWrap/>
            <w:vAlign w:val="center"/>
            <w:hideMark/>
          </w:tcPr>
          <w:p w14:paraId="27801214" w14:textId="77777777" w:rsidR="00D2465C" w:rsidRPr="0049251C" w:rsidRDefault="00D2465C" w:rsidP="00D2465C">
            <w:pPr>
              <w:ind w:firstLineChars="100" w:firstLine="180"/>
              <w:rPr>
                <w:color w:val="000000" w:themeColor="text1"/>
                <w:sz w:val="18"/>
                <w:szCs w:val="18"/>
              </w:rPr>
            </w:pPr>
            <w:r w:rsidRPr="0049251C">
              <w:rPr>
                <w:color w:val="000000" w:themeColor="text1"/>
                <w:sz w:val="18"/>
                <w:szCs w:val="18"/>
              </w:rPr>
              <w:t>a)</w:t>
            </w:r>
          </w:p>
        </w:tc>
        <w:tc>
          <w:tcPr>
            <w:tcW w:w="4536" w:type="dxa"/>
            <w:tcBorders>
              <w:top w:val="nil"/>
              <w:left w:val="nil"/>
              <w:bottom w:val="nil"/>
              <w:right w:val="nil"/>
            </w:tcBorders>
            <w:shd w:val="clear" w:color="auto" w:fill="auto"/>
            <w:noWrap/>
            <w:vAlign w:val="center"/>
            <w:hideMark/>
          </w:tcPr>
          <w:p w14:paraId="774249A0" w14:textId="77777777" w:rsidR="00D2465C" w:rsidRPr="0049251C" w:rsidRDefault="00D2465C" w:rsidP="00D2465C">
            <w:pPr>
              <w:rPr>
                <w:color w:val="000000" w:themeColor="text1"/>
                <w:sz w:val="18"/>
                <w:szCs w:val="18"/>
              </w:rPr>
            </w:pPr>
            <w:r w:rsidRPr="0049251C">
              <w:rPr>
                <w:color w:val="000000" w:themeColor="text1"/>
                <w:sz w:val="18"/>
                <w:szCs w:val="18"/>
              </w:rPr>
              <w:t>hodnotu štrukturálneho primárneho salda,</w:t>
            </w:r>
          </w:p>
        </w:tc>
        <w:tc>
          <w:tcPr>
            <w:tcW w:w="1963" w:type="dxa"/>
            <w:tcBorders>
              <w:top w:val="nil"/>
              <w:left w:val="nil"/>
              <w:bottom w:val="nil"/>
              <w:right w:val="nil"/>
            </w:tcBorders>
            <w:shd w:val="clear" w:color="auto" w:fill="auto"/>
            <w:noWrap/>
            <w:vAlign w:val="center"/>
            <w:hideMark/>
          </w:tcPr>
          <w:p w14:paraId="450F8074" w14:textId="77777777" w:rsidR="00D2465C" w:rsidRPr="008A584F" w:rsidRDefault="00D2465C" w:rsidP="00D2465C">
            <w:pPr>
              <w:jc w:val="center"/>
              <w:rPr>
                <w:b/>
                <w:color w:val="13B5EA"/>
                <w:sz w:val="18"/>
                <w:szCs w:val="18"/>
              </w:rPr>
            </w:pPr>
            <w:r w:rsidRPr="008A584F">
              <w:rPr>
                <w:b/>
                <w:color w:val="13B5EA"/>
                <w:sz w:val="18"/>
                <w:szCs w:val="18"/>
              </w:rPr>
              <w:t>splnené</w:t>
            </w:r>
          </w:p>
        </w:tc>
        <w:tc>
          <w:tcPr>
            <w:tcW w:w="2645" w:type="dxa"/>
            <w:tcBorders>
              <w:top w:val="nil"/>
              <w:left w:val="nil"/>
              <w:bottom w:val="nil"/>
              <w:right w:val="nil"/>
            </w:tcBorders>
            <w:shd w:val="clear" w:color="auto" w:fill="auto"/>
            <w:noWrap/>
            <w:vAlign w:val="center"/>
            <w:hideMark/>
          </w:tcPr>
          <w:p w14:paraId="7EBFA965" w14:textId="77777777" w:rsidR="00D2465C" w:rsidRPr="008A584F" w:rsidRDefault="00D2465C" w:rsidP="005B1494">
            <w:pPr>
              <w:jc w:val="both"/>
              <w:rPr>
                <w:b/>
                <w:color w:val="13B5EA"/>
                <w:sz w:val="18"/>
                <w:szCs w:val="18"/>
              </w:rPr>
            </w:pPr>
          </w:p>
        </w:tc>
      </w:tr>
      <w:tr w:rsidR="00D2465C" w:rsidRPr="00B81300" w14:paraId="06A9A7BB"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3B35DF37"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1CC10CF6" w14:textId="77777777" w:rsidR="00D2465C" w:rsidRPr="0049251C" w:rsidRDefault="00D2465C" w:rsidP="00D2465C">
            <w:pPr>
              <w:jc w:val="center"/>
              <w:rPr>
                <w:rFonts w:ascii="Times New Roman" w:hAnsi="Times New Roman"/>
                <w:sz w:val="20"/>
              </w:rPr>
            </w:pPr>
          </w:p>
        </w:tc>
        <w:tc>
          <w:tcPr>
            <w:tcW w:w="489" w:type="dxa"/>
            <w:tcBorders>
              <w:top w:val="nil"/>
              <w:left w:val="nil"/>
              <w:bottom w:val="nil"/>
              <w:right w:val="nil"/>
            </w:tcBorders>
            <w:shd w:val="clear" w:color="auto" w:fill="auto"/>
            <w:noWrap/>
            <w:vAlign w:val="center"/>
            <w:hideMark/>
          </w:tcPr>
          <w:p w14:paraId="351AF3E3" w14:textId="77777777" w:rsidR="00D2465C" w:rsidRPr="0049251C" w:rsidRDefault="00D2465C" w:rsidP="00D2465C">
            <w:pPr>
              <w:ind w:firstLineChars="100" w:firstLine="180"/>
              <w:rPr>
                <w:color w:val="000000" w:themeColor="text1"/>
                <w:sz w:val="18"/>
                <w:szCs w:val="18"/>
              </w:rPr>
            </w:pPr>
            <w:r w:rsidRPr="0049251C">
              <w:rPr>
                <w:color w:val="000000" w:themeColor="text1"/>
                <w:sz w:val="18"/>
                <w:szCs w:val="18"/>
              </w:rPr>
              <w:t>b)</w:t>
            </w:r>
          </w:p>
        </w:tc>
        <w:tc>
          <w:tcPr>
            <w:tcW w:w="4536" w:type="dxa"/>
            <w:tcBorders>
              <w:top w:val="nil"/>
              <w:left w:val="nil"/>
              <w:bottom w:val="nil"/>
              <w:right w:val="nil"/>
            </w:tcBorders>
            <w:shd w:val="clear" w:color="auto" w:fill="auto"/>
            <w:noWrap/>
            <w:vAlign w:val="center"/>
            <w:hideMark/>
          </w:tcPr>
          <w:p w14:paraId="660B1FFB" w14:textId="77777777" w:rsidR="00D2465C" w:rsidRPr="0049251C" w:rsidRDefault="00D2465C" w:rsidP="00D2465C">
            <w:pPr>
              <w:rPr>
                <w:color w:val="000000" w:themeColor="text1"/>
                <w:sz w:val="18"/>
                <w:szCs w:val="18"/>
              </w:rPr>
            </w:pPr>
            <w:r w:rsidRPr="0049251C">
              <w:rPr>
                <w:color w:val="000000" w:themeColor="text1"/>
                <w:sz w:val="18"/>
                <w:szCs w:val="18"/>
              </w:rPr>
              <w:t>prognózy demografického vývoja zverejnené Eurostatom,</w:t>
            </w:r>
          </w:p>
        </w:tc>
        <w:tc>
          <w:tcPr>
            <w:tcW w:w="1963" w:type="dxa"/>
            <w:tcBorders>
              <w:top w:val="nil"/>
              <w:left w:val="nil"/>
              <w:bottom w:val="nil"/>
              <w:right w:val="nil"/>
            </w:tcBorders>
            <w:shd w:val="clear" w:color="auto" w:fill="auto"/>
            <w:noWrap/>
            <w:vAlign w:val="center"/>
            <w:hideMark/>
          </w:tcPr>
          <w:p w14:paraId="53D6DC30" w14:textId="77777777" w:rsidR="00D2465C" w:rsidRPr="008A584F" w:rsidRDefault="00D2465C" w:rsidP="00D2465C">
            <w:pPr>
              <w:jc w:val="center"/>
              <w:rPr>
                <w:b/>
                <w:color w:val="13B5EA"/>
                <w:sz w:val="18"/>
                <w:szCs w:val="18"/>
              </w:rPr>
            </w:pPr>
            <w:r w:rsidRPr="008A584F">
              <w:rPr>
                <w:b/>
                <w:color w:val="13B5EA"/>
                <w:sz w:val="18"/>
                <w:szCs w:val="18"/>
              </w:rPr>
              <w:t>splnené</w:t>
            </w:r>
          </w:p>
        </w:tc>
        <w:tc>
          <w:tcPr>
            <w:tcW w:w="2645" w:type="dxa"/>
            <w:tcBorders>
              <w:top w:val="nil"/>
              <w:left w:val="nil"/>
              <w:bottom w:val="nil"/>
              <w:right w:val="nil"/>
            </w:tcBorders>
            <w:shd w:val="clear" w:color="auto" w:fill="auto"/>
            <w:noWrap/>
            <w:vAlign w:val="center"/>
            <w:hideMark/>
          </w:tcPr>
          <w:p w14:paraId="74CA0EE0" w14:textId="77777777" w:rsidR="00D2465C" w:rsidRPr="008A584F" w:rsidRDefault="00D2465C" w:rsidP="005B1494">
            <w:pPr>
              <w:jc w:val="both"/>
              <w:rPr>
                <w:b/>
                <w:color w:val="13B5EA"/>
                <w:sz w:val="18"/>
                <w:szCs w:val="18"/>
              </w:rPr>
            </w:pPr>
          </w:p>
        </w:tc>
      </w:tr>
      <w:tr w:rsidR="00D2465C" w:rsidRPr="00B81300" w14:paraId="4FC5C0EF"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35946A41"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19BD17BB" w14:textId="77777777" w:rsidR="00D2465C" w:rsidRPr="0049251C" w:rsidRDefault="00D2465C" w:rsidP="00D2465C">
            <w:pPr>
              <w:jc w:val="center"/>
              <w:rPr>
                <w:rFonts w:ascii="Times New Roman" w:hAnsi="Times New Roman"/>
                <w:sz w:val="20"/>
              </w:rPr>
            </w:pPr>
          </w:p>
        </w:tc>
        <w:tc>
          <w:tcPr>
            <w:tcW w:w="489" w:type="dxa"/>
            <w:tcBorders>
              <w:top w:val="nil"/>
              <w:left w:val="nil"/>
              <w:bottom w:val="nil"/>
              <w:right w:val="nil"/>
            </w:tcBorders>
            <w:shd w:val="clear" w:color="auto" w:fill="auto"/>
            <w:noWrap/>
            <w:vAlign w:val="center"/>
            <w:hideMark/>
          </w:tcPr>
          <w:p w14:paraId="06442BCA" w14:textId="77777777" w:rsidR="00D2465C" w:rsidRPr="0049251C" w:rsidRDefault="00D2465C" w:rsidP="00D2465C">
            <w:pPr>
              <w:ind w:firstLineChars="100" w:firstLine="180"/>
              <w:rPr>
                <w:color w:val="000000" w:themeColor="text1"/>
                <w:sz w:val="18"/>
                <w:szCs w:val="18"/>
              </w:rPr>
            </w:pPr>
            <w:r w:rsidRPr="0049251C">
              <w:rPr>
                <w:color w:val="000000" w:themeColor="text1"/>
                <w:sz w:val="18"/>
                <w:szCs w:val="18"/>
              </w:rPr>
              <w:t>c)</w:t>
            </w:r>
          </w:p>
        </w:tc>
        <w:tc>
          <w:tcPr>
            <w:tcW w:w="4536" w:type="dxa"/>
            <w:tcBorders>
              <w:top w:val="nil"/>
              <w:left w:val="nil"/>
              <w:bottom w:val="nil"/>
              <w:right w:val="nil"/>
            </w:tcBorders>
            <w:shd w:val="clear" w:color="auto" w:fill="auto"/>
            <w:noWrap/>
            <w:vAlign w:val="center"/>
            <w:hideMark/>
          </w:tcPr>
          <w:p w14:paraId="0050A979" w14:textId="77777777" w:rsidR="00D2465C" w:rsidRPr="0049251C" w:rsidRDefault="00D2465C" w:rsidP="00D2465C">
            <w:pPr>
              <w:rPr>
                <w:color w:val="000000" w:themeColor="text1"/>
                <w:sz w:val="18"/>
                <w:szCs w:val="18"/>
              </w:rPr>
            </w:pPr>
            <w:r w:rsidRPr="0049251C">
              <w:rPr>
                <w:color w:val="000000" w:themeColor="text1"/>
                <w:sz w:val="18"/>
                <w:szCs w:val="18"/>
              </w:rPr>
              <w:t>makroekonomické prognózy Výboru pre makroekonomické prognózy a dlhodobé makroekonomické prognózy EK,</w:t>
            </w:r>
          </w:p>
        </w:tc>
        <w:tc>
          <w:tcPr>
            <w:tcW w:w="1963" w:type="dxa"/>
            <w:tcBorders>
              <w:top w:val="nil"/>
              <w:left w:val="nil"/>
              <w:bottom w:val="nil"/>
              <w:right w:val="nil"/>
            </w:tcBorders>
            <w:shd w:val="clear" w:color="auto" w:fill="auto"/>
            <w:noWrap/>
            <w:vAlign w:val="center"/>
            <w:hideMark/>
          </w:tcPr>
          <w:p w14:paraId="31822634" w14:textId="77777777" w:rsidR="00D2465C" w:rsidRPr="008A584F" w:rsidRDefault="00D2465C" w:rsidP="00D2465C">
            <w:pPr>
              <w:jc w:val="center"/>
              <w:rPr>
                <w:b/>
                <w:color w:val="13B5EA"/>
                <w:sz w:val="18"/>
                <w:szCs w:val="18"/>
              </w:rPr>
            </w:pPr>
            <w:r w:rsidRPr="008A584F">
              <w:rPr>
                <w:b/>
                <w:color w:val="13B5EA"/>
                <w:sz w:val="18"/>
                <w:szCs w:val="18"/>
              </w:rPr>
              <w:t>splnené</w:t>
            </w:r>
          </w:p>
        </w:tc>
        <w:tc>
          <w:tcPr>
            <w:tcW w:w="2645" w:type="dxa"/>
            <w:tcBorders>
              <w:top w:val="nil"/>
              <w:left w:val="nil"/>
              <w:bottom w:val="nil"/>
              <w:right w:val="nil"/>
            </w:tcBorders>
            <w:shd w:val="clear" w:color="auto" w:fill="auto"/>
            <w:noWrap/>
            <w:vAlign w:val="center"/>
            <w:hideMark/>
          </w:tcPr>
          <w:p w14:paraId="690068EA" w14:textId="77777777" w:rsidR="00D2465C" w:rsidRPr="008A584F" w:rsidRDefault="00D2465C" w:rsidP="005B1494">
            <w:pPr>
              <w:jc w:val="both"/>
              <w:rPr>
                <w:b/>
                <w:color w:val="13B5EA"/>
                <w:sz w:val="18"/>
                <w:szCs w:val="18"/>
              </w:rPr>
            </w:pPr>
          </w:p>
        </w:tc>
      </w:tr>
      <w:tr w:rsidR="00D2465C" w:rsidRPr="00B81300" w14:paraId="3AFCA51F"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70876830"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15B4F1B3" w14:textId="77777777" w:rsidR="00D2465C" w:rsidRPr="0049251C" w:rsidRDefault="00D2465C" w:rsidP="00D2465C">
            <w:pPr>
              <w:jc w:val="center"/>
              <w:rPr>
                <w:rFonts w:ascii="Times New Roman" w:hAnsi="Times New Roman"/>
                <w:sz w:val="20"/>
              </w:rPr>
            </w:pPr>
          </w:p>
        </w:tc>
        <w:tc>
          <w:tcPr>
            <w:tcW w:w="489" w:type="dxa"/>
            <w:tcBorders>
              <w:top w:val="nil"/>
              <w:left w:val="nil"/>
              <w:bottom w:val="nil"/>
              <w:right w:val="nil"/>
            </w:tcBorders>
            <w:shd w:val="clear" w:color="auto" w:fill="auto"/>
            <w:noWrap/>
            <w:vAlign w:val="center"/>
            <w:hideMark/>
          </w:tcPr>
          <w:p w14:paraId="59A92808" w14:textId="77777777" w:rsidR="00D2465C" w:rsidRPr="0049251C" w:rsidRDefault="00D2465C" w:rsidP="00D2465C">
            <w:pPr>
              <w:ind w:firstLineChars="100" w:firstLine="180"/>
              <w:rPr>
                <w:color w:val="000000" w:themeColor="text1"/>
                <w:sz w:val="18"/>
                <w:szCs w:val="18"/>
              </w:rPr>
            </w:pPr>
            <w:r w:rsidRPr="0049251C">
              <w:rPr>
                <w:color w:val="000000" w:themeColor="text1"/>
                <w:sz w:val="18"/>
                <w:szCs w:val="18"/>
              </w:rPr>
              <w:t>d)</w:t>
            </w:r>
          </w:p>
        </w:tc>
        <w:tc>
          <w:tcPr>
            <w:tcW w:w="4536" w:type="dxa"/>
            <w:tcBorders>
              <w:top w:val="nil"/>
              <w:left w:val="nil"/>
              <w:bottom w:val="nil"/>
              <w:right w:val="nil"/>
            </w:tcBorders>
            <w:shd w:val="clear" w:color="auto" w:fill="auto"/>
            <w:noWrap/>
            <w:vAlign w:val="center"/>
            <w:hideMark/>
          </w:tcPr>
          <w:p w14:paraId="4971AA19" w14:textId="77777777" w:rsidR="00D2465C" w:rsidRPr="0049251C" w:rsidRDefault="00D2465C" w:rsidP="00D2465C">
            <w:pPr>
              <w:rPr>
                <w:color w:val="000000" w:themeColor="text1"/>
                <w:sz w:val="18"/>
                <w:szCs w:val="18"/>
              </w:rPr>
            </w:pPr>
            <w:r w:rsidRPr="0049251C">
              <w:rPr>
                <w:color w:val="000000" w:themeColor="text1"/>
                <w:sz w:val="18"/>
                <w:szCs w:val="18"/>
              </w:rPr>
              <w:t>dlhodobé prognózy výdavkov citlivých na starnutie populácie vypočítaných EK,</w:t>
            </w:r>
          </w:p>
        </w:tc>
        <w:tc>
          <w:tcPr>
            <w:tcW w:w="1963" w:type="dxa"/>
            <w:tcBorders>
              <w:top w:val="nil"/>
              <w:left w:val="nil"/>
              <w:bottom w:val="nil"/>
              <w:right w:val="nil"/>
            </w:tcBorders>
            <w:shd w:val="clear" w:color="auto" w:fill="auto"/>
            <w:noWrap/>
            <w:vAlign w:val="center"/>
            <w:hideMark/>
          </w:tcPr>
          <w:p w14:paraId="28977034" w14:textId="77777777" w:rsidR="00D2465C" w:rsidRPr="008A584F" w:rsidRDefault="00D2465C" w:rsidP="00D2465C">
            <w:pPr>
              <w:jc w:val="center"/>
              <w:rPr>
                <w:b/>
                <w:color w:val="13B5EA"/>
                <w:sz w:val="18"/>
                <w:szCs w:val="18"/>
              </w:rPr>
            </w:pPr>
            <w:r w:rsidRPr="008A584F">
              <w:rPr>
                <w:b/>
                <w:color w:val="13B5EA"/>
                <w:sz w:val="18"/>
                <w:szCs w:val="18"/>
              </w:rPr>
              <w:t>splnené</w:t>
            </w:r>
          </w:p>
        </w:tc>
        <w:tc>
          <w:tcPr>
            <w:tcW w:w="2645" w:type="dxa"/>
            <w:tcBorders>
              <w:top w:val="nil"/>
              <w:left w:val="nil"/>
              <w:bottom w:val="nil"/>
              <w:right w:val="nil"/>
            </w:tcBorders>
            <w:shd w:val="clear" w:color="auto" w:fill="auto"/>
            <w:vAlign w:val="center"/>
          </w:tcPr>
          <w:p w14:paraId="54B83CAD" w14:textId="5650D5F1" w:rsidR="00D2465C" w:rsidRPr="008A584F" w:rsidRDefault="00D2465C" w:rsidP="005B1494">
            <w:pPr>
              <w:jc w:val="both"/>
              <w:rPr>
                <w:color w:val="000000"/>
                <w:sz w:val="18"/>
                <w:szCs w:val="18"/>
              </w:rPr>
            </w:pPr>
            <w:r w:rsidRPr="008A584F">
              <w:rPr>
                <w:color w:val="000000"/>
                <w:sz w:val="18"/>
                <w:szCs w:val="18"/>
              </w:rPr>
              <w:t>Využité modely RRZ na dôchodk</w:t>
            </w:r>
            <w:r w:rsidR="00123142" w:rsidRPr="008A584F">
              <w:rPr>
                <w:color w:val="000000"/>
                <w:sz w:val="18"/>
                <w:szCs w:val="18"/>
              </w:rPr>
              <w:t>ové</w:t>
            </w:r>
            <w:r w:rsidRPr="008A584F">
              <w:rPr>
                <w:color w:val="000000"/>
                <w:sz w:val="18"/>
                <w:szCs w:val="18"/>
              </w:rPr>
              <w:t xml:space="preserve"> zabezp</w:t>
            </w:r>
            <w:r w:rsidR="00123142" w:rsidRPr="008A584F">
              <w:rPr>
                <w:color w:val="000000"/>
                <w:sz w:val="18"/>
                <w:szCs w:val="18"/>
              </w:rPr>
              <w:t>ečenie</w:t>
            </w:r>
            <w:r w:rsidRPr="008A584F">
              <w:rPr>
                <w:color w:val="000000"/>
                <w:sz w:val="18"/>
                <w:szCs w:val="18"/>
              </w:rPr>
              <w:t xml:space="preserve"> a zdravotníctv</w:t>
            </w:r>
            <w:r w:rsidR="00123142" w:rsidRPr="008A584F">
              <w:rPr>
                <w:color w:val="000000"/>
                <w:sz w:val="18"/>
                <w:szCs w:val="18"/>
              </w:rPr>
              <w:t>o</w:t>
            </w:r>
            <w:r w:rsidRPr="008A584F">
              <w:rPr>
                <w:color w:val="000000"/>
                <w:sz w:val="18"/>
                <w:szCs w:val="18"/>
              </w:rPr>
              <w:t>.</w:t>
            </w:r>
          </w:p>
        </w:tc>
      </w:tr>
      <w:tr w:rsidR="00D2465C" w:rsidRPr="00B81300" w14:paraId="519B1126"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09575BCD" w14:textId="77777777" w:rsidR="00D2465C" w:rsidRPr="0049251C" w:rsidRDefault="00D2465C" w:rsidP="00D2465C">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77696A29" w14:textId="77777777" w:rsidR="00D2465C" w:rsidRPr="0049251C" w:rsidRDefault="00D2465C" w:rsidP="00D2465C">
            <w:pPr>
              <w:jc w:val="center"/>
              <w:rPr>
                <w:rFonts w:ascii="Times New Roman" w:hAnsi="Times New Roman"/>
                <w:sz w:val="20"/>
              </w:rPr>
            </w:pPr>
          </w:p>
        </w:tc>
        <w:tc>
          <w:tcPr>
            <w:tcW w:w="489" w:type="dxa"/>
            <w:tcBorders>
              <w:top w:val="nil"/>
              <w:left w:val="nil"/>
              <w:bottom w:val="nil"/>
              <w:right w:val="nil"/>
            </w:tcBorders>
            <w:shd w:val="clear" w:color="auto" w:fill="auto"/>
            <w:noWrap/>
            <w:vAlign w:val="center"/>
            <w:hideMark/>
          </w:tcPr>
          <w:p w14:paraId="221AAAEC" w14:textId="77777777" w:rsidR="00D2465C" w:rsidRPr="0049251C" w:rsidRDefault="00D2465C" w:rsidP="00D2465C">
            <w:pPr>
              <w:ind w:firstLineChars="100" w:firstLine="180"/>
              <w:rPr>
                <w:color w:val="000000" w:themeColor="text1"/>
                <w:sz w:val="18"/>
                <w:szCs w:val="18"/>
              </w:rPr>
            </w:pPr>
            <w:r w:rsidRPr="0049251C">
              <w:rPr>
                <w:color w:val="000000" w:themeColor="text1"/>
                <w:sz w:val="18"/>
                <w:szCs w:val="18"/>
              </w:rPr>
              <w:t>e)</w:t>
            </w:r>
          </w:p>
        </w:tc>
        <w:tc>
          <w:tcPr>
            <w:tcW w:w="4536" w:type="dxa"/>
            <w:tcBorders>
              <w:top w:val="nil"/>
              <w:left w:val="nil"/>
              <w:bottom w:val="nil"/>
              <w:right w:val="nil"/>
            </w:tcBorders>
            <w:shd w:val="clear" w:color="auto" w:fill="auto"/>
            <w:noWrap/>
            <w:vAlign w:val="center"/>
            <w:hideMark/>
          </w:tcPr>
          <w:p w14:paraId="741BD54E" w14:textId="77777777" w:rsidR="00D2465C" w:rsidRPr="0049251C" w:rsidRDefault="00D2465C" w:rsidP="00D2465C">
            <w:pPr>
              <w:rPr>
                <w:color w:val="000000" w:themeColor="text1"/>
                <w:sz w:val="18"/>
                <w:szCs w:val="18"/>
              </w:rPr>
            </w:pPr>
            <w:r w:rsidRPr="0049251C">
              <w:rPr>
                <w:color w:val="000000" w:themeColor="text1"/>
                <w:sz w:val="18"/>
                <w:szCs w:val="18"/>
              </w:rPr>
              <w:t>dlhodobé prognózy kapitál. príjmov vypočítaných EK,</w:t>
            </w:r>
          </w:p>
        </w:tc>
        <w:tc>
          <w:tcPr>
            <w:tcW w:w="1963" w:type="dxa"/>
            <w:tcBorders>
              <w:top w:val="nil"/>
              <w:left w:val="nil"/>
              <w:bottom w:val="nil"/>
              <w:right w:val="nil"/>
            </w:tcBorders>
            <w:shd w:val="clear" w:color="auto" w:fill="auto"/>
            <w:noWrap/>
            <w:vAlign w:val="center"/>
            <w:hideMark/>
          </w:tcPr>
          <w:p w14:paraId="6AD30CAA" w14:textId="77777777" w:rsidR="00D2465C" w:rsidRPr="008A584F" w:rsidRDefault="00D2465C" w:rsidP="00D2465C">
            <w:pPr>
              <w:jc w:val="center"/>
              <w:rPr>
                <w:b/>
                <w:color w:val="13B5EA"/>
                <w:sz w:val="18"/>
                <w:szCs w:val="18"/>
              </w:rPr>
            </w:pPr>
            <w:r w:rsidRPr="008A584F">
              <w:rPr>
                <w:b/>
                <w:color w:val="13B5EA"/>
                <w:sz w:val="18"/>
                <w:szCs w:val="18"/>
              </w:rPr>
              <w:t>splnené</w:t>
            </w:r>
          </w:p>
        </w:tc>
        <w:tc>
          <w:tcPr>
            <w:tcW w:w="2645" w:type="dxa"/>
            <w:tcBorders>
              <w:top w:val="nil"/>
              <w:left w:val="nil"/>
              <w:bottom w:val="nil"/>
              <w:right w:val="nil"/>
            </w:tcBorders>
            <w:shd w:val="clear" w:color="auto" w:fill="auto"/>
            <w:noWrap/>
            <w:vAlign w:val="center"/>
            <w:hideMark/>
          </w:tcPr>
          <w:p w14:paraId="3D99D55C" w14:textId="77777777" w:rsidR="00D2465C" w:rsidRPr="008A584F" w:rsidRDefault="00D2465C" w:rsidP="005B1494">
            <w:pPr>
              <w:jc w:val="both"/>
              <w:rPr>
                <w:b/>
                <w:color w:val="13B5EA"/>
                <w:sz w:val="18"/>
                <w:szCs w:val="18"/>
              </w:rPr>
            </w:pPr>
          </w:p>
        </w:tc>
      </w:tr>
      <w:tr w:rsidR="00D2465C" w:rsidRPr="00B81300" w14:paraId="2D0062AD"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44EDB9C5" w14:textId="77777777" w:rsidR="00D2465C" w:rsidRPr="0049251C" w:rsidRDefault="00D2465C" w:rsidP="00D2465C">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6EFC81AC" w14:textId="77777777" w:rsidR="00D2465C" w:rsidRPr="0049251C" w:rsidRDefault="00D2465C" w:rsidP="00D2465C">
            <w:pPr>
              <w:jc w:val="center"/>
              <w:rPr>
                <w:rFonts w:ascii="Times New Roman" w:hAnsi="Times New Roman"/>
                <w:sz w:val="20"/>
              </w:rPr>
            </w:pPr>
          </w:p>
        </w:tc>
        <w:tc>
          <w:tcPr>
            <w:tcW w:w="489" w:type="dxa"/>
            <w:tcBorders>
              <w:top w:val="nil"/>
              <w:left w:val="nil"/>
              <w:bottom w:val="nil"/>
              <w:right w:val="nil"/>
            </w:tcBorders>
            <w:shd w:val="clear" w:color="auto" w:fill="auto"/>
            <w:noWrap/>
            <w:vAlign w:val="center"/>
            <w:hideMark/>
          </w:tcPr>
          <w:p w14:paraId="68078BC8" w14:textId="77777777" w:rsidR="00D2465C" w:rsidRPr="0049251C" w:rsidRDefault="00D2465C" w:rsidP="00D2465C">
            <w:pPr>
              <w:ind w:firstLineChars="100" w:firstLine="180"/>
              <w:rPr>
                <w:color w:val="000000" w:themeColor="text1"/>
                <w:sz w:val="18"/>
                <w:szCs w:val="18"/>
              </w:rPr>
            </w:pPr>
            <w:r w:rsidRPr="0049251C">
              <w:rPr>
                <w:color w:val="000000" w:themeColor="text1"/>
                <w:sz w:val="18"/>
                <w:szCs w:val="18"/>
              </w:rPr>
              <w:t>f)</w:t>
            </w:r>
          </w:p>
        </w:tc>
        <w:tc>
          <w:tcPr>
            <w:tcW w:w="4536" w:type="dxa"/>
            <w:tcBorders>
              <w:top w:val="nil"/>
              <w:left w:val="nil"/>
              <w:bottom w:val="nil"/>
              <w:right w:val="nil"/>
            </w:tcBorders>
            <w:shd w:val="clear" w:color="auto" w:fill="auto"/>
            <w:noWrap/>
            <w:vAlign w:val="center"/>
            <w:hideMark/>
          </w:tcPr>
          <w:p w14:paraId="048A71DE" w14:textId="77777777" w:rsidR="00D2465C" w:rsidRPr="0049251C" w:rsidRDefault="00D2465C" w:rsidP="00D2465C">
            <w:pPr>
              <w:rPr>
                <w:color w:val="000000" w:themeColor="text1"/>
                <w:sz w:val="18"/>
                <w:szCs w:val="18"/>
              </w:rPr>
            </w:pPr>
            <w:r w:rsidRPr="0049251C">
              <w:rPr>
                <w:color w:val="000000" w:themeColor="text1"/>
                <w:sz w:val="18"/>
                <w:szCs w:val="18"/>
              </w:rPr>
              <w:t>implicitné záväzky a podmienené záväzky,</w:t>
            </w:r>
          </w:p>
        </w:tc>
        <w:tc>
          <w:tcPr>
            <w:tcW w:w="1963" w:type="dxa"/>
            <w:tcBorders>
              <w:top w:val="nil"/>
              <w:left w:val="nil"/>
              <w:bottom w:val="nil"/>
              <w:right w:val="nil"/>
            </w:tcBorders>
            <w:shd w:val="clear" w:color="auto" w:fill="auto"/>
            <w:noWrap/>
            <w:vAlign w:val="center"/>
            <w:hideMark/>
          </w:tcPr>
          <w:p w14:paraId="4E3F0EF0" w14:textId="77777777" w:rsidR="00D2465C" w:rsidRPr="008A584F" w:rsidRDefault="00D2465C" w:rsidP="00D2465C">
            <w:pPr>
              <w:jc w:val="center"/>
              <w:rPr>
                <w:b/>
                <w:color w:val="13B5EA"/>
                <w:sz w:val="18"/>
                <w:szCs w:val="18"/>
              </w:rPr>
            </w:pPr>
            <w:r w:rsidRPr="008A584F">
              <w:rPr>
                <w:b/>
                <w:color w:val="13B5EA"/>
                <w:sz w:val="18"/>
                <w:szCs w:val="18"/>
              </w:rPr>
              <w:t>splnené</w:t>
            </w:r>
          </w:p>
        </w:tc>
        <w:tc>
          <w:tcPr>
            <w:tcW w:w="2645" w:type="dxa"/>
            <w:tcBorders>
              <w:top w:val="nil"/>
              <w:left w:val="nil"/>
              <w:bottom w:val="nil"/>
              <w:right w:val="nil"/>
            </w:tcBorders>
            <w:shd w:val="clear" w:color="auto" w:fill="auto"/>
            <w:vAlign w:val="center"/>
            <w:hideMark/>
          </w:tcPr>
          <w:p w14:paraId="642CFD5A" w14:textId="77777777" w:rsidR="00D2465C" w:rsidRPr="008A584F" w:rsidRDefault="00D2465C" w:rsidP="005B1494">
            <w:pPr>
              <w:jc w:val="both"/>
              <w:rPr>
                <w:color w:val="000000"/>
                <w:sz w:val="18"/>
                <w:szCs w:val="18"/>
              </w:rPr>
            </w:pPr>
          </w:p>
        </w:tc>
      </w:tr>
      <w:tr w:rsidR="00D2465C" w:rsidRPr="00B81300" w14:paraId="4C4CA5D4" w14:textId="77777777" w:rsidTr="00C60115">
        <w:trPr>
          <w:trHeight w:val="285"/>
          <w:jc w:val="center"/>
        </w:trPr>
        <w:tc>
          <w:tcPr>
            <w:tcW w:w="815" w:type="dxa"/>
            <w:tcBorders>
              <w:top w:val="nil"/>
              <w:left w:val="nil"/>
              <w:bottom w:val="nil"/>
              <w:right w:val="nil"/>
            </w:tcBorders>
            <w:shd w:val="clear" w:color="auto" w:fill="auto"/>
            <w:noWrap/>
            <w:vAlign w:val="center"/>
            <w:hideMark/>
          </w:tcPr>
          <w:p w14:paraId="02D65FCB" w14:textId="77777777" w:rsidR="00D2465C" w:rsidRPr="0049251C" w:rsidRDefault="00D2465C" w:rsidP="00D2465C">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75259329" w14:textId="77777777" w:rsidR="00D2465C" w:rsidRPr="0049251C" w:rsidRDefault="00D2465C" w:rsidP="00D2465C">
            <w:pPr>
              <w:jc w:val="center"/>
              <w:rPr>
                <w:rFonts w:ascii="Times New Roman" w:hAnsi="Times New Roman"/>
                <w:sz w:val="20"/>
              </w:rPr>
            </w:pPr>
          </w:p>
        </w:tc>
        <w:tc>
          <w:tcPr>
            <w:tcW w:w="489" w:type="dxa"/>
            <w:tcBorders>
              <w:top w:val="nil"/>
              <w:left w:val="nil"/>
              <w:bottom w:val="nil"/>
              <w:right w:val="nil"/>
            </w:tcBorders>
            <w:shd w:val="clear" w:color="auto" w:fill="auto"/>
            <w:noWrap/>
            <w:vAlign w:val="center"/>
            <w:hideMark/>
          </w:tcPr>
          <w:p w14:paraId="3D8B7060" w14:textId="77777777" w:rsidR="00D2465C" w:rsidRPr="0049251C" w:rsidRDefault="00D2465C" w:rsidP="00D2465C">
            <w:pPr>
              <w:ind w:firstLineChars="100" w:firstLine="180"/>
              <w:rPr>
                <w:color w:val="000000" w:themeColor="text1"/>
                <w:sz w:val="18"/>
                <w:szCs w:val="18"/>
              </w:rPr>
            </w:pPr>
            <w:r w:rsidRPr="0049251C">
              <w:rPr>
                <w:color w:val="000000" w:themeColor="text1"/>
                <w:sz w:val="18"/>
                <w:szCs w:val="18"/>
              </w:rPr>
              <w:t>g)</w:t>
            </w:r>
          </w:p>
        </w:tc>
        <w:tc>
          <w:tcPr>
            <w:tcW w:w="4536" w:type="dxa"/>
            <w:tcBorders>
              <w:top w:val="nil"/>
              <w:left w:val="nil"/>
              <w:bottom w:val="nil"/>
              <w:right w:val="nil"/>
            </w:tcBorders>
            <w:shd w:val="clear" w:color="auto" w:fill="auto"/>
            <w:noWrap/>
            <w:vAlign w:val="center"/>
            <w:hideMark/>
          </w:tcPr>
          <w:p w14:paraId="2962F39C" w14:textId="77777777" w:rsidR="00D2465C" w:rsidRPr="0049251C" w:rsidRDefault="00D2465C" w:rsidP="00D2465C">
            <w:pPr>
              <w:rPr>
                <w:color w:val="000000" w:themeColor="text1"/>
                <w:sz w:val="18"/>
                <w:szCs w:val="18"/>
              </w:rPr>
            </w:pPr>
            <w:r w:rsidRPr="0049251C">
              <w:rPr>
                <w:color w:val="000000" w:themeColor="text1"/>
                <w:sz w:val="18"/>
                <w:szCs w:val="18"/>
              </w:rPr>
              <w:t>iné ukazovatele ovplyvňujúce dlhodobú udržateľnosť.</w:t>
            </w:r>
          </w:p>
        </w:tc>
        <w:tc>
          <w:tcPr>
            <w:tcW w:w="1963" w:type="dxa"/>
            <w:tcBorders>
              <w:top w:val="nil"/>
              <w:left w:val="nil"/>
              <w:bottom w:val="nil"/>
              <w:right w:val="nil"/>
            </w:tcBorders>
            <w:shd w:val="clear" w:color="auto" w:fill="auto"/>
            <w:noWrap/>
            <w:vAlign w:val="center"/>
            <w:hideMark/>
          </w:tcPr>
          <w:p w14:paraId="54286E41" w14:textId="77777777" w:rsidR="00D2465C" w:rsidRPr="008A584F" w:rsidRDefault="00D2465C" w:rsidP="00D2465C">
            <w:pPr>
              <w:jc w:val="center"/>
              <w:rPr>
                <w:b/>
                <w:color w:val="13B5EA"/>
                <w:sz w:val="18"/>
                <w:szCs w:val="18"/>
              </w:rPr>
            </w:pPr>
            <w:r w:rsidRPr="008A584F">
              <w:rPr>
                <w:b/>
                <w:color w:val="000000" w:themeColor="text1"/>
                <w:sz w:val="18"/>
                <w:szCs w:val="18"/>
              </w:rPr>
              <w:t>-</w:t>
            </w:r>
          </w:p>
        </w:tc>
        <w:tc>
          <w:tcPr>
            <w:tcW w:w="2645" w:type="dxa"/>
            <w:tcBorders>
              <w:top w:val="nil"/>
              <w:left w:val="nil"/>
              <w:bottom w:val="nil"/>
              <w:right w:val="nil"/>
            </w:tcBorders>
            <w:shd w:val="clear" w:color="auto" w:fill="auto"/>
            <w:vAlign w:val="center"/>
            <w:hideMark/>
          </w:tcPr>
          <w:p w14:paraId="2E1A9180" w14:textId="77777777" w:rsidR="00D2465C" w:rsidRPr="008A584F" w:rsidRDefault="00D2465C" w:rsidP="005B1494">
            <w:pPr>
              <w:jc w:val="both"/>
              <w:rPr>
                <w:b/>
                <w:color w:val="13B5EA"/>
                <w:sz w:val="18"/>
                <w:szCs w:val="18"/>
              </w:rPr>
            </w:pPr>
          </w:p>
        </w:tc>
      </w:tr>
      <w:tr w:rsidR="00D2465C" w:rsidRPr="00B81300" w14:paraId="77130DC4" w14:textId="77777777" w:rsidTr="00C60115">
        <w:trPr>
          <w:trHeight w:val="285"/>
          <w:jc w:val="center"/>
        </w:trPr>
        <w:tc>
          <w:tcPr>
            <w:tcW w:w="815" w:type="dxa"/>
            <w:tcBorders>
              <w:top w:val="nil"/>
              <w:left w:val="nil"/>
              <w:bottom w:val="single" w:sz="4" w:space="0" w:color="13B5EA"/>
              <w:right w:val="nil"/>
            </w:tcBorders>
            <w:shd w:val="clear" w:color="auto" w:fill="auto"/>
            <w:noWrap/>
            <w:vAlign w:val="center"/>
            <w:hideMark/>
          </w:tcPr>
          <w:p w14:paraId="3382970D" w14:textId="77777777" w:rsidR="00D2465C" w:rsidRPr="0049251C" w:rsidRDefault="00D2465C" w:rsidP="00D2465C">
            <w:pPr>
              <w:jc w:val="center"/>
              <w:rPr>
                <w:color w:val="000000"/>
                <w:sz w:val="18"/>
                <w:szCs w:val="18"/>
              </w:rPr>
            </w:pPr>
            <w:r w:rsidRPr="0049251C">
              <w:rPr>
                <w:color w:val="000000"/>
                <w:sz w:val="18"/>
                <w:szCs w:val="18"/>
              </w:rPr>
              <w:t> </w:t>
            </w:r>
          </w:p>
        </w:tc>
        <w:tc>
          <w:tcPr>
            <w:tcW w:w="751" w:type="dxa"/>
            <w:tcBorders>
              <w:top w:val="nil"/>
              <w:left w:val="nil"/>
              <w:bottom w:val="single" w:sz="4" w:space="0" w:color="13B5EA"/>
              <w:right w:val="nil"/>
            </w:tcBorders>
            <w:shd w:val="clear" w:color="auto" w:fill="auto"/>
            <w:noWrap/>
            <w:vAlign w:val="center"/>
            <w:hideMark/>
          </w:tcPr>
          <w:p w14:paraId="33E989D1" w14:textId="77777777" w:rsidR="00D2465C" w:rsidRPr="0049251C" w:rsidRDefault="00D2465C" w:rsidP="00D2465C">
            <w:pPr>
              <w:jc w:val="center"/>
              <w:rPr>
                <w:color w:val="000000"/>
                <w:sz w:val="18"/>
                <w:szCs w:val="18"/>
              </w:rPr>
            </w:pPr>
            <w:r w:rsidRPr="0049251C">
              <w:rPr>
                <w:color w:val="000000"/>
                <w:sz w:val="18"/>
                <w:szCs w:val="18"/>
              </w:rPr>
              <w:t>(3)</w:t>
            </w:r>
          </w:p>
        </w:tc>
        <w:tc>
          <w:tcPr>
            <w:tcW w:w="5025" w:type="dxa"/>
            <w:gridSpan w:val="2"/>
            <w:tcBorders>
              <w:top w:val="nil"/>
              <w:left w:val="nil"/>
              <w:bottom w:val="single" w:sz="4" w:space="0" w:color="13B5EA"/>
              <w:right w:val="nil"/>
            </w:tcBorders>
            <w:shd w:val="clear" w:color="auto" w:fill="auto"/>
            <w:noWrap/>
            <w:vAlign w:val="center"/>
            <w:hideMark/>
          </w:tcPr>
          <w:p w14:paraId="2158E454" w14:textId="77777777" w:rsidR="00D2465C" w:rsidRPr="0049251C" w:rsidRDefault="00D2465C" w:rsidP="00D2465C">
            <w:pPr>
              <w:rPr>
                <w:color w:val="000000" w:themeColor="text1"/>
                <w:sz w:val="18"/>
                <w:szCs w:val="18"/>
              </w:rPr>
            </w:pPr>
            <w:r w:rsidRPr="0049251C">
              <w:rPr>
                <w:color w:val="000000" w:themeColor="text1"/>
                <w:sz w:val="18"/>
                <w:szCs w:val="18"/>
              </w:rPr>
              <w:t>Postup pri určení limitu verejných výdavkov ustanoví zákon.</w:t>
            </w:r>
          </w:p>
        </w:tc>
        <w:tc>
          <w:tcPr>
            <w:tcW w:w="1963" w:type="dxa"/>
            <w:tcBorders>
              <w:top w:val="nil"/>
              <w:left w:val="nil"/>
              <w:bottom w:val="single" w:sz="4" w:space="0" w:color="00B0F0"/>
              <w:right w:val="nil"/>
            </w:tcBorders>
            <w:shd w:val="clear" w:color="auto" w:fill="auto"/>
            <w:noWrap/>
            <w:vAlign w:val="center"/>
            <w:hideMark/>
          </w:tcPr>
          <w:p w14:paraId="6A3C3657" w14:textId="7A2387B4" w:rsidR="00D2465C" w:rsidRPr="00B81300" w:rsidRDefault="00D2465C" w:rsidP="00D2465C">
            <w:pPr>
              <w:jc w:val="center"/>
              <w:rPr>
                <w:b/>
                <w:sz w:val="18"/>
                <w:szCs w:val="18"/>
                <w:highlight w:val="yellow"/>
              </w:rPr>
            </w:pPr>
            <w:r w:rsidRPr="004A79A6">
              <w:rPr>
                <w:b/>
                <w:color w:val="FF0000"/>
                <w:sz w:val="18"/>
                <w:szCs w:val="18"/>
              </w:rPr>
              <w:t>zatiaľ nesplnené</w:t>
            </w:r>
          </w:p>
        </w:tc>
        <w:tc>
          <w:tcPr>
            <w:tcW w:w="2645" w:type="dxa"/>
            <w:tcBorders>
              <w:top w:val="nil"/>
              <w:left w:val="nil"/>
              <w:bottom w:val="single" w:sz="4" w:space="0" w:color="13B5EA"/>
              <w:right w:val="nil"/>
            </w:tcBorders>
            <w:shd w:val="clear" w:color="auto" w:fill="auto"/>
            <w:noWrap/>
            <w:vAlign w:val="center"/>
            <w:hideMark/>
          </w:tcPr>
          <w:p w14:paraId="22FDA0EB" w14:textId="286E5320" w:rsidR="00D2465C" w:rsidRPr="00B81300" w:rsidRDefault="001A6848" w:rsidP="005B1494">
            <w:pPr>
              <w:jc w:val="both"/>
              <w:rPr>
                <w:color w:val="000000"/>
                <w:sz w:val="18"/>
                <w:szCs w:val="18"/>
                <w:highlight w:val="yellow"/>
              </w:rPr>
            </w:pPr>
            <w:r w:rsidRPr="001A6848">
              <w:rPr>
                <w:color w:val="000000"/>
                <w:sz w:val="18"/>
                <w:szCs w:val="18"/>
              </w:rPr>
              <w:t>V júli 2020 predstavilo MF SR nový variant stanovenia výdavkových limitov.</w:t>
            </w:r>
          </w:p>
        </w:tc>
      </w:tr>
      <w:tr w:rsidR="00D2465C" w:rsidRPr="00B81300" w14:paraId="10A4B225" w14:textId="77777777" w:rsidTr="00C60115">
        <w:trPr>
          <w:trHeight w:val="285"/>
          <w:jc w:val="center"/>
        </w:trPr>
        <w:tc>
          <w:tcPr>
            <w:tcW w:w="6591" w:type="dxa"/>
            <w:gridSpan w:val="4"/>
            <w:tcBorders>
              <w:top w:val="nil"/>
              <w:left w:val="nil"/>
              <w:bottom w:val="nil"/>
              <w:right w:val="nil"/>
            </w:tcBorders>
            <w:shd w:val="clear" w:color="auto" w:fill="auto"/>
            <w:noWrap/>
            <w:vAlign w:val="center"/>
            <w:hideMark/>
          </w:tcPr>
          <w:p w14:paraId="31041376" w14:textId="77777777" w:rsidR="00D2465C" w:rsidRPr="0049251C" w:rsidRDefault="00D2465C" w:rsidP="00D2465C">
            <w:pPr>
              <w:rPr>
                <w:i/>
                <w:color w:val="13B5EA"/>
                <w:sz w:val="16"/>
                <w:szCs w:val="18"/>
              </w:rPr>
            </w:pPr>
            <w:r w:rsidRPr="0049251C">
              <w:rPr>
                <w:i/>
                <w:color w:val="13B5EA"/>
                <w:sz w:val="16"/>
                <w:szCs w:val="18"/>
              </w:rPr>
              <w:t>* Čl. 12 je prechodným ustanovením k čl. 5 (do 31. decembra 2017).</w:t>
            </w:r>
          </w:p>
        </w:tc>
        <w:tc>
          <w:tcPr>
            <w:tcW w:w="1963" w:type="dxa"/>
            <w:tcBorders>
              <w:top w:val="nil"/>
              <w:left w:val="nil"/>
              <w:bottom w:val="nil"/>
              <w:right w:val="nil"/>
            </w:tcBorders>
            <w:shd w:val="clear" w:color="auto" w:fill="auto"/>
            <w:noWrap/>
            <w:vAlign w:val="center"/>
            <w:hideMark/>
          </w:tcPr>
          <w:p w14:paraId="046B6811" w14:textId="77777777" w:rsidR="00D2465C" w:rsidRPr="00B81300" w:rsidRDefault="00D2465C" w:rsidP="00D2465C">
            <w:pPr>
              <w:rPr>
                <w:color w:val="000000"/>
                <w:sz w:val="18"/>
                <w:szCs w:val="18"/>
                <w:highlight w:val="yellow"/>
              </w:rPr>
            </w:pPr>
          </w:p>
        </w:tc>
        <w:tc>
          <w:tcPr>
            <w:tcW w:w="2645" w:type="dxa"/>
            <w:tcBorders>
              <w:top w:val="nil"/>
              <w:left w:val="nil"/>
              <w:bottom w:val="nil"/>
              <w:right w:val="nil"/>
            </w:tcBorders>
            <w:shd w:val="clear" w:color="auto" w:fill="auto"/>
            <w:vAlign w:val="center"/>
            <w:hideMark/>
          </w:tcPr>
          <w:p w14:paraId="2784119E" w14:textId="77777777" w:rsidR="00D2465C" w:rsidRPr="00B81300" w:rsidRDefault="00D2465C" w:rsidP="00D2465C">
            <w:pPr>
              <w:jc w:val="right"/>
              <w:rPr>
                <w:i/>
                <w:color w:val="00B0F0"/>
                <w:sz w:val="16"/>
                <w:szCs w:val="16"/>
                <w:highlight w:val="yellow"/>
              </w:rPr>
            </w:pPr>
            <w:r w:rsidRPr="0049251C">
              <w:rPr>
                <w:i/>
                <w:color w:val="00B0F0"/>
                <w:sz w:val="16"/>
                <w:szCs w:val="16"/>
              </w:rPr>
              <w:t>Zdroj: RRZ</w:t>
            </w:r>
          </w:p>
        </w:tc>
      </w:tr>
      <w:tr w:rsidR="00D2465C" w:rsidRPr="00B81300" w14:paraId="1FD8712B" w14:textId="77777777" w:rsidTr="00C60115">
        <w:trPr>
          <w:trHeight w:val="285"/>
          <w:jc w:val="center"/>
        </w:trPr>
        <w:tc>
          <w:tcPr>
            <w:tcW w:w="6591" w:type="dxa"/>
            <w:gridSpan w:val="4"/>
            <w:tcBorders>
              <w:top w:val="nil"/>
              <w:left w:val="nil"/>
              <w:bottom w:val="nil"/>
              <w:right w:val="nil"/>
            </w:tcBorders>
            <w:shd w:val="clear" w:color="auto" w:fill="auto"/>
            <w:noWrap/>
            <w:vAlign w:val="center"/>
          </w:tcPr>
          <w:p w14:paraId="1952DD75" w14:textId="77777777" w:rsidR="00D2465C" w:rsidRPr="0049251C" w:rsidRDefault="00D2465C" w:rsidP="00D2465C">
            <w:pPr>
              <w:rPr>
                <w:i/>
                <w:color w:val="13B5EA"/>
                <w:sz w:val="16"/>
                <w:szCs w:val="18"/>
              </w:rPr>
            </w:pPr>
            <w:r w:rsidRPr="0049251C">
              <w:rPr>
                <w:i/>
                <w:color w:val="13B5EA"/>
                <w:sz w:val="16"/>
                <w:szCs w:val="18"/>
              </w:rPr>
              <w:t>(-) znamená, že príslušné znenie zákona nebolo hodnotené</w:t>
            </w:r>
          </w:p>
        </w:tc>
        <w:tc>
          <w:tcPr>
            <w:tcW w:w="1963" w:type="dxa"/>
            <w:tcBorders>
              <w:top w:val="nil"/>
              <w:left w:val="nil"/>
              <w:bottom w:val="nil"/>
              <w:right w:val="nil"/>
            </w:tcBorders>
            <w:shd w:val="clear" w:color="auto" w:fill="auto"/>
            <w:noWrap/>
            <w:vAlign w:val="center"/>
          </w:tcPr>
          <w:p w14:paraId="1B0684D5" w14:textId="77777777" w:rsidR="00D2465C" w:rsidRPr="00B81300" w:rsidRDefault="00D2465C" w:rsidP="00D2465C">
            <w:pPr>
              <w:rPr>
                <w:color w:val="000000"/>
                <w:sz w:val="18"/>
                <w:szCs w:val="18"/>
                <w:highlight w:val="yellow"/>
              </w:rPr>
            </w:pPr>
          </w:p>
        </w:tc>
        <w:tc>
          <w:tcPr>
            <w:tcW w:w="2645" w:type="dxa"/>
            <w:tcBorders>
              <w:top w:val="nil"/>
              <w:left w:val="nil"/>
              <w:bottom w:val="nil"/>
              <w:right w:val="nil"/>
            </w:tcBorders>
            <w:shd w:val="clear" w:color="auto" w:fill="auto"/>
            <w:vAlign w:val="center"/>
          </w:tcPr>
          <w:p w14:paraId="6422A31D" w14:textId="77777777" w:rsidR="00D2465C" w:rsidRPr="00B81300" w:rsidRDefault="00D2465C" w:rsidP="00D2465C">
            <w:pPr>
              <w:jc w:val="right"/>
              <w:rPr>
                <w:i/>
                <w:color w:val="00B0F0"/>
                <w:sz w:val="16"/>
                <w:szCs w:val="16"/>
                <w:highlight w:val="yellow"/>
              </w:rPr>
            </w:pPr>
          </w:p>
        </w:tc>
      </w:tr>
    </w:tbl>
    <w:p w14:paraId="4D7A4C19" w14:textId="77777777" w:rsidR="003C54E1" w:rsidRPr="00B81300" w:rsidRDefault="003C54E1" w:rsidP="003C54E1">
      <w:pPr>
        <w:rPr>
          <w:highlight w:val="yellow"/>
        </w:rPr>
      </w:pPr>
    </w:p>
    <w:p w14:paraId="67C62DE0" w14:textId="77777777" w:rsidR="003C54E1" w:rsidRPr="00B81300" w:rsidRDefault="003C54E1" w:rsidP="003C54E1">
      <w:pPr>
        <w:rPr>
          <w:highlight w:val="yellow"/>
        </w:rPr>
      </w:pPr>
    </w:p>
    <w:tbl>
      <w:tblPr>
        <w:tblW w:w="11129" w:type="dxa"/>
        <w:jc w:val="center"/>
        <w:tblCellMar>
          <w:left w:w="70" w:type="dxa"/>
          <w:right w:w="70" w:type="dxa"/>
        </w:tblCellMar>
        <w:tblLook w:val="04A0" w:firstRow="1" w:lastRow="0" w:firstColumn="1" w:lastColumn="0" w:noHBand="0" w:noVBand="1"/>
      </w:tblPr>
      <w:tblGrid>
        <w:gridCol w:w="815"/>
        <w:gridCol w:w="751"/>
        <w:gridCol w:w="454"/>
        <w:gridCol w:w="4577"/>
        <w:gridCol w:w="1963"/>
        <w:gridCol w:w="2569"/>
      </w:tblGrid>
      <w:tr w:rsidR="003C54E1" w:rsidRPr="003E3766" w14:paraId="5CE162AF" w14:textId="77777777" w:rsidTr="00125323">
        <w:trPr>
          <w:trHeight w:val="285"/>
          <w:jc w:val="center"/>
        </w:trPr>
        <w:tc>
          <w:tcPr>
            <w:tcW w:w="6597" w:type="dxa"/>
            <w:gridSpan w:val="4"/>
            <w:tcBorders>
              <w:top w:val="nil"/>
              <w:left w:val="nil"/>
              <w:bottom w:val="nil"/>
              <w:right w:val="nil"/>
            </w:tcBorders>
            <w:shd w:val="clear" w:color="auto" w:fill="auto"/>
            <w:noWrap/>
            <w:vAlign w:val="center"/>
            <w:hideMark/>
          </w:tcPr>
          <w:p w14:paraId="38DADF90" w14:textId="400BACC6" w:rsidR="003C54E1" w:rsidRPr="003E3766" w:rsidRDefault="003C54E1" w:rsidP="00D1024E">
            <w:pPr>
              <w:pStyle w:val="tab"/>
              <w:rPr>
                <w:b w:val="0"/>
                <w:szCs w:val="20"/>
              </w:rPr>
            </w:pPr>
            <w:bookmarkStart w:id="859" w:name="_Toc396319156"/>
            <w:bookmarkStart w:id="860" w:name="_Toc426548386"/>
            <w:bookmarkStart w:id="861" w:name="_Toc428178596"/>
            <w:bookmarkStart w:id="862" w:name="_Toc428351654"/>
            <w:bookmarkStart w:id="863" w:name="_Toc458502424"/>
            <w:bookmarkStart w:id="864" w:name="_Toc459208004"/>
            <w:bookmarkStart w:id="865" w:name="_Toc459275419"/>
            <w:bookmarkStart w:id="866" w:name="_Toc489954221"/>
            <w:bookmarkStart w:id="867" w:name="_Toc490143837"/>
            <w:bookmarkStart w:id="868" w:name="_Toc490642140"/>
            <w:bookmarkStart w:id="869" w:name="_Toc522105524"/>
            <w:bookmarkStart w:id="870" w:name="_Toc522200676"/>
            <w:bookmarkStart w:id="871" w:name="_Toc523390262"/>
            <w:bookmarkStart w:id="872" w:name="_Toc523392867"/>
            <w:bookmarkStart w:id="873" w:name="_Toc49506903"/>
            <w:r w:rsidRPr="003E3766">
              <w:rPr>
                <w:szCs w:val="20"/>
              </w:rPr>
              <w:t xml:space="preserve">Tab </w:t>
            </w:r>
            <w:r w:rsidR="00210990" w:rsidRPr="003E3766">
              <w:rPr>
                <w:szCs w:val="20"/>
              </w:rPr>
              <w:t>4</w:t>
            </w:r>
            <w:r w:rsidRPr="003E3766">
              <w:rPr>
                <w:szCs w:val="20"/>
              </w:rPr>
              <w:t>: Plnenie pravidiel rozpočtovej transparentnosti</w:t>
            </w:r>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tc>
        <w:tc>
          <w:tcPr>
            <w:tcW w:w="1963" w:type="dxa"/>
            <w:tcBorders>
              <w:top w:val="nil"/>
              <w:left w:val="nil"/>
              <w:bottom w:val="nil"/>
              <w:right w:val="nil"/>
            </w:tcBorders>
            <w:shd w:val="clear" w:color="auto" w:fill="auto"/>
            <w:noWrap/>
            <w:vAlign w:val="center"/>
            <w:hideMark/>
          </w:tcPr>
          <w:p w14:paraId="3FBF7473" w14:textId="77777777" w:rsidR="003C54E1" w:rsidRPr="003E3766" w:rsidRDefault="003C54E1" w:rsidP="002E1C2E">
            <w:pPr>
              <w:rPr>
                <w:b/>
                <w:color w:val="00B0F0"/>
                <w:sz w:val="20"/>
              </w:rPr>
            </w:pPr>
          </w:p>
        </w:tc>
        <w:tc>
          <w:tcPr>
            <w:tcW w:w="2569" w:type="dxa"/>
            <w:tcBorders>
              <w:top w:val="nil"/>
              <w:left w:val="nil"/>
              <w:bottom w:val="nil"/>
              <w:right w:val="nil"/>
            </w:tcBorders>
            <w:shd w:val="clear" w:color="auto" w:fill="auto"/>
            <w:noWrap/>
            <w:vAlign w:val="center"/>
            <w:hideMark/>
          </w:tcPr>
          <w:p w14:paraId="2EE33127" w14:textId="77777777" w:rsidR="003C54E1" w:rsidRPr="003E3766" w:rsidRDefault="003C54E1" w:rsidP="002E1C2E">
            <w:pPr>
              <w:rPr>
                <w:rFonts w:ascii="Times New Roman" w:hAnsi="Times New Roman"/>
                <w:sz w:val="20"/>
              </w:rPr>
            </w:pPr>
          </w:p>
        </w:tc>
      </w:tr>
      <w:tr w:rsidR="003C54E1" w:rsidRPr="003E3766" w14:paraId="4C70550E" w14:textId="77777777" w:rsidTr="00125323">
        <w:trPr>
          <w:trHeight w:val="285"/>
          <w:jc w:val="center"/>
        </w:trPr>
        <w:tc>
          <w:tcPr>
            <w:tcW w:w="815" w:type="dxa"/>
            <w:tcBorders>
              <w:top w:val="nil"/>
              <w:left w:val="nil"/>
              <w:bottom w:val="nil"/>
              <w:right w:val="nil"/>
            </w:tcBorders>
            <w:shd w:val="clear" w:color="000000" w:fill="13B5EA"/>
            <w:noWrap/>
            <w:vAlign w:val="center"/>
            <w:hideMark/>
          </w:tcPr>
          <w:p w14:paraId="4D93B248" w14:textId="77777777" w:rsidR="003C54E1" w:rsidRPr="003E3766" w:rsidRDefault="003C54E1" w:rsidP="002E1C2E">
            <w:pPr>
              <w:jc w:val="center"/>
              <w:rPr>
                <w:b/>
                <w:color w:val="FFFFFF"/>
                <w:sz w:val="20"/>
              </w:rPr>
            </w:pPr>
            <w:r w:rsidRPr="003E3766">
              <w:rPr>
                <w:b/>
                <w:color w:val="FFFFFF"/>
                <w:sz w:val="20"/>
              </w:rPr>
              <w:t>Článok</w:t>
            </w:r>
          </w:p>
        </w:tc>
        <w:tc>
          <w:tcPr>
            <w:tcW w:w="751" w:type="dxa"/>
            <w:tcBorders>
              <w:top w:val="nil"/>
              <w:left w:val="nil"/>
              <w:bottom w:val="nil"/>
              <w:right w:val="nil"/>
            </w:tcBorders>
            <w:shd w:val="clear" w:color="000000" w:fill="13B5EA"/>
            <w:noWrap/>
            <w:vAlign w:val="center"/>
            <w:hideMark/>
          </w:tcPr>
          <w:p w14:paraId="362B64C6" w14:textId="77777777" w:rsidR="003C54E1" w:rsidRPr="003E3766" w:rsidRDefault="003C54E1" w:rsidP="002E1C2E">
            <w:pPr>
              <w:jc w:val="center"/>
              <w:rPr>
                <w:b/>
                <w:color w:val="FFFFFF"/>
                <w:sz w:val="20"/>
              </w:rPr>
            </w:pPr>
            <w:r w:rsidRPr="003E3766">
              <w:rPr>
                <w:b/>
                <w:color w:val="FFFFFF"/>
                <w:sz w:val="20"/>
              </w:rPr>
              <w:t>Odsek</w:t>
            </w:r>
          </w:p>
        </w:tc>
        <w:tc>
          <w:tcPr>
            <w:tcW w:w="5031" w:type="dxa"/>
            <w:gridSpan w:val="2"/>
            <w:tcBorders>
              <w:top w:val="nil"/>
              <w:left w:val="nil"/>
              <w:bottom w:val="nil"/>
              <w:right w:val="nil"/>
            </w:tcBorders>
            <w:shd w:val="clear" w:color="000000" w:fill="13B5EA"/>
            <w:noWrap/>
            <w:vAlign w:val="center"/>
            <w:hideMark/>
          </w:tcPr>
          <w:p w14:paraId="39C5D9FF" w14:textId="77777777" w:rsidR="003C54E1" w:rsidRPr="003E3766" w:rsidRDefault="003C54E1" w:rsidP="002E1C2E">
            <w:pPr>
              <w:ind w:firstLineChars="100" w:firstLine="201"/>
              <w:rPr>
                <w:b/>
                <w:color w:val="FFFFFF"/>
                <w:sz w:val="20"/>
              </w:rPr>
            </w:pPr>
            <w:r w:rsidRPr="003E3766">
              <w:rPr>
                <w:b/>
                <w:color w:val="FFFFFF"/>
                <w:sz w:val="20"/>
              </w:rPr>
              <w:t>Znenie ústavného zákona</w:t>
            </w:r>
          </w:p>
        </w:tc>
        <w:tc>
          <w:tcPr>
            <w:tcW w:w="1963" w:type="dxa"/>
            <w:tcBorders>
              <w:top w:val="nil"/>
              <w:left w:val="nil"/>
              <w:bottom w:val="nil"/>
              <w:right w:val="nil"/>
            </w:tcBorders>
            <w:shd w:val="clear" w:color="000000" w:fill="13B5EA"/>
            <w:noWrap/>
            <w:vAlign w:val="center"/>
            <w:hideMark/>
          </w:tcPr>
          <w:p w14:paraId="7648CBD9" w14:textId="77777777" w:rsidR="003C54E1" w:rsidRPr="003E3766" w:rsidRDefault="003C54E1" w:rsidP="002E1C2E">
            <w:pPr>
              <w:jc w:val="center"/>
              <w:rPr>
                <w:b/>
                <w:color w:val="FFFFFF"/>
                <w:sz w:val="20"/>
              </w:rPr>
            </w:pPr>
            <w:r w:rsidRPr="003E3766">
              <w:rPr>
                <w:b/>
                <w:color w:val="FFFFFF"/>
                <w:sz w:val="20"/>
              </w:rPr>
              <w:t>Plnenie</w:t>
            </w:r>
          </w:p>
        </w:tc>
        <w:tc>
          <w:tcPr>
            <w:tcW w:w="2569" w:type="dxa"/>
            <w:tcBorders>
              <w:top w:val="nil"/>
              <w:left w:val="nil"/>
              <w:bottom w:val="nil"/>
              <w:right w:val="nil"/>
            </w:tcBorders>
            <w:shd w:val="clear" w:color="000000" w:fill="13B5EA"/>
            <w:noWrap/>
            <w:vAlign w:val="center"/>
            <w:hideMark/>
          </w:tcPr>
          <w:p w14:paraId="61C13738" w14:textId="77777777" w:rsidR="003C54E1" w:rsidRPr="003E3766" w:rsidRDefault="003C54E1" w:rsidP="002E1C2E">
            <w:pPr>
              <w:rPr>
                <w:b/>
                <w:color w:val="FFFFFF"/>
                <w:sz w:val="20"/>
              </w:rPr>
            </w:pPr>
            <w:r w:rsidRPr="003E3766">
              <w:rPr>
                <w:b/>
                <w:color w:val="FFFFFF"/>
                <w:sz w:val="20"/>
              </w:rPr>
              <w:t>Poznámky</w:t>
            </w:r>
          </w:p>
        </w:tc>
      </w:tr>
      <w:tr w:rsidR="003C54E1" w:rsidRPr="003E3766" w14:paraId="54D10771"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0C7BE1A4" w14:textId="77777777" w:rsidR="003C54E1" w:rsidRPr="003E3766" w:rsidRDefault="003C54E1" w:rsidP="002E1C2E">
            <w:pPr>
              <w:ind w:firstLineChars="100" w:firstLine="180"/>
              <w:rPr>
                <w:color w:val="000000"/>
                <w:sz w:val="18"/>
                <w:szCs w:val="18"/>
              </w:rPr>
            </w:pPr>
            <w:r w:rsidRPr="003E3766">
              <w:rPr>
                <w:color w:val="000000"/>
                <w:sz w:val="18"/>
                <w:szCs w:val="18"/>
              </w:rPr>
              <w:t>8</w:t>
            </w:r>
          </w:p>
        </w:tc>
        <w:tc>
          <w:tcPr>
            <w:tcW w:w="751" w:type="dxa"/>
            <w:tcBorders>
              <w:top w:val="nil"/>
              <w:left w:val="nil"/>
              <w:bottom w:val="nil"/>
              <w:right w:val="nil"/>
            </w:tcBorders>
            <w:shd w:val="clear" w:color="auto" w:fill="auto"/>
            <w:noWrap/>
            <w:vAlign w:val="center"/>
            <w:hideMark/>
          </w:tcPr>
          <w:p w14:paraId="078C051B" w14:textId="77777777" w:rsidR="003C54E1" w:rsidRPr="003E3766" w:rsidRDefault="003C54E1" w:rsidP="002E1C2E">
            <w:pPr>
              <w:jc w:val="center"/>
              <w:rPr>
                <w:color w:val="000000"/>
                <w:sz w:val="18"/>
                <w:szCs w:val="18"/>
              </w:rPr>
            </w:pPr>
            <w:r w:rsidRPr="003E3766">
              <w:rPr>
                <w:color w:val="000000"/>
                <w:sz w:val="18"/>
                <w:szCs w:val="18"/>
              </w:rPr>
              <w:t>(1)</w:t>
            </w:r>
          </w:p>
        </w:tc>
        <w:tc>
          <w:tcPr>
            <w:tcW w:w="5031" w:type="dxa"/>
            <w:gridSpan w:val="2"/>
            <w:vMerge w:val="restart"/>
            <w:tcBorders>
              <w:top w:val="nil"/>
              <w:left w:val="nil"/>
              <w:bottom w:val="nil"/>
              <w:right w:val="nil"/>
            </w:tcBorders>
            <w:shd w:val="clear" w:color="auto" w:fill="auto"/>
            <w:vAlign w:val="center"/>
            <w:hideMark/>
          </w:tcPr>
          <w:p w14:paraId="21AC9CF3" w14:textId="77777777" w:rsidR="003C54E1" w:rsidRPr="003E3766" w:rsidRDefault="003C54E1" w:rsidP="002E1C2E">
            <w:pPr>
              <w:jc w:val="both"/>
              <w:rPr>
                <w:color w:val="000000" w:themeColor="text1"/>
                <w:sz w:val="18"/>
                <w:szCs w:val="18"/>
              </w:rPr>
            </w:pPr>
            <w:r w:rsidRPr="003E3766">
              <w:rPr>
                <w:color w:val="000000" w:themeColor="text1"/>
                <w:sz w:val="18"/>
                <w:szCs w:val="18"/>
              </w:rPr>
              <w:t>Za účelom zvýšenia transparentnosti v procese zostavovania rozpočtu verejnej správy sa zriaďujú Výbor pre daňové prognózy a Výbor pre makroekonomické prognózy (ďalej len „výbory“). Výbory sú poradnými orgánmi ministra financií.</w:t>
            </w:r>
          </w:p>
        </w:tc>
        <w:tc>
          <w:tcPr>
            <w:tcW w:w="1963" w:type="dxa"/>
            <w:tcBorders>
              <w:top w:val="nil"/>
              <w:left w:val="nil"/>
              <w:bottom w:val="nil"/>
              <w:right w:val="nil"/>
            </w:tcBorders>
            <w:shd w:val="clear" w:color="auto" w:fill="auto"/>
            <w:noWrap/>
            <w:vAlign w:val="center"/>
            <w:hideMark/>
          </w:tcPr>
          <w:p w14:paraId="760DDC55" w14:textId="77777777" w:rsidR="003C54E1" w:rsidRPr="003E3766" w:rsidRDefault="003C54E1" w:rsidP="002E1C2E">
            <w:pPr>
              <w:jc w:val="center"/>
              <w:rPr>
                <w:b/>
                <w:color w:val="13B5EA"/>
                <w:sz w:val="18"/>
                <w:szCs w:val="18"/>
              </w:rPr>
            </w:pPr>
            <w:r w:rsidRPr="003E3766">
              <w:rPr>
                <w:b/>
                <w:color w:val="13B5EA"/>
                <w:sz w:val="18"/>
                <w:szCs w:val="18"/>
              </w:rPr>
              <w:t>splnené</w:t>
            </w:r>
          </w:p>
        </w:tc>
        <w:tc>
          <w:tcPr>
            <w:tcW w:w="2569" w:type="dxa"/>
            <w:tcBorders>
              <w:top w:val="nil"/>
              <w:left w:val="nil"/>
              <w:bottom w:val="nil"/>
              <w:right w:val="nil"/>
            </w:tcBorders>
            <w:shd w:val="clear" w:color="auto" w:fill="auto"/>
            <w:noWrap/>
            <w:vAlign w:val="center"/>
            <w:hideMark/>
          </w:tcPr>
          <w:p w14:paraId="0CCAA2B7" w14:textId="77777777" w:rsidR="003C54E1" w:rsidRPr="003E3766" w:rsidRDefault="003C54E1" w:rsidP="002E1C2E">
            <w:pPr>
              <w:jc w:val="center"/>
              <w:rPr>
                <w:b/>
                <w:color w:val="13B5EA"/>
                <w:sz w:val="18"/>
                <w:szCs w:val="18"/>
              </w:rPr>
            </w:pPr>
          </w:p>
        </w:tc>
      </w:tr>
      <w:tr w:rsidR="003C54E1" w:rsidRPr="003E3766" w14:paraId="657EED2D"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72176665" w14:textId="77777777" w:rsidR="003C54E1" w:rsidRPr="003E3766" w:rsidRDefault="003C54E1" w:rsidP="002E1C2E">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06C0238F" w14:textId="77777777" w:rsidR="003C54E1" w:rsidRPr="003E3766" w:rsidRDefault="003C54E1" w:rsidP="002E1C2E">
            <w:pPr>
              <w:ind w:firstLineChars="100" w:firstLine="200"/>
              <w:rPr>
                <w:rFonts w:ascii="Times New Roman" w:hAnsi="Times New Roman"/>
                <w:sz w:val="20"/>
              </w:rPr>
            </w:pPr>
          </w:p>
        </w:tc>
        <w:tc>
          <w:tcPr>
            <w:tcW w:w="5031" w:type="dxa"/>
            <w:gridSpan w:val="2"/>
            <w:vMerge/>
            <w:tcBorders>
              <w:top w:val="nil"/>
              <w:left w:val="nil"/>
              <w:bottom w:val="nil"/>
              <w:right w:val="nil"/>
            </w:tcBorders>
            <w:vAlign w:val="center"/>
            <w:hideMark/>
          </w:tcPr>
          <w:p w14:paraId="1420E9F6" w14:textId="77777777" w:rsidR="003C54E1" w:rsidRPr="003E3766" w:rsidRDefault="003C54E1" w:rsidP="002E1C2E">
            <w:pPr>
              <w:rPr>
                <w:color w:val="000000" w:themeColor="text1"/>
                <w:sz w:val="18"/>
                <w:szCs w:val="18"/>
              </w:rPr>
            </w:pPr>
          </w:p>
        </w:tc>
        <w:tc>
          <w:tcPr>
            <w:tcW w:w="1963" w:type="dxa"/>
            <w:tcBorders>
              <w:top w:val="nil"/>
              <w:left w:val="nil"/>
              <w:bottom w:val="nil"/>
              <w:right w:val="nil"/>
            </w:tcBorders>
            <w:shd w:val="clear" w:color="auto" w:fill="auto"/>
            <w:noWrap/>
            <w:vAlign w:val="center"/>
            <w:hideMark/>
          </w:tcPr>
          <w:p w14:paraId="4DBC4102" w14:textId="77777777" w:rsidR="003C54E1" w:rsidRPr="003E3766" w:rsidRDefault="003C54E1" w:rsidP="002E1C2E">
            <w:pPr>
              <w:jc w:val="center"/>
              <w:rPr>
                <w:rFonts w:ascii="Times New Roman" w:hAnsi="Times New Roman"/>
                <w:sz w:val="20"/>
              </w:rPr>
            </w:pPr>
          </w:p>
        </w:tc>
        <w:tc>
          <w:tcPr>
            <w:tcW w:w="2569" w:type="dxa"/>
            <w:tcBorders>
              <w:top w:val="nil"/>
              <w:left w:val="nil"/>
              <w:bottom w:val="nil"/>
              <w:right w:val="nil"/>
            </w:tcBorders>
            <w:shd w:val="clear" w:color="auto" w:fill="auto"/>
            <w:noWrap/>
            <w:vAlign w:val="center"/>
            <w:hideMark/>
          </w:tcPr>
          <w:p w14:paraId="4A16BDDF" w14:textId="77777777" w:rsidR="003C54E1" w:rsidRPr="003E3766" w:rsidRDefault="003C54E1" w:rsidP="002E1C2E">
            <w:pPr>
              <w:jc w:val="center"/>
              <w:rPr>
                <w:rFonts w:ascii="Times New Roman" w:hAnsi="Times New Roman"/>
                <w:sz w:val="20"/>
              </w:rPr>
            </w:pPr>
          </w:p>
        </w:tc>
      </w:tr>
      <w:tr w:rsidR="003C54E1" w:rsidRPr="003E3766" w14:paraId="2D00A139"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515DB708" w14:textId="77777777" w:rsidR="003C54E1" w:rsidRPr="003E3766" w:rsidRDefault="003C54E1" w:rsidP="002E1C2E">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13438606" w14:textId="77777777" w:rsidR="003C54E1" w:rsidRPr="003E3766" w:rsidRDefault="003C54E1" w:rsidP="002E1C2E">
            <w:pPr>
              <w:jc w:val="center"/>
              <w:rPr>
                <w:color w:val="000000"/>
                <w:sz w:val="18"/>
                <w:szCs w:val="18"/>
              </w:rPr>
            </w:pPr>
            <w:r w:rsidRPr="003E3766">
              <w:rPr>
                <w:color w:val="000000"/>
                <w:sz w:val="18"/>
                <w:szCs w:val="18"/>
              </w:rPr>
              <w:t>(2)</w:t>
            </w:r>
          </w:p>
        </w:tc>
        <w:tc>
          <w:tcPr>
            <w:tcW w:w="5031" w:type="dxa"/>
            <w:gridSpan w:val="2"/>
            <w:vMerge w:val="restart"/>
            <w:tcBorders>
              <w:top w:val="nil"/>
              <w:left w:val="nil"/>
              <w:bottom w:val="single" w:sz="4" w:space="0" w:color="13B5EA"/>
              <w:right w:val="nil"/>
            </w:tcBorders>
            <w:shd w:val="clear" w:color="auto" w:fill="auto"/>
            <w:vAlign w:val="center"/>
            <w:hideMark/>
          </w:tcPr>
          <w:p w14:paraId="20795F09" w14:textId="77777777" w:rsidR="003C54E1" w:rsidRPr="003E3766" w:rsidRDefault="003C54E1" w:rsidP="002E1C2E">
            <w:pPr>
              <w:jc w:val="both"/>
              <w:rPr>
                <w:color w:val="000000" w:themeColor="text1"/>
                <w:sz w:val="18"/>
                <w:szCs w:val="18"/>
              </w:rPr>
            </w:pPr>
            <w:r w:rsidRPr="003E3766">
              <w:rPr>
                <w:color w:val="000000" w:themeColor="text1"/>
                <w:sz w:val="18"/>
                <w:szCs w:val="18"/>
              </w:rPr>
              <w:t>Výbor pre daňové prognózy najmenej dvakrát ročne vypracúva prognózy daňových a odvodových príjmov, a to do 15. februára bežného rozpočtového roka a do 30. júna bežného rozpočtového roka. Výbor pre makroekonomické prognózy najmenej dvakrát ročne vypracúva prognózy vývoja makroekonomiky, a to do 15. februára bežného rozpočtového roka a do 30. júna bežného rozpočtového roka.</w:t>
            </w:r>
          </w:p>
        </w:tc>
        <w:tc>
          <w:tcPr>
            <w:tcW w:w="1963" w:type="dxa"/>
            <w:tcBorders>
              <w:top w:val="nil"/>
              <w:left w:val="nil"/>
              <w:bottom w:val="nil"/>
              <w:right w:val="nil"/>
            </w:tcBorders>
            <w:shd w:val="clear" w:color="auto" w:fill="auto"/>
            <w:noWrap/>
            <w:vAlign w:val="center"/>
            <w:hideMark/>
          </w:tcPr>
          <w:p w14:paraId="6B3FA15A" w14:textId="77777777" w:rsidR="003C54E1" w:rsidRPr="003E3766" w:rsidRDefault="003C54E1" w:rsidP="002E1C2E">
            <w:pPr>
              <w:jc w:val="center"/>
              <w:rPr>
                <w:b/>
                <w:color w:val="13B5EA"/>
                <w:sz w:val="18"/>
                <w:szCs w:val="18"/>
              </w:rPr>
            </w:pPr>
            <w:r w:rsidRPr="003E3766">
              <w:rPr>
                <w:b/>
                <w:color w:val="13B5EA"/>
                <w:sz w:val="18"/>
                <w:szCs w:val="18"/>
              </w:rPr>
              <w:t>splnené</w:t>
            </w:r>
          </w:p>
        </w:tc>
        <w:tc>
          <w:tcPr>
            <w:tcW w:w="2569" w:type="dxa"/>
            <w:tcBorders>
              <w:top w:val="nil"/>
              <w:left w:val="nil"/>
              <w:bottom w:val="nil"/>
              <w:right w:val="nil"/>
            </w:tcBorders>
            <w:shd w:val="clear" w:color="auto" w:fill="auto"/>
            <w:noWrap/>
            <w:vAlign w:val="center"/>
            <w:hideMark/>
          </w:tcPr>
          <w:p w14:paraId="031DE5AC" w14:textId="77777777" w:rsidR="003C54E1" w:rsidRPr="003E3766" w:rsidRDefault="003C54E1" w:rsidP="002E1C2E">
            <w:pPr>
              <w:jc w:val="center"/>
              <w:rPr>
                <w:b/>
                <w:color w:val="13B5EA"/>
                <w:sz w:val="18"/>
                <w:szCs w:val="18"/>
              </w:rPr>
            </w:pPr>
          </w:p>
        </w:tc>
      </w:tr>
      <w:tr w:rsidR="003C54E1" w:rsidRPr="003E3766" w14:paraId="67F24C8B"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0C35C1DB" w14:textId="77777777" w:rsidR="003C54E1" w:rsidRPr="003E3766" w:rsidRDefault="003C54E1" w:rsidP="002E1C2E">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055AB73E" w14:textId="77777777" w:rsidR="003C54E1" w:rsidRPr="003E3766" w:rsidRDefault="003C54E1" w:rsidP="002E1C2E">
            <w:pPr>
              <w:ind w:firstLineChars="100" w:firstLine="200"/>
              <w:rPr>
                <w:rFonts w:ascii="Times New Roman" w:hAnsi="Times New Roman"/>
                <w:sz w:val="20"/>
              </w:rPr>
            </w:pPr>
          </w:p>
        </w:tc>
        <w:tc>
          <w:tcPr>
            <w:tcW w:w="5031" w:type="dxa"/>
            <w:gridSpan w:val="2"/>
            <w:vMerge/>
            <w:tcBorders>
              <w:top w:val="nil"/>
              <w:left w:val="nil"/>
              <w:bottom w:val="nil"/>
              <w:right w:val="nil"/>
            </w:tcBorders>
            <w:vAlign w:val="center"/>
            <w:hideMark/>
          </w:tcPr>
          <w:p w14:paraId="04348059" w14:textId="77777777" w:rsidR="003C54E1" w:rsidRPr="003E3766" w:rsidRDefault="003C54E1" w:rsidP="002E1C2E">
            <w:pPr>
              <w:rPr>
                <w:color w:val="000000" w:themeColor="text1"/>
                <w:sz w:val="18"/>
                <w:szCs w:val="18"/>
              </w:rPr>
            </w:pPr>
          </w:p>
        </w:tc>
        <w:tc>
          <w:tcPr>
            <w:tcW w:w="1963" w:type="dxa"/>
            <w:tcBorders>
              <w:top w:val="nil"/>
              <w:left w:val="nil"/>
              <w:bottom w:val="nil"/>
              <w:right w:val="nil"/>
            </w:tcBorders>
            <w:shd w:val="clear" w:color="auto" w:fill="auto"/>
            <w:noWrap/>
            <w:vAlign w:val="center"/>
            <w:hideMark/>
          </w:tcPr>
          <w:p w14:paraId="6D2C79FF" w14:textId="77777777" w:rsidR="003C54E1" w:rsidRPr="003E3766" w:rsidRDefault="003C54E1" w:rsidP="002E1C2E">
            <w:pPr>
              <w:jc w:val="center"/>
              <w:rPr>
                <w:rFonts w:ascii="Times New Roman" w:hAnsi="Times New Roman"/>
                <w:sz w:val="20"/>
              </w:rPr>
            </w:pPr>
          </w:p>
        </w:tc>
        <w:tc>
          <w:tcPr>
            <w:tcW w:w="2569" w:type="dxa"/>
            <w:tcBorders>
              <w:top w:val="nil"/>
              <w:left w:val="nil"/>
              <w:bottom w:val="nil"/>
              <w:right w:val="nil"/>
            </w:tcBorders>
            <w:shd w:val="clear" w:color="auto" w:fill="auto"/>
            <w:noWrap/>
            <w:vAlign w:val="center"/>
            <w:hideMark/>
          </w:tcPr>
          <w:p w14:paraId="5E511728" w14:textId="77777777" w:rsidR="003C54E1" w:rsidRPr="003E3766" w:rsidRDefault="003C54E1" w:rsidP="002E1C2E">
            <w:pPr>
              <w:jc w:val="center"/>
              <w:rPr>
                <w:rFonts w:ascii="Times New Roman" w:hAnsi="Times New Roman"/>
                <w:sz w:val="20"/>
              </w:rPr>
            </w:pPr>
          </w:p>
        </w:tc>
      </w:tr>
      <w:tr w:rsidR="003C54E1" w:rsidRPr="003E3766" w14:paraId="0BCE706D"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556F69BB" w14:textId="77777777" w:rsidR="003C54E1" w:rsidRPr="003E3766" w:rsidRDefault="003C54E1" w:rsidP="002E1C2E">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2E3800BA" w14:textId="77777777" w:rsidR="003C54E1" w:rsidRPr="003E3766" w:rsidRDefault="003C54E1" w:rsidP="002E1C2E">
            <w:pPr>
              <w:ind w:firstLineChars="100" w:firstLine="200"/>
              <w:rPr>
                <w:rFonts w:ascii="Times New Roman" w:hAnsi="Times New Roman"/>
                <w:sz w:val="20"/>
              </w:rPr>
            </w:pPr>
          </w:p>
        </w:tc>
        <w:tc>
          <w:tcPr>
            <w:tcW w:w="5031" w:type="dxa"/>
            <w:gridSpan w:val="2"/>
            <w:vMerge/>
            <w:tcBorders>
              <w:top w:val="nil"/>
              <w:left w:val="nil"/>
              <w:bottom w:val="nil"/>
              <w:right w:val="nil"/>
            </w:tcBorders>
            <w:vAlign w:val="center"/>
            <w:hideMark/>
          </w:tcPr>
          <w:p w14:paraId="3580B896" w14:textId="77777777" w:rsidR="003C54E1" w:rsidRPr="003E3766" w:rsidRDefault="003C54E1" w:rsidP="002E1C2E">
            <w:pPr>
              <w:rPr>
                <w:color w:val="000000" w:themeColor="text1"/>
                <w:sz w:val="18"/>
                <w:szCs w:val="18"/>
              </w:rPr>
            </w:pPr>
          </w:p>
        </w:tc>
        <w:tc>
          <w:tcPr>
            <w:tcW w:w="1963" w:type="dxa"/>
            <w:tcBorders>
              <w:top w:val="nil"/>
              <w:left w:val="nil"/>
              <w:bottom w:val="nil"/>
              <w:right w:val="nil"/>
            </w:tcBorders>
            <w:shd w:val="clear" w:color="auto" w:fill="auto"/>
            <w:noWrap/>
            <w:vAlign w:val="center"/>
            <w:hideMark/>
          </w:tcPr>
          <w:p w14:paraId="2636243E" w14:textId="77777777" w:rsidR="003C54E1" w:rsidRPr="003E3766" w:rsidRDefault="003C54E1" w:rsidP="002E1C2E">
            <w:pPr>
              <w:jc w:val="center"/>
              <w:rPr>
                <w:rFonts w:ascii="Times New Roman" w:hAnsi="Times New Roman"/>
                <w:sz w:val="20"/>
              </w:rPr>
            </w:pPr>
          </w:p>
        </w:tc>
        <w:tc>
          <w:tcPr>
            <w:tcW w:w="2569" w:type="dxa"/>
            <w:tcBorders>
              <w:top w:val="nil"/>
              <w:left w:val="nil"/>
              <w:bottom w:val="nil"/>
              <w:right w:val="nil"/>
            </w:tcBorders>
            <w:shd w:val="clear" w:color="auto" w:fill="auto"/>
            <w:noWrap/>
            <w:vAlign w:val="center"/>
            <w:hideMark/>
          </w:tcPr>
          <w:p w14:paraId="06191886" w14:textId="77777777" w:rsidR="003C54E1" w:rsidRPr="003E3766" w:rsidRDefault="003C54E1" w:rsidP="002E1C2E">
            <w:pPr>
              <w:jc w:val="center"/>
              <w:rPr>
                <w:rFonts w:ascii="Times New Roman" w:hAnsi="Times New Roman"/>
                <w:sz w:val="20"/>
              </w:rPr>
            </w:pPr>
          </w:p>
        </w:tc>
      </w:tr>
      <w:tr w:rsidR="003C54E1" w:rsidRPr="003E3766" w14:paraId="756D3F7F"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09BBAB5D" w14:textId="77777777" w:rsidR="003C54E1" w:rsidRPr="003E3766" w:rsidRDefault="003C54E1" w:rsidP="002E1C2E">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7FA9D73D" w14:textId="77777777" w:rsidR="003C54E1" w:rsidRPr="003E3766" w:rsidRDefault="003C54E1" w:rsidP="002E1C2E">
            <w:pPr>
              <w:ind w:firstLineChars="100" w:firstLine="200"/>
              <w:rPr>
                <w:rFonts w:ascii="Times New Roman" w:hAnsi="Times New Roman"/>
                <w:sz w:val="20"/>
              </w:rPr>
            </w:pPr>
          </w:p>
        </w:tc>
        <w:tc>
          <w:tcPr>
            <w:tcW w:w="5031" w:type="dxa"/>
            <w:gridSpan w:val="2"/>
            <w:vMerge/>
            <w:tcBorders>
              <w:top w:val="nil"/>
              <w:left w:val="nil"/>
              <w:bottom w:val="nil"/>
              <w:right w:val="nil"/>
            </w:tcBorders>
            <w:vAlign w:val="center"/>
            <w:hideMark/>
          </w:tcPr>
          <w:p w14:paraId="31B331CD" w14:textId="77777777" w:rsidR="003C54E1" w:rsidRPr="003E3766" w:rsidRDefault="003C54E1" w:rsidP="002E1C2E">
            <w:pPr>
              <w:rPr>
                <w:color w:val="000000" w:themeColor="text1"/>
                <w:sz w:val="18"/>
                <w:szCs w:val="18"/>
              </w:rPr>
            </w:pPr>
          </w:p>
        </w:tc>
        <w:tc>
          <w:tcPr>
            <w:tcW w:w="1963" w:type="dxa"/>
            <w:tcBorders>
              <w:top w:val="nil"/>
              <w:left w:val="nil"/>
              <w:bottom w:val="nil"/>
              <w:right w:val="nil"/>
            </w:tcBorders>
            <w:shd w:val="clear" w:color="auto" w:fill="auto"/>
            <w:noWrap/>
            <w:vAlign w:val="center"/>
            <w:hideMark/>
          </w:tcPr>
          <w:p w14:paraId="428A5C04" w14:textId="77777777" w:rsidR="003C54E1" w:rsidRPr="003E3766" w:rsidRDefault="003C54E1" w:rsidP="002E1C2E">
            <w:pPr>
              <w:jc w:val="center"/>
              <w:rPr>
                <w:rFonts w:ascii="Times New Roman" w:hAnsi="Times New Roman"/>
                <w:sz w:val="20"/>
              </w:rPr>
            </w:pPr>
          </w:p>
        </w:tc>
        <w:tc>
          <w:tcPr>
            <w:tcW w:w="2569" w:type="dxa"/>
            <w:tcBorders>
              <w:top w:val="nil"/>
              <w:left w:val="nil"/>
              <w:bottom w:val="single" w:sz="4" w:space="0" w:color="13B5EA"/>
              <w:right w:val="nil"/>
            </w:tcBorders>
            <w:shd w:val="clear" w:color="auto" w:fill="auto"/>
            <w:noWrap/>
            <w:vAlign w:val="center"/>
            <w:hideMark/>
          </w:tcPr>
          <w:p w14:paraId="50F8D76D" w14:textId="77777777" w:rsidR="003C54E1" w:rsidRPr="003E3766" w:rsidRDefault="003C54E1" w:rsidP="002E1C2E">
            <w:pPr>
              <w:jc w:val="center"/>
              <w:rPr>
                <w:rFonts w:ascii="Times New Roman" w:hAnsi="Times New Roman"/>
                <w:sz w:val="20"/>
              </w:rPr>
            </w:pPr>
          </w:p>
        </w:tc>
      </w:tr>
      <w:tr w:rsidR="003C54E1" w:rsidRPr="003E3766" w14:paraId="2DA106D6" w14:textId="77777777" w:rsidTr="00125323">
        <w:trPr>
          <w:trHeight w:val="285"/>
          <w:jc w:val="center"/>
        </w:trPr>
        <w:tc>
          <w:tcPr>
            <w:tcW w:w="815" w:type="dxa"/>
            <w:tcBorders>
              <w:top w:val="single" w:sz="4" w:space="0" w:color="13B5EA"/>
              <w:left w:val="nil"/>
              <w:bottom w:val="nil"/>
              <w:right w:val="nil"/>
            </w:tcBorders>
            <w:shd w:val="clear" w:color="auto" w:fill="auto"/>
            <w:noWrap/>
            <w:vAlign w:val="center"/>
            <w:hideMark/>
          </w:tcPr>
          <w:p w14:paraId="7B29CF3D" w14:textId="77777777" w:rsidR="003C54E1" w:rsidRPr="003E3766" w:rsidRDefault="003C54E1" w:rsidP="002E1C2E">
            <w:pPr>
              <w:ind w:firstLineChars="100" w:firstLine="180"/>
              <w:rPr>
                <w:color w:val="000000"/>
                <w:sz w:val="18"/>
                <w:szCs w:val="18"/>
              </w:rPr>
            </w:pPr>
            <w:r w:rsidRPr="003E3766">
              <w:rPr>
                <w:color w:val="000000"/>
                <w:sz w:val="18"/>
                <w:szCs w:val="18"/>
              </w:rPr>
              <w:t>9</w:t>
            </w:r>
          </w:p>
        </w:tc>
        <w:tc>
          <w:tcPr>
            <w:tcW w:w="751" w:type="dxa"/>
            <w:tcBorders>
              <w:top w:val="single" w:sz="4" w:space="0" w:color="13B5EA"/>
              <w:left w:val="nil"/>
              <w:bottom w:val="nil"/>
              <w:right w:val="nil"/>
            </w:tcBorders>
            <w:shd w:val="clear" w:color="auto" w:fill="auto"/>
            <w:noWrap/>
            <w:vAlign w:val="center"/>
            <w:hideMark/>
          </w:tcPr>
          <w:p w14:paraId="0E004AC7" w14:textId="77777777" w:rsidR="003C54E1" w:rsidRPr="003E3766" w:rsidRDefault="003C54E1" w:rsidP="002E1C2E">
            <w:pPr>
              <w:jc w:val="center"/>
              <w:rPr>
                <w:color w:val="000000"/>
                <w:sz w:val="18"/>
                <w:szCs w:val="18"/>
              </w:rPr>
            </w:pPr>
            <w:r w:rsidRPr="003E3766">
              <w:rPr>
                <w:color w:val="000000"/>
                <w:sz w:val="18"/>
                <w:szCs w:val="18"/>
              </w:rPr>
              <w:t>(1)</w:t>
            </w:r>
          </w:p>
        </w:tc>
        <w:tc>
          <w:tcPr>
            <w:tcW w:w="5031" w:type="dxa"/>
            <w:gridSpan w:val="2"/>
            <w:vMerge w:val="restart"/>
            <w:tcBorders>
              <w:top w:val="single" w:sz="4" w:space="0" w:color="13B5EA"/>
              <w:left w:val="nil"/>
              <w:bottom w:val="nil"/>
              <w:right w:val="nil"/>
            </w:tcBorders>
            <w:shd w:val="clear" w:color="auto" w:fill="auto"/>
            <w:vAlign w:val="center"/>
            <w:hideMark/>
          </w:tcPr>
          <w:p w14:paraId="3C417242" w14:textId="5B6D8876" w:rsidR="003C54E1" w:rsidRPr="003E3766" w:rsidRDefault="003C54E1" w:rsidP="002E1C2E">
            <w:pPr>
              <w:jc w:val="both"/>
              <w:rPr>
                <w:color w:val="000000" w:themeColor="text1"/>
                <w:sz w:val="18"/>
                <w:szCs w:val="18"/>
              </w:rPr>
            </w:pPr>
            <w:r w:rsidRPr="003E3766">
              <w:rPr>
                <w:color w:val="000000" w:themeColor="text1"/>
                <w:sz w:val="18"/>
                <w:szCs w:val="18"/>
              </w:rPr>
              <w:t>Subjekty verejnej správy sú povinné zostavovať svoj rozpočet najmenej na tri rozpočtové roky, pričom súčasťou návrhu rozpočtu je aj schválený rozpočet na bežný rozpočtový rok, údaje o očakávanej skutočnosti bežného rozpočtového roka a</w:t>
            </w:r>
            <w:r w:rsidR="001A33CC" w:rsidRPr="003E3766">
              <w:rPr>
                <w:color w:val="000000" w:themeColor="text1"/>
                <w:sz w:val="18"/>
                <w:szCs w:val="18"/>
              </w:rPr>
              <w:t> </w:t>
            </w:r>
            <w:r w:rsidRPr="003E3766">
              <w:rPr>
                <w:color w:val="000000" w:themeColor="text1"/>
                <w:sz w:val="18"/>
                <w:szCs w:val="18"/>
              </w:rPr>
              <w:t>údaje o skutočnom plnení rozpočtu za predchádzajúce dva rozpočtové roky. Subjekty verejnej správy zohľadňujú pri zostavení svojho rozpočtu prognózy zverejnené ministerstvom financií podľa odseku 3.</w:t>
            </w:r>
          </w:p>
        </w:tc>
        <w:tc>
          <w:tcPr>
            <w:tcW w:w="1963" w:type="dxa"/>
            <w:tcBorders>
              <w:top w:val="single" w:sz="4" w:space="0" w:color="13B5EA"/>
              <w:left w:val="nil"/>
              <w:bottom w:val="nil"/>
              <w:right w:val="nil"/>
            </w:tcBorders>
            <w:shd w:val="clear" w:color="auto" w:fill="auto"/>
            <w:noWrap/>
            <w:vAlign w:val="center"/>
            <w:hideMark/>
          </w:tcPr>
          <w:p w14:paraId="35C93022" w14:textId="77777777" w:rsidR="003C54E1" w:rsidRPr="003E3766" w:rsidRDefault="003C54E1" w:rsidP="002E1C2E">
            <w:pPr>
              <w:jc w:val="center"/>
              <w:rPr>
                <w:b/>
                <w:color w:val="00B0F0"/>
                <w:sz w:val="18"/>
                <w:szCs w:val="18"/>
              </w:rPr>
            </w:pPr>
            <w:r w:rsidRPr="003E3766">
              <w:rPr>
                <w:b/>
                <w:color w:val="00B0F0"/>
                <w:sz w:val="18"/>
                <w:szCs w:val="18"/>
              </w:rPr>
              <w:t>splnené</w:t>
            </w:r>
          </w:p>
        </w:tc>
        <w:tc>
          <w:tcPr>
            <w:tcW w:w="2569" w:type="dxa"/>
            <w:vMerge w:val="restart"/>
            <w:tcBorders>
              <w:top w:val="single" w:sz="4" w:space="0" w:color="13B5EA"/>
              <w:left w:val="nil"/>
              <w:bottom w:val="nil"/>
              <w:right w:val="nil"/>
            </w:tcBorders>
            <w:shd w:val="clear" w:color="auto" w:fill="auto"/>
            <w:vAlign w:val="center"/>
            <w:hideMark/>
          </w:tcPr>
          <w:p w14:paraId="0248603F" w14:textId="5E26E191" w:rsidR="003C54E1" w:rsidRPr="003E3766" w:rsidRDefault="00DA1893" w:rsidP="005B1494">
            <w:pPr>
              <w:jc w:val="both"/>
              <w:rPr>
                <w:color w:val="000000"/>
                <w:sz w:val="18"/>
                <w:szCs w:val="18"/>
              </w:rPr>
            </w:pPr>
            <w:r w:rsidRPr="003E3766">
              <w:rPr>
                <w:color w:val="000000"/>
                <w:sz w:val="18"/>
                <w:szCs w:val="18"/>
              </w:rPr>
              <w:t>S</w:t>
            </w:r>
            <w:r w:rsidR="003C54E1" w:rsidRPr="003E3766">
              <w:rPr>
                <w:color w:val="000000"/>
                <w:sz w:val="18"/>
                <w:szCs w:val="18"/>
              </w:rPr>
              <w:t xml:space="preserve">plnené </w:t>
            </w:r>
            <w:r w:rsidR="001F4750" w:rsidRPr="003E3766">
              <w:rPr>
                <w:color w:val="000000"/>
                <w:sz w:val="18"/>
                <w:szCs w:val="18"/>
              </w:rPr>
              <w:t>za</w:t>
            </w:r>
            <w:r w:rsidR="003C54E1" w:rsidRPr="003E3766">
              <w:rPr>
                <w:color w:val="000000"/>
                <w:sz w:val="18"/>
                <w:szCs w:val="18"/>
              </w:rPr>
              <w:t xml:space="preserve"> verejnú správu ako celok (rozpočet verejnej správy). </w:t>
            </w:r>
          </w:p>
        </w:tc>
      </w:tr>
      <w:tr w:rsidR="003C54E1" w:rsidRPr="003E3766" w14:paraId="24F810B5"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15901132" w14:textId="77777777" w:rsidR="003C54E1" w:rsidRPr="003E3766" w:rsidRDefault="003C54E1" w:rsidP="002E1C2E">
            <w:pPr>
              <w:rPr>
                <w:color w:val="000000"/>
                <w:sz w:val="18"/>
                <w:szCs w:val="18"/>
              </w:rPr>
            </w:pPr>
          </w:p>
        </w:tc>
        <w:tc>
          <w:tcPr>
            <w:tcW w:w="751" w:type="dxa"/>
            <w:tcBorders>
              <w:top w:val="nil"/>
              <w:left w:val="nil"/>
              <w:bottom w:val="nil"/>
              <w:right w:val="nil"/>
            </w:tcBorders>
            <w:shd w:val="clear" w:color="auto" w:fill="auto"/>
            <w:noWrap/>
            <w:vAlign w:val="center"/>
            <w:hideMark/>
          </w:tcPr>
          <w:p w14:paraId="52F0604A" w14:textId="77777777" w:rsidR="003C54E1" w:rsidRPr="003E3766" w:rsidRDefault="003C54E1" w:rsidP="002E1C2E">
            <w:pPr>
              <w:ind w:firstLineChars="100" w:firstLine="200"/>
              <w:rPr>
                <w:rFonts w:ascii="Times New Roman" w:hAnsi="Times New Roman"/>
                <w:sz w:val="20"/>
              </w:rPr>
            </w:pPr>
          </w:p>
        </w:tc>
        <w:tc>
          <w:tcPr>
            <w:tcW w:w="5031" w:type="dxa"/>
            <w:gridSpan w:val="2"/>
            <w:vMerge/>
            <w:tcBorders>
              <w:top w:val="nil"/>
              <w:left w:val="nil"/>
              <w:bottom w:val="nil"/>
              <w:right w:val="nil"/>
            </w:tcBorders>
            <w:vAlign w:val="center"/>
            <w:hideMark/>
          </w:tcPr>
          <w:p w14:paraId="6AAAC867" w14:textId="77777777" w:rsidR="003C54E1" w:rsidRPr="003E3766" w:rsidRDefault="003C54E1" w:rsidP="002E1C2E">
            <w:pPr>
              <w:rPr>
                <w:color w:val="000000" w:themeColor="text1"/>
                <w:sz w:val="18"/>
                <w:szCs w:val="18"/>
              </w:rPr>
            </w:pPr>
          </w:p>
        </w:tc>
        <w:tc>
          <w:tcPr>
            <w:tcW w:w="1963" w:type="dxa"/>
            <w:tcBorders>
              <w:top w:val="nil"/>
              <w:left w:val="nil"/>
              <w:bottom w:val="nil"/>
              <w:right w:val="nil"/>
            </w:tcBorders>
            <w:shd w:val="clear" w:color="auto" w:fill="auto"/>
            <w:noWrap/>
            <w:vAlign w:val="center"/>
            <w:hideMark/>
          </w:tcPr>
          <w:p w14:paraId="34D7093C" w14:textId="77777777" w:rsidR="003C54E1" w:rsidRPr="003E3766" w:rsidRDefault="003C54E1" w:rsidP="002E1C2E">
            <w:pPr>
              <w:jc w:val="center"/>
              <w:rPr>
                <w:rFonts w:ascii="Times New Roman" w:hAnsi="Times New Roman"/>
                <w:sz w:val="20"/>
              </w:rPr>
            </w:pPr>
          </w:p>
        </w:tc>
        <w:tc>
          <w:tcPr>
            <w:tcW w:w="2569" w:type="dxa"/>
            <w:vMerge/>
            <w:tcBorders>
              <w:top w:val="single" w:sz="4" w:space="0" w:color="13B5EA"/>
              <w:left w:val="nil"/>
              <w:bottom w:val="nil"/>
              <w:right w:val="nil"/>
            </w:tcBorders>
            <w:vAlign w:val="center"/>
            <w:hideMark/>
          </w:tcPr>
          <w:p w14:paraId="388A1944" w14:textId="77777777" w:rsidR="003C54E1" w:rsidRPr="003E3766" w:rsidRDefault="003C54E1" w:rsidP="005B1494">
            <w:pPr>
              <w:jc w:val="both"/>
              <w:rPr>
                <w:color w:val="000000"/>
                <w:sz w:val="18"/>
                <w:szCs w:val="18"/>
              </w:rPr>
            </w:pPr>
          </w:p>
        </w:tc>
      </w:tr>
      <w:tr w:rsidR="003C54E1" w:rsidRPr="003E3766" w14:paraId="58913A73"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5BA5C2C6" w14:textId="77777777" w:rsidR="003C54E1" w:rsidRPr="003E3766" w:rsidRDefault="003C54E1" w:rsidP="002E1C2E">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012E09AA" w14:textId="77777777" w:rsidR="003C54E1" w:rsidRPr="003E3766" w:rsidRDefault="003C54E1" w:rsidP="002E1C2E">
            <w:pPr>
              <w:ind w:firstLineChars="100" w:firstLine="200"/>
              <w:rPr>
                <w:rFonts w:ascii="Times New Roman" w:hAnsi="Times New Roman"/>
                <w:sz w:val="20"/>
              </w:rPr>
            </w:pPr>
          </w:p>
        </w:tc>
        <w:tc>
          <w:tcPr>
            <w:tcW w:w="5031" w:type="dxa"/>
            <w:gridSpan w:val="2"/>
            <w:vMerge/>
            <w:tcBorders>
              <w:top w:val="nil"/>
              <w:left w:val="nil"/>
              <w:bottom w:val="nil"/>
              <w:right w:val="nil"/>
            </w:tcBorders>
            <w:vAlign w:val="center"/>
            <w:hideMark/>
          </w:tcPr>
          <w:p w14:paraId="5E35692A" w14:textId="77777777" w:rsidR="003C54E1" w:rsidRPr="003E3766" w:rsidRDefault="003C54E1" w:rsidP="002E1C2E">
            <w:pPr>
              <w:rPr>
                <w:color w:val="000000" w:themeColor="text1"/>
                <w:sz w:val="18"/>
                <w:szCs w:val="18"/>
              </w:rPr>
            </w:pPr>
          </w:p>
        </w:tc>
        <w:tc>
          <w:tcPr>
            <w:tcW w:w="1963" w:type="dxa"/>
            <w:tcBorders>
              <w:top w:val="nil"/>
              <w:left w:val="nil"/>
              <w:bottom w:val="nil"/>
              <w:right w:val="nil"/>
            </w:tcBorders>
            <w:shd w:val="clear" w:color="auto" w:fill="auto"/>
            <w:noWrap/>
            <w:vAlign w:val="center"/>
            <w:hideMark/>
          </w:tcPr>
          <w:p w14:paraId="4210691E" w14:textId="77777777" w:rsidR="003C54E1" w:rsidRPr="003E3766" w:rsidRDefault="003C54E1" w:rsidP="002E1C2E">
            <w:pPr>
              <w:jc w:val="center"/>
              <w:rPr>
                <w:rFonts w:ascii="Times New Roman" w:hAnsi="Times New Roman"/>
                <w:sz w:val="20"/>
              </w:rPr>
            </w:pPr>
          </w:p>
        </w:tc>
        <w:tc>
          <w:tcPr>
            <w:tcW w:w="2569" w:type="dxa"/>
            <w:vMerge/>
            <w:tcBorders>
              <w:top w:val="single" w:sz="4" w:space="0" w:color="13B5EA"/>
              <w:left w:val="nil"/>
              <w:right w:val="nil"/>
            </w:tcBorders>
            <w:vAlign w:val="center"/>
            <w:hideMark/>
          </w:tcPr>
          <w:p w14:paraId="0A9D88AE" w14:textId="77777777" w:rsidR="003C54E1" w:rsidRPr="003E3766" w:rsidRDefault="003C54E1" w:rsidP="005B1494">
            <w:pPr>
              <w:jc w:val="both"/>
              <w:rPr>
                <w:color w:val="000000"/>
                <w:sz w:val="18"/>
                <w:szCs w:val="18"/>
              </w:rPr>
            </w:pPr>
          </w:p>
        </w:tc>
      </w:tr>
      <w:tr w:rsidR="003C54E1" w:rsidRPr="003E3766" w14:paraId="335FD993"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567C334E" w14:textId="77777777" w:rsidR="003C54E1" w:rsidRPr="003E3766" w:rsidRDefault="003C54E1" w:rsidP="002E1C2E">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75C915E4" w14:textId="77777777" w:rsidR="003C54E1" w:rsidRPr="003E3766" w:rsidRDefault="003C54E1" w:rsidP="002E1C2E">
            <w:pPr>
              <w:ind w:firstLineChars="100" w:firstLine="200"/>
              <w:rPr>
                <w:rFonts w:ascii="Times New Roman" w:hAnsi="Times New Roman"/>
                <w:sz w:val="20"/>
              </w:rPr>
            </w:pPr>
          </w:p>
        </w:tc>
        <w:tc>
          <w:tcPr>
            <w:tcW w:w="5031" w:type="dxa"/>
            <w:gridSpan w:val="2"/>
            <w:vMerge/>
            <w:tcBorders>
              <w:top w:val="nil"/>
              <w:left w:val="nil"/>
              <w:bottom w:val="nil"/>
              <w:right w:val="nil"/>
            </w:tcBorders>
            <w:vAlign w:val="center"/>
            <w:hideMark/>
          </w:tcPr>
          <w:p w14:paraId="3E59D4DF" w14:textId="77777777" w:rsidR="003C54E1" w:rsidRPr="003E3766" w:rsidRDefault="003C54E1" w:rsidP="002E1C2E">
            <w:pPr>
              <w:rPr>
                <w:color w:val="000000" w:themeColor="text1"/>
                <w:sz w:val="18"/>
                <w:szCs w:val="18"/>
              </w:rPr>
            </w:pPr>
          </w:p>
        </w:tc>
        <w:tc>
          <w:tcPr>
            <w:tcW w:w="1963" w:type="dxa"/>
            <w:tcBorders>
              <w:top w:val="nil"/>
              <w:left w:val="nil"/>
              <w:right w:val="nil"/>
            </w:tcBorders>
            <w:shd w:val="clear" w:color="auto" w:fill="auto"/>
            <w:noWrap/>
            <w:vAlign w:val="center"/>
            <w:hideMark/>
          </w:tcPr>
          <w:p w14:paraId="17485165" w14:textId="77777777" w:rsidR="003C54E1" w:rsidRPr="003E3766" w:rsidRDefault="003C54E1" w:rsidP="002E1C2E">
            <w:pPr>
              <w:jc w:val="center"/>
              <w:rPr>
                <w:rFonts w:ascii="Times New Roman" w:hAnsi="Times New Roman"/>
                <w:sz w:val="20"/>
              </w:rPr>
            </w:pPr>
          </w:p>
        </w:tc>
        <w:tc>
          <w:tcPr>
            <w:tcW w:w="2569" w:type="dxa"/>
            <w:tcBorders>
              <w:left w:val="nil"/>
              <w:bottom w:val="nil"/>
              <w:right w:val="nil"/>
            </w:tcBorders>
            <w:vAlign w:val="center"/>
            <w:hideMark/>
          </w:tcPr>
          <w:p w14:paraId="4C675620" w14:textId="77777777" w:rsidR="003C54E1" w:rsidRPr="003E3766" w:rsidRDefault="003C54E1" w:rsidP="005B1494">
            <w:pPr>
              <w:jc w:val="both"/>
              <w:rPr>
                <w:color w:val="000000"/>
                <w:sz w:val="18"/>
                <w:szCs w:val="18"/>
              </w:rPr>
            </w:pPr>
          </w:p>
        </w:tc>
      </w:tr>
      <w:tr w:rsidR="003C54E1" w:rsidRPr="003E3766" w14:paraId="266D2AAF" w14:textId="77777777" w:rsidTr="002778C2">
        <w:trPr>
          <w:trHeight w:val="285"/>
          <w:jc w:val="center"/>
        </w:trPr>
        <w:tc>
          <w:tcPr>
            <w:tcW w:w="815" w:type="dxa"/>
            <w:tcBorders>
              <w:top w:val="nil"/>
              <w:left w:val="nil"/>
              <w:bottom w:val="nil"/>
              <w:right w:val="nil"/>
            </w:tcBorders>
            <w:shd w:val="clear" w:color="auto" w:fill="auto"/>
            <w:noWrap/>
            <w:vAlign w:val="center"/>
            <w:hideMark/>
          </w:tcPr>
          <w:p w14:paraId="7F2AAEF8" w14:textId="77777777" w:rsidR="003C54E1" w:rsidRPr="003E3766" w:rsidRDefault="003C54E1" w:rsidP="002E1C2E">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238766BE" w14:textId="77777777" w:rsidR="003C54E1" w:rsidRPr="003E3766" w:rsidRDefault="003C54E1" w:rsidP="002E1C2E">
            <w:pPr>
              <w:jc w:val="center"/>
              <w:rPr>
                <w:color w:val="000000"/>
                <w:sz w:val="18"/>
                <w:szCs w:val="18"/>
              </w:rPr>
            </w:pPr>
            <w:r w:rsidRPr="003E3766">
              <w:rPr>
                <w:color w:val="000000"/>
                <w:sz w:val="18"/>
                <w:szCs w:val="18"/>
              </w:rPr>
              <w:t>(2)</w:t>
            </w:r>
          </w:p>
        </w:tc>
        <w:tc>
          <w:tcPr>
            <w:tcW w:w="5031" w:type="dxa"/>
            <w:gridSpan w:val="2"/>
            <w:vMerge w:val="restart"/>
            <w:tcBorders>
              <w:top w:val="nil"/>
              <w:left w:val="nil"/>
              <w:bottom w:val="nil"/>
              <w:right w:val="nil"/>
            </w:tcBorders>
            <w:shd w:val="clear" w:color="auto" w:fill="auto"/>
            <w:vAlign w:val="center"/>
            <w:hideMark/>
          </w:tcPr>
          <w:p w14:paraId="1C7D4A3D" w14:textId="1CDF9588" w:rsidR="003C54E1" w:rsidRPr="003E3766" w:rsidRDefault="003C54E1" w:rsidP="002E1C2E">
            <w:pPr>
              <w:jc w:val="both"/>
              <w:rPr>
                <w:color w:val="000000" w:themeColor="text1"/>
                <w:sz w:val="18"/>
                <w:szCs w:val="18"/>
              </w:rPr>
            </w:pPr>
            <w:r w:rsidRPr="003E3766">
              <w:rPr>
                <w:color w:val="000000" w:themeColor="text1"/>
                <w:sz w:val="18"/>
                <w:szCs w:val="18"/>
              </w:rPr>
              <w:t>Subjekty verejnej správy sú povinné zverejňovať údaje o</w:t>
            </w:r>
            <w:r w:rsidR="001A33CC" w:rsidRPr="003E3766">
              <w:rPr>
                <w:color w:val="000000" w:themeColor="text1"/>
                <w:sz w:val="18"/>
                <w:szCs w:val="18"/>
              </w:rPr>
              <w:t> </w:t>
            </w:r>
            <w:r w:rsidRPr="003E3766">
              <w:rPr>
                <w:color w:val="000000" w:themeColor="text1"/>
                <w:sz w:val="18"/>
                <w:szCs w:val="18"/>
              </w:rPr>
              <w:t>rozpočte podľa odseku 1 do 30 dní po schválení ich rozpočtu a</w:t>
            </w:r>
            <w:r w:rsidR="001A33CC" w:rsidRPr="003E3766">
              <w:rPr>
                <w:color w:val="000000" w:themeColor="text1"/>
                <w:sz w:val="18"/>
                <w:szCs w:val="18"/>
              </w:rPr>
              <w:t> </w:t>
            </w:r>
            <w:r w:rsidRPr="003E3766">
              <w:rPr>
                <w:color w:val="000000" w:themeColor="text1"/>
                <w:sz w:val="18"/>
                <w:szCs w:val="18"/>
              </w:rPr>
              <w:t>do 60 dní po skončení rozpočtového roka.</w:t>
            </w:r>
          </w:p>
        </w:tc>
        <w:tc>
          <w:tcPr>
            <w:tcW w:w="1963" w:type="dxa"/>
            <w:vMerge w:val="restart"/>
            <w:tcBorders>
              <w:top w:val="nil"/>
              <w:left w:val="nil"/>
              <w:right w:val="nil"/>
            </w:tcBorders>
            <w:shd w:val="clear" w:color="000000" w:fill="auto"/>
            <w:noWrap/>
            <w:vAlign w:val="center"/>
            <w:hideMark/>
          </w:tcPr>
          <w:p w14:paraId="0D95B704" w14:textId="5060733B" w:rsidR="003C54E1" w:rsidRPr="00671634" w:rsidRDefault="00E67798" w:rsidP="002E1C2E">
            <w:pPr>
              <w:jc w:val="center"/>
              <w:rPr>
                <w:b/>
                <w:color w:val="13B5EA"/>
                <w:sz w:val="18"/>
                <w:szCs w:val="18"/>
              </w:rPr>
            </w:pPr>
            <w:r w:rsidRPr="00671634">
              <w:rPr>
                <w:b/>
                <w:sz w:val="18"/>
                <w:szCs w:val="18"/>
              </w:rPr>
              <w:t>n</w:t>
            </w:r>
            <w:r w:rsidR="00DA1893" w:rsidRPr="00671634">
              <w:rPr>
                <w:b/>
                <w:sz w:val="18"/>
                <w:szCs w:val="18"/>
              </w:rPr>
              <w:t>ehodnotené</w:t>
            </w:r>
          </w:p>
        </w:tc>
        <w:tc>
          <w:tcPr>
            <w:tcW w:w="2569" w:type="dxa"/>
            <w:vMerge w:val="restart"/>
            <w:tcBorders>
              <w:left w:val="nil"/>
              <w:right w:val="nil"/>
            </w:tcBorders>
            <w:vAlign w:val="center"/>
            <w:hideMark/>
          </w:tcPr>
          <w:p w14:paraId="439AD86A" w14:textId="66AAF15F" w:rsidR="003C54E1" w:rsidRPr="00671634" w:rsidRDefault="00DA1893" w:rsidP="005B1494">
            <w:pPr>
              <w:jc w:val="both"/>
              <w:rPr>
                <w:color w:val="000000"/>
                <w:sz w:val="18"/>
                <w:szCs w:val="18"/>
              </w:rPr>
            </w:pPr>
            <w:r w:rsidRPr="00671634">
              <w:rPr>
                <w:color w:val="000000"/>
                <w:sz w:val="18"/>
                <w:szCs w:val="18"/>
              </w:rPr>
              <w:t xml:space="preserve">RRZ z kapacitných dôvodov </w:t>
            </w:r>
            <w:r w:rsidR="00671634" w:rsidRPr="001B7F1A">
              <w:rPr>
                <w:color w:val="000000"/>
                <w:sz w:val="18"/>
                <w:szCs w:val="18"/>
              </w:rPr>
              <w:t>nesled</w:t>
            </w:r>
            <w:r w:rsidR="00671634" w:rsidRPr="00671634">
              <w:rPr>
                <w:color w:val="000000"/>
                <w:sz w:val="18"/>
                <w:szCs w:val="18"/>
              </w:rPr>
              <w:t xml:space="preserve">uje </w:t>
            </w:r>
            <w:r w:rsidRPr="00671634">
              <w:rPr>
                <w:color w:val="000000"/>
                <w:sz w:val="18"/>
                <w:szCs w:val="18"/>
              </w:rPr>
              <w:t xml:space="preserve">splnenie povinnosti za každý subjekt. </w:t>
            </w:r>
          </w:p>
        </w:tc>
      </w:tr>
      <w:tr w:rsidR="003C54E1" w:rsidRPr="003E3766" w14:paraId="3FCDA103" w14:textId="77777777" w:rsidTr="002778C2">
        <w:trPr>
          <w:trHeight w:val="285"/>
          <w:jc w:val="center"/>
        </w:trPr>
        <w:tc>
          <w:tcPr>
            <w:tcW w:w="815" w:type="dxa"/>
            <w:tcBorders>
              <w:top w:val="nil"/>
              <w:left w:val="nil"/>
              <w:bottom w:val="nil"/>
              <w:right w:val="nil"/>
            </w:tcBorders>
            <w:shd w:val="clear" w:color="auto" w:fill="auto"/>
            <w:noWrap/>
            <w:vAlign w:val="center"/>
            <w:hideMark/>
          </w:tcPr>
          <w:p w14:paraId="450B3CB0" w14:textId="77777777" w:rsidR="003C54E1" w:rsidRPr="003E3766" w:rsidRDefault="003C54E1" w:rsidP="002E1C2E">
            <w:pPr>
              <w:jc w:val="center"/>
              <w:rPr>
                <w:b/>
                <w:color w:val="13B5EA"/>
                <w:sz w:val="18"/>
                <w:szCs w:val="18"/>
              </w:rPr>
            </w:pPr>
          </w:p>
        </w:tc>
        <w:tc>
          <w:tcPr>
            <w:tcW w:w="751" w:type="dxa"/>
            <w:tcBorders>
              <w:top w:val="nil"/>
              <w:left w:val="nil"/>
              <w:bottom w:val="nil"/>
              <w:right w:val="nil"/>
            </w:tcBorders>
            <w:shd w:val="clear" w:color="auto" w:fill="auto"/>
            <w:noWrap/>
            <w:vAlign w:val="center"/>
            <w:hideMark/>
          </w:tcPr>
          <w:p w14:paraId="5B23FFDB" w14:textId="77777777" w:rsidR="003C54E1" w:rsidRPr="003E3766" w:rsidRDefault="003C54E1" w:rsidP="002E1C2E">
            <w:pPr>
              <w:jc w:val="center"/>
              <w:rPr>
                <w:rFonts w:ascii="Times New Roman" w:hAnsi="Times New Roman"/>
                <w:sz w:val="20"/>
              </w:rPr>
            </w:pPr>
          </w:p>
        </w:tc>
        <w:tc>
          <w:tcPr>
            <w:tcW w:w="5031" w:type="dxa"/>
            <w:gridSpan w:val="2"/>
            <w:vMerge/>
            <w:tcBorders>
              <w:top w:val="nil"/>
              <w:left w:val="nil"/>
              <w:bottom w:val="nil"/>
              <w:right w:val="nil"/>
            </w:tcBorders>
            <w:vAlign w:val="center"/>
            <w:hideMark/>
          </w:tcPr>
          <w:p w14:paraId="0F1B5F2F" w14:textId="77777777" w:rsidR="003C54E1" w:rsidRPr="003E3766" w:rsidRDefault="003C54E1" w:rsidP="002E1C2E">
            <w:pPr>
              <w:rPr>
                <w:color w:val="000000" w:themeColor="text1"/>
                <w:sz w:val="18"/>
                <w:szCs w:val="18"/>
              </w:rPr>
            </w:pPr>
          </w:p>
        </w:tc>
        <w:tc>
          <w:tcPr>
            <w:tcW w:w="1963" w:type="dxa"/>
            <w:vMerge/>
            <w:tcBorders>
              <w:left w:val="nil"/>
              <w:bottom w:val="nil"/>
              <w:right w:val="nil"/>
            </w:tcBorders>
            <w:shd w:val="clear" w:color="auto" w:fill="auto"/>
            <w:noWrap/>
            <w:vAlign w:val="center"/>
            <w:hideMark/>
          </w:tcPr>
          <w:p w14:paraId="281F53C2" w14:textId="77777777" w:rsidR="003C54E1" w:rsidRPr="003E3766" w:rsidRDefault="003C54E1" w:rsidP="002E1C2E">
            <w:pPr>
              <w:jc w:val="center"/>
              <w:rPr>
                <w:rFonts w:ascii="Times New Roman" w:hAnsi="Times New Roman"/>
                <w:sz w:val="20"/>
              </w:rPr>
            </w:pPr>
          </w:p>
        </w:tc>
        <w:tc>
          <w:tcPr>
            <w:tcW w:w="2569" w:type="dxa"/>
            <w:vMerge/>
            <w:tcBorders>
              <w:left w:val="nil"/>
              <w:bottom w:val="nil"/>
              <w:right w:val="nil"/>
            </w:tcBorders>
            <w:vAlign w:val="center"/>
            <w:hideMark/>
          </w:tcPr>
          <w:p w14:paraId="54DD1078" w14:textId="77777777" w:rsidR="003C54E1" w:rsidRPr="003E3766" w:rsidRDefault="003C54E1" w:rsidP="005B1494">
            <w:pPr>
              <w:jc w:val="both"/>
              <w:rPr>
                <w:color w:val="000000"/>
                <w:sz w:val="18"/>
                <w:szCs w:val="18"/>
              </w:rPr>
            </w:pPr>
          </w:p>
        </w:tc>
      </w:tr>
      <w:tr w:rsidR="003C54E1" w:rsidRPr="003E3766" w14:paraId="747B80DC"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4EA6CCA0" w14:textId="77777777" w:rsidR="003C54E1" w:rsidRPr="003E3766" w:rsidRDefault="003C54E1" w:rsidP="002E1C2E">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7004FC79" w14:textId="77777777" w:rsidR="003C54E1" w:rsidRPr="003E3766" w:rsidRDefault="003C54E1" w:rsidP="002E1C2E">
            <w:pPr>
              <w:jc w:val="center"/>
              <w:rPr>
                <w:color w:val="000000"/>
                <w:sz w:val="18"/>
                <w:szCs w:val="18"/>
              </w:rPr>
            </w:pPr>
            <w:r w:rsidRPr="003E3766">
              <w:rPr>
                <w:color w:val="000000"/>
                <w:sz w:val="18"/>
                <w:szCs w:val="18"/>
              </w:rPr>
              <w:t xml:space="preserve"> (3)*</w:t>
            </w:r>
          </w:p>
        </w:tc>
        <w:tc>
          <w:tcPr>
            <w:tcW w:w="5031" w:type="dxa"/>
            <w:gridSpan w:val="2"/>
            <w:vMerge w:val="restart"/>
            <w:tcBorders>
              <w:top w:val="nil"/>
              <w:left w:val="nil"/>
              <w:bottom w:val="nil"/>
              <w:right w:val="nil"/>
            </w:tcBorders>
            <w:shd w:val="clear" w:color="auto" w:fill="auto"/>
            <w:vAlign w:val="center"/>
            <w:hideMark/>
          </w:tcPr>
          <w:p w14:paraId="0A56B2CF" w14:textId="77777777" w:rsidR="003C54E1" w:rsidRPr="003E3766" w:rsidRDefault="003C54E1" w:rsidP="002E1C2E">
            <w:pPr>
              <w:jc w:val="both"/>
              <w:rPr>
                <w:color w:val="000000" w:themeColor="text1"/>
                <w:sz w:val="18"/>
                <w:szCs w:val="18"/>
              </w:rPr>
            </w:pPr>
            <w:r w:rsidRPr="003E3766">
              <w:rPr>
                <w:color w:val="000000" w:themeColor="text1"/>
                <w:sz w:val="18"/>
                <w:szCs w:val="18"/>
              </w:rPr>
              <w:t>Ministerstvo financií najmenej dvakrát ročne zverejňuje prognózy vypracované výbormi podľa čl. 8 ods. 3, a to do 15. februára bežného rozpočtového roka a do 30. júna bežného rozpočtového roka.</w:t>
            </w:r>
          </w:p>
        </w:tc>
        <w:tc>
          <w:tcPr>
            <w:tcW w:w="1963" w:type="dxa"/>
            <w:tcBorders>
              <w:top w:val="nil"/>
              <w:left w:val="nil"/>
              <w:bottom w:val="nil"/>
              <w:right w:val="nil"/>
            </w:tcBorders>
            <w:shd w:val="clear" w:color="auto" w:fill="auto"/>
            <w:noWrap/>
            <w:vAlign w:val="center"/>
            <w:hideMark/>
          </w:tcPr>
          <w:p w14:paraId="3B1664A0" w14:textId="77777777" w:rsidR="003C54E1" w:rsidRPr="003E3766" w:rsidRDefault="003C54E1" w:rsidP="002E1C2E">
            <w:pPr>
              <w:jc w:val="center"/>
              <w:rPr>
                <w:b/>
                <w:color w:val="FF0000"/>
                <w:sz w:val="18"/>
                <w:szCs w:val="18"/>
              </w:rPr>
            </w:pPr>
            <w:r w:rsidRPr="003E3766">
              <w:rPr>
                <w:b/>
                <w:color w:val="13B5EA"/>
                <w:sz w:val="18"/>
                <w:szCs w:val="18"/>
              </w:rPr>
              <w:t>splnené</w:t>
            </w:r>
          </w:p>
        </w:tc>
        <w:tc>
          <w:tcPr>
            <w:tcW w:w="2569" w:type="dxa"/>
            <w:vMerge w:val="restart"/>
            <w:tcBorders>
              <w:top w:val="nil"/>
              <w:left w:val="nil"/>
              <w:bottom w:val="nil"/>
              <w:right w:val="nil"/>
            </w:tcBorders>
            <w:shd w:val="clear" w:color="auto" w:fill="auto"/>
            <w:vAlign w:val="center"/>
            <w:hideMark/>
          </w:tcPr>
          <w:p w14:paraId="651F1528" w14:textId="77777777" w:rsidR="003C54E1" w:rsidRPr="003E3766" w:rsidRDefault="003C54E1" w:rsidP="005B1494">
            <w:pPr>
              <w:jc w:val="both"/>
              <w:rPr>
                <w:color w:val="000000"/>
                <w:sz w:val="18"/>
                <w:szCs w:val="18"/>
              </w:rPr>
            </w:pPr>
          </w:p>
        </w:tc>
      </w:tr>
      <w:tr w:rsidR="003C54E1" w:rsidRPr="003E3766" w14:paraId="1EC3A47E"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410B7640" w14:textId="77777777" w:rsidR="003C54E1" w:rsidRPr="003E3766" w:rsidRDefault="003C54E1" w:rsidP="002E1C2E">
            <w:pPr>
              <w:rPr>
                <w:color w:val="000000"/>
                <w:sz w:val="18"/>
                <w:szCs w:val="18"/>
              </w:rPr>
            </w:pPr>
          </w:p>
        </w:tc>
        <w:tc>
          <w:tcPr>
            <w:tcW w:w="751" w:type="dxa"/>
            <w:tcBorders>
              <w:top w:val="nil"/>
              <w:left w:val="nil"/>
              <w:bottom w:val="nil"/>
              <w:right w:val="nil"/>
            </w:tcBorders>
            <w:shd w:val="clear" w:color="auto" w:fill="auto"/>
            <w:noWrap/>
            <w:vAlign w:val="center"/>
            <w:hideMark/>
          </w:tcPr>
          <w:p w14:paraId="6FC458AD" w14:textId="77777777" w:rsidR="003C54E1" w:rsidRPr="003E3766" w:rsidRDefault="003C54E1" w:rsidP="002E1C2E">
            <w:pPr>
              <w:jc w:val="center"/>
              <w:rPr>
                <w:rFonts w:ascii="Times New Roman" w:hAnsi="Times New Roman"/>
                <w:sz w:val="20"/>
              </w:rPr>
            </w:pPr>
          </w:p>
        </w:tc>
        <w:tc>
          <w:tcPr>
            <w:tcW w:w="5031" w:type="dxa"/>
            <w:gridSpan w:val="2"/>
            <w:vMerge/>
            <w:tcBorders>
              <w:top w:val="nil"/>
              <w:left w:val="nil"/>
              <w:bottom w:val="nil"/>
              <w:right w:val="nil"/>
            </w:tcBorders>
            <w:vAlign w:val="center"/>
            <w:hideMark/>
          </w:tcPr>
          <w:p w14:paraId="5A8AE679" w14:textId="77777777" w:rsidR="003C54E1" w:rsidRPr="003E3766" w:rsidRDefault="003C54E1" w:rsidP="002E1C2E">
            <w:pPr>
              <w:rPr>
                <w:color w:val="000000" w:themeColor="text1"/>
                <w:sz w:val="18"/>
                <w:szCs w:val="18"/>
              </w:rPr>
            </w:pPr>
          </w:p>
        </w:tc>
        <w:tc>
          <w:tcPr>
            <w:tcW w:w="1963" w:type="dxa"/>
            <w:tcBorders>
              <w:top w:val="nil"/>
              <w:left w:val="nil"/>
              <w:bottom w:val="nil"/>
              <w:right w:val="nil"/>
            </w:tcBorders>
            <w:shd w:val="clear" w:color="auto" w:fill="auto"/>
            <w:noWrap/>
            <w:vAlign w:val="center"/>
            <w:hideMark/>
          </w:tcPr>
          <w:p w14:paraId="1DB89317" w14:textId="77777777" w:rsidR="003C54E1" w:rsidRPr="003E3766" w:rsidRDefault="003C54E1" w:rsidP="002E1C2E">
            <w:pPr>
              <w:jc w:val="center"/>
              <w:rPr>
                <w:rFonts w:ascii="Times New Roman" w:hAnsi="Times New Roman"/>
                <w:sz w:val="20"/>
              </w:rPr>
            </w:pPr>
          </w:p>
        </w:tc>
        <w:tc>
          <w:tcPr>
            <w:tcW w:w="2569" w:type="dxa"/>
            <w:vMerge/>
            <w:tcBorders>
              <w:top w:val="nil"/>
              <w:left w:val="nil"/>
              <w:bottom w:val="nil"/>
              <w:right w:val="nil"/>
            </w:tcBorders>
            <w:vAlign w:val="center"/>
            <w:hideMark/>
          </w:tcPr>
          <w:p w14:paraId="4CEF98BF" w14:textId="77777777" w:rsidR="003C54E1" w:rsidRPr="003E3766" w:rsidRDefault="003C54E1" w:rsidP="005B1494">
            <w:pPr>
              <w:jc w:val="both"/>
              <w:rPr>
                <w:color w:val="000000"/>
                <w:sz w:val="18"/>
                <w:szCs w:val="18"/>
              </w:rPr>
            </w:pPr>
          </w:p>
        </w:tc>
      </w:tr>
      <w:tr w:rsidR="003C54E1" w:rsidRPr="003E3766" w14:paraId="3C4BBC86"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528A25BA" w14:textId="77777777" w:rsidR="003C54E1" w:rsidRPr="003E3766" w:rsidRDefault="003C54E1" w:rsidP="002E1C2E">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18D63401" w14:textId="77777777" w:rsidR="003C54E1" w:rsidRPr="003E3766" w:rsidRDefault="003C54E1" w:rsidP="002E1C2E">
            <w:pPr>
              <w:jc w:val="center"/>
              <w:rPr>
                <w:color w:val="000000"/>
                <w:sz w:val="18"/>
                <w:szCs w:val="18"/>
              </w:rPr>
            </w:pPr>
            <w:r w:rsidRPr="003E3766">
              <w:rPr>
                <w:color w:val="000000"/>
                <w:sz w:val="18"/>
                <w:szCs w:val="18"/>
              </w:rPr>
              <w:t>(4)</w:t>
            </w:r>
          </w:p>
        </w:tc>
        <w:tc>
          <w:tcPr>
            <w:tcW w:w="5031" w:type="dxa"/>
            <w:gridSpan w:val="2"/>
            <w:tcBorders>
              <w:top w:val="nil"/>
              <w:left w:val="nil"/>
              <w:bottom w:val="nil"/>
              <w:right w:val="nil"/>
            </w:tcBorders>
            <w:shd w:val="clear" w:color="auto" w:fill="auto"/>
            <w:noWrap/>
            <w:vAlign w:val="center"/>
            <w:hideMark/>
          </w:tcPr>
          <w:p w14:paraId="6C95BF43" w14:textId="77777777" w:rsidR="003C54E1" w:rsidRPr="003E3766" w:rsidRDefault="003C54E1" w:rsidP="002E1C2E">
            <w:pPr>
              <w:jc w:val="both"/>
              <w:rPr>
                <w:color w:val="000000" w:themeColor="text1"/>
                <w:sz w:val="18"/>
                <w:szCs w:val="18"/>
              </w:rPr>
            </w:pPr>
            <w:r w:rsidRPr="003E3766">
              <w:rPr>
                <w:color w:val="000000" w:themeColor="text1"/>
                <w:sz w:val="18"/>
                <w:szCs w:val="18"/>
              </w:rPr>
              <w:t>Rozpočet verejnej správy obsahuje okrem údajov, ktoré ustanovuje osobitný zákon,</w:t>
            </w:r>
          </w:p>
        </w:tc>
        <w:tc>
          <w:tcPr>
            <w:tcW w:w="1963" w:type="dxa"/>
            <w:tcBorders>
              <w:top w:val="nil"/>
              <w:left w:val="nil"/>
              <w:bottom w:val="nil"/>
              <w:right w:val="nil"/>
            </w:tcBorders>
            <w:shd w:val="clear" w:color="auto" w:fill="auto"/>
            <w:noWrap/>
            <w:vAlign w:val="center"/>
            <w:hideMark/>
          </w:tcPr>
          <w:p w14:paraId="47D75052" w14:textId="77777777" w:rsidR="003C54E1" w:rsidRPr="003E3766" w:rsidRDefault="003C54E1" w:rsidP="002E1C2E">
            <w:pPr>
              <w:rPr>
                <w:color w:val="000000"/>
                <w:sz w:val="18"/>
                <w:szCs w:val="18"/>
              </w:rPr>
            </w:pPr>
          </w:p>
        </w:tc>
        <w:tc>
          <w:tcPr>
            <w:tcW w:w="2569" w:type="dxa"/>
            <w:tcBorders>
              <w:top w:val="nil"/>
              <w:left w:val="nil"/>
              <w:bottom w:val="nil"/>
              <w:right w:val="nil"/>
            </w:tcBorders>
            <w:shd w:val="clear" w:color="auto" w:fill="auto"/>
            <w:noWrap/>
            <w:vAlign w:val="center"/>
            <w:hideMark/>
          </w:tcPr>
          <w:p w14:paraId="2A3131AE" w14:textId="77777777" w:rsidR="003C54E1" w:rsidRPr="003E3766" w:rsidRDefault="003C54E1" w:rsidP="005B1494">
            <w:pPr>
              <w:jc w:val="both"/>
              <w:rPr>
                <w:rFonts w:ascii="Times New Roman" w:hAnsi="Times New Roman"/>
                <w:sz w:val="20"/>
              </w:rPr>
            </w:pPr>
          </w:p>
        </w:tc>
      </w:tr>
      <w:tr w:rsidR="003C54E1" w:rsidRPr="003E3766" w14:paraId="7315BDEF"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408C3221" w14:textId="77777777" w:rsidR="003C54E1" w:rsidRPr="003E3766" w:rsidRDefault="003C54E1" w:rsidP="002E1C2E">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5D6BE079"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0E8F5C8C" w14:textId="77777777" w:rsidR="003C54E1" w:rsidRPr="003E3766" w:rsidRDefault="003C54E1" w:rsidP="002E1C2E">
            <w:pPr>
              <w:rPr>
                <w:color w:val="000000" w:themeColor="text1"/>
                <w:sz w:val="18"/>
                <w:szCs w:val="18"/>
              </w:rPr>
            </w:pPr>
            <w:r w:rsidRPr="003E3766">
              <w:rPr>
                <w:color w:val="000000" w:themeColor="text1"/>
                <w:sz w:val="18"/>
                <w:szCs w:val="18"/>
              </w:rPr>
              <w:t>(a)</w:t>
            </w:r>
          </w:p>
        </w:tc>
        <w:tc>
          <w:tcPr>
            <w:tcW w:w="4577" w:type="dxa"/>
            <w:tcBorders>
              <w:top w:val="nil"/>
              <w:left w:val="nil"/>
              <w:bottom w:val="nil"/>
              <w:right w:val="nil"/>
            </w:tcBorders>
            <w:shd w:val="clear" w:color="auto" w:fill="auto"/>
            <w:vAlign w:val="center"/>
          </w:tcPr>
          <w:p w14:paraId="2CDE317D" w14:textId="77777777" w:rsidR="003C54E1" w:rsidRPr="003E3766" w:rsidRDefault="003C54E1" w:rsidP="002E1C2E">
            <w:pPr>
              <w:jc w:val="both"/>
              <w:rPr>
                <w:color w:val="000000" w:themeColor="text1"/>
                <w:sz w:val="18"/>
                <w:szCs w:val="18"/>
              </w:rPr>
            </w:pPr>
            <w:r w:rsidRPr="003E3766">
              <w:rPr>
                <w:color w:val="000000" w:themeColor="text1"/>
                <w:sz w:val="18"/>
                <w:szCs w:val="18"/>
              </w:rPr>
              <w:t>konsolidovanú bilanciu rozpočtu verejnej správy,</w:t>
            </w:r>
          </w:p>
        </w:tc>
        <w:tc>
          <w:tcPr>
            <w:tcW w:w="1963" w:type="dxa"/>
            <w:tcBorders>
              <w:top w:val="nil"/>
              <w:left w:val="nil"/>
              <w:bottom w:val="nil"/>
              <w:right w:val="nil"/>
            </w:tcBorders>
            <w:shd w:val="clear" w:color="auto" w:fill="auto"/>
            <w:noWrap/>
            <w:vAlign w:val="center"/>
            <w:hideMark/>
          </w:tcPr>
          <w:p w14:paraId="631D5EF3" w14:textId="77777777" w:rsidR="003C54E1" w:rsidRPr="003E3766" w:rsidRDefault="003C54E1" w:rsidP="002E1C2E">
            <w:pPr>
              <w:jc w:val="center"/>
              <w:rPr>
                <w:b/>
                <w:color w:val="13B5EA"/>
                <w:sz w:val="18"/>
                <w:szCs w:val="18"/>
              </w:rPr>
            </w:pPr>
            <w:r w:rsidRPr="003E3766">
              <w:rPr>
                <w:b/>
                <w:color w:val="13B5EA"/>
                <w:sz w:val="18"/>
                <w:szCs w:val="18"/>
              </w:rPr>
              <w:t>splnené</w:t>
            </w:r>
          </w:p>
        </w:tc>
        <w:tc>
          <w:tcPr>
            <w:tcW w:w="2569" w:type="dxa"/>
            <w:tcBorders>
              <w:top w:val="nil"/>
              <w:left w:val="nil"/>
              <w:bottom w:val="nil"/>
              <w:right w:val="nil"/>
            </w:tcBorders>
            <w:shd w:val="clear" w:color="auto" w:fill="auto"/>
            <w:noWrap/>
            <w:vAlign w:val="center"/>
            <w:hideMark/>
          </w:tcPr>
          <w:p w14:paraId="78D0889C" w14:textId="5D53D4FB" w:rsidR="003C54E1" w:rsidRPr="003E3766" w:rsidRDefault="00DA30F8" w:rsidP="005B1494">
            <w:pPr>
              <w:jc w:val="both"/>
              <w:rPr>
                <w:color w:val="000000"/>
                <w:sz w:val="18"/>
                <w:szCs w:val="18"/>
              </w:rPr>
            </w:pPr>
            <w:r w:rsidRPr="003E3766">
              <w:rPr>
                <w:color w:val="000000"/>
                <w:sz w:val="18"/>
                <w:szCs w:val="18"/>
              </w:rPr>
              <w:t>Je potrebné detailnejšie členenie niektorých položiek a zabezpečenie porovnateľnosti rozpočtovaných údajov so skutočnosťou.</w:t>
            </w:r>
          </w:p>
        </w:tc>
      </w:tr>
      <w:tr w:rsidR="003C54E1" w:rsidRPr="003E3766" w14:paraId="48412C12"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24245E01" w14:textId="77777777" w:rsidR="003C54E1" w:rsidRPr="003E3766" w:rsidRDefault="003C54E1" w:rsidP="002E1C2E">
            <w:pPr>
              <w:rPr>
                <w:color w:val="000000"/>
                <w:sz w:val="18"/>
                <w:szCs w:val="18"/>
              </w:rPr>
            </w:pPr>
          </w:p>
        </w:tc>
        <w:tc>
          <w:tcPr>
            <w:tcW w:w="751" w:type="dxa"/>
            <w:tcBorders>
              <w:top w:val="nil"/>
              <w:left w:val="nil"/>
              <w:bottom w:val="nil"/>
              <w:right w:val="nil"/>
            </w:tcBorders>
            <w:shd w:val="clear" w:color="auto" w:fill="auto"/>
            <w:noWrap/>
            <w:vAlign w:val="center"/>
            <w:hideMark/>
          </w:tcPr>
          <w:p w14:paraId="223720A9"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37ECB422" w14:textId="77777777" w:rsidR="003C54E1" w:rsidRPr="003E3766" w:rsidRDefault="003C54E1" w:rsidP="002E1C2E">
            <w:pPr>
              <w:rPr>
                <w:color w:val="000000" w:themeColor="text1"/>
                <w:sz w:val="18"/>
                <w:szCs w:val="18"/>
              </w:rPr>
            </w:pPr>
            <w:r w:rsidRPr="003E3766">
              <w:rPr>
                <w:color w:val="000000" w:themeColor="text1"/>
                <w:sz w:val="18"/>
                <w:szCs w:val="18"/>
              </w:rPr>
              <w:t>(b)</w:t>
            </w:r>
          </w:p>
        </w:tc>
        <w:tc>
          <w:tcPr>
            <w:tcW w:w="4577" w:type="dxa"/>
            <w:tcBorders>
              <w:top w:val="nil"/>
              <w:left w:val="nil"/>
              <w:bottom w:val="nil"/>
              <w:right w:val="nil"/>
            </w:tcBorders>
            <w:shd w:val="clear" w:color="auto" w:fill="auto"/>
            <w:vAlign w:val="center"/>
          </w:tcPr>
          <w:p w14:paraId="0EC753CC" w14:textId="77777777" w:rsidR="003C54E1" w:rsidRPr="003E3766" w:rsidRDefault="003C54E1" w:rsidP="002E1C2E">
            <w:pPr>
              <w:rPr>
                <w:color w:val="000000" w:themeColor="text1"/>
                <w:sz w:val="18"/>
                <w:szCs w:val="18"/>
              </w:rPr>
            </w:pPr>
            <w:r w:rsidRPr="003E3766">
              <w:rPr>
                <w:color w:val="000000" w:themeColor="text1"/>
                <w:sz w:val="18"/>
                <w:szCs w:val="18"/>
              </w:rPr>
              <w:t xml:space="preserve">stratégiu riadenia štátneho dlhu </w:t>
            </w:r>
          </w:p>
        </w:tc>
        <w:tc>
          <w:tcPr>
            <w:tcW w:w="1963" w:type="dxa"/>
            <w:tcBorders>
              <w:top w:val="nil"/>
              <w:left w:val="nil"/>
              <w:bottom w:val="nil"/>
              <w:right w:val="nil"/>
            </w:tcBorders>
            <w:shd w:val="clear" w:color="auto" w:fill="auto"/>
            <w:noWrap/>
            <w:vAlign w:val="center"/>
            <w:hideMark/>
          </w:tcPr>
          <w:p w14:paraId="0FE66B9D" w14:textId="77777777" w:rsidR="003C54E1" w:rsidRPr="003E3766" w:rsidRDefault="003C54E1" w:rsidP="002E1C2E">
            <w:pPr>
              <w:jc w:val="center"/>
              <w:rPr>
                <w:b/>
                <w:color w:val="13B5EA"/>
                <w:sz w:val="18"/>
                <w:szCs w:val="18"/>
              </w:rPr>
            </w:pPr>
            <w:r w:rsidRPr="003E3766">
              <w:rPr>
                <w:b/>
                <w:color w:val="13B5EA"/>
                <w:sz w:val="18"/>
                <w:szCs w:val="18"/>
              </w:rPr>
              <w:t>splnené</w:t>
            </w:r>
          </w:p>
        </w:tc>
        <w:tc>
          <w:tcPr>
            <w:tcW w:w="2569" w:type="dxa"/>
            <w:tcBorders>
              <w:top w:val="nil"/>
              <w:left w:val="nil"/>
              <w:bottom w:val="nil"/>
              <w:right w:val="nil"/>
            </w:tcBorders>
            <w:shd w:val="clear" w:color="auto" w:fill="auto"/>
            <w:noWrap/>
            <w:vAlign w:val="center"/>
            <w:hideMark/>
          </w:tcPr>
          <w:p w14:paraId="15BB29D9" w14:textId="77777777" w:rsidR="003C54E1" w:rsidRPr="003E3766" w:rsidRDefault="003C54E1" w:rsidP="005B1494">
            <w:pPr>
              <w:jc w:val="both"/>
              <w:rPr>
                <w:color w:val="000000"/>
                <w:sz w:val="18"/>
                <w:szCs w:val="18"/>
              </w:rPr>
            </w:pPr>
          </w:p>
        </w:tc>
      </w:tr>
      <w:tr w:rsidR="003C54E1" w:rsidRPr="003E3766" w14:paraId="70E307BC"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074477E6" w14:textId="77777777" w:rsidR="003C54E1" w:rsidRPr="003E3766" w:rsidRDefault="003C54E1" w:rsidP="002E1C2E">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68B85F5C"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042F3E18" w14:textId="77777777" w:rsidR="003C54E1" w:rsidRPr="003E3766" w:rsidRDefault="003C54E1" w:rsidP="002E1C2E">
            <w:pPr>
              <w:rPr>
                <w:color w:val="000000" w:themeColor="text1"/>
                <w:sz w:val="18"/>
                <w:szCs w:val="18"/>
              </w:rPr>
            </w:pPr>
            <w:r w:rsidRPr="003E3766">
              <w:rPr>
                <w:color w:val="000000" w:themeColor="text1"/>
                <w:sz w:val="18"/>
                <w:szCs w:val="18"/>
              </w:rPr>
              <w:t>(c)</w:t>
            </w:r>
          </w:p>
        </w:tc>
        <w:tc>
          <w:tcPr>
            <w:tcW w:w="4577" w:type="dxa"/>
            <w:tcBorders>
              <w:top w:val="nil"/>
              <w:left w:val="nil"/>
              <w:bottom w:val="nil"/>
              <w:right w:val="nil"/>
            </w:tcBorders>
            <w:shd w:val="clear" w:color="auto" w:fill="auto"/>
            <w:vAlign w:val="center"/>
          </w:tcPr>
          <w:p w14:paraId="236DC0E3" w14:textId="77777777" w:rsidR="003C54E1" w:rsidRPr="003E3766" w:rsidRDefault="003C54E1" w:rsidP="002E1C2E">
            <w:pPr>
              <w:rPr>
                <w:color w:val="000000" w:themeColor="text1"/>
                <w:sz w:val="18"/>
                <w:szCs w:val="18"/>
              </w:rPr>
            </w:pPr>
            <w:r w:rsidRPr="003E3766">
              <w:rPr>
                <w:color w:val="000000" w:themeColor="text1"/>
                <w:sz w:val="18"/>
                <w:szCs w:val="18"/>
              </w:rPr>
              <w:t>údaje o daňových výdavkoch,</w:t>
            </w:r>
          </w:p>
        </w:tc>
        <w:tc>
          <w:tcPr>
            <w:tcW w:w="1963" w:type="dxa"/>
            <w:tcBorders>
              <w:top w:val="nil"/>
              <w:left w:val="nil"/>
              <w:bottom w:val="nil"/>
              <w:right w:val="nil"/>
            </w:tcBorders>
            <w:shd w:val="clear" w:color="auto" w:fill="auto"/>
            <w:noWrap/>
            <w:vAlign w:val="center"/>
          </w:tcPr>
          <w:p w14:paraId="448D97B6" w14:textId="77777777" w:rsidR="003C54E1" w:rsidRPr="003E3766" w:rsidRDefault="003C54E1" w:rsidP="002E1C2E">
            <w:pPr>
              <w:jc w:val="center"/>
              <w:rPr>
                <w:b/>
                <w:color w:val="13B5EA"/>
                <w:sz w:val="18"/>
                <w:szCs w:val="18"/>
              </w:rPr>
            </w:pPr>
            <w:r w:rsidRPr="003E3766">
              <w:rPr>
                <w:b/>
                <w:color w:val="13B5EA"/>
                <w:sz w:val="18"/>
                <w:szCs w:val="18"/>
              </w:rPr>
              <w:t>splnené</w:t>
            </w:r>
          </w:p>
        </w:tc>
        <w:tc>
          <w:tcPr>
            <w:tcW w:w="2569" w:type="dxa"/>
            <w:tcBorders>
              <w:top w:val="nil"/>
              <w:left w:val="nil"/>
              <w:bottom w:val="nil"/>
              <w:right w:val="nil"/>
            </w:tcBorders>
            <w:shd w:val="clear" w:color="auto" w:fill="auto"/>
            <w:vAlign w:val="center"/>
          </w:tcPr>
          <w:p w14:paraId="0701F364" w14:textId="7E807AB6" w:rsidR="003C54E1" w:rsidRPr="003E3766" w:rsidRDefault="003C54E1" w:rsidP="005B1494">
            <w:pPr>
              <w:jc w:val="both"/>
              <w:rPr>
                <w:color w:val="000000"/>
                <w:sz w:val="18"/>
                <w:szCs w:val="18"/>
              </w:rPr>
            </w:pPr>
          </w:p>
        </w:tc>
      </w:tr>
      <w:tr w:rsidR="003C54E1" w:rsidRPr="003E3766" w14:paraId="4F8EA6ED"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50ACB148" w14:textId="77777777" w:rsidR="003C54E1" w:rsidRPr="003E3766" w:rsidRDefault="003C54E1" w:rsidP="002E1C2E">
            <w:pPr>
              <w:rPr>
                <w:color w:val="000000"/>
                <w:sz w:val="18"/>
                <w:szCs w:val="18"/>
              </w:rPr>
            </w:pPr>
          </w:p>
        </w:tc>
        <w:tc>
          <w:tcPr>
            <w:tcW w:w="751" w:type="dxa"/>
            <w:tcBorders>
              <w:top w:val="nil"/>
              <w:left w:val="nil"/>
              <w:bottom w:val="nil"/>
              <w:right w:val="nil"/>
            </w:tcBorders>
            <w:shd w:val="clear" w:color="auto" w:fill="auto"/>
            <w:noWrap/>
            <w:vAlign w:val="center"/>
            <w:hideMark/>
          </w:tcPr>
          <w:p w14:paraId="0C19E5E9"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5895CB73" w14:textId="77777777" w:rsidR="003C54E1" w:rsidRPr="003E3766" w:rsidRDefault="003C54E1" w:rsidP="002E1C2E">
            <w:pPr>
              <w:rPr>
                <w:rFonts w:ascii="Times New Roman" w:hAnsi="Times New Roman"/>
                <w:color w:val="000000" w:themeColor="text1"/>
                <w:sz w:val="20"/>
              </w:rPr>
            </w:pPr>
            <w:r w:rsidRPr="003E3766">
              <w:rPr>
                <w:rFonts w:ascii="Times New Roman" w:hAnsi="Times New Roman"/>
                <w:color w:val="000000" w:themeColor="text1"/>
                <w:sz w:val="20"/>
              </w:rPr>
              <w:t>(d)</w:t>
            </w:r>
          </w:p>
        </w:tc>
        <w:tc>
          <w:tcPr>
            <w:tcW w:w="4577" w:type="dxa"/>
            <w:tcBorders>
              <w:top w:val="nil"/>
              <w:left w:val="nil"/>
              <w:bottom w:val="nil"/>
              <w:right w:val="nil"/>
            </w:tcBorders>
            <w:shd w:val="clear" w:color="auto" w:fill="auto"/>
            <w:vAlign w:val="center"/>
          </w:tcPr>
          <w:p w14:paraId="05AAD046" w14:textId="77777777" w:rsidR="003C54E1" w:rsidRPr="003E3766" w:rsidRDefault="003C54E1" w:rsidP="002E1C2E">
            <w:pPr>
              <w:rPr>
                <w:color w:val="000000" w:themeColor="text1"/>
                <w:sz w:val="18"/>
                <w:szCs w:val="18"/>
              </w:rPr>
            </w:pPr>
            <w:r w:rsidRPr="003E3766">
              <w:rPr>
                <w:color w:val="000000" w:themeColor="text1"/>
                <w:sz w:val="18"/>
                <w:szCs w:val="18"/>
              </w:rPr>
              <w:t>implicitných záväzkoch</w:t>
            </w:r>
          </w:p>
        </w:tc>
        <w:tc>
          <w:tcPr>
            <w:tcW w:w="1963" w:type="dxa"/>
            <w:tcBorders>
              <w:top w:val="nil"/>
              <w:left w:val="nil"/>
              <w:bottom w:val="nil"/>
              <w:right w:val="nil"/>
            </w:tcBorders>
            <w:shd w:val="clear" w:color="auto" w:fill="auto"/>
            <w:noWrap/>
            <w:vAlign w:val="center"/>
          </w:tcPr>
          <w:p w14:paraId="0504CA93" w14:textId="77777777" w:rsidR="003C54E1" w:rsidRPr="003E3766" w:rsidRDefault="003C54E1" w:rsidP="002E1C2E">
            <w:pPr>
              <w:jc w:val="center"/>
              <w:rPr>
                <w:b/>
                <w:color w:val="13B5EA"/>
                <w:sz w:val="18"/>
                <w:szCs w:val="18"/>
              </w:rPr>
            </w:pPr>
            <w:r w:rsidRPr="003E3766">
              <w:rPr>
                <w:b/>
                <w:color w:val="13B5EA"/>
                <w:sz w:val="18"/>
                <w:szCs w:val="18"/>
              </w:rPr>
              <w:t>splnené</w:t>
            </w:r>
          </w:p>
        </w:tc>
        <w:tc>
          <w:tcPr>
            <w:tcW w:w="2569" w:type="dxa"/>
            <w:tcBorders>
              <w:top w:val="nil"/>
              <w:left w:val="nil"/>
              <w:bottom w:val="nil"/>
              <w:right w:val="nil"/>
            </w:tcBorders>
            <w:shd w:val="clear" w:color="auto" w:fill="auto"/>
            <w:vAlign w:val="center"/>
            <w:hideMark/>
          </w:tcPr>
          <w:p w14:paraId="23DC2546" w14:textId="2018203B" w:rsidR="003C54E1" w:rsidRPr="003E3766" w:rsidRDefault="003C54E1" w:rsidP="005B1494">
            <w:pPr>
              <w:jc w:val="both"/>
              <w:rPr>
                <w:color w:val="000000"/>
                <w:sz w:val="18"/>
                <w:szCs w:val="18"/>
              </w:rPr>
            </w:pPr>
          </w:p>
        </w:tc>
      </w:tr>
      <w:tr w:rsidR="003C54E1" w:rsidRPr="003E3766" w14:paraId="276D8B6F" w14:textId="77777777" w:rsidTr="001A016D">
        <w:trPr>
          <w:trHeight w:val="285"/>
          <w:jc w:val="center"/>
        </w:trPr>
        <w:tc>
          <w:tcPr>
            <w:tcW w:w="815" w:type="dxa"/>
            <w:tcBorders>
              <w:top w:val="nil"/>
              <w:left w:val="nil"/>
              <w:bottom w:val="nil"/>
              <w:right w:val="nil"/>
            </w:tcBorders>
            <w:shd w:val="clear" w:color="auto" w:fill="auto"/>
            <w:noWrap/>
            <w:vAlign w:val="center"/>
            <w:hideMark/>
          </w:tcPr>
          <w:p w14:paraId="2EA6AA4A" w14:textId="77777777" w:rsidR="003C54E1" w:rsidRPr="003E3766" w:rsidRDefault="003C54E1" w:rsidP="002E1C2E">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4ADFAAB4"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01A4A2B9" w14:textId="77777777" w:rsidR="003C54E1" w:rsidRPr="003E3766" w:rsidRDefault="003C54E1" w:rsidP="002E1C2E">
            <w:pPr>
              <w:rPr>
                <w:rFonts w:ascii="Times New Roman" w:hAnsi="Times New Roman"/>
                <w:color w:val="000000" w:themeColor="text1"/>
                <w:sz w:val="20"/>
              </w:rPr>
            </w:pPr>
            <w:r w:rsidRPr="003E3766">
              <w:rPr>
                <w:rFonts w:ascii="Times New Roman" w:hAnsi="Times New Roman"/>
                <w:color w:val="000000" w:themeColor="text1"/>
                <w:sz w:val="20"/>
              </w:rPr>
              <w:t>(e)</w:t>
            </w:r>
          </w:p>
        </w:tc>
        <w:tc>
          <w:tcPr>
            <w:tcW w:w="4577" w:type="dxa"/>
            <w:tcBorders>
              <w:top w:val="nil"/>
              <w:left w:val="nil"/>
              <w:bottom w:val="nil"/>
              <w:right w:val="nil"/>
            </w:tcBorders>
            <w:shd w:val="clear" w:color="auto" w:fill="auto"/>
            <w:vAlign w:val="center"/>
            <w:hideMark/>
          </w:tcPr>
          <w:p w14:paraId="240332D4" w14:textId="77777777" w:rsidR="003C54E1" w:rsidRPr="003E3766" w:rsidRDefault="003C54E1" w:rsidP="002E1C2E">
            <w:pPr>
              <w:rPr>
                <w:rFonts w:ascii="Times New Roman" w:hAnsi="Times New Roman"/>
                <w:b/>
                <w:color w:val="000000" w:themeColor="text1"/>
                <w:sz w:val="20"/>
              </w:rPr>
            </w:pPr>
            <w:r w:rsidRPr="003E3766">
              <w:rPr>
                <w:color w:val="000000" w:themeColor="text1"/>
                <w:sz w:val="18"/>
                <w:szCs w:val="18"/>
              </w:rPr>
              <w:t>podmienených záväzkoch,</w:t>
            </w:r>
          </w:p>
        </w:tc>
        <w:tc>
          <w:tcPr>
            <w:tcW w:w="1963" w:type="dxa"/>
            <w:tcBorders>
              <w:top w:val="nil"/>
              <w:left w:val="nil"/>
              <w:bottom w:val="nil"/>
              <w:right w:val="nil"/>
            </w:tcBorders>
            <w:shd w:val="clear" w:color="auto" w:fill="auto"/>
            <w:noWrap/>
            <w:vAlign w:val="center"/>
            <w:hideMark/>
          </w:tcPr>
          <w:p w14:paraId="29C1BB85" w14:textId="453DC93E" w:rsidR="003C54E1" w:rsidRPr="003E3766" w:rsidRDefault="003C54E1" w:rsidP="00BB48C3">
            <w:pPr>
              <w:jc w:val="center"/>
              <w:rPr>
                <w:rFonts w:ascii="Times New Roman" w:hAnsi="Times New Roman"/>
                <w:sz w:val="20"/>
              </w:rPr>
            </w:pPr>
            <w:r w:rsidRPr="003E3766">
              <w:rPr>
                <w:b/>
                <w:color w:val="13B5EA"/>
                <w:sz w:val="18"/>
                <w:szCs w:val="18"/>
              </w:rPr>
              <w:t>splnené</w:t>
            </w:r>
          </w:p>
        </w:tc>
        <w:tc>
          <w:tcPr>
            <w:tcW w:w="2569" w:type="dxa"/>
            <w:tcBorders>
              <w:top w:val="nil"/>
              <w:left w:val="nil"/>
              <w:bottom w:val="nil"/>
              <w:right w:val="nil"/>
            </w:tcBorders>
            <w:shd w:val="clear" w:color="auto" w:fill="auto"/>
            <w:vAlign w:val="center"/>
          </w:tcPr>
          <w:p w14:paraId="0843ADC1" w14:textId="758680C1" w:rsidR="003C54E1" w:rsidRPr="003E3766" w:rsidRDefault="003C54E1" w:rsidP="005B1494">
            <w:pPr>
              <w:jc w:val="both"/>
              <w:rPr>
                <w:color w:val="000000"/>
                <w:sz w:val="18"/>
                <w:szCs w:val="18"/>
              </w:rPr>
            </w:pPr>
          </w:p>
        </w:tc>
      </w:tr>
      <w:tr w:rsidR="003C54E1" w:rsidRPr="003E3766" w14:paraId="14E1E4DB"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308AFA01" w14:textId="77777777" w:rsidR="003C54E1" w:rsidRPr="003E3766" w:rsidRDefault="003C54E1" w:rsidP="002E1C2E">
            <w:pPr>
              <w:jc w:val="cente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5EA5BDEF"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1774598C" w14:textId="77777777" w:rsidR="003C54E1" w:rsidRPr="003E3766" w:rsidRDefault="003C54E1" w:rsidP="002E1C2E">
            <w:pPr>
              <w:rPr>
                <w:color w:val="000000" w:themeColor="text1"/>
                <w:sz w:val="18"/>
                <w:szCs w:val="18"/>
              </w:rPr>
            </w:pPr>
            <w:r w:rsidRPr="003E3766">
              <w:rPr>
                <w:color w:val="000000" w:themeColor="text1"/>
                <w:sz w:val="18"/>
                <w:szCs w:val="18"/>
              </w:rPr>
              <w:t>(f)</w:t>
            </w:r>
          </w:p>
        </w:tc>
        <w:tc>
          <w:tcPr>
            <w:tcW w:w="4577" w:type="dxa"/>
            <w:tcBorders>
              <w:top w:val="nil"/>
              <w:left w:val="nil"/>
              <w:bottom w:val="nil"/>
              <w:right w:val="nil"/>
            </w:tcBorders>
            <w:shd w:val="clear" w:color="auto" w:fill="auto"/>
            <w:vAlign w:val="center"/>
          </w:tcPr>
          <w:p w14:paraId="659C183D" w14:textId="77777777" w:rsidR="003C54E1" w:rsidRPr="003E3766" w:rsidRDefault="003C54E1" w:rsidP="002E1C2E">
            <w:pPr>
              <w:rPr>
                <w:color w:val="000000" w:themeColor="text1"/>
                <w:sz w:val="18"/>
                <w:szCs w:val="18"/>
              </w:rPr>
            </w:pPr>
            <w:r w:rsidRPr="003E3766">
              <w:rPr>
                <w:color w:val="000000" w:themeColor="text1"/>
                <w:sz w:val="18"/>
                <w:szCs w:val="18"/>
              </w:rPr>
              <w:t>jednorazových vplyvoch</w:t>
            </w:r>
          </w:p>
        </w:tc>
        <w:tc>
          <w:tcPr>
            <w:tcW w:w="1963" w:type="dxa"/>
            <w:tcBorders>
              <w:top w:val="nil"/>
              <w:left w:val="nil"/>
              <w:bottom w:val="nil"/>
              <w:right w:val="nil"/>
            </w:tcBorders>
            <w:shd w:val="clear" w:color="auto" w:fill="auto"/>
            <w:noWrap/>
            <w:vAlign w:val="center"/>
            <w:hideMark/>
          </w:tcPr>
          <w:p w14:paraId="305AC7D5" w14:textId="77777777" w:rsidR="003C54E1" w:rsidRPr="003E3766" w:rsidRDefault="003C54E1" w:rsidP="002E1C2E">
            <w:pPr>
              <w:jc w:val="center"/>
              <w:rPr>
                <w:b/>
                <w:color w:val="13B5EA"/>
                <w:sz w:val="18"/>
                <w:szCs w:val="18"/>
              </w:rPr>
            </w:pPr>
            <w:r w:rsidRPr="003E3766">
              <w:rPr>
                <w:b/>
                <w:color w:val="13B5EA"/>
                <w:sz w:val="18"/>
                <w:szCs w:val="18"/>
              </w:rPr>
              <w:t>splnené</w:t>
            </w:r>
          </w:p>
        </w:tc>
        <w:tc>
          <w:tcPr>
            <w:tcW w:w="2569" w:type="dxa"/>
            <w:tcBorders>
              <w:top w:val="nil"/>
              <w:left w:val="nil"/>
              <w:bottom w:val="nil"/>
              <w:right w:val="nil"/>
            </w:tcBorders>
            <w:shd w:val="clear" w:color="auto" w:fill="auto"/>
            <w:noWrap/>
            <w:vAlign w:val="center"/>
            <w:hideMark/>
          </w:tcPr>
          <w:p w14:paraId="25B110E5" w14:textId="77777777" w:rsidR="003C54E1" w:rsidRPr="003E3766" w:rsidRDefault="003C54E1" w:rsidP="005B1494">
            <w:pPr>
              <w:jc w:val="both"/>
              <w:rPr>
                <w:color w:val="000000"/>
                <w:sz w:val="18"/>
                <w:szCs w:val="18"/>
              </w:rPr>
            </w:pPr>
          </w:p>
        </w:tc>
      </w:tr>
      <w:tr w:rsidR="003C54E1" w:rsidRPr="003E3766" w14:paraId="0D424843"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391559DC" w14:textId="77777777" w:rsidR="003C54E1" w:rsidRPr="003E3766" w:rsidRDefault="003C54E1" w:rsidP="002E1C2E">
            <w:pPr>
              <w:rPr>
                <w:color w:val="000000"/>
                <w:sz w:val="18"/>
                <w:szCs w:val="18"/>
              </w:rPr>
            </w:pPr>
          </w:p>
        </w:tc>
        <w:tc>
          <w:tcPr>
            <w:tcW w:w="751" w:type="dxa"/>
            <w:tcBorders>
              <w:top w:val="nil"/>
              <w:left w:val="nil"/>
              <w:bottom w:val="nil"/>
              <w:right w:val="nil"/>
            </w:tcBorders>
            <w:shd w:val="clear" w:color="auto" w:fill="auto"/>
            <w:noWrap/>
            <w:vAlign w:val="center"/>
            <w:hideMark/>
          </w:tcPr>
          <w:p w14:paraId="03251E86"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4210A6BD" w14:textId="77777777" w:rsidR="003C54E1" w:rsidRPr="003E3766" w:rsidRDefault="003C54E1" w:rsidP="002E1C2E">
            <w:pPr>
              <w:rPr>
                <w:color w:val="000000" w:themeColor="text1"/>
                <w:sz w:val="18"/>
                <w:szCs w:val="18"/>
              </w:rPr>
            </w:pPr>
            <w:r w:rsidRPr="003E3766">
              <w:rPr>
                <w:color w:val="000000" w:themeColor="text1"/>
                <w:sz w:val="18"/>
                <w:szCs w:val="18"/>
              </w:rPr>
              <w:t>(g)</w:t>
            </w:r>
          </w:p>
        </w:tc>
        <w:tc>
          <w:tcPr>
            <w:tcW w:w="4577" w:type="dxa"/>
            <w:tcBorders>
              <w:top w:val="nil"/>
              <w:left w:val="nil"/>
              <w:bottom w:val="nil"/>
              <w:right w:val="nil"/>
            </w:tcBorders>
            <w:shd w:val="clear" w:color="auto" w:fill="auto"/>
            <w:vAlign w:val="center"/>
          </w:tcPr>
          <w:p w14:paraId="13D97303" w14:textId="77777777" w:rsidR="003C54E1" w:rsidRPr="003E3766" w:rsidRDefault="003C54E1" w:rsidP="002E1C2E">
            <w:pPr>
              <w:rPr>
                <w:color w:val="000000" w:themeColor="text1"/>
                <w:sz w:val="18"/>
                <w:szCs w:val="18"/>
              </w:rPr>
            </w:pPr>
            <w:r w:rsidRPr="003E3766">
              <w:rPr>
                <w:color w:val="000000" w:themeColor="text1"/>
                <w:sz w:val="18"/>
                <w:szCs w:val="18"/>
              </w:rPr>
              <w:t>o hospodárení podnikov štátnej správy;</w:t>
            </w:r>
          </w:p>
        </w:tc>
        <w:tc>
          <w:tcPr>
            <w:tcW w:w="1963" w:type="dxa"/>
            <w:tcBorders>
              <w:top w:val="nil"/>
              <w:left w:val="nil"/>
              <w:bottom w:val="nil"/>
              <w:right w:val="nil"/>
            </w:tcBorders>
            <w:shd w:val="clear" w:color="auto" w:fill="auto"/>
            <w:noWrap/>
            <w:vAlign w:val="center"/>
            <w:hideMark/>
          </w:tcPr>
          <w:p w14:paraId="181DF61C" w14:textId="1A58BDE4" w:rsidR="003C54E1" w:rsidRPr="003E3766" w:rsidRDefault="003B6966" w:rsidP="002E1C2E">
            <w:pPr>
              <w:jc w:val="center"/>
              <w:rPr>
                <w:b/>
                <w:color w:val="13B5EA"/>
                <w:sz w:val="18"/>
                <w:szCs w:val="18"/>
              </w:rPr>
            </w:pPr>
            <w:r w:rsidRPr="004A79A6">
              <w:rPr>
                <w:b/>
                <w:sz w:val="18"/>
                <w:szCs w:val="18"/>
              </w:rPr>
              <w:t xml:space="preserve">čiastočne </w:t>
            </w:r>
            <w:r w:rsidR="003C54E1" w:rsidRPr="004A79A6">
              <w:rPr>
                <w:b/>
                <w:sz w:val="18"/>
                <w:szCs w:val="18"/>
              </w:rPr>
              <w:t>splnené</w:t>
            </w:r>
          </w:p>
        </w:tc>
        <w:tc>
          <w:tcPr>
            <w:tcW w:w="2569" w:type="dxa"/>
            <w:tcBorders>
              <w:top w:val="nil"/>
              <w:left w:val="nil"/>
              <w:bottom w:val="nil"/>
              <w:right w:val="nil"/>
            </w:tcBorders>
            <w:shd w:val="clear" w:color="auto" w:fill="auto"/>
            <w:vAlign w:val="center"/>
            <w:hideMark/>
          </w:tcPr>
          <w:p w14:paraId="5077569B" w14:textId="7AFA4AE3" w:rsidR="003C54E1" w:rsidRPr="003E3766" w:rsidRDefault="003C54E1" w:rsidP="005B1494">
            <w:pPr>
              <w:jc w:val="both"/>
              <w:rPr>
                <w:color w:val="000000"/>
                <w:sz w:val="18"/>
                <w:szCs w:val="18"/>
              </w:rPr>
            </w:pPr>
            <w:r w:rsidRPr="003E3766">
              <w:rPr>
                <w:color w:val="000000"/>
                <w:sz w:val="18"/>
                <w:szCs w:val="18"/>
              </w:rPr>
              <w:t>Chýbajú podniky s</w:t>
            </w:r>
            <w:r w:rsidR="00731CC4" w:rsidRPr="003E3766">
              <w:rPr>
                <w:color w:val="000000"/>
                <w:sz w:val="18"/>
                <w:szCs w:val="18"/>
              </w:rPr>
              <w:t> </w:t>
            </w:r>
            <w:r w:rsidRPr="003E3766">
              <w:rPr>
                <w:color w:val="000000"/>
                <w:sz w:val="18"/>
                <w:szCs w:val="18"/>
              </w:rPr>
              <w:t xml:space="preserve">účasťou </w:t>
            </w:r>
            <w:r w:rsidR="002F078E">
              <w:rPr>
                <w:color w:val="000000"/>
                <w:sz w:val="18"/>
                <w:szCs w:val="18"/>
              </w:rPr>
              <w:t>MZ SR</w:t>
            </w:r>
            <w:r w:rsidRPr="003E3766">
              <w:rPr>
                <w:color w:val="000000"/>
                <w:sz w:val="18"/>
                <w:szCs w:val="18"/>
              </w:rPr>
              <w:t xml:space="preserve"> a</w:t>
            </w:r>
            <w:r w:rsidR="00731CC4" w:rsidRPr="003E3766">
              <w:rPr>
                <w:color w:val="000000"/>
                <w:sz w:val="18"/>
                <w:szCs w:val="18"/>
              </w:rPr>
              <w:t> </w:t>
            </w:r>
            <w:r w:rsidRPr="003E3766">
              <w:rPr>
                <w:color w:val="000000"/>
                <w:sz w:val="18"/>
                <w:szCs w:val="18"/>
              </w:rPr>
              <w:t>adekvátny komentár.</w:t>
            </w:r>
          </w:p>
        </w:tc>
      </w:tr>
      <w:tr w:rsidR="00D93212" w:rsidRPr="003E3766" w14:paraId="5CA57ABF" w14:textId="77777777" w:rsidTr="006B1732">
        <w:trPr>
          <w:trHeight w:val="285"/>
          <w:jc w:val="center"/>
        </w:trPr>
        <w:tc>
          <w:tcPr>
            <w:tcW w:w="815" w:type="dxa"/>
            <w:tcBorders>
              <w:top w:val="nil"/>
              <w:left w:val="nil"/>
              <w:bottom w:val="nil"/>
              <w:right w:val="nil"/>
            </w:tcBorders>
            <w:shd w:val="clear" w:color="auto" w:fill="auto"/>
            <w:noWrap/>
            <w:vAlign w:val="center"/>
            <w:hideMark/>
          </w:tcPr>
          <w:p w14:paraId="42DADE8C" w14:textId="4B58C1D7" w:rsidR="00D93212" w:rsidRPr="003E3766" w:rsidRDefault="00D93212" w:rsidP="002E1C2E">
            <w:pPr>
              <w:rPr>
                <w:color w:val="000000"/>
                <w:sz w:val="18"/>
                <w:szCs w:val="18"/>
              </w:rPr>
            </w:pPr>
            <w:r w:rsidRPr="003E3766">
              <w:rPr>
                <w:color w:val="000000"/>
                <w:sz w:val="18"/>
                <w:szCs w:val="18"/>
              </w:rPr>
              <w:t> </w:t>
            </w:r>
          </w:p>
        </w:tc>
        <w:tc>
          <w:tcPr>
            <w:tcW w:w="751" w:type="dxa"/>
            <w:tcBorders>
              <w:top w:val="nil"/>
              <w:left w:val="nil"/>
              <w:bottom w:val="nil"/>
              <w:right w:val="nil"/>
            </w:tcBorders>
            <w:shd w:val="clear" w:color="auto" w:fill="auto"/>
            <w:noWrap/>
            <w:vAlign w:val="center"/>
            <w:hideMark/>
          </w:tcPr>
          <w:p w14:paraId="61988124" w14:textId="77777777" w:rsidR="00D93212" w:rsidRPr="003E3766" w:rsidRDefault="00D93212" w:rsidP="002E1C2E">
            <w:pPr>
              <w:jc w:val="center"/>
              <w:rPr>
                <w:rFonts w:ascii="Times New Roman" w:hAnsi="Times New Roman"/>
                <w:sz w:val="20"/>
              </w:rPr>
            </w:pPr>
          </w:p>
        </w:tc>
        <w:tc>
          <w:tcPr>
            <w:tcW w:w="454" w:type="dxa"/>
            <w:vMerge w:val="restart"/>
            <w:tcBorders>
              <w:top w:val="nil"/>
              <w:left w:val="nil"/>
              <w:bottom w:val="nil"/>
              <w:right w:val="nil"/>
            </w:tcBorders>
            <w:shd w:val="clear" w:color="auto" w:fill="auto"/>
            <w:vAlign w:val="center"/>
            <w:hideMark/>
          </w:tcPr>
          <w:p w14:paraId="329F2B94" w14:textId="77777777" w:rsidR="00D93212" w:rsidRPr="003E3766" w:rsidRDefault="00D93212" w:rsidP="002E1C2E">
            <w:pPr>
              <w:rPr>
                <w:color w:val="000000" w:themeColor="text1"/>
                <w:sz w:val="18"/>
                <w:szCs w:val="18"/>
              </w:rPr>
            </w:pPr>
            <w:r w:rsidRPr="003E3766">
              <w:rPr>
                <w:color w:val="000000" w:themeColor="text1"/>
                <w:sz w:val="18"/>
                <w:szCs w:val="18"/>
              </w:rPr>
              <w:t>(h)</w:t>
            </w:r>
          </w:p>
        </w:tc>
        <w:tc>
          <w:tcPr>
            <w:tcW w:w="4577" w:type="dxa"/>
            <w:vMerge w:val="restart"/>
            <w:tcBorders>
              <w:top w:val="nil"/>
              <w:left w:val="nil"/>
              <w:bottom w:val="nil"/>
              <w:right w:val="nil"/>
            </w:tcBorders>
            <w:shd w:val="clear" w:color="auto" w:fill="auto"/>
            <w:vAlign w:val="center"/>
          </w:tcPr>
          <w:p w14:paraId="1F579D04" w14:textId="77777777" w:rsidR="00D93212" w:rsidRPr="003E3766" w:rsidRDefault="00D93212" w:rsidP="002E1C2E">
            <w:pPr>
              <w:jc w:val="both"/>
              <w:rPr>
                <w:color w:val="000000" w:themeColor="text1"/>
                <w:sz w:val="18"/>
                <w:szCs w:val="18"/>
              </w:rPr>
            </w:pPr>
            <w:r w:rsidRPr="003E3766">
              <w:rPr>
                <w:color w:val="000000" w:themeColor="text1"/>
                <w:sz w:val="18"/>
                <w:szCs w:val="18"/>
              </w:rPr>
              <w:t>príslušný správca kapitoly štátneho rozpočtu je povinný predkladať ministerstvu financií požadované údaje za hospodárenie podnikov štátnej správy.</w:t>
            </w:r>
          </w:p>
        </w:tc>
        <w:tc>
          <w:tcPr>
            <w:tcW w:w="1963" w:type="dxa"/>
            <w:vMerge w:val="restart"/>
            <w:tcBorders>
              <w:top w:val="nil"/>
              <w:left w:val="nil"/>
              <w:right w:val="nil"/>
            </w:tcBorders>
            <w:shd w:val="clear" w:color="auto" w:fill="auto"/>
            <w:noWrap/>
            <w:vAlign w:val="center"/>
            <w:hideMark/>
          </w:tcPr>
          <w:p w14:paraId="7F2F6A88" w14:textId="626D4444" w:rsidR="00D93212" w:rsidRPr="003E3766" w:rsidRDefault="00D93212" w:rsidP="002E1C2E">
            <w:pPr>
              <w:jc w:val="center"/>
              <w:rPr>
                <w:b/>
                <w:color w:val="13B5EA"/>
                <w:sz w:val="18"/>
                <w:szCs w:val="18"/>
              </w:rPr>
            </w:pPr>
            <w:r w:rsidRPr="003E3766">
              <w:rPr>
                <w:b/>
                <w:sz w:val="18"/>
                <w:szCs w:val="18"/>
              </w:rPr>
              <w:t>čiastočne splnené</w:t>
            </w:r>
          </w:p>
        </w:tc>
        <w:tc>
          <w:tcPr>
            <w:tcW w:w="2569" w:type="dxa"/>
            <w:vMerge w:val="restart"/>
            <w:tcBorders>
              <w:top w:val="nil"/>
              <w:left w:val="nil"/>
              <w:right w:val="nil"/>
            </w:tcBorders>
            <w:shd w:val="clear" w:color="auto" w:fill="auto"/>
            <w:noWrap/>
            <w:vAlign w:val="center"/>
            <w:hideMark/>
          </w:tcPr>
          <w:p w14:paraId="5916D991" w14:textId="2EFE1048" w:rsidR="00D93212" w:rsidRPr="003E3766" w:rsidRDefault="00D93212" w:rsidP="005B1494">
            <w:pPr>
              <w:jc w:val="both"/>
              <w:rPr>
                <w:sz w:val="18"/>
                <w:szCs w:val="18"/>
              </w:rPr>
            </w:pPr>
            <w:r w:rsidRPr="003E3766">
              <w:rPr>
                <w:sz w:val="18"/>
                <w:szCs w:val="18"/>
              </w:rPr>
              <w:t>Plánované hodnoty za podniky ministerstva zdravotníctva (s</w:t>
            </w:r>
            <w:r w:rsidR="005B1494" w:rsidRPr="003E3766">
              <w:rPr>
                <w:sz w:val="18"/>
                <w:szCs w:val="18"/>
              </w:rPr>
              <w:t> </w:t>
            </w:r>
            <w:r w:rsidRPr="003E3766">
              <w:rPr>
                <w:sz w:val="18"/>
                <w:szCs w:val="18"/>
              </w:rPr>
              <w:t xml:space="preserve">výnimkou </w:t>
            </w:r>
            <w:r w:rsidR="00C87484" w:rsidRPr="003E3766">
              <w:rPr>
                <w:bCs/>
                <w:sz w:val="18"/>
                <w:szCs w:val="18"/>
              </w:rPr>
              <w:t>Debitum, a.s.</w:t>
            </w:r>
            <w:r w:rsidRPr="003E3766">
              <w:rPr>
                <w:bCs/>
                <w:sz w:val="18"/>
                <w:szCs w:val="18"/>
              </w:rPr>
              <w:t>)</w:t>
            </w:r>
            <w:r w:rsidRPr="003E3766">
              <w:rPr>
                <w:sz w:val="18"/>
                <w:szCs w:val="18"/>
              </w:rPr>
              <w:t xml:space="preserve"> neboli predložené.</w:t>
            </w:r>
          </w:p>
        </w:tc>
      </w:tr>
      <w:tr w:rsidR="00D93212" w:rsidRPr="003E3766" w14:paraId="436D5770" w14:textId="77777777" w:rsidTr="006B1732">
        <w:trPr>
          <w:trHeight w:val="285"/>
          <w:jc w:val="center"/>
        </w:trPr>
        <w:tc>
          <w:tcPr>
            <w:tcW w:w="815" w:type="dxa"/>
            <w:tcBorders>
              <w:top w:val="nil"/>
              <w:left w:val="nil"/>
              <w:bottom w:val="nil"/>
              <w:right w:val="nil"/>
            </w:tcBorders>
            <w:shd w:val="clear" w:color="auto" w:fill="auto"/>
            <w:noWrap/>
            <w:vAlign w:val="center"/>
            <w:hideMark/>
          </w:tcPr>
          <w:p w14:paraId="5362E0E1" w14:textId="77777777" w:rsidR="00D93212" w:rsidRPr="003E3766" w:rsidRDefault="00D93212" w:rsidP="002E1C2E">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1359FC5F" w14:textId="77777777" w:rsidR="00D93212" w:rsidRPr="003E3766" w:rsidRDefault="00D93212" w:rsidP="002E1C2E">
            <w:pPr>
              <w:jc w:val="center"/>
              <w:rPr>
                <w:rFonts w:ascii="Times New Roman" w:hAnsi="Times New Roman"/>
                <w:sz w:val="20"/>
              </w:rPr>
            </w:pPr>
          </w:p>
        </w:tc>
        <w:tc>
          <w:tcPr>
            <w:tcW w:w="454" w:type="dxa"/>
            <w:vMerge/>
            <w:tcBorders>
              <w:top w:val="nil"/>
              <w:left w:val="nil"/>
              <w:bottom w:val="nil"/>
              <w:right w:val="nil"/>
            </w:tcBorders>
            <w:vAlign w:val="center"/>
            <w:hideMark/>
          </w:tcPr>
          <w:p w14:paraId="7E3379D0" w14:textId="77777777" w:rsidR="00D93212" w:rsidRPr="003E3766" w:rsidRDefault="00D93212" w:rsidP="002E1C2E">
            <w:pPr>
              <w:rPr>
                <w:color w:val="000000" w:themeColor="text1"/>
                <w:sz w:val="18"/>
                <w:szCs w:val="18"/>
              </w:rPr>
            </w:pPr>
          </w:p>
        </w:tc>
        <w:tc>
          <w:tcPr>
            <w:tcW w:w="4577" w:type="dxa"/>
            <w:vMerge/>
            <w:tcBorders>
              <w:top w:val="nil"/>
              <w:left w:val="nil"/>
              <w:bottom w:val="nil"/>
              <w:right w:val="nil"/>
            </w:tcBorders>
            <w:vAlign w:val="center"/>
          </w:tcPr>
          <w:p w14:paraId="17D50E56" w14:textId="77777777" w:rsidR="00D93212" w:rsidRPr="003E3766" w:rsidRDefault="00D93212" w:rsidP="002E1C2E">
            <w:pPr>
              <w:rPr>
                <w:color w:val="000000" w:themeColor="text1"/>
                <w:sz w:val="18"/>
                <w:szCs w:val="18"/>
              </w:rPr>
            </w:pPr>
          </w:p>
        </w:tc>
        <w:tc>
          <w:tcPr>
            <w:tcW w:w="1963" w:type="dxa"/>
            <w:vMerge/>
            <w:tcBorders>
              <w:left w:val="nil"/>
              <w:bottom w:val="nil"/>
              <w:right w:val="nil"/>
            </w:tcBorders>
            <w:shd w:val="clear" w:color="auto" w:fill="auto"/>
            <w:noWrap/>
            <w:vAlign w:val="center"/>
            <w:hideMark/>
          </w:tcPr>
          <w:p w14:paraId="6393B0C3" w14:textId="77777777" w:rsidR="00D93212" w:rsidRPr="003E3766" w:rsidRDefault="00D93212" w:rsidP="002E1C2E">
            <w:pPr>
              <w:jc w:val="center"/>
              <w:rPr>
                <w:rFonts w:ascii="Times New Roman" w:hAnsi="Times New Roman"/>
                <w:sz w:val="20"/>
              </w:rPr>
            </w:pPr>
          </w:p>
        </w:tc>
        <w:tc>
          <w:tcPr>
            <w:tcW w:w="2569" w:type="dxa"/>
            <w:vMerge/>
            <w:tcBorders>
              <w:left w:val="nil"/>
              <w:bottom w:val="nil"/>
              <w:right w:val="nil"/>
            </w:tcBorders>
            <w:shd w:val="clear" w:color="auto" w:fill="auto"/>
            <w:noWrap/>
            <w:vAlign w:val="center"/>
            <w:hideMark/>
          </w:tcPr>
          <w:p w14:paraId="33F11988" w14:textId="77777777" w:rsidR="00D93212" w:rsidRPr="003E3766" w:rsidRDefault="00D93212" w:rsidP="005B1494">
            <w:pPr>
              <w:jc w:val="both"/>
              <w:rPr>
                <w:rFonts w:ascii="Times New Roman" w:hAnsi="Times New Roman"/>
                <w:sz w:val="20"/>
              </w:rPr>
            </w:pPr>
          </w:p>
        </w:tc>
      </w:tr>
      <w:tr w:rsidR="003C54E1" w:rsidRPr="003E3766" w14:paraId="1F361D3A"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54C04624" w14:textId="77777777" w:rsidR="003C54E1" w:rsidRPr="003E3766" w:rsidRDefault="003C54E1" w:rsidP="002E1C2E">
            <w:pPr>
              <w:rPr>
                <w:rFonts w:ascii="Times New Roman" w:hAnsi="Times New Roman"/>
                <w:sz w:val="20"/>
              </w:rPr>
            </w:pPr>
          </w:p>
        </w:tc>
        <w:tc>
          <w:tcPr>
            <w:tcW w:w="751" w:type="dxa"/>
            <w:tcBorders>
              <w:top w:val="nil"/>
              <w:left w:val="nil"/>
              <w:bottom w:val="nil"/>
              <w:right w:val="nil"/>
            </w:tcBorders>
            <w:shd w:val="clear" w:color="auto" w:fill="auto"/>
            <w:noWrap/>
            <w:vAlign w:val="center"/>
            <w:hideMark/>
          </w:tcPr>
          <w:p w14:paraId="6F4FC6D7" w14:textId="77777777" w:rsidR="003C54E1" w:rsidRPr="003E3766" w:rsidRDefault="003C54E1" w:rsidP="002E1C2E">
            <w:pPr>
              <w:jc w:val="center"/>
              <w:rPr>
                <w:color w:val="000000"/>
                <w:sz w:val="18"/>
                <w:szCs w:val="18"/>
              </w:rPr>
            </w:pPr>
            <w:r w:rsidRPr="003E3766">
              <w:rPr>
                <w:color w:val="000000"/>
                <w:sz w:val="18"/>
                <w:szCs w:val="18"/>
              </w:rPr>
              <w:t>(5)</w:t>
            </w:r>
          </w:p>
        </w:tc>
        <w:tc>
          <w:tcPr>
            <w:tcW w:w="5031" w:type="dxa"/>
            <w:gridSpan w:val="2"/>
            <w:tcBorders>
              <w:top w:val="nil"/>
              <w:left w:val="nil"/>
              <w:bottom w:val="nil"/>
              <w:right w:val="nil"/>
            </w:tcBorders>
            <w:shd w:val="clear" w:color="auto" w:fill="auto"/>
            <w:noWrap/>
            <w:vAlign w:val="center"/>
            <w:hideMark/>
          </w:tcPr>
          <w:p w14:paraId="628C184B" w14:textId="77777777" w:rsidR="003C54E1" w:rsidRPr="003E3766" w:rsidRDefault="003C54E1" w:rsidP="002E1C2E">
            <w:pPr>
              <w:jc w:val="both"/>
              <w:rPr>
                <w:color w:val="000000" w:themeColor="text1"/>
                <w:sz w:val="18"/>
                <w:szCs w:val="18"/>
              </w:rPr>
            </w:pPr>
            <w:r w:rsidRPr="003E3766">
              <w:rPr>
                <w:color w:val="000000" w:themeColor="text1"/>
                <w:sz w:val="18"/>
                <w:szCs w:val="18"/>
              </w:rPr>
              <w:t>Súhrnná výročná správa Slovenskej republiky obsahuje okrem údajov, ktoré ustanovuje osobitný zákon,</w:t>
            </w:r>
          </w:p>
        </w:tc>
        <w:tc>
          <w:tcPr>
            <w:tcW w:w="1963" w:type="dxa"/>
            <w:tcBorders>
              <w:top w:val="nil"/>
              <w:left w:val="nil"/>
              <w:bottom w:val="nil"/>
              <w:right w:val="nil"/>
            </w:tcBorders>
            <w:shd w:val="clear" w:color="auto" w:fill="auto"/>
            <w:noWrap/>
            <w:vAlign w:val="center"/>
            <w:hideMark/>
          </w:tcPr>
          <w:p w14:paraId="338CEE8E" w14:textId="77777777" w:rsidR="003C54E1" w:rsidRPr="003E3766" w:rsidRDefault="003C54E1" w:rsidP="002E1C2E">
            <w:pPr>
              <w:rPr>
                <w:color w:val="000000"/>
                <w:sz w:val="18"/>
                <w:szCs w:val="18"/>
              </w:rPr>
            </w:pPr>
          </w:p>
        </w:tc>
        <w:tc>
          <w:tcPr>
            <w:tcW w:w="2569" w:type="dxa"/>
            <w:vMerge w:val="restart"/>
            <w:tcBorders>
              <w:top w:val="nil"/>
              <w:left w:val="nil"/>
              <w:bottom w:val="single" w:sz="4" w:space="0" w:color="00B0F0"/>
              <w:right w:val="nil"/>
            </w:tcBorders>
            <w:shd w:val="clear" w:color="auto" w:fill="auto"/>
            <w:vAlign w:val="center"/>
            <w:hideMark/>
          </w:tcPr>
          <w:p w14:paraId="7B3767F4" w14:textId="77777777" w:rsidR="00DA30F8" w:rsidRPr="003E3766" w:rsidRDefault="00DA30F8" w:rsidP="005B1494">
            <w:pPr>
              <w:jc w:val="both"/>
              <w:rPr>
                <w:color w:val="000000"/>
                <w:sz w:val="18"/>
                <w:szCs w:val="18"/>
              </w:rPr>
            </w:pPr>
          </w:p>
          <w:p w14:paraId="54339525" w14:textId="77777777" w:rsidR="00DA30F8" w:rsidRPr="003E3766" w:rsidRDefault="00DA30F8" w:rsidP="005B1494">
            <w:pPr>
              <w:jc w:val="both"/>
              <w:rPr>
                <w:color w:val="000000"/>
                <w:sz w:val="18"/>
                <w:szCs w:val="18"/>
              </w:rPr>
            </w:pPr>
          </w:p>
          <w:p w14:paraId="40A89A59" w14:textId="64E18E91" w:rsidR="003C54E1" w:rsidRPr="003E3766" w:rsidRDefault="00DA30F8" w:rsidP="005B1494">
            <w:pPr>
              <w:jc w:val="both"/>
              <w:rPr>
                <w:color w:val="000000"/>
                <w:sz w:val="18"/>
                <w:szCs w:val="18"/>
              </w:rPr>
            </w:pPr>
            <w:r w:rsidRPr="003E3766">
              <w:rPr>
                <w:color w:val="000000"/>
                <w:sz w:val="18"/>
                <w:szCs w:val="18"/>
              </w:rPr>
              <w:t xml:space="preserve">Je potrebné zabezpečiť prepojenie salda a dlhu verejnej správy so zmenou čistého bohatstva. </w:t>
            </w:r>
          </w:p>
        </w:tc>
      </w:tr>
      <w:tr w:rsidR="003C54E1" w:rsidRPr="003E3766" w14:paraId="6C82D175"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7A0C0C30" w14:textId="77777777" w:rsidR="003C54E1" w:rsidRPr="003E3766" w:rsidRDefault="003C54E1" w:rsidP="002E1C2E">
            <w:pPr>
              <w:rPr>
                <w:color w:val="000000"/>
                <w:sz w:val="18"/>
                <w:szCs w:val="18"/>
              </w:rPr>
            </w:pPr>
          </w:p>
        </w:tc>
        <w:tc>
          <w:tcPr>
            <w:tcW w:w="751" w:type="dxa"/>
            <w:tcBorders>
              <w:top w:val="nil"/>
              <w:left w:val="nil"/>
              <w:bottom w:val="nil"/>
              <w:right w:val="nil"/>
            </w:tcBorders>
            <w:shd w:val="clear" w:color="auto" w:fill="auto"/>
            <w:noWrap/>
            <w:vAlign w:val="center"/>
            <w:hideMark/>
          </w:tcPr>
          <w:p w14:paraId="3B3C90A3"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1D859927" w14:textId="77777777" w:rsidR="003C54E1" w:rsidRPr="003E3766" w:rsidRDefault="003C54E1" w:rsidP="002E1C2E">
            <w:pPr>
              <w:rPr>
                <w:color w:val="000000" w:themeColor="text1"/>
                <w:sz w:val="18"/>
                <w:szCs w:val="18"/>
              </w:rPr>
            </w:pPr>
            <w:r w:rsidRPr="003E3766">
              <w:rPr>
                <w:color w:val="000000" w:themeColor="text1"/>
                <w:sz w:val="18"/>
                <w:szCs w:val="18"/>
              </w:rPr>
              <w:t>(a)</w:t>
            </w:r>
          </w:p>
        </w:tc>
        <w:tc>
          <w:tcPr>
            <w:tcW w:w="4577" w:type="dxa"/>
            <w:tcBorders>
              <w:top w:val="nil"/>
              <w:left w:val="nil"/>
              <w:bottom w:val="nil"/>
              <w:right w:val="nil"/>
            </w:tcBorders>
            <w:shd w:val="clear" w:color="auto" w:fill="auto"/>
            <w:vAlign w:val="center"/>
          </w:tcPr>
          <w:p w14:paraId="29514223" w14:textId="77777777" w:rsidR="003C54E1" w:rsidRPr="003E3766" w:rsidRDefault="003C54E1" w:rsidP="002E1C2E">
            <w:pPr>
              <w:rPr>
                <w:color w:val="000000" w:themeColor="text1"/>
                <w:sz w:val="18"/>
                <w:szCs w:val="18"/>
              </w:rPr>
            </w:pPr>
            <w:r w:rsidRPr="003E3766">
              <w:rPr>
                <w:color w:val="000000" w:themeColor="text1"/>
                <w:sz w:val="18"/>
                <w:szCs w:val="18"/>
              </w:rPr>
              <w:t>aj výšku čistého bohatstva Slovenskej republiky,</w:t>
            </w:r>
          </w:p>
        </w:tc>
        <w:tc>
          <w:tcPr>
            <w:tcW w:w="1963" w:type="dxa"/>
            <w:tcBorders>
              <w:top w:val="nil"/>
              <w:left w:val="nil"/>
              <w:bottom w:val="nil"/>
              <w:right w:val="nil"/>
            </w:tcBorders>
            <w:shd w:val="clear" w:color="auto" w:fill="auto"/>
            <w:noWrap/>
            <w:vAlign w:val="center"/>
            <w:hideMark/>
          </w:tcPr>
          <w:p w14:paraId="2D6311CE" w14:textId="77777777" w:rsidR="003C54E1" w:rsidRPr="003E3766" w:rsidRDefault="003C54E1" w:rsidP="002E1C2E">
            <w:pPr>
              <w:jc w:val="center"/>
              <w:rPr>
                <w:b/>
                <w:sz w:val="18"/>
                <w:szCs w:val="18"/>
              </w:rPr>
            </w:pPr>
            <w:r w:rsidRPr="003E3766">
              <w:rPr>
                <w:b/>
                <w:color w:val="13B5EA"/>
                <w:sz w:val="18"/>
                <w:szCs w:val="18"/>
              </w:rPr>
              <w:t>splnené</w:t>
            </w:r>
          </w:p>
        </w:tc>
        <w:tc>
          <w:tcPr>
            <w:tcW w:w="2569" w:type="dxa"/>
            <w:vMerge/>
            <w:tcBorders>
              <w:top w:val="nil"/>
              <w:left w:val="nil"/>
              <w:right w:val="nil"/>
            </w:tcBorders>
            <w:vAlign w:val="center"/>
            <w:hideMark/>
          </w:tcPr>
          <w:p w14:paraId="4CAEE48D" w14:textId="77777777" w:rsidR="003C54E1" w:rsidRPr="003E3766" w:rsidRDefault="003C54E1" w:rsidP="005B1494">
            <w:pPr>
              <w:jc w:val="both"/>
              <w:rPr>
                <w:color w:val="000000"/>
                <w:sz w:val="18"/>
                <w:szCs w:val="18"/>
              </w:rPr>
            </w:pPr>
          </w:p>
        </w:tc>
      </w:tr>
      <w:tr w:rsidR="003C54E1" w:rsidRPr="003E3766" w14:paraId="0C83C818"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71AA6658" w14:textId="77777777" w:rsidR="003C54E1" w:rsidRPr="003E3766" w:rsidRDefault="003C54E1" w:rsidP="002E1C2E">
            <w:pPr>
              <w:jc w:val="center"/>
              <w:rPr>
                <w:b/>
                <w:color w:val="FF0000"/>
                <w:sz w:val="18"/>
                <w:szCs w:val="18"/>
              </w:rPr>
            </w:pPr>
          </w:p>
        </w:tc>
        <w:tc>
          <w:tcPr>
            <w:tcW w:w="751" w:type="dxa"/>
            <w:tcBorders>
              <w:top w:val="nil"/>
              <w:left w:val="nil"/>
              <w:bottom w:val="nil"/>
              <w:right w:val="nil"/>
            </w:tcBorders>
            <w:shd w:val="clear" w:color="auto" w:fill="auto"/>
            <w:noWrap/>
            <w:vAlign w:val="center"/>
            <w:hideMark/>
          </w:tcPr>
          <w:p w14:paraId="31252D17"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7A3F8D37" w14:textId="77777777" w:rsidR="003C54E1" w:rsidRPr="003E3766" w:rsidRDefault="003C54E1" w:rsidP="002E1C2E">
            <w:pPr>
              <w:rPr>
                <w:color w:val="000000" w:themeColor="text1"/>
                <w:sz w:val="18"/>
                <w:szCs w:val="18"/>
              </w:rPr>
            </w:pPr>
            <w:r w:rsidRPr="003E3766">
              <w:rPr>
                <w:color w:val="000000" w:themeColor="text1"/>
                <w:sz w:val="18"/>
                <w:szCs w:val="18"/>
              </w:rPr>
              <w:t>(b)</w:t>
            </w:r>
          </w:p>
        </w:tc>
        <w:tc>
          <w:tcPr>
            <w:tcW w:w="4577" w:type="dxa"/>
            <w:tcBorders>
              <w:top w:val="nil"/>
              <w:left w:val="nil"/>
              <w:bottom w:val="nil"/>
              <w:right w:val="nil"/>
            </w:tcBorders>
            <w:shd w:val="clear" w:color="auto" w:fill="auto"/>
            <w:vAlign w:val="center"/>
          </w:tcPr>
          <w:p w14:paraId="73196A38" w14:textId="77777777" w:rsidR="003C54E1" w:rsidRPr="003E3766" w:rsidRDefault="003C54E1" w:rsidP="00356B5E">
            <w:pPr>
              <w:rPr>
                <w:color w:val="000000" w:themeColor="text1"/>
                <w:sz w:val="18"/>
                <w:szCs w:val="18"/>
              </w:rPr>
            </w:pPr>
            <w:r w:rsidRPr="003E3766">
              <w:rPr>
                <w:color w:val="000000" w:themeColor="text1"/>
                <w:sz w:val="18"/>
                <w:szCs w:val="18"/>
              </w:rPr>
              <w:t>bilanciu rozpočtu verejnej správy,</w:t>
            </w:r>
          </w:p>
        </w:tc>
        <w:tc>
          <w:tcPr>
            <w:tcW w:w="1963" w:type="dxa"/>
            <w:tcBorders>
              <w:top w:val="nil"/>
              <w:left w:val="nil"/>
              <w:bottom w:val="nil"/>
              <w:right w:val="nil"/>
            </w:tcBorders>
            <w:shd w:val="clear" w:color="auto" w:fill="auto"/>
            <w:noWrap/>
            <w:vAlign w:val="center"/>
            <w:hideMark/>
          </w:tcPr>
          <w:p w14:paraId="310CCE45" w14:textId="77777777" w:rsidR="003C54E1" w:rsidRPr="003E3766" w:rsidRDefault="003C54E1" w:rsidP="002E1C2E">
            <w:pPr>
              <w:jc w:val="center"/>
              <w:rPr>
                <w:b/>
                <w:sz w:val="18"/>
                <w:szCs w:val="18"/>
              </w:rPr>
            </w:pPr>
            <w:r w:rsidRPr="003E3766">
              <w:rPr>
                <w:b/>
                <w:color w:val="13B5EA"/>
                <w:sz w:val="18"/>
                <w:szCs w:val="18"/>
              </w:rPr>
              <w:t>splnené</w:t>
            </w:r>
          </w:p>
        </w:tc>
        <w:tc>
          <w:tcPr>
            <w:tcW w:w="2569" w:type="dxa"/>
            <w:tcBorders>
              <w:top w:val="nil"/>
              <w:left w:val="nil"/>
              <w:right w:val="nil"/>
            </w:tcBorders>
            <w:shd w:val="clear" w:color="auto" w:fill="auto"/>
            <w:vAlign w:val="center"/>
            <w:hideMark/>
          </w:tcPr>
          <w:p w14:paraId="53520482" w14:textId="63C36CA7" w:rsidR="003C54E1" w:rsidRPr="003E3766" w:rsidRDefault="003C54E1" w:rsidP="005B1494">
            <w:pPr>
              <w:jc w:val="both"/>
              <w:rPr>
                <w:color w:val="000000"/>
                <w:sz w:val="18"/>
                <w:szCs w:val="18"/>
              </w:rPr>
            </w:pPr>
          </w:p>
        </w:tc>
      </w:tr>
      <w:tr w:rsidR="003C54E1" w:rsidRPr="003E3766" w14:paraId="7D8022CC"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36A00488" w14:textId="77777777" w:rsidR="003C54E1" w:rsidRPr="003E3766" w:rsidRDefault="003C54E1" w:rsidP="002E1C2E">
            <w:pPr>
              <w:jc w:val="center"/>
              <w:rPr>
                <w:b/>
                <w:color w:val="13B5EA"/>
                <w:sz w:val="18"/>
                <w:szCs w:val="18"/>
              </w:rPr>
            </w:pPr>
          </w:p>
        </w:tc>
        <w:tc>
          <w:tcPr>
            <w:tcW w:w="751" w:type="dxa"/>
            <w:tcBorders>
              <w:top w:val="nil"/>
              <w:left w:val="nil"/>
              <w:bottom w:val="nil"/>
              <w:right w:val="nil"/>
            </w:tcBorders>
            <w:shd w:val="clear" w:color="auto" w:fill="auto"/>
            <w:noWrap/>
            <w:vAlign w:val="center"/>
            <w:hideMark/>
          </w:tcPr>
          <w:p w14:paraId="33DA97A5" w14:textId="77777777" w:rsidR="003C54E1" w:rsidRPr="003E3766" w:rsidRDefault="003C54E1" w:rsidP="002E1C2E">
            <w:pPr>
              <w:jc w:val="cente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63F85E4B" w14:textId="77777777" w:rsidR="003C54E1" w:rsidRPr="003E3766" w:rsidRDefault="003C54E1" w:rsidP="002E1C2E">
            <w:pPr>
              <w:rPr>
                <w:color w:val="000000" w:themeColor="text1"/>
                <w:sz w:val="18"/>
                <w:szCs w:val="18"/>
              </w:rPr>
            </w:pPr>
            <w:r w:rsidRPr="003E3766">
              <w:rPr>
                <w:color w:val="000000" w:themeColor="text1"/>
                <w:sz w:val="18"/>
                <w:szCs w:val="18"/>
              </w:rPr>
              <w:t>(c)</w:t>
            </w:r>
          </w:p>
        </w:tc>
        <w:tc>
          <w:tcPr>
            <w:tcW w:w="4577" w:type="dxa"/>
            <w:tcBorders>
              <w:top w:val="nil"/>
              <w:left w:val="nil"/>
              <w:bottom w:val="nil"/>
              <w:right w:val="nil"/>
            </w:tcBorders>
            <w:shd w:val="clear" w:color="auto" w:fill="auto"/>
            <w:vAlign w:val="center"/>
          </w:tcPr>
          <w:p w14:paraId="4A465CC8" w14:textId="77777777" w:rsidR="003C54E1" w:rsidRPr="003E3766" w:rsidRDefault="003C54E1" w:rsidP="002E1C2E">
            <w:pPr>
              <w:rPr>
                <w:color w:val="000000" w:themeColor="text1"/>
                <w:sz w:val="18"/>
                <w:szCs w:val="18"/>
              </w:rPr>
            </w:pPr>
            <w:r w:rsidRPr="003E3766">
              <w:rPr>
                <w:color w:val="000000" w:themeColor="text1"/>
                <w:sz w:val="18"/>
                <w:szCs w:val="18"/>
              </w:rPr>
              <w:t>vyhodnotenie plnenia cieľov stratégie riadenia štátneho dlhu,</w:t>
            </w:r>
          </w:p>
        </w:tc>
        <w:tc>
          <w:tcPr>
            <w:tcW w:w="1963" w:type="dxa"/>
            <w:tcBorders>
              <w:top w:val="nil"/>
              <w:left w:val="nil"/>
              <w:bottom w:val="nil"/>
              <w:right w:val="nil"/>
            </w:tcBorders>
            <w:shd w:val="clear" w:color="auto" w:fill="auto"/>
            <w:noWrap/>
            <w:vAlign w:val="center"/>
            <w:hideMark/>
          </w:tcPr>
          <w:p w14:paraId="08622FF7" w14:textId="77777777" w:rsidR="003C54E1" w:rsidRPr="003E3766" w:rsidRDefault="003C54E1" w:rsidP="002E1C2E">
            <w:pPr>
              <w:jc w:val="center"/>
              <w:rPr>
                <w:b/>
                <w:sz w:val="18"/>
                <w:szCs w:val="18"/>
              </w:rPr>
            </w:pPr>
            <w:r w:rsidRPr="003E3766">
              <w:rPr>
                <w:b/>
                <w:color w:val="13B5EA"/>
                <w:sz w:val="18"/>
                <w:szCs w:val="18"/>
              </w:rPr>
              <w:t>splnené</w:t>
            </w:r>
          </w:p>
        </w:tc>
        <w:tc>
          <w:tcPr>
            <w:tcW w:w="2569" w:type="dxa"/>
            <w:tcBorders>
              <w:left w:val="nil"/>
              <w:right w:val="nil"/>
            </w:tcBorders>
            <w:shd w:val="clear" w:color="auto" w:fill="auto"/>
            <w:vAlign w:val="center"/>
            <w:hideMark/>
          </w:tcPr>
          <w:p w14:paraId="39D6B8E6" w14:textId="77777777" w:rsidR="003C54E1" w:rsidRPr="003E3766" w:rsidRDefault="003C54E1" w:rsidP="002E1C2E">
            <w:pPr>
              <w:rPr>
                <w:color w:val="000000"/>
                <w:sz w:val="18"/>
                <w:szCs w:val="18"/>
              </w:rPr>
            </w:pPr>
          </w:p>
        </w:tc>
      </w:tr>
      <w:tr w:rsidR="003C54E1" w:rsidRPr="003E3766" w14:paraId="5BBB72AD" w14:textId="77777777" w:rsidTr="00125323">
        <w:trPr>
          <w:trHeight w:val="285"/>
          <w:jc w:val="center"/>
        </w:trPr>
        <w:tc>
          <w:tcPr>
            <w:tcW w:w="815" w:type="dxa"/>
            <w:tcBorders>
              <w:top w:val="nil"/>
              <w:left w:val="nil"/>
              <w:bottom w:val="nil"/>
              <w:right w:val="nil"/>
            </w:tcBorders>
            <w:shd w:val="clear" w:color="auto" w:fill="auto"/>
            <w:noWrap/>
            <w:vAlign w:val="center"/>
            <w:hideMark/>
          </w:tcPr>
          <w:p w14:paraId="37C3E4BF" w14:textId="77777777" w:rsidR="003C54E1" w:rsidRPr="003E3766" w:rsidRDefault="003C54E1" w:rsidP="002E1C2E">
            <w:pPr>
              <w:jc w:val="center"/>
              <w:rPr>
                <w:b/>
                <w:color w:val="FF0000"/>
                <w:sz w:val="18"/>
                <w:szCs w:val="18"/>
              </w:rPr>
            </w:pPr>
          </w:p>
        </w:tc>
        <w:tc>
          <w:tcPr>
            <w:tcW w:w="751" w:type="dxa"/>
            <w:tcBorders>
              <w:top w:val="nil"/>
              <w:left w:val="nil"/>
              <w:bottom w:val="nil"/>
              <w:right w:val="nil"/>
            </w:tcBorders>
            <w:shd w:val="clear" w:color="auto" w:fill="auto"/>
            <w:noWrap/>
            <w:vAlign w:val="center"/>
            <w:hideMark/>
          </w:tcPr>
          <w:p w14:paraId="712B37F2" w14:textId="77777777" w:rsidR="003C54E1" w:rsidRPr="003E3766" w:rsidRDefault="003C54E1" w:rsidP="002E1C2E">
            <w:pPr>
              <w:rPr>
                <w:rFonts w:ascii="Times New Roman" w:hAnsi="Times New Roman"/>
                <w:sz w:val="20"/>
              </w:rPr>
            </w:pPr>
          </w:p>
        </w:tc>
        <w:tc>
          <w:tcPr>
            <w:tcW w:w="454" w:type="dxa"/>
            <w:tcBorders>
              <w:top w:val="nil"/>
              <w:left w:val="nil"/>
              <w:bottom w:val="nil"/>
              <w:right w:val="nil"/>
            </w:tcBorders>
            <w:shd w:val="clear" w:color="auto" w:fill="auto"/>
            <w:noWrap/>
            <w:vAlign w:val="center"/>
            <w:hideMark/>
          </w:tcPr>
          <w:p w14:paraId="220E2079" w14:textId="77777777" w:rsidR="003C54E1" w:rsidRPr="003E3766" w:rsidRDefault="003C54E1" w:rsidP="002E1C2E">
            <w:pPr>
              <w:rPr>
                <w:rFonts w:ascii="Times New Roman" w:hAnsi="Times New Roman"/>
                <w:color w:val="000000" w:themeColor="text1"/>
                <w:sz w:val="20"/>
              </w:rPr>
            </w:pPr>
            <w:r w:rsidRPr="003E3766">
              <w:rPr>
                <w:rFonts w:ascii="Times New Roman" w:hAnsi="Times New Roman"/>
                <w:color w:val="000000" w:themeColor="text1"/>
                <w:sz w:val="20"/>
              </w:rPr>
              <w:t>(d)</w:t>
            </w:r>
          </w:p>
        </w:tc>
        <w:tc>
          <w:tcPr>
            <w:tcW w:w="4577" w:type="dxa"/>
            <w:tcBorders>
              <w:top w:val="nil"/>
              <w:left w:val="nil"/>
              <w:bottom w:val="nil"/>
              <w:right w:val="nil"/>
            </w:tcBorders>
            <w:shd w:val="clear" w:color="auto" w:fill="auto"/>
            <w:vAlign w:val="center"/>
          </w:tcPr>
          <w:p w14:paraId="1300889E" w14:textId="77777777" w:rsidR="003C54E1" w:rsidRPr="003E3766" w:rsidRDefault="003C54E1" w:rsidP="002E1C2E">
            <w:pPr>
              <w:rPr>
                <w:color w:val="000000" w:themeColor="text1"/>
                <w:sz w:val="18"/>
                <w:szCs w:val="18"/>
              </w:rPr>
            </w:pPr>
            <w:r w:rsidRPr="003E3766">
              <w:rPr>
                <w:color w:val="000000" w:themeColor="text1"/>
                <w:sz w:val="18"/>
                <w:szCs w:val="18"/>
              </w:rPr>
              <w:t>jednorazové vplyvy</w:t>
            </w:r>
          </w:p>
        </w:tc>
        <w:tc>
          <w:tcPr>
            <w:tcW w:w="1963" w:type="dxa"/>
            <w:tcBorders>
              <w:top w:val="nil"/>
              <w:left w:val="nil"/>
              <w:bottom w:val="nil"/>
              <w:right w:val="nil"/>
            </w:tcBorders>
            <w:shd w:val="clear" w:color="auto" w:fill="auto"/>
            <w:noWrap/>
            <w:vAlign w:val="center"/>
            <w:hideMark/>
          </w:tcPr>
          <w:p w14:paraId="1685D3E4" w14:textId="77777777" w:rsidR="003C54E1" w:rsidRPr="003E3766" w:rsidRDefault="003C54E1" w:rsidP="002E1C2E">
            <w:pPr>
              <w:jc w:val="center"/>
              <w:rPr>
                <w:b/>
                <w:sz w:val="18"/>
                <w:szCs w:val="18"/>
              </w:rPr>
            </w:pPr>
            <w:r w:rsidRPr="003E3766">
              <w:rPr>
                <w:b/>
                <w:color w:val="13B5EA"/>
                <w:sz w:val="18"/>
                <w:szCs w:val="18"/>
              </w:rPr>
              <w:t>splnené</w:t>
            </w:r>
          </w:p>
        </w:tc>
        <w:tc>
          <w:tcPr>
            <w:tcW w:w="2569" w:type="dxa"/>
            <w:tcBorders>
              <w:left w:val="nil"/>
              <w:right w:val="nil"/>
            </w:tcBorders>
            <w:shd w:val="clear" w:color="auto" w:fill="auto"/>
            <w:vAlign w:val="center"/>
            <w:hideMark/>
          </w:tcPr>
          <w:p w14:paraId="271E980A" w14:textId="77777777" w:rsidR="003C54E1" w:rsidRPr="003E3766" w:rsidRDefault="003C54E1" w:rsidP="002E1C2E">
            <w:pPr>
              <w:rPr>
                <w:color w:val="000000"/>
                <w:sz w:val="18"/>
                <w:szCs w:val="18"/>
              </w:rPr>
            </w:pPr>
          </w:p>
        </w:tc>
      </w:tr>
      <w:tr w:rsidR="003C54E1" w:rsidRPr="003E3766" w14:paraId="5D8CD3EF" w14:textId="77777777" w:rsidTr="00125323">
        <w:trPr>
          <w:trHeight w:val="285"/>
          <w:jc w:val="center"/>
        </w:trPr>
        <w:tc>
          <w:tcPr>
            <w:tcW w:w="815" w:type="dxa"/>
            <w:tcBorders>
              <w:top w:val="nil"/>
              <w:left w:val="nil"/>
              <w:bottom w:val="single" w:sz="4" w:space="0" w:color="00B0F0"/>
              <w:right w:val="nil"/>
            </w:tcBorders>
            <w:shd w:val="clear" w:color="auto" w:fill="auto"/>
            <w:noWrap/>
            <w:vAlign w:val="center"/>
            <w:hideMark/>
          </w:tcPr>
          <w:p w14:paraId="412B35C8" w14:textId="77777777" w:rsidR="003C54E1" w:rsidRPr="003E3766" w:rsidRDefault="003C54E1" w:rsidP="002E1C2E">
            <w:pPr>
              <w:rPr>
                <w:color w:val="000000"/>
                <w:sz w:val="18"/>
                <w:szCs w:val="18"/>
              </w:rPr>
            </w:pPr>
            <w:r w:rsidRPr="003E3766">
              <w:rPr>
                <w:color w:val="000000"/>
                <w:sz w:val="18"/>
                <w:szCs w:val="18"/>
              </w:rPr>
              <w:t> </w:t>
            </w:r>
          </w:p>
        </w:tc>
        <w:tc>
          <w:tcPr>
            <w:tcW w:w="751" w:type="dxa"/>
            <w:tcBorders>
              <w:top w:val="nil"/>
              <w:left w:val="nil"/>
              <w:bottom w:val="single" w:sz="4" w:space="0" w:color="00B0F0"/>
              <w:right w:val="nil"/>
            </w:tcBorders>
            <w:shd w:val="clear" w:color="auto" w:fill="auto"/>
            <w:noWrap/>
            <w:vAlign w:val="center"/>
            <w:hideMark/>
          </w:tcPr>
          <w:p w14:paraId="31BB18D1" w14:textId="77777777" w:rsidR="003C54E1" w:rsidRPr="003E3766" w:rsidRDefault="003C54E1" w:rsidP="002E1C2E">
            <w:pPr>
              <w:rPr>
                <w:color w:val="000000"/>
                <w:sz w:val="18"/>
                <w:szCs w:val="18"/>
              </w:rPr>
            </w:pPr>
            <w:r w:rsidRPr="003E3766">
              <w:rPr>
                <w:color w:val="000000"/>
                <w:sz w:val="18"/>
                <w:szCs w:val="18"/>
              </w:rPr>
              <w:t> </w:t>
            </w:r>
          </w:p>
        </w:tc>
        <w:tc>
          <w:tcPr>
            <w:tcW w:w="454" w:type="dxa"/>
            <w:tcBorders>
              <w:top w:val="nil"/>
              <w:left w:val="nil"/>
              <w:bottom w:val="single" w:sz="4" w:space="0" w:color="00B0F0"/>
              <w:right w:val="nil"/>
            </w:tcBorders>
            <w:shd w:val="clear" w:color="auto" w:fill="auto"/>
            <w:noWrap/>
            <w:vAlign w:val="center"/>
            <w:hideMark/>
          </w:tcPr>
          <w:p w14:paraId="71B3D7A0" w14:textId="77777777" w:rsidR="003C54E1" w:rsidRPr="003E3766" w:rsidRDefault="003C54E1" w:rsidP="002E1C2E">
            <w:pPr>
              <w:rPr>
                <w:rFonts w:ascii="Times New Roman" w:hAnsi="Times New Roman"/>
                <w:color w:val="000000" w:themeColor="text1"/>
                <w:sz w:val="20"/>
              </w:rPr>
            </w:pPr>
            <w:r w:rsidRPr="003E3766">
              <w:rPr>
                <w:rFonts w:ascii="Times New Roman" w:hAnsi="Times New Roman"/>
                <w:color w:val="000000" w:themeColor="text1"/>
                <w:sz w:val="20"/>
              </w:rPr>
              <w:t>(e)</w:t>
            </w:r>
          </w:p>
        </w:tc>
        <w:tc>
          <w:tcPr>
            <w:tcW w:w="4577" w:type="dxa"/>
            <w:tcBorders>
              <w:top w:val="nil"/>
              <w:left w:val="nil"/>
              <w:bottom w:val="single" w:sz="4" w:space="0" w:color="00B0F0"/>
              <w:right w:val="nil"/>
            </w:tcBorders>
            <w:shd w:val="clear" w:color="auto" w:fill="auto"/>
            <w:vAlign w:val="center"/>
          </w:tcPr>
          <w:p w14:paraId="1B63FCD4" w14:textId="77777777" w:rsidR="003C54E1" w:rsidRPr="003E3766" w:rsidRDefault="003C54E1" w:rsidP="002E1C2E">
            <w:pPr>
              <w:rPr>
                <w:color w:val="000000" w:themeColor="text1"/>
                <w:sz w:val="18"/>
                <w:szCs w:val="18"/>
              </w:rPr>
            </w:pPr>
            <w:r w:rsidRPr="003E3766">
              <w:rPr>
                <w:color w:val="000000" w:themeColor="text1"/>
                <w:sz w:val="18"/>
                <w:szCs w:val="18"/>
              </w:rPr>
              <w:t>hospodárenie podnikov štátnej správy.</w:t>
            </w:r>
          </w:p>
        </w:tc>
        <w:tc>
          <w:tcPr>
            <w:tcW w:w="1963" w:type="dxa"/>
            <w:tcBorders>
              <w:top w:val="nil"/>
              <w:left w:val="nil"/>
              <w:bottom w:val="single" w:sz="4" w:space="0" w:color="00B0F0"/>
              <w:right w:val="nil"/>
            </w:tcBorders>
            <w:shd w:val="clear" w:color="auto" w:fill="auto"/>
            <w:noWrap/>
            <w:vAlign w:val="center"/>
            <w:hideMark/>
          </w:tcPr>
          <w:p w14:paraId="65E7137A" w14:textId="77777777" w:rsidR="003C54E1" w:rsidRPr="003E3766" w:rsidRDefault="003C54E1" w:rsidP="002E1C2E">
            <w:pPr>
              <w:jc w:val="center"/>
              <w:rPr>
                <w:b/>
                <w:sz w:val="18"/>
                <w:szCs w:val="18"/>
              </w:rPr>
            </w:pPr>
            <w:r w:rsidRPr="003E3766">
              <w:rPr>
                <w:b/>
                <w:color w:val="13B5EA"/>
                <w:sz w:val="18"/>
                <w:szCs w:val="18"/>
              </w:rPr>
              <w:t>splnené</w:t>
            </w:r>
          </w:p>
        </w:tc>
        <w:tc>
          <w:tcPr>
            <w:tcW w:w="2569" w:type="dxa"/>
            <w:tcBorders>
              <w:left w:val="nil"/>
              <w:bottom w:val="single" w:sz="4" w:space="0" w:color="00B0F0"/>
              <w:right w:val="nil"/>
            </w:tcBorders>
            <w:shd w:val="clear" w:color="auto" w:fill="auto"/>
            <w:vAlign w:val="center"/>
            <w:hideMark/>
          </w:tcPr>
          <w:p w14:paraId="6CE30D94" w14:textId="3388B4E6" w:rsidR="003C54E1" w:rsidRPr="003E3766" w:rsidRDefault="003C54E1" w:rsidP="002E1C2E">
            <w:pPr>
              <w:rPr>
                <w:color w:val="000000"/>
                <w:sz w:val="18"/>
                <w:szCs w:val="18"/>
              </w:rPr>
            </w:pPr>
          </w:p>
        </w:tc>
      </w:tr>
      <w:tr w:rsidR="003C54E1" w:rsidRPr="003E3766" w14:paraId="655654D4" w14:textId="77777777" w:rsidTr="00125323">
        <w:trPr>
          <w:trHeight w:val="285"/>
          <w:jc w:val="center"/>
        </w:trPr>
        <w:tc>
          <w:tcPr>
            <w:tcW w:w="8560" w:type="dxa"/>
            <w:gridSpan w:val="5"/>
            <w:tcBorders>
              <w:top w:val="nil"/>
              <w:left w:val="nil"/>
              <w:bottom w:val="nil"/>
              <w:right w:val="nil"/>
            </w:tcBorders>
            <w:shd w:val="clear" w:color="auto" w:fill="auto"/>
            <w:noWrap/>
            <w:vAlign w:val="center"/>
            <w:hideMark/>
          </w:tcPr>
          <w:p w14:paraId="7EAB6AB0" w14:textId="77777777" w:rsidR="003C54E1" w:rsidRPr="003E3766" w:rsidRDefault="003C54E1" w:rsidP="002E1C2E">
            <w:pPr>
              <w:rPr>
                <w:i/>
                <w:color w:val="13B5EA"/>
                <w:sz w:val="16"/>
                <w:szCs w:val="18"/>
              </w:rPr>
            </w:pPr>
            <w:r w:rsidRPr="003E3766">
              <w:rPr>
                <w:i/>
                <w:color w:val="13B5EA"/>
                <w:sz w:val="16"/>
                <w:szCs w:val="18"/>
              </w:rPr>
              <w:t>* V ústavnom zákone č. 493/2011 Z. z. sa v odseku 3 čl.9 nachádza chybná odvolávka na neexistujúci odsek 3 čl. 8 (správne malo ísť o odsek 2 čl. 8).</w:t>
            </w:r>
          </w:p>
        </w:tc>
        <w:tc>
          <w:tcPr>
            <w:tcW w:w="2569" w:type="dxa"/>
            <w:tcBorders>
              <w:top w:val="nil"/>
              <w:left w:val="nil"/>
              <w:bottom w:val="nil"/>
              <w:right w:val="nil"/>
            </w:tcBorders>
            <w:shd w:val="clear" w:color="auto" w:fill="auto"/>
            <w:vAlign w:val="center"/>
            <w:hideMark/>
          </w:tcPr>
          <w:p w14:paraId="1128CD3D" w14:textId="77777777" w:rsidR="003C54E1" w:rsidRPr="003E3766" w:rsidRDefault="003C54E1" w:rsidP="002E1C2E">
            <w:pPr>
              <w:jc w:val="right"/>
              <w:rPr>
                <w:i/>
                <w:color w:val="00B0F0"/>
                <w:sz w:val="16"/>
                <w:szCs w:val="16"/>
              </w:rPr>
            </w:pPr>
            <w:r w:rsidRPr="003E3766">
              <w:rPr>
                <w:i/>
                <w:color w:val="00B0F0"/>
                <w:sz w:val="16"/>
                <w:szCs w:val="16"/>
              </w:rPr>
              <w:t>Zdroj: RRZ</w:t>
            </w:r>
          </w:p>
        </w:tc>
      </w:tr>
      <w:tr w:rsidR="003C54E1" w:rsidRPr="00B81300" w14:paraId="12E6B224" w14:textId="77777777" w:rsidTr="00125323">
        <w:trPr>
          <w:trHeight w:val="285"/>
          <w:jc w:val="center"/>
        </w:trPr>
        <w:tc>
          <w:tcPr>
            <w:tcW w:w="8560" w:type="dxa"/>
            <w:gridSpan w:val="5"/>
            <w:tcBorders>
              <w:top w:val="nil"/>
              <w:left w:val="nil"/>
              <w:bottom w:val="nil"/>
              <w:right w:val="nil"/>
            </w:tcBorders>
            <w:shd w:val="clear" w:color="auto" w:fill="auto"/>
            <w:noWrap/>
            <w:vAlign w:val="center"/>
          </w:tcPr>
          <w:p w14:paraId="3C0147A5" w14:textId="77777777" w:rsidR="003C54E1" w:rsidRPr="003E3766" w:rsidRDefault="003C54E1" w:rsidP="002E1C2E">
            <w:pPr>
              <w:rPr>
                <w:i/>
                <w:color w:val="13B5EA"/>
                <w:sz w:val="16"/>
                <w:szCs w:val="18"/>
              </w:rPr>
            </w:pPr>
            <w:r w:rsidRPr="003E3766">
              <w:rPr>
                <w:i/>
                <w:color w:val="13B5EA"/>
                <w:sz w:val="16"/>
                <w:szCs w:val="18"/>
              </w:rPr>
              <w:t>(-) znamená, že príslušné znenie zákona nebolo hodnotené</w:t>
            </w:r>
          </w:p>
        </w:tc>
        <w:tc>
          <w:tcPr>
            <w:tcW w:w="2569" w:type="dxa"/>
            <w:tcBorders>
              <w:top w:val="nil"/>
              <w:left w:val="nil"/>
              <w:bottom w:val="nil"/>
              <w:right w:val="nil"/>
            </w:tcBorders>
            <w:shd w:val="clear" w:color="auto" w:fill="auto"/>
            <w:vAlign w:val="center"/>
          </w:tcPr>
          <w:p w14:paraId="18265DBC" w14:textId="77777777" w:rsidR="003C54E1" w:rsidRPr="003E3766" w:rsidRDefault="003C54E1" w:rsidP="002E1C2E">
            <w:pPr>
              <w:jc w:val="right"/>
              <w:rPr>
                <w:i/>
                <w:color w:val="00B0F0"/>
                <w:sz w:val="16"/>
                <w:szCs w:val="16"/>
              </w:rPr>
            </w:pPr>
          </w:p>
        </w:tc>
      </w:tr>
    </w:tbl>
    <w:p w14:paraId="374CD570" w14:textId="77777777" w:rsidR="003C54E1" w:rsidRPr="00B81300" w:rsidRDefault="003C54E1" w:rsidP="003C54E1">
      <w:pPr>
        <w:rPr>
          <w:highlight w:val="yellow"/>
        </w:rPr>
      </w:pPr>
    </w:p>
    <w:p w14:paraId="291EFB09" w14:textId="139A1B7D" w:rsidR="0018121C" w:rsidRPr="00027581" w:rsidRDefault="003C54E1" w:rsidP="0018121C">
      <w:pPr>
        <w:pStyle w:val="Heading1"/>
        <w:spacing w:before="0" w:after="0"/>
        <w:jc w:val="left"/>
        <w:rPr>
          <w:color w:val="58595B"/>
        </w:rPr>
      </w:pPr>
      <w:r w:rsidRPr="00B81300">
        <w:rPr>
          <w:highlight w:val="yellow"/>
        </w:rPr>
        <w:br w:type="page"/>
      </w:r>
      <w:bookmarkStart w:id="874" w:name="_Toc49506886"/>
      <w:bookmarkStart w:id="875" w:name="_Toc459208024"/>
      <w:bookmarkStart w:id="876" w:name="_Toc459275442"/>
      <w:bookmarkStart w:id="877" w:name="_Toc489954287"/>
      <w:bookmarkStart w:id="878" w:name="_Toc490143820"/>
      <w:bookmarkStart w:id="879" w:name="_Toc490642166"/>
      <w:bookmarkStart w:id="880" w:name="_Toc521678168"/>
      <w:bookmarkStart w:id="881" w:name="_Toc521679445"/>
      <w:bookmarkStart w:id="882" w:name="_Toc523390342"/>
      <w:bookmarkStart w:id="883" w:name="_Toc523390288"/>
      <w:bookmarkStart w:id="884" w:name="_Toc523391013"/>
      <w:bookmarkStart w:id="885" w:name="_Toc523391594"/>
      <w:bookmarkStart w:id="886" w:name="_Toc523392893"/>
      <w:bookmarkStart w:id="887" w:name="_Toc396319186"/>
      <w:bookmarkStart w:id="888" w:name="_Toc428351753"/>
      <w:r w:rsidR="0018121C" w:rsidRPr="00027581">
        <w:lastRenderedPageBreak/>
        <w:t xml:space="preserve">Príloha </w:t>
      </w:r>
      <w:r w:rsidR="009E30CB" w:rsidRPr="00027581">
        <w:t>2</w:t>
      </w:r>
      <w:r w:rsidR="0018121C" w:rsidRPr="00027581">
        <w:t xml:space="preserve"> – Prehľad plnenia </w:t>
      </w:r>
      <w:r w:rsidR="009E30CB" w:rsidRPr="00027581">
        <w:t>odporúčaní RRZ</w:t>
      </w:r>
      <w:bookmarkEnd w:id="874"/>
    </w:p>
    <w:p w14:paraId="24914470" w14:textId="77777777" w:rsidR="0018121C" w:rsidRPr="00B81300" w:rsidRDefault="0018121C" w:rsidP="0018121C">
      <w:pPr>
        <w:rPr>
          <w:color w:val="3C3C3B"/>
          <w:sz w:val="10"/>
          <w:highlight w:val="yellow"/>
        </w:rPr>
      </w:pPr>
    </w:p>
    <w:p w14:paraId="73FB510E" w14:textId="77777777" w:rsidR="0018121C" w:rsidRPr="00B81300" w:rsidRDefault="0018121C" w:rsidP="0018121C">
      <w:pPr>
        <w:rPr>
          <w:color w:val="3C3C3B"/>
          <w:sz w:val="10"/>
          <w:highlight w:val="yellow"/>
        </w:rPr>
      </w:pPr>
    </w:p>
    <w:tbl>
      <w:tblPr>
        <w:tblW w:w="9072" w:type="dxa"/>
        <w:tblCellMar>
          <w:left w:w="70" w:type="dxa"/>
          <w:right w:w="70" w:type="dxa"/>
        </w:tblCellMar>
        <w:tblLook w:val="04A0" w:firstRow="1" w:lastRow="0" w:firstColumn="1" w:lastColumn="0" w:noHBand="0" w:noVBand="1"/>
      </w:tblPr>
      <w:tblGrid>
        <w:gridCol w:w="5812"/>
        <w:gridCol w:w="3260"/>
      </w:tblGrid>
      <w:tr w:rsidR="00F95A64" w:rsidRPr="00B81300" w14:paraId="0B60F0C0" w14:textId="77777777" w:rsidTr="00285A9D">
        <w:trPr>
          <w:trHeight w:val="300"/>
        </w:trPr>
        <w:tc>
          <w:tcPr>
            <w:tcW w:w="9072" w:type="dxa"/>
            <w:gridSpan w:val="2"/>
            <w:tcBorders>
              <w:top w:val="nil"/>
              <w:left w:val="nil"/>
              <w:bottom w:val="nil"/>
              <w:right w:val="nil"/>
            </w:tcBorders>
            <w:shd w:val="clear" w:color="auto" w:fill="auto"/>
            <w:vAlign w:val="center"/>
            <w:hideMark/>
          </w:tcPr>
          <w:p w14:paraId="015740E3" w14:textId="3A374D74" w:rsidR="00F95A64" w:rsidRPr="00953175" w:rsidRDefault="00F95A64" w:rsidP="00694A50">
            <w:pPr>
              <w:pStyle w:val="tab"/>
              <w:rPr>
                <w:rFonts w:cs="Calibri"/>
                <w:b w:val="0"/>
              </w:rPr>
            </w:pPr>
            <w:bookmarkStart w:id="889" w:name="_Toc49506904"/>
            <w:r w:rsidRPr="00953175">
              <w:rPr>
                <w:szCs w:val="20"/>
              </w:rPr>
              <w:t xml:space="preserve">Tab </w:t>
            </w:r>
            <w:r w:rsidR="00210990" w:rsidRPr="00953175">
              <w:rPr>
                <w:szCs w:val="20"/>
              </w:rPr>
              <w:t>5</w:t>
            </w:r>
            <w:r w:rsidRPr="00953175">
              <w:rPr>
                <w:szCs w:val="20"/>
              </w:rPr>
              <w:t>: Vyhodnotenie plnenia odporúčaní RRZ z augusta 201</w:t>
            </w:r>
            <w:r w:rsidR="00953175" w:rsidRPr="00953175">
              <w:rPr>
                <w:szCs w:val="20"/>
              </w:rPr>
              <w:t>9</w:t>
            </w:r>
            <w:bookmarkEnd w:id="889"/>
          </w:p>
        </w:tc>
      </w:tr>
      <w:tr w:rsidR="00033042" w:rsidRPr="00B81300" w14:paraId="3D8483FE" w14:textId="77777777" w:rsidTr="00BF3551">
        <w:trPr>
          <w:trHeight w:val="300"/>
        </w:trPr>
        <w:tc>
          <w:tcPr>
            <w:tcW w:w="5812" w:type="dxa"/>
            <w:tcBorders>
              <w:top w:val="nil"/>
              <w:left w:val="nil"/>
              <w:bottom w:val="nil"/>
              <w:right w:val="nil"/>
            </w:tcBorders>
            <w:shd w:val="clear" w:color="000000" w:fill="13B5EA"/>
            <w:vAlign w:val="center"/>
            <w:hideMark/>
          </w:tcPr>
          <w:p w14:paraId="2100B6A4" w14:textId="77777777" w:rsidR="00033042" w:rsidRPr="00E60650" w:rsidRDefault="00033042" w:rsidP="00033042">
            <w:pPr>
              <w:rPr>
                <w:rFonts w:cs="Calibri"/>
                <w:b/>
                <w:color w:val="FFFFFF"/>
                <w:sz w:val="18"/>
                <w:szCs w:val="18"/>
              </w:rPr>
            </w:pPr>
            <w:r w:rsidRPr="00E60650">
              <w:rPr>
                <w:rFonts w:cs="Calibri"/>
                <w:b/>
                <w:color w:val="FFFFFF"/>
                <w:sz w:val="18"/>
                <w:szCs w:val="18"/>
              </w:rPr>
              <w:t>odporúčanie RRZ</w:t>
            </w:r>
          </w:p>
        </w:tc>
        <w:tc>
          <w:tcPr>
            <w:tcW w:w="3260" w:type="dxa"/>
            <w:tcBorders>
              <w:top w:val="nil"/>
              <w:left w:val="nil"/>
              <w:bottom w:val="nil"/>
              <w:right w:val="nil"/>
            </w:tcBorders>
            <w:shd w:val="clear" w:color="000000" w:fill="13B5EA"/>
            <w:vAlign w:val="center"/>
            <w:hideMark/>
          </w:tcPr>
          <w:p w14:paraId="336B7C18" w14:textId="77777777" w:rsidR="00033042" w:rsidRPr="00E60650" w:rsidRDefault="00033042" w:rsidP="00033042">
            <w:pPr>
              <w:rPr>
                <w:rFonts w:cs="Calibri"/>
                <w:b/>
                <w:bCs/>
                <w:color w:val="FFFFFF"/>
                <w:sz w:val="18"/>
                <w:szCs w:val="18"/>
              </w:rPr>
            </w:pPr>
            <w:r w:rsidRPr="00E60650">
              <w:rPr>
                <w:rFonts w:cs="Calibri"/>
                <w:b/>
                <w:bCs/>
                <w:color w:val="FFFFFF"/>
                <w:sz w:val="18"/>
                <w:szCs w:val="18"/>
              </w:rPr>
              <w:t>vyhodnotenie</w:t>
            </w:r>
          </w:p>
        </w:tc>
      </w:tr>
      <w:tr w:rsidR="00033042" w:rsidRPr="00B81300" w14:paraId="3F9E9308" w14:textId="77777777" w:rsidTr="00BF3551">
        <w:trPr>
          <w:trHeight w:val="300"/>
        </w:trPr>
        <w:tc>
          <w:tcPr>
            <w:tcW w:w="5812" w:type="dxa"/>
            <w:tcBorders>
              <w:top w:val="nil"/>
              <w:left w:val="nil"/>
              <w:bottom w:val="nil"/>
              <w:right w:val="single" w:sz="4" w:space="0" w:color="13B5EA"/>
            </w:tcBorders>
            <w:shd w:val="clear" w:color="auto" w:fill="auto"/>
            <w:vAlign w:val="center"/>
            <w:hideMark/>
          </w:tcPr>
          <w:p w14:paraId="1FC86C3F" w14:textId="652322BA" w:rsidR="00033042" w:rsidRPr="00E60650" w:rsidRDefault="00033042" w:rsidP="00033042">
            <w:pPr>
              <w:rPr>
                <w:rFonts w:cs="Calibri"/>
                <w:b/>
                <w:bCs/>
                <w:color w:val="000000"/>
                <w:sz w:val="18"/>
                <w:szCs w:val="18"/>
              </w:rPr>
            </w:pPr>
            <w:bookmarkStart w:id="890" w:name="RANGE!A3"/>
            <w:r w:rsidRPr="00E60650">
              <w:rPr>
                <w:rFonts w:cs="Calibri"/>
                <w:b/>
                <w:bCs/>
                <w:color w:val="000000"/>
                <w:sz w:val="18"/>
                <w:szCs w:val="18"/>
              </w:rPr>
              <w:t>Limit dlhu verejnej správy</w:t>
            </w:r>
            <w:bookmarkEnd w:id="890"/>
          </w:p>
        </w:tc>
        <w:tc>
          <w:tcPr>
            <w:tcW w:w="3260" w:type="dxa"/>
            <w:tcBorders>
              <w:top w:val="nil"/>
              <w:left w:val="nil"/>
              <w:bottom w:val="nil"/>
              <w:right w:val="nil"/>
            </w:tcBorders>
            <w:shd w:val="clear" w:color="auto" w:fill="auto"/>
            <w:vAlign w:val="center"/>
            <w:hideMark/>
          </w:tcPr>
          <w:p w14:paraId="66ED7B42" w14:textId="77777777" w:rsidR="00033042" w:rsidRPr="00E60650" w:rsidRDefault="00033042" w:rsidP="00033042">
            <w:pPr>
              <w:rPr>
                <w:rFonts w:cs="Calibri"/>
                <w:b/>
                <w:bCs/>
                <w:color w:val="000000"/>
                <w:sz w:val="18"/>
                <w:szCs w:val="18"/>
              </w:rPr>
            </w:pPr>
          </w:p>
        </w:tc>
      </w:tr>
      <w:tr w:rsidR="00033042" w:rsidRPr="00B81300" w14:paraId="67936B17" w14:textId="77777777" w:rsidTr="00BF3551">
        <w:trPr>
          <w:trHeight w:val="480"/>
        </w:trPr>
        <w:tc>
          <w:tcPr>
            <w:tcW w:w="5812" w:type="dxa"/>
            <w:tcBorders>
              <w:top w:val="nil"/>
              <w:left w:val="nil"/>
              <w:bottom w:val="single" w:sz="4" w:space="0" w:color="13B5EA"/>
              <w:right w:val="single" w:sz="4" w:space="0" w:color="13B5EA"/>
            </w:tcBorders>
            <w:shd w:val="clear" w:color="auto" w:fill="auto"/>
            <w:vAlign w:val="center"/>
            <w:hideMark/>
          </w:tcPr>
          <w:p w14:paraId="417B5DA4" w14:textId="150CD2A4" w:rsidR="00033042" w:rsidRPr="00E60650" w:rsidRDefault="00BD3309" w:rsidP="00033042">
            <w:pPr>
              <w:jc w:val="both"/>
              <w:rPr>
                <w:rFonts w:cs="Calibri"/>
                <w:color w:val="000000"/>
                <w:sz w:val="18"/>
                <w:szCs w:val="18"/>
              </w:rPr>
            </w:pPr>
            <w:r w:rsidRPr="00BD3309">
              <w:rPr>
                <w:rFonts w:eastAsia="Symbol" w:cs="Symbol"/>
                <w:color w:val="000000"/>
                <w:sz w:val="18"/>
                <w:szCs w:val="18"/>
              </w:rPr>
              <w:t>Prijať dodatočné opatrenia</w:t>
            </w:r>
            <w:r>
              <w:rPr>
                <w:rFonts w:eastAsia="Symbol" w:cs="Symbol"/>
                <w:color w:val="000000"/>
                <w:sz w:val="18"/>
                <w:szCs w:val="18"/>
              </w:rPr>
              <w:t xml:space="preserve"> </w:t>
            </w:r>
            <w:r w:rsidRPr="00BD3309">
              <w:rPr>
                <w:rFonts w:eastAsia="Symbol" w:cs="Symbol"/>
                <w:color w:val="000000"/>
                <w:sz w:val="18"/>
                <w:szCs w:val="18"/>
              </w:rPr>
              <w:t>na splnenie stanovených rozpočtových cieľov v</w:t>
            </w:r>
            <w:r>
              <w:rPr>
                <w:rFonts w:eastAsia="Symbol" w:cs="Symbol"/>
                <w:color w:val="000000"/>
                <w:sz w:val="18"/>
                <w:szCs w:val="18"/>
              </w:rPr>
              <w:t xml:space="preserve"> </w:t>
            </w:r>
            <w:r w:rsidRPr="00BD3309">
              <w:rPr>
                <w:rFonts w:eastAsia="Symbol" w:cs="Symbol"/>
                <w:color w:val="000000"/>
                <w:sz w:val="18"/>
                <w:szCs w:val="18"/>
              </w:rPr>
              <w:t>strednodobom horizonte, čo by zabezpečilo</w:t>
            </w:r>
            <w:r>
              <w:rPr>
                <w:rFonts w:eastAsia="Symbol" w:cs="Symbol"/>
                <w:color w:val="000000"/>
                <w:sz w:val="18"/>
                <w:szCs w:val="18"/>
              </w:rPr>
              <w:t xml:space="preserve"> </w:t>
            </w:r>
            <w:r w:rsidRPr="00BD3309">
              <w:rPr>
                <w:rFonts w:eastAsia="Symbol" w:cs="Symbol"/>
                <w:color w:val="000000"/>
                <w:sz w:val="18"/>
                <w:szCs w:val="18"/>
              </w:rPr>
              <w:t>udržanie úrovne hrubého dlhu mimo sankčných pásiem.</w:t>
            </w:r>
            <w:r>
              <w:rPr>
                <w:rFonts w:eastAsia="Symbol" w:cs="Symbol"/>
                <w:color w:val="000000"/>
                <w:sz w:val="18"/>
                <w:szCs w:val="18"/>
              </w:rPr>
              <w:t xml:space="preserve"> </w:t>
            </w:r>
            <w:r w:rsidRPr="00BD3309">
              <w:rPr>
                <w:rFonts w:eastAsia="Symbol" w:cs="Symbol"/>
                <w:color w:val="000000"/>
                <w:sz w:val="18"/>
                <w:szCs w:val="18"/>
              </w:rPr>
              <w:t>Zvýšenie záväznosti trojročného rozpočtu</w:t>
            </w:r>
            <w:r>
              <w:rPr>
                <w:rFonts w:eastAsia="Symbol" w:cs="Symbol"/>
                <w:color w:val="000000"/>
                <w:sz w:val="18"/>
                <w:szCs w:val="18"/>
              </w:rPr>
              <w:t xml:space="preserve"> </w:t>
            </w:r>
            <w:r w:rsidRPr="00BD3309">
              <w:rPr>
                <w:rFonts w:eastAsia="Symbol" w:cs="Symbol"/>
                <w:color w:val="000000"/>
                <w:sz w:val="18"/>
                <w:szCs w:val="18"/>
              </w:rPr>
              <w:t>by malo napomôcť k</w:t>
            </w:r>
            <w:r>
              <w:rPr>
                <w:rFonts w:eastAsia="Symbol" w:cs="Symbol"/>
                <w:color w:val="000000"/>
                <w:sz w:val="18"/>
                <w:szCs w:val="18"/>
              </w:rPr>
              <w:t xml:space="preserve"> </w:t>
            </w:r>
            <w:r w:rsidRPr="00BD3309">
              <w:rPr>
                <w:rFonts w:eastAsia="Symbol" w:cs="Symbol"/>
                <w:color w:val="000000"/>
                <w:sz w:val="18"/>
                <w:szCs w:val="18"/>
              </w:rPr>
              <w:t>tomuto vývoju.</w:t>
            </w:r>
          </w:p>
        </w:tc>
        <w:tc>
          <w:tcPr>
            <w:tcW w:w="3260" w:type="dxa"/>
            <w:tcBorders>
              <w:top w:val="nil"/>
              <w:left w:val="nil"/>
              <w:bottom w:val="single" w:sz="4" w:space="0" w:color="13B5EA"/>
              <w:right w:val="nil"/>
            </w:tcBorders>
            <w:shd w:val="clear" w:color="auto" w:fill="auto"/>
            <w:vAlign w:val="center"/>
            <w:hideMark/>
          </w:tcPr>
          <w:p w14:paraId="34C43E36" w14:textId="46839847" w:rsidR="00033042" w:rsidRPr="00E60650" w:rsidRDefault="0024095D" w:rsidP="00033042">
            <w:pPr>
              <w:rPr>
                <w:rFonts w:cs="Calibri"/>
                <w:color w:val="000000"/>
                <w:sz w:val="18"/>
                <w:szCs w:val="18"/>
              </w:rPr>
            </w:pPr>
            <w:r>
              <w:rPr>
                <w:rFonts w:cs="Calibri"/>
                <w:color w:val="000000"/>
                <w:sz w:val="18"/>
                <w:szCs w:val="18"/>
              </w:rPr>
              <w:t>Strednodobý rozpočtový cieľ (vyrovnaný rozpočet) nebol do</w:t>
            </w:r>
            <w:r w:rsidR="00033042">
              <w:rPr>
                <w:rFonts w:cs="Calibri"/>
                <w:color w:val="000000"/>
                <w:sz w:val="18"/>
                <w:szCs w:val="18"/>
              </w:rPr>
              <w:t xml:space="preserve"> roku 201</w:t>
            </w:r>
            <w:r w:rsidR="00E60650">
              <w:rPr>
                <w:rFonts w:cs="Calibri"/>
                <w:color w:val="000000"/>
                <w:sz w:val="18"/>
                <w:szCs w:val="18"/>
              </w:rPr>
              <w:t>9</w:t>
            </w:r>
            <w:r w:rsidR="00033042">
              <w:rPr>
                <w:rFonts w:cs="Calibri"/>
                <w:color w:val="000000"/>
                <w:sz w:val="18"/>
                <w:szCs w:val="18"/>
              </w:rPr>
              <w:t xml:space="preserve"> </w:t>
            </w:r>
            <w:r>
              <w:rPr>
                <w:rFonts w:cs="Calibri"/>
                <w:color w:val="000000"/>
                <w:sz w:val="18"/>
                <w:szCs w:val="18"/>
              </w:rPr>
              <w:t xml:space="preserve">splnený. Hrubý dlh </w:t>
            </w:r>
            <w:r w:rsidR="00033042">
              <w:rPr>
                <w:rFonts w:cs="Calibri"/>
                <w:color w:val="000000"/>
                <w:sz w:val="18"/>
                <w:szCs w:val="18"/>
              </w:rPr>
              <w:t xml:space="preserve">klesol </w:t>
            </w:r>
            <w:r>
              <w:rPr>
                <w:rFonts w:cs="Calibri"/>
                <w:color w:val="000000"/>
                <w:sz w:val="18"/>
                <w:szCs w:val="18"/>
              </w:rPr>
              <w:t xml:space="preserve">v roku 2019 dočasne </w:t>
            </w:r>
            <w:r w:rsidR="00033042">
              <w:rPr>
                <w:rFonts w:cs="Calibri"/>
                <w:color w:val="000000"/>
                <w:sz w:val="18"/>
                <w:szCs w:val="18"/>
              </w:rPr>
              <w:t>pod sankčné pásma.</w:t>
            </w:r>
          </w:p>
        </w:tc>
      </w:tr>
      <w:tr w:rsidR="00033042" w:rsidRPr="00B81300" w14:paraId="62A1476D" w14:textId="77777777" w:rsidTr="00BF3551">
        <w:trPr>
          <w:trHeight w:val="300"/>
        </w:trPr>
        <w:tc>
          <w:tcPr>
            <w:tcW w:w="5812" w:type="dxa"/>
            <w:tcBorders>
              <w:top w:val="nil"/>
              <w:left w:val="nil"/>
              <w:bottom w:val="nil"/>
              <w:right w:val="single" w:sz="4" w:space="0" w:color="13B5EA"/>
            </w:tcBorders>
            <w:shd w:val="clear" w:color="auto" w:fill="auto"/>
            <w:vAlign w:val="center"/>
            <w:hideMark/>
          </w:tcPr>
          <w:p w14:paraId="1D804A84" w14:textId="77777777" w:rsidR="00033042" w:rsidRPr="00050859" w:rsidRDefault="00033042" w:rsidP="00033042">
            <w:pPr>
              <w:rPr>
                <w:rFonts w:cs="Calibri"/>
                <w:b/>
                <w:bCs/>
                <w:color w:val="000000"/>
                <w:sz w:val="18"/>
                <w:szCs w:val="18"/>
              </w:rPr>
            </w:pPr>
            <w:r w:rsidRPr="00050859">
              <w:rPr>
                <w:rFonts w:cs="Calibri"/>
                <w:b/>
                <w:bCs/>
                <w:color w:val="000000"/>
                <w:sz w:val="18"/>
                <w:szCs w:val="18"/>
              </w:rPr>
              <w:t>Osobitné ustanovenia pre územnú samosprávu</w:t>
            </w:r>
          </w:p>
        </w:tc>
        <w:tc>
          <w:tcPr>
            <w:tcW w:w="3260" w:type="dxa"/>
            <w:tcBorders>
              <w:top w:val="nil"/>
              <w:left w:val="nil"/>
              <w:bottom w:val="nil"/>
              <w:right w:val="nil"/>
            </w:tcBorders>
            <w:shd w:val="clear" w:color="auto" w:fill="auto"/>
            <w:vAlign w:val="center"/>
            <w:hideMark/>
          </w:tcPr>
          <w:p w14:paraId="5DB778C7" w14:textId="77777777" w:rsidR="00033042" w:rsidRPr="00050859" w:rsidRDefault="00033042" w:rsidP="00033042">
            <w:pPr>
              <w:rPr>
                <w:rFonts w:cs="Calibri"/>
                <w:b/>
                <w:bCs/>
                <w:color w:val="000000"/>
                <w:sz w:val="18"/>
                <w:szCs w:val="18"/>
              </w:rPr>
            </w:pPr>
          </w:p>
        </w:tc>
      </w:tr>
      <w:tr w:rsidR="00033042" w:rsidRPr="00B81300" w14:paraId="11B1E930" w14:textId="77777777" w:rsidTr="00BF3551">
        <w:trPr>
          <w:trHeight w:val="720"/>
        </w:trPr>
        <w:tc>
          <w:tcPr>
            <w:tcW w:w="5812" w:type="dxa"/>
            <w:tcBorders>
              <w:top w:val="nil"/>
              <w:left w:val="nil"/>
              <w:bottom w:val="single" w:sz="4" w:space="0" w:color="BFBFBF"/>
              <w:right w:val="single" w:sz="4" w:space="0" w:color="13B5EA"/>
            </w:tcBorders>
            <w:shd w:val="clear" w:color="auto" w:fill="auto"/>
            <w:vAlign w:val="center"/>
            <w:hideMark/>
          </w:tcPr>
          <w:p w14:paraId="603E1855" w14:textId="77777777" w:rsidR="00033042" w:rsidRPr="00050859" w:rsidRDefault="00033042" w:rsidP="00033042">
            <w:pPr>
              <w:rPr>
                <w:rFonts w:cs="Calibri"/>
                <w:color w:val="000000"/>
                <w:sz w:val="18"/>
                <w:szCs w:val="18"/>
              </w:rPr>
            </w:pPr>
            <w:r w:rsidRPr="00050859">
              <w:rPr>
                <w:rFonts w:cs="Calibri"/>
                <w:color w:val="000000"/>
                <w:sz w:val="18"/>
                <w:szCs w:val="18"/>
              </w:rPr>
              <w:t>Stanoviť podmienky pre poskytovanie návratných prostriedkov zo štátnych finančných aktív samosprávam, ktoré by zabránili ich selektívnemu zvýhodňovaniu a predchádzaniu prípadnej platobnej neschopnosti.</w:t>
            </w:r>
          </w:p>
        </w:tc>
        <w:tc>
          <w:tcPr>
            <w:tcW w:w="3260" w:type="dxa"/>
            <w:tcBorders>
              <w:top w:val="nil"/>
              <w:left w:val="nil"/>
              <w:bottom w:val="single" w:sz="4" w:space="0" w:color="BFBFBF"/>
              <w:right w:val="nil"/>
            </w:tcBorders>
            <w:shd w:val="clear" w:color="auto" w:fill="auto"/>
            <w:vAlign w:val="center"/>
            <w:hideMark/>
          </w:tcPr>
          <w:p w14:paraId="493858C2" w14:textId="4D058777" w:rsidR="00033042" w:rsidRPr="00050859" w:rsidRDefault="00BD3309" w:rsidP="00033042">
            <w:pPr>
              <w:rPr>
                <w:rFonts w:cs="Calibri"/>
                <w:color w:val="000000"/>
                <w:sz w:val="18"/>
                <w:szCs w:val="18"/>
              </w:rPr>
            </w:pPr>
            <w:r>
              <w:rPr>
                <w:rFonts w:cs="Calibri"/>
                <w:color w:val="000000"/>
                <w:sz w:val="18"/>
                <w:szCs w:val="18"/>
              </w:rPr>
              <w:t>Podmienky neboli stanovené.</w:t>
            </w:r>
          </w:p>
        </w:tc>
      </w:tr>
      <w:tr w:rsidR="00033042" w:rsidRPr="00B81300" w14:paraId="7A295682" w14:textId="77777777" w:rsidTr="00BF3551">
        <w:trPr>
          <w:trHeight w:val="720"/>
        </w:trPr>
        <w:tc>
          <w:tcPr>
            <w:tcW w:w="5812" w:type="dxa"/>
            <w:tcBorders>
              <w:top w:val="nil"/>
              <w:left w:val="nil"/>
              <w:bottom w:val="single" w:sz="4" w:space="0" w:color="BFBFBF"/>
              <w:right w:val="single" w:sz="4" w:space="0" w:color="13B5EA"/>
            </w:tcBorders>
            <w:shd w:val="clear" w:color="auto" w:fill="auto"/>
            <w:vAlign w:val="center"/>
            <w:hideMark/>
          </w:tcPr>
          <w:p w14:paraId="714BA0B0" w14:textId="22BD85D8" w:rsidR="00033042" w:rsidRPr="00050859" w:rsidRDefault="00033042" w:rsidP="00033042">
            <w:pPr>
              <w:rPr>
                <w:rFonts w:cs="Calibri"/>
                <w:color w:val="000000"/>
                <w:sz w:val="18"/>
                <w:szCs w:val="18"/>
              </w:rPr>
            </w:pPr>
            <w:r w:rsidRPr="00050859">
              <w:rPr>
                <w:rFonts w:cs="Calibri"/>
                <w:color w:val="000000"/>
                <w:sz w:val="18"/>
                <w:szCs w:val="18"/>
              </w:rPr>
              <w:t>Uskutočniť audit kompetencií obcí a</w:t>
            </w:r>
            <w:r w:rsidR="00BD3309">
              <w:rPr>
                <w:rFonts w:cs="Calibri"/>
                <w:color w:val="000000"/>
                <w:sz w:val="18"/>
                <w:szCs w:val="18"/>
              </w:rPr>
              <w:t> </w:t>
            </w:r>
            <w:r w:rsidRPr="00050859">
              <w:rPr>
                <w:rFonts w:cs="Calibri"/>
                <w:color w:val="000000"/>
                <w:sz w:val="18"/>
                <w:szCs w:val="18"/>
              </w:rPr>
              <w:t>vyšších územných celkov, ktorý by vytvoril porovnávaciu základňu pre vyhodnotenie toho, či úpravy pôsobností samosprávy sú spojené s</w:t>
            </w:r>
            <w:r w:rsidR="00BD3309">
              <w:rPr>
                <w:rFonts w:cs="Calibri"/>
                <w:color w:val="000000"/>
                <w:sz w:val="18"/>
                <w:szCs w:val="18"/>
              </w:rPr>
              <w:t> </w:t>
            </w:r>
            <w:r w:rsidRPr="00050859">
              <w:rPr>
                <w:rFonts w:cs="Calibri"/>
                <w:color w:val="000000"/>
                <w:sz w:val="18"/>
                <w:szCs w:val="18"/>
              </w:rPr>
              <w:t>adekvátnym financovaním zo strany štátu.</w:t>
            </w:r>
          </w:p>
        </w:tc>
        <w:tc>
          <w:tcPr>
            <w:tcW w:w="3260" w:type="dxa"/>
            <w:tcBorders>
              <w:top w:val="nil"/>
              <w:left w:val="nil"/>
              <w:bottom w:val="single" w:sz="4" w:space="0" w:color="BFBFBF"/>
              <w:right w:val="nil"/>
            </w:tcBorders>
            <w:shd w:val="clear" w:color="auto" w:fill="auto"/>
            <w:vAlign w:val="center"/>
            <w:hideMark/>
          </w:tcPr>
          <w:p w14:paraId="7D60805C" w14:textId="77777777" w:rsidR="00033042" w:rsidRPr="00050859" w:rsidRDefault="00033042" w:rsidP="00033042">
            <w:pPr>
              <w:rPr>
                <w:rFonts w:cs="Calibri"/>
                <w:color w:val="000000"/>
                <w:sz w:val="18"/>
                <w:szCs w:val="18"/>
              </w:rPr>
            </w:pPr>
            <w:r w:rsidRPr="00050859">
              <w:rPr>
                <w:rFonts w:cs="Calibri"/>
                <w:color w:val="000000"/>
                <w:sz w:val="18"/>
                <w:szCs w:val="18"/>
              </w:rPr>
              <w:t>Audit sa neuskutočnil.</w:t>
            </w:r>
          </w:p>
        </w:tc>
      </w:tr>
      <w:tr w:rsidR="00BD3309" w:rsidRPr="00B81300" w14:paraId="25801487" w14:textId="77777777" w:rsidTr="00BF3551">
        <w:trPr>
          <w:trHeight w:val="720"/>
        </w:trPr>
        <w:tc>
          <w:tcPr>
            <w:tcW w:w="5812" w:type="dxa"/>
            <w:tcBorders>
              <w:top w:val="nil"/>
              <w:left w:val="nil"/>
              <w:bottom w:val="single" w:sz="4" w:space="0" w:color="BFBFBF"/>
              <w:right w:val="single" w:sz="4" w:space="0" w:color="13B5EA"/>
            </w:tcBorders>
            <w:shd w:val="clear" w:color="auto" w:fill="auto"/>
            <w:vAlign w:val="center"/>
          </w:tcPr>
          <w:p w14:paraId="1E4FDBA3" w14:textId="19A49DF5" w:rsidR="00BD3309" w:rsidRPr="00050859" w:rsidRDefault="00BD3309" w:rsidP="00033042">
            <w:pPr>
              <w:rPr>
                <w:rFonts w:cs="Calibri"/>
                <w:color w:val="000000"/>
                <w:sz w:val="18"/>
                <w:szCs w:val="18"/>
              </w:rPr>
            </w:pPr>
            <w:r>
              <w:rPr>
                <w:rFonts w:cs="Calibri"/>
                <w:color w:val="000000"/>
                <w:sz w:val="18"/>
                <w:szCs w:val="18"/>
              </w:rPr>
              <w:t>Povinnou súčasťou doložiek vplyvov pripravovaných zákonov by mala byť aj informácia o tom, či ustanovujú nové úlohy alebo rozširujú existujúce úlohy samospráv.</w:t>
            </w:r>
          </w:p>
        </w:tc>
        <w:tc>
          <w:tcPr>
            <w:tcW w:w="3260" w:type="dxa"/>
            <w:tcBorders>
              <w:top w:val="nil"/>
              <w:left w:val="nil"/>
              <w:bottom w:val="single" w:sz="4" w:space="0" w:color="BFBFBF"/>
              <w:right w:val="nil"/>
            </w:tcBorders>
            <w:shd w:val="clear" w:color="auto" w:fill="auto"/>
            <w:vAlign w:val="center"/>
          </w:tcPr>
          <w:p w14:paraId="78A9CF3B" w14:textId="7E6511C2" w:rsidR="00BD3309" w:rsidRPr="00050859" w:rsidRDefault="00BD3309" w:rsidP="00033042">
            <w:pPr>
              <w:rPr>
                <w:rFonts w:cs="Calibri"/>
                <w:color w:val="000000"/>
                <w:sz w:val="18"/>
                <w:szCs w:val="18"/>
              </w:rPr>
            </w:pPr>
            <w:r>
              <w:rPr>
                <w:rFonts w:cs="Calibri"/>
                <w:color w:val="000000"/>
                <w:sz w:val="18"/>
                <w:szCs w:val="18"/>
              </w:rPr>
              <w:t>Nedošlo k žiadnej zmene.</w:t>
            </w:r>
          </w:p>
        </w:tc>
      </w:tr>
      <w:tr w:rsidR="00033042" w:rsidRPr="00B81300" w14:paraId="4EEFD85D" w14:textId="77777777" w:rsidTr="00BF3551">
        <w:trPr>
          <w:trHeight w:val="1200"/>
        </w:trPr>
        <w:tc>
          <w:tcPr>
            <w:tcW w:w="5812" w:type="dxa"/>
            <w:tcBorders>
              <w:top w:val="nil"/>
              <w:left w:val="nil"/>
              <w:bottom w:val="single" w:sz="4" w:space="0" w:color="BFBFBF"/>
              <w:right w:val="single" w:sz="4" w:space="0" w:color="13B5EA"/>
            </w:tcBorders>
            <w:shd w:val="clear" w:color="auto" w:fill="auto"/>
            <w:vAlign w:val="center"/>
            <w:hideMark/>
          </w:tcPr>
          <w:p w14:paraId="1EE8BAA1" w14:textId="77777777" w:rsidR="00033042" w:rsidRPr="00B81300" w:rsidRDefault="00033042" w:rsidP="00033042">
            <w:pPr>
              <w:rPr>
                <w:rFonts w:cs="Calibri"/>
                <w:color w:val="000000"/>
                <w:sz w:val="18"/>
                <w:szCs w:val="18"/>
                <w:highlight w:val="yellow"/>
              </w:rPr>
            </w:pPr>
            <w:r w:rsidRPr="00BD3309">
              <w:rPr>
                <w:rFonts w:cs="Calibri"/>
                <w:color w:val="000000"/>
                <w:sz w:val="18"/>
                <w:szCs w:val="18"/>
              </w:rPr>
              <w:t>Skvalitniť údajovú základňu pre vyčíslenie pomeru dlhu samospráv k bežným príjmom.</w:t>
            </w:r>
          </w:p>
        </w:tc>
        <w:tc>
          <w:tcPr>
            <w:tcW w:w="3260" w:type="dxa"/>
            <w:tcBorders>
              <w:top w:val="nil"/>
              <w:left w:val="nil"/>
              <w:bottom w:val="single" w:sz="4" w:space="0" w:color="BFBFBF"/>
              <w:right w:val="nil"/>
            </w:tcBorders>
            <w:shd w:val="clear" w:color="auto" w:fill="auto"/>
            <w:vAlign w:val="center"/>
            <w:hideMark/>
          </w:tcPr>
          <w:p w14:paraId="18F62EBA" w14:textId="319C944B" w:rsidR="00511352" w:rsidRPr="004A79A6" w:rsidRDefault="00511352" w:rsidP="00033042">
            <w:pPr>
              <w:rPr>
                <w:rFonts w:cs="Calibri"/>
                <w:color w:val="000000"/>
                <w:sz w:val="18"/>
                <w:szCs w:val="18"/>
              </w:rPr>
            </w:pPr>
            <w:r w:rsidRPr="004A79A6">
              <w:rPr>
                <w:rFonts w:cs="Calibri"/>
                <w:color w:val="000000"/>
                <w:sz w:val="18"/>
                <w:szCs w:val="18"/>
              </w:rPr>
              <w:t>V roku 2019 MF SR oznámilo, že začne sprísňovať kontroly nad výkazmi tak, že vecne a logicky nesprávne výkazy nebude možné predložiť do spracovania.</w:t>
            </w:r>
          </w:p>
          <w:p w14:paraId="614C80A3" w14:textId="72958850" w:rsidR="00033042" w:rsidRPr="00B81300" w:rsidRDefault="00033042" w:rsidP="00033042">
            <w:pPr>
              <w:rPr>
                <w:rFonts w:cs="Calibri"/>
                <w:color w:val="000000"/>
                <w:sz w:val="18"/>
                <w:szCs w:val="18"/>
                <w:highlight w:val="yellow"/>
              </w:rPr>
            </w:pPr>
            <w:r w:rsidRPr="004A79A6">
              <w:rPr>
                <w:rFonts w:cs="Calibri"/>
                <w:color w:val="000000"/>
                <w:sz w:val="18"/>
                <w:szCs w:val="18"/>
              </w:rPr>
              <w:t>MF SR v priebehu roka informuje ZMOS o obciach, ktoré vykazujú prekročenie výšky dlhu na základe predložených štvrťročných finančných výkazov.</w:t>
            </w:r>
          </w:p>
        </w:tc>
      </w:tr>
      <w:tr w:rsidR="00033042" w:rsidRPr="00B81300" w14:paraId="66C56DB6" w14:textId="77777777" w:rsidTr="00BF3551">
        <w:trPr>
          <w:trHeight w:val="720"/>
        </w:trPr>
        <w:tc>
          <w:tcPr>
            <w:tcW w:w="5812" w:type="dxa"/>
            <w:tcBorders>
              <w:top w:val="nil"/>
              <w:left w:val="nil"/>
              <w:bottom w:val="single" w:sz="4" w:space="0" w:color="13B5EA"/>
              <w:right w:val="single" w:sz="4" w:space="0" w:color="13B5EA"/>
            </w:tcBorders>
            <w:shd w:val="clear" w:color="auto" w:fill="auto"/>
            <w:vAlign w:val="center"/>
            <w:hideMark/>
          </w:tcPr>
          <w:p w14:paraId="624C37E2" w14:textId="0DAD59A9" w:rsidR="00033042" w:rsidRPr="00BD3309" w:rsidRDefault="00BD3309" w:rsidP="00033042">
            <w:pPr>
              <w:rPr>
                <w:rFonts w:cs="Calibri"/>
                <w:color w:val="000000"/>
                <w:sz w:val="18"/>
                <w:szCs w:val="18"/>
              </w:rPr>
            </w:pPr>
            <w:r w:rsidRPr="00BD3309">
              <w:rPr>
                <w:rFonts w:cs="Calibri"/>
                <w:color w:val="000000"/>
                <w:sz w:val="18"/>
                <w:szCs w:val="18"/>
              </w:rPr>
              <w:t>Každoročne</w:t>
            </w:r>
            <w:r w:rsidR="00033042" w:rsidRPr="00BD3309">
              <w:rPr>
                <w:rFonts w:cs="Calibri"/>
                <w:color w:val="000000"/>
                <w:sz w:val="18"/>
                <w:szCs w:val="18"/>
              </w:rPr>
              <w:t xml:space="preserve"> zverejňovať podrobné údaje o </w:t>
            </w:r>
            <w:r w:rsidRPr="00BD3309">
              <w:rPr>
                <w:rFonts w:cs="Calibri"/>
                <w:color w:val="000000"/>
                <w:sz w:val="18"/>
                <w:szCs w:val="18"/>
              </w:rPr>
              <w:t xml:space="preserve">overenej výške dlhu samospráv, </w:t>
            </w:r>
            <w:r w:rsidR="00033042" w:rsidRPr="00BD3309">
              <w:rPr>
                <w:rFonts w:cs="Calibri"/>
                <w:color w:val="000000"/>
                <w:sz w:val="18"/>
                <w:szCs w:val="18"/>
              </w:rPr>
              <w:t>uložených sankciách, prebiehajúcich konaniach a zdôvodniť prípady, ktoré neviedli k uloženiu sankcií napriek prvotnej identifikácii nesplnenia záväzných pravidiel.</w:t>
            </w:r>
          </w:p>
        </w:tc>
        <w:tc>
          <w:tcPr>
            <w:tcW w:w="3260" w:type="dxa"/>
            <w:tcBorders>
              <w:top w:val="nil"/>
              <w:left w:val="nil"/>
              <w:bottom w:val="single" w:sz="4" w:space="0" w:color="13B5EA"/>
              <w:right w:val="nil"/>
            </w:tcBorders>
            <w:shd w:val="clear" w:color="auto" w:fill="auto"/>
            <w:vAlign w:val="center"/>
            <w:hideMark/>
          </w:tcPr>
          <w:p w14:paraId="2108B99D" w14:textId="77777777" w:rsidR="00033042" w:rsidRPr="00B81300" w:rsidRDefault="00033042" w:rsidP="00033042">
            <w:pPr>
              <w:rPr>
                <w:rFonts w:cs="Calibri"/>
                <w:color w:val="000000"/>
                <w:sz w:val="18"/>
                <w:szCs w:val="18"/>
                <w:highlight w:val="yellow"/>
              </w:rPr>
            </w:pPr>
            <w:r w:rsidRPr="00A7102B">
              <w:rPr>
                <w:rFonts w:cs="Calibri"/>
                <w:color w:val="000000"/>
                <w:sz w:val="18"/>
                <w:szCs w:val="18"/>
              </w:rPr>
              <w:t>Údaje sa nezverejňujú.</w:t>
            </w:r>
          </w:p>
        </w:tc>
      </w:tr>
      <w:tr w:rsidR="00033042" w:rsidRPr="00B81300" w14:paraId="54F83C4B" w14:textId="77777777" w:rsidTr="00BF3551">
        <w:trPr>
          <w:trHeight w:val="300"/>
        </w:trPr>
        <w:tc>
          <w:tcPr>
            <w:tcW w:w="5812" w:type="dxa"/>
            <w:tcBorders>
              <w:top w:val="nil"/>
              <w:left w:val="nil"/>
              <w:bottom w:val="nil"/>
              <w:right w:val="single" w:sz="4" w:space="0" w:color="13B5EA"/>
            </w:tcBorders>
            <w:shd w:val="clear" w:color="auto" w:fill="auto"/>
            <w:vAlign w:val="center"/>
            <w:hideMark/>
          </w:tcPr>
          <w:p w14:paraId="3F0EC95E" w14:textId="77777777" w:rsidR="00033042" w:rsidRPr="00BD3309" w:rsidRDefault="00033042" w:rsidP="00033042">
            <w:pPr>
              <w:rPr>
                <w:rFonts w:cs="Calibri"/>
                <w:b/>
                <w:color w:val="000000"/>
                <w:sz w:val="18"/>
                <w:szCs w:val="18"/>
              </w:rPr>
            </w:pPr>
            <w:r w:rsidRPr="00BD3309">
              <w:rPr>
                <w:rFonts w:cs="Calibri"/>
                <w:b/>
                <w:color w:val="000000"/>
                <w:sz w:val="18"/>
                <w:szCs w:val="18"/>
              </w:rPr>
              <w:t>Výdavkové limity</w:t>
            </w:r>
          </w:p>
        </w:tc>
        <w:tc>
          <w:tcPr>
            <w:tcW w:w="3260" w:type="dxa"/>
            <w:tcBorders>
              <w:top w:val="nil"/>
              <w:left w:val="nil"/>
              <w:bottom w:val="nil"/>
              <w:right w:val="nil"/>
            </w:tcBorders>
            <w:shd w:val="clear" w:color="auto" w:fill="auto"/>
            <w:vAlign w:val="center"/>
            <w:hideMark/>
          </w:tcPr>
          <w:p w14:paraId="354FE45B" w14:textId="77777777" w:rsidR="00033042" w:rsidRPr="00B81300" w:rsidRDefault="00033042" w:rsidP="00033042">
            <w:pPr>
              <w:rPr>
                <w:rFonts w:cs="Calibri"/>
                <w:b/>
                <w:bCs/>
                <w:color w:val="000000"/>
                <w:sz w:val="18"/>
                <w:szCs w:val="18"/>
                <w:highlight w:val="yellow"/>
              </w:rPr>
            </w:pPr>
          </w:p>
        </w:tc>
      </w:tr>
      <w:tr w:rsidR="00033042" w:rsidRPr="00B81300" w14:paraId="68D25854" w14:textId="77777777" w:rsidTr="00BF3551">
        <w:trPr>
          <w:trHeight w:val="960"/>
        </w:trPr>
        <w:tc>
          <w:tcPr>
            <w:tcW w:w="5812" w:type="dxa"/>
            <w:tcBorders>
              <w:top w:val="nil"/>
              <w:left w:val="nil"/>
              <w:bottom w:val="single" w:sz="4" w:space="0" w:color="13B5EA"/>
              <w:right w:val="single" w:sz="4" w:space="0" w:color="13B5EA"/>
            </w:tcBorders>
            <w:shd w:val="clear" w:color="auto" w:fill="auto"/>
            <w:vAlign w:val="center"/>
            <w:hideMark/>
          </w:tcPr>
          <w:p w14:paraId="522DDCCA" w14:textId="750F37D3" w:rsidR="00033042" w:rsidRPr="00B81300" w:rsidRDefault="00033042" w:rsidP="00033042">
            <w:pPr>
              <w:rPr>
                <w:rFonts w:cs="Calibri"/>
                <w:color w:val="000000"/>
                <w:sz w:val="18"/>
                <w:szCs w:val="18"/>
                <w:highlight w:val="yellow"/>
              </w:rPr>
            </w:pPr>
            <w:r w:rsidRPr="00BD3309">
              <w:rPr>
                <w:rFonts w:cs="Calibri"/>
                <w:color w:val="000000"/>
                <w:sz w:val="18"/>
                <w:szCs w:val="18"/>
              </w:rPr>
              <w:t xml:space="preserve">Pokračovať v príprave záväzných viacročných výdavkových limitov </w:t>
            </w:r>
            <w:r w:rsidR="00BD3309" w:rsidRPr="00BD3309">
              <w:rPr>
                <w:rFonts w:cs="Calibri"/>
                <w:color w:val="000000"/>
                <w:sz w:val="18"/>
                <w:szCs w:val="18"/>
              </w:rPr>
              <w:t>tak, aby boli zavedené</w:t>
            </w:r>
            <w:r w:rsidRPr="00BD3309">
              <w:rPr>
                <w:rFonts w:cs="Calibri"/>
                <w:color w:val="000000"/>
                <w:sz w:val="18"/>
                <w:szCs w:val="18"/>
              </w:rPr>
              <w:t xml:space="preserve"> do praxe</w:t>
            </w:r>
            <w:r w:rsidR="00BD3309" w:rsidRPr="00BD3309">
              <w:rPr>
                <w:rFonts w:cs="Calibri"/>
                <w:color w:val="000000"/>
                <w:sz w:val="18"/>
                <w:szCs w:val="18"/>
              </w:rPr>
              <w:t xml:space="preserve"> v priebehu nasledujúceho </w:t>
            </w:r>
            <w:r w:rsidR="00536743">
              <w:rPr>
                <w:rFonts w:cs="Calibri"/>
                <w:color w:val="000000"/>
                <w:sz w:val="18"/>
                <w:szCs w:val="18"/>
              </w:rPr>
              <w:t>(2020-2024)</w:t>
            </w:r>
            <w:r w:rsidR="00BD3309" w:rsidRPr="00BD3309">
              <w:rPr>
                <w:rFonts w:cs="Calibri"/>
                <w:color w:val="000000"/>
                <w:sz w:val="18"/>
                <w:szCs w:val="18"/>
              </w:rPr>
              <w:t xml:space="preserve"> volebného obdobia</w:t>
            </w:r>
            <w:r w:rsidRPr="00BD3309">
              <w:rPr>
                <w:rFonts w:cs="Calibri"/>
                <w:color w:val="000000"/>
                <w:sz w:val="18"/>
                <w:szCs w:val="18"/>
              </w:rPr>
              <w:t>.</w:t>
            </w:r>
          </w:p>
        </w:tc>
        <w:tc>
          <w:tcPr>
            <w:tcW w:w="3260" w:type="dxa"/>
            <w:tcBorders>
              <w:top w:val="nil"/>
              <w:left w:val="nil"/>
              <w:bottom w:val="single" w:sz="4" w:space="0" w:color="13B5EA"/>
              <w:right w:val="nil"/>
            </w:tcBorders>
            <w:shd w:val="clear" w:color="auto" w:fill="auto"/>
            <w:vAlign w:val="center"/>
            <w:hideMark/>
          </w:tcPr>
          <w:p w14:paraId="447C1F87" w14:textId="1426E5F0" w:rsidR="00033042" w:rsidRPr="00B81300" w:rsidRDefault="00536743" w:rsidP="00033042">
            <w:pPr>
              <w:rPr>
                <w:rFonts w:cs="Calibri"/>
                <w:color w:val="000000"/>
                <w:sz w:val="18"/>
                <w:szCs w:val="18"/>
                <w:highlight w:val="yellow"/>
              </w:rPr>
            </w:pPr>
            <w:r w:rsidRPr="00536743">
              <w:rPr>
                <w:rFonts w:cs="Calibri"/>
                <w:color w:val="000000"/>
                <w:sz w:val="18"/>
                <w:szCs w:val="18"/>
              </w:rPr>
              <w:t xml:space="preserve">V júli 2020 zverejnil Inštitút finančnej politiky MF SR upravený návrh viacročných výdavkových stropov, pričom ministerstvo financií deklarovalo, že plánuje do polovice roka 2021 predstaviť </w:t>
            </w:r>
            <w:r w:rsidR="00133C0D">
              <w:rPr>
                <w:rFonts w:cs="Calibri"/>
                <w:color w:val="000000"/>
                <w:sz w:val="18"/>
                <w:szCs w:val="18"/>
              </w:rPr>
              <w:t>konkrétnu podobu</w:t>
            </w:r>
            <w:r w:rsidRPr="00536743">
              <w:rPr>
                <w:rFonts w:cs="Calibri"/>
                <w:color w:val="000000"/>
                <w:sz w:val="18"/>
                <w:szCs w:val="18"/>
              </w:rPr>
              <w:t xml:space="preserve"> viacročných výdavkových limitov.</w:t>
            </w:r>
          </w:p>
        </w:tc>
      </w:tr>
      <w:tr w:rsidR="00033042" w:rsidRPr="00B81300" w14:paraId="5201643B" w14:textId="77777777" w:rsidTr="00BF3551">
        <w:trPr>
          <w:trHeight w:val="300"/>
        </w:trPr>
        <w:tc>
          <w:tcPr>
            <w:tcW w:w="5812" w:type="dxa"/>
            <w:tcBorders>
              <w:top w:val="nil"/>
              <w:left w:val="nil"/>
              <w:bottom w:val="nil"/>
              <w:right w:val="single" w:sz="4" w:space="0" w:color="13B5EA"/>
            </w:tcBorders>
            <w:shd w:val="clear" w:color="auto" w:fill="auto"/>
            <w:vAlign w:val="center"/>
            <w:hideMark/>
          </w:tcPr>
          <w:p w14:paraId="689389FF" w14:textId="77777777" w:rsidR="00033042" w:rsidRPr="000A65E6" w:rsidRDefault="00033042" w:rsidP="00033042">
            <w:pPr>
              <w:rPr>
                <w:rFonts w:cs="Calibri"/>
                <w:b/>
                <w:bCs/>
                <w:color w:val="000000"/>
                <w:sz w:val="18"/>
                <w:szCs w:val="18"/>
              </w:rPr>
            </w:pPr>
            <w:r w:rsidRPr="000A65E6">
              <w:rPr>
                <w:rFonts w:cs="Calibri"/>
                <w:b/>
                <w:bCs/>
                <w:color w:val="000000"/>
                <w:sz w:val="18"/>
                <w:szCs w:val="18"/>
              </w:rPr>
              <w:t>Výbor pre daňové prognózy</w:t>
            </w:r>
          </w:p>
        </w:tc>
        <w:tc>
          <w:tcPr>
            <w:tcW w:w="3260" w:type="dxa"/>
            <w:tcBorders>
              <w:top w:val="nil"/>
              <w:left w:val="nil"/>
              <w:bottom w:val="nil"/>
              <w:right w:val="nil"/>
            </w:tcBorders>
            <w:shd w:val="clear" w:color="auto" w:fill="auto"/>
            <w:vAlign w:val="center"/>
            <w:hideMark/>
          </w:tcPr>
          <w:p w14:paraId="7F21E2A9" w14:textId="77777777" w:rsidR="00033042" w:rsidRPr="000A65E6" w:rsidRDefault="00033042" w:rsidP="00033042">
            <w:pPr>
              <w:rPr>
                <w:rFonts w:cs="Calibri"/>
                <w:b/>
                <w:bCs/>
                <w:color w:val="000000"/>
                <w:sz w:val="18"/>
                <w:szCs w:val="18"/>
              </w:rPr>
            </w:pPr>
          </w:p>
        </w:tc>
      </w:tr>
      <w:tr w:rsidR="00033042" w:rsidRPr="00B81300" w14:paraId="4F389206" w14:textId="77777777" w:rsidTr="00BF3551">
        <w:trPr>
          <w:trHeight w:val="480"/>
        </w:trPr>
        <w:tc>
          <w:tcPr>
            <w:tcW w:w="5812" w:type="dxa"/>
            <w:tcBorders>
              <w:top w:val="nil"/>
              <w:left w:val="nil"/>
              <w:bottom w:val="single" w:sz="4" w:space="0" w:color="BFBFBF"/>
              <w:right w:val="single" w:sz="4" w:space="0" w:color="13B5EA"/>
            </w:tcBorders>
            <w:shd w:val="clear" w:color="auto" w:fill="auto"/>
            <w:vAlign w:val="center"/>
            <w:hideMark/>
          </w:tcPr>
          <w:p w14:paraId="1A6F0892" w14:textId="5204888C" w:rsidR="00033042" w:rsidRPr="000A65E6" w:rsidRDefault="00033042" w:rsidP="00033042">
            <w:pPr>
              <w:rPr>
                <w:rFonts w:cs="Calibri"/>
                <w:color w:val="000000"/>
                <w:sz w:val="18"/>
                <w:szCs w:val="18"/>
              </w:rPr>
            </w:pPr>
            <w:r w:rsidRPr="000A65E6">
              <w:rPr>
                <w:rFonts w:cs="Calibri"/>
                <w:color w:val="000000"/>
                <w:sz w:val="18"/>
                <w:szCs w:val="18"/>
              </w:rPr>
              <w:t xml:space="preserve">Vo Výbore pre daňové prognózy </w:t>
            </w:r>
            <w:r w:rsidR="000B7C6F" w:rsidRPr="000B7C6F">
              <w:rPr>
                <w:rFonts w:cs="Calibri"/>
                <w:color w:val="000000"/>
                <w:sz w:val="18"/>
                <w:szCs w:val="18"/>
              </w:rPr>
              <w:t>schvaľovať</w:t>
            </w:r>
            <w:r w:rsidR="000B7C6F">
              <w:rPr>
                <w:rFonts w:cs="Calibri"/>
                <w:color w:val="000000"/>
                <w:sz w:val="18"/>
                <w:szCs w:val="18"/>
              </w:rPr>
              <w:t xml:space="preserve"> </w:t>
            </w:r>
            <w:r w:rsidR="000B7C6F" w:rsidRPr="000B7C6F">
              <w:rPr>
                <w:rFonts w:cs="Calibri"/>
                <w:color w:val="000000"/>
                <w:sz w:val="18"/>
                <w:szCs w:val="18"/>
              </w:rPr>
              <w:t>prognózu</w:t>
            </w:r>
            <w:r w:rsidR="000B7C6F">
              <w:rPr>
                <w:rFonts w:cs="Calibri"/>
                <w:color w:val="000000"/>
                <w:sz w:val="18"/>
                <w:szCs w:val="18"/>
              </w:rPr>
              <w:t xml:space="preserve"> </w:t>
            </w:r>
            <w:r w:rsidR="000B7C6F" w:rsidRPr="000B7C6F">
              <w:rPr>
                <w:rFonts w:cs="Calibri"/>
                <w:color w:val="000000"/>
                <w:sz w:val="18"/>
                <w:szCs w:val="18"/>
              </w:rPr>
              <w:t>všetkých</w:t>
            </w:r>
            <w:r w:rsidR="000B7C6F">
              <w:rPr>
                <w:rFonts w:cs="Calibri"/>
                <w:color w:val="000000"/>
                <w:sz w:val="18"/>
                <w:szCs w:val="18"/>
              </w:rPr>
              <w:t xml:space="preserve"> </w:t>
            </w:r>
            <w:r w:rsidR="000B7C6F" w:rsidRPr="000B7C6F">
              <w:rPr>
                <w:rFonts w:cs="Calibri"/>
                <w:color w:val="000000"/>
                <w:sz w:val="18"/>
                <w:szCs w:val="18"/>
              </w:rPr>
              <w:t>daňových</w:t>
            </w:r>
            <w:r w:rsidR="000B7C6F">
              <w:rPr>
                <w:rFonts w:cs="Calibri"/>
                <w:color w:val="000000"/>
                <w:sz w:val="18"/>
                <w:szCs w:val="18"/>
              </w:rPr>
              <w:t xml:space="preserve"> </w:t>
            </w:r>
            <w:r w:rsidR="000B7C6F" w:rsidRPr="000B7C6F">
              <w:rPr>
                <w:rFonts w:cs="Calibri"/>
                <w:color w:val="000000"/>
                <w:sz w:val="18"/>
                <w:szCs w:val="18"/>
              </w:rPr>
              <w:t>príjmov</w:t>
            </w:r>
            <w:r w:rsidRPr="000A65E6">
              <w:rPr>
                <w:rFonts w:cs="Calibri"/>
                <w:color w:val="000000"/>
                <w:sz w:val="18"/>
                <w:szCs w:val="18"/>
              </w:rPr>
              <w:t xml:space="preserve"> a </w:t>
            </w:r>
            <w:r w:rsidR="000B7C6F" w:rsidRPr="000B7C6F">
              <w:rPr>
                <w:rFonts w:cs="Calibri"/>
                <w:color w:val="000000"/>
                <w:sz w:val="18"/>
                <w:szCs w:val="18"/>
              </w:rPr>
              <w:t>odvodov</w:t>
            </w:r>
            <w:r w:rsidRPr="000A65E6">
              <w:rPr>
                <w:rFonts w:cs="Calibri"/>
                <w:color w:val="000000"/>
                <w:sz w:val="18"/>
                <w:szCs w:val="18"/>
              </w:rPr>
              <w:t xml:space="preserve"> v zmysle metodiky ESA2010</w:t>
            </w:r>
            <w:r w:rsidR="000B7C6F">
              <w:rPr>
                <w:rFonts w:cs="Calibri"/>
                <w:color w:val="000000"/>
                <w:sz w:val="18"/>
                <w:szCs w:val="18"/>
              </w:rPr>
              <w:t xml:space="preserve"> </w:t>
            </w:r>
            <w:r w:rsidR="000B7C6F" w:rsidRPr="000B7C6F">
              <w:rPr>
                <w:rFonts w:cs="Calibri"/>
                <w:color w:val="000000"/>
                <w:sz w:val="18"/>
                <w:szCs w:val="18"/>
              </w:rPr>
              <w:t>a</w:t>
            </w:r>
            <w:r w:rsidR="000B7C6F">
              <w:rPr>
                <w:rFonts w:cs="Calibri"/>
                <w:color w:val="000000"/>
                <w:sz w:val="18"/>
                <w:szCs w:val="18"/>
              </w:rPr>
              <w:t> </w:t>
            </w:r>
            <w:r w:rsidR="000B7C6F" w:rsidRPr="000B7C6F">
              <w:rPr>
                <w:rFonts w:cs="Calibri"/>
                <w:color w:val="000000"/>
                <w:sz w:val="18"/>
                <w:szCs w:val="18"/>
              </w:rPr>
              <w:t>vybraných</w:t>
            </w:r>
            <w:r w:rsidR="000B7C6F">
              <w:rPr>
                <w:rFonts w:cs="Calibri"/>
                <w:color w:val="000000"/>
                <w:sz w:val="18"/>
                <w:szCs w:val="18"/>
              </w:rPr>
              <w:t xml:space="preserve"> </w:t>
            </w:r>
            <w:r w:rsidR="000B7C6F" w:rsidRPr="000B7C6F">
              <w:rPr>
                <w:rFonts w:cs="Calibri"/>
                <w:color w:val="000000"/>
                <w:sz w:val="18"/>
                <w:szCs w:val="18"/>
              </w:rPr>
              <w:t>nedaňových</w:t>
            </w:r>
            <w:r w:rsidR="000B7C6F">
              <w:rPr>
                <w:rFonts w:cs="Calibri"/>
                <w:color w:val="000000"/>
                <w:sz w:val="18"/>
                <w:szCs w:val="18"/>
              </w:rPr>
              <w:t xml:space="preserve"> </w:t>
            </w:r>
            <w:r w:rsidR="000B7C6F" w:rsidRPr="000B7C6F">
              <w:rPr>
                <w:rFonts w:cs="Calibri"/>
                <w:color w:val="000000"/>
                <w:sz w:val="18"/>
                <w:szCs w:val="18"/>
              </w:rPr>
              <w:t>príjmov</w:t>
            </w:r>
            <w:r w:rsidRPr="000A65E6">
              <w:rPr>
                <w:rFonts w:cs="Calibri"/>
                <w:color w:val="000000"/>
                <w:sz w:val="18"/>
                <w:szCs w:val="18"/>
              </w:rPr>
              <w:t>.</w:t>
            </w:r>
          </w:p>
        </w:tc>
        <w:tc>
          <w:tcPr>
            <w:tcW w:w="3260" w:type="dxa"/>
            <w:tcBorders>
              <w:top w:val="nil"/>
              <w:left w:val="nil"/>
              <w:bottom w:val="single" w:sz="4" w:space="0" w:color="BFBFBF"/>
              <w:right w:val="nil"/>
            </w:tcBorders>
            <w:shd w:val="clear" w:color="auto" w:fill="auto"/>
            <w:vAlign w:val="center"/>
            <w:hideMark/>
          </w:tcPr>
          <w:p w14:paraId="30A89A6A" w14:textId="77777777" w:rsidR="00033042" w:rsidRPr="000A65E6" w:rsidRDefault="00033042" w:rsidP="00033042">
            <w:pPr>
              <w:rPr>
                <w:rFonts w:cs="Calibri"/>
                <w:color w:val="000000"/>
                <w:sz w:val="18"/>
                <w:szCs w:val="18"/>
              </w:rPr>
            </w:pPr>
            <w:r w:rsidRPr="000A65E6">
              <w:rPr>
                <w:rFonts w:cs="Calibri"/>
                <w:color w:val="000000"/>
                <w:sz w:val="18"/>
                <w:szCs w:val="18"/>
              </w:rPr>
              <w:t>Nedošlo k žiadnej zmene.</w:t>
            </w:r>
          </w:p>
        </w:tc>
      </w:tr>
      <w:tr w:rsidR="00033042" w:rsidRPr="00B81300" w14:paraId="2B2ABEB2" w14:textId="77777777" w:rsidTr="00BF3551">
        <w:trPr>
          <w:trHeight w:val="960"/>
        </w:trPr>
        <w:tc>
          <w:tcPr>
            <w:tcW w:w="5812" w:type="dxa"/>
            <w:tcBorders>
              <w:top w:val="nil"/>
              <w:left w:val="nil"/>
              <w:bottom w:val="single" w:sz="4" w:space="0" w:color="13B5EA"/>
              <w:right w:val="single" w:sz="4" w:space="0" w:color="13B5EA"/>
            </w:tcBorders>
            <w:shd w:val="clear" w:color="auto" w:fill="auto"/>
            <w:vAlign w:val="center"/>
            <w:hideMark/>
          </w:tcPr>
          <w:p w14:paraId="4846CEE4" w14:textId="1E973E3F" w:rsidR="00033042" w:rsidRPr="000A65E6" w:rsidRDefault="00033042" w:rsidP="00033042">
            <w:pPr>
              <w:rPr>
                <w:rFonts w:cs="Calibri"/>
                <w:color w:val="000000"/>
                <w:sz w:val="18"/>
                <w:szCs w:val="18"/>
              </w:rPr>
            </w:pPr>
            <w:r w:rsidRPr="000A65E6">
              <w:rPr>
                <w:rFonts w:cs="Calibri"/>
                <w:color w:val="000000"/>
                <w:sz w:val="18"/>
                <w:szCs w:val="18"/>
              </w:rPr>
              <w:t xml:space="preserve">Uzákoniť </w:t>
            </w:r>
            <w:r w:rsidR="000B7C6F" w:rsidRPr="000B7C6F">
              <w:rPr>
                <w:rFonts w:cs="Calibri"/>
                <w:color w:val="000000"/>
                <w:sz w:val="18"/>
                <w:szCs w:val="18"/>
              </w:rPr>
              <w:t>v</w:t>
            </w:r>
            <w:r w:rsidR="000B7C6F">
              <w:rPr>
                <w:rFonts w:cs="Calibri"/>
                <w:color w:val="000000"/>
                <w:sz w:val="18"/>
                <w:szCs w:val="18"/>
              </w:rPr>
              <w:t xml:space="preserve"> </w:t>
            </w:r>
            <w:r w:rsidR="000B7C6F" w:rsidRPr="000B7C6F">
              <w:rPr>
                <w:rFonts w:cs="Calibri"/>
                <w:color w:val="000000"/>
                <w:sz w:val="18"/>
                <w:szCs w:val="18"/>
              </w:rPr>
              <w:t>rámci príslušných ustanovení</w:t>
            </w:r>
            <w:r w:rsidR="000B7C6F">
              <w:rPr>
                <w:rFonts w:cs="Calibri"/>
                <w:color w:val="000000"/>
                <w:sz w:val="18"/>
                <w:szCs w:val="18"/>
              </w:rPr>
              <w:t xml:space="preserve"> </w:t>
            </w:r>
            <w:r w:rsidR="000B7C6F" w:rsidRPr="000B7C6F">
              <w:rPr>
                <w:rFonts w:cs="Calibri"/>
                <w:color w:val="000000"/>
                <w:sz w:val="18"/>
                <w:szCs w:val="18"/>
              </w:rPr>
              <w:t>zákona o</w:t>
            </w:r>
            <w:r w:rsidR="000B7C6F">
              <w:rPr>
                <w:rFonts w:cs="Calibri"/>
                <w:color w:val="000000"/>
                <w:sz w:val="18"/>
                <w:szCs w:val="18"/>
              </w:rPr>
              <w:t xml:space="preserve"> </w:t>
            </w:r>
            <w:r w:rsidR="000B7C6F" w:rsidRPr="000B7C6F">
              <w:rPr>
                <w:rFonts w:cs="Calibri"/>
                <w:color w:val="000000"/>
                <w:sz w:val="18"/>
                <w:szCs w:val="18"/>
              </w:rPr>
              <w:t>rozpočtovej zodpovednosti</w:t>
            </w:r>
            <w:r w:rsidR="000B7C6F">
              <w:rPr>
                <w:rFonts w:cs="Calibri"/>
                <w:color w:val="000000"/>
                <w:sz w:val="18"/>
                <w:szCs w:val="18"/>
              </w:rPr>
              <w:t xml:space="preserve"> </w:t>
            </w:r>
            <w:r w:rsidR="000B7C6F" w:rsidRPr="000B7C6F">
              <w:rPr>
                <w:rFonts w:cs="Calibri"/>
                <w:color w:val="000000"/>
                <w:sz w:val="18"/>
                <w:szCs w:val="18"/>
              </w:rPr>
              <w:t>alebo zákona o</w:t>
            </w:r>
            <w:r w:rsidR="000B7C6F">
              <w:rPr>
                <w:rFonts w:cs="Calibri"/>
                <w:color w:val="000000"/>
                <w:sz w:val="18"/>
                <w:szCs w:val="18"/>
              </w:rPr>
              <w:t xml:space="preserve"> </w:t>
            </w:r>
            <w:r w:rsidR="000B7C6F" w:rsidRPr="000B7C6F">
              <w:rPr>
                <w:rFonts w:cs="Calibri"/>
                <w:color w:val="000000"/>
                <w:sz w:val="18"/>
                <w:szCs w:val="18"/>
              </w:rPr>
              <w:t>rozpočtových pravidlách verejnej správy</w:t>
            </w:r>
            <w:r w:rsidRPr="000A65E6">
              <w:rPr>
                <w:rFonts w:cs="Calibri"/>
                <w:color w:val="000000"/>
                <w:sz w:val="18"/>
                <w:szCs w:val="18"/>
              </w:rPr>
              <w:t xml:space="preserve"> používanie prognózy daňových a odvodových príjmov schválenej Výborom pre daňové prognózy v celom rozpočtovom procese, t.j. od prípravy programu stability až po schválenie rozpočtu v NR SR. </w:t>
            </w:r>
          </w:p>
        </w:tc>
        <w:tc>
          <w:tcPr>
            <w:tcW w:w="3260" w:type="dxa"/>
            <w:tcBorders>
              <w:top w:val="nil"/>
              <w:left w:val="nil"/>
              <w:bottom w:val="single" w:sz="4" w:space="0" w:color="13B5EA"/>
              <w:right w:val="nil"/>
            </w:tcBorders>
            <w:shd w:val="clear" w:color="auto" w:fill="auto"/>
            <w:vAlign w:val="center"/>
            <w:hideMark/>
          </w:tcPr>
          <w:p w14:paraId="5F7BCB15" w14:textId="77777777" w:rsidR="00033042" w:rsidRPr="000A65E6" w:rsidRDefault="00033042" w:rsidP="00033042">
            <w:pPr>
              <w:rPr>
                <w:rFonts w:cs="Calibri"/>
                <w:color w:val="000000"/>
                <w:sz w:val="18"/>
                <w:szCs w:val="18"/>
              </w:rPr>
            </w:pPr>
            <w:r w:rsidRPr="000A65E6">
              <w:rPr>
                <w:rFonts w:cs="Calibri"/>
                <w:color w:val="000000"/>
                <w:sz w:val="18"/>
                <w:szCs w:val="18"/>
              </w:rPr>
              <w:t>Nedošlo k žiadnej zmene.</w:t>
            </w:r>
          </w:p>
        </w:tc>
      </w:tr>
      <w:tr w:rsidR="00033042" w:rsidRPr="00B81300" w14:paraId="399DA48E" w14:textId="77777777" w:rsidTr="00BF3551">
        <w:trPr>
          <w:trHeight w:val="300"/>
        </w:trPr>
        <w:tc>
          <w:tcPr>
            <w:tcW w:w="5812" w:type="dxa"/>
            <w:tcBorders>
              <w:top w:val="nil"/>
              <w:left w:val="nil"/>
              <w:bottom w:val="nil"/>
              <w:right w:val="single" w:sz="4" w:space="0" w:color="13B5EA"/>
            </w:tcBorders>
            <w:shd w:val="clear" w:color="auto" w:fill="auto"/>
            <w:vAlign w:val="center"/>
            <w:hideMark/>
          </w:tcPr>
          <w:p w14:paraId="21E272E1" w14:textId="77777777" w:rsidR="00033042" w:rsidRPr="000A65E6" w:rsidRDefault="00033042" w:rsidP="00033042">
            <w:pPr>
              <w:rPr>
                <w:rFonts w:cs="Calibri"/>
                <w:b/>
                <w:bCs/>
                <w:color w:val="000000"/>
                <w:sz w:val="18"/>
                <w:szCs w:val="18"/>
              </w:rPr>
            </w:pPr>
            <w:r w:rsidRPr="000A65E6">
              <w:rPr>
                <w:rFonts w:cs="Calibri"/>
                <w:b/>
                <w:bCs/>
                <w:color w:val="000000"/>
                <w:sz w:val="18"/>
                <w:szCs w:val="18"/>
              </w:rPr>
              <w:t>Rozpočet verejnej správy</w:t>
            </w:r>
          </w:p>
        </w:tc>
        <w:tc>
          <w:tcPr>
            <w:tcW w:w="3260" w:type="dxa"/>
            <w:tcBorders>
              <w:top w:val="nil"/>
              <w:left w:val="nil"/>
              <w:bottom w:val="nil"/>
              <w:right w:val="nil"/>
            </w:tcBorders>
            <w:shd w:val="clear" w:color="auto" w:fill="auto"/>
            <w:vAlign w:val="center"/>
            <w:hideMark/>
          </w:tcPr>
          <w:p w14:paraId="075DEEC5" w14:textId="77777777" w:rsidR="00033042" w:rsidRPr="000A65E6" w:rsidRDefault="00033042" w:rsidP="00033042">
            <w:pPr>
              <w:rPr>
                <w:rFonts w:cs="Calibri"/>
                <w:b/>
                <w:bCs/>
                <w:color w:val="000000"/>
                <w:sz w:val="18"/>
                <w:szCs w:val="18"/>
              </w:rPr>
            </w:pPr>
          </w:p>
        </w:tc>
      </w:tr>
      <w:tr w:rsidR="00033042" w:rsidRPr="00B81300" w14:paraId="23576281" w14:textId="77777777" w:rsidTr="000B7C6F">
        <w:trPr>
          <w:trHeight w:val="568"/>
        </w:trPr>
        <w:tc>
          <w:tcPr>
            <w:tcW w:w="5812" w:type="dxa"/>
            <w:tcBorders>
              <w:top w:val="nil"/>
              <w:left w:val="nil"/>
              <w:bottom w:val="single" w:sz="4" w:space="0" w:color="BFBFBF"/>
              <w:right w:val="single" w:sz="4" w:space="0" w:color="13B5EA"/>
            </w:tcBorders>
            <w:shd w:val="clear" w:color="auto" w:fill="auto"/>
            <w:vAlign w:val="center"/>
            <w:hideMark/>
          </w:tcPr>
          <w:p w14:paraId="6FBE9CC5" w14:textId="4AAF9A0A" w:rsidR="00033042" w:rsidRPr="000A65E6" w:rsidRDefault="00033042" w:rsidP="00033042">
            <w:pPr>
              <w:jc w:val="both"/>
              <w:rPr>
                <w:rFonts w:cs="Calibri"/>
                <w:color w:val="000000"/>
                <w:sz w:val="18"/>
                <w:szCs w:val="18"/>
              </w:rPr>
            </w:pPr>
            <w:r w:rsidRPr="000A65E6">
              <w:rPr>
                <w:rFonts w:cs="Calibri"/>
                <w:color w:val="000000"/>
                <w:sz w:val="18"/>
                <w:szCs w:val="18"/>
              </w:rPr>
              <w:lastRenderedPageBreak/>
              <w:t>Zvýšiť záväznosť trojročného rozpočtu a schvaľovať v parlamente celý trojročný rozpočet verejnej správy a pozmeňujúce návrhy k nemu v súlade s metodikou ESA2010. Súčasný spôsob schvaľovania (schvaľuje sa hotovostný štátny rozpočet na najbližší rok) je daný historicky a nepostačuje na zachytenie kľúčových sledovaných parametrov a</w:t>
            </w:r>
            <w:r w:rsidR="00CF71B7">
              <w:rPr>
                <w:rFonts w:cs="Calibri"/>
                <w:color w:val="000000"/>
                <w:sz w:val="18"/>
                <w:szCs w:val="18"/>
              </w:rPr>
              <w:t> </w:t>
            </w:r>
            <w:r w:rsidRPr="000A65E6">
              <w:rPr>
                <w:rFonts w:cs="Calibri"/>
                <w:color w:val="000000"/>
                <w:sz w:val="18"/>
                <w:szCs w:val="18"/>
              </w:rPr>
              <w:t>všetkých zmien vo verejných financiách.</w:t>
            </w:r>
          </w:p>
        </w:tc>
        <w:tc>
          <w:tcPr>
            <w:tcW w:w="3260" w:type="dxa"/>
            <w:tcBorders>
              <w:top w:val="nil"/>
              <w:left w:val="nil"/>
              <w:bottom w:val="single" w:sz="4" w:space="0" w:color="BFBFBF"/>
              <w:right w:val="nil"/>
            </w:tcBorders>
            <w:shd w:val="clear" w:color="auto" w:fill="auto"/>
            <w:vAlign w:val="center"/>
            <w:hideMark/>
          </w:tcPr>
          <w:p w14:paraId="7E9132D0" w14:textId="77777777" w:rsidR="00033042" w:rsidRPr="000A65E6" w:rsidRDefault="00033042" w:rsidP="00033042">
            <w:pPr>
              <w:rPr>
                <w:rFonts w:cs="Calibri"/>
                <w:color w:val="000000"/>
                <w:sz w:val="18"/>
                <w:szCs w:val="18"/>
              </w:rPr>
            </w:pPr>
            <w:r w:rsidRPr="000A65E6">
              <w:rPr>
                <w:rFonts w:cs="Calibri"/>
                <w:color w:val="000000"/>
                <w:sz w:val="18"/>
                <w:szCs w:val="18"/>
              </w:rPr>
              <w:t>Nedošlo k žiadnej zmene.</w:t>
            </w:r>
          </w:p>
        </w:tc>
      </w:tr>
      <w:tr w:rsidR="00033042" w:rsidRPr="00B81300" w14:paraId="580B858D" w14:textId="77777777" w:rsidTr="00BF3551">
        <w:trPr>
          <w:trHeight w:val="720"/>
        </w:trPr>
        <w:tc>
          <w:tcPr>
            <w:tcW w:w="5812" w:type="dxa"/>
            <w:tcBorders>
              <w:top w:val="nil"/>
              <w:left w:val="nil"/>
              <w:bottom w:val="single" w:sz="4" w:space="0" w:color="BFBFBF"/>
              <w:right w:val="single" w:sz="4" w:space="0" w:color="13B5EA"/>
            </w:tcBorders>
            <w:shd w:val="clear" w:color="auto" w:fill="auto"/>
            <w:vAlign w:val="center"/>
            <w:hideMark/>
          </w:tcPr>
          <w:p w14:paraId="02BE84A6" w14:textId="77777777" w:rsidR="00033042" w:rsidRPr="00D2456B" w:rsidRDefault="00033042" w:rsidP="00033042">
            <w:pPr>
              <w:jc w:val="both"/>
              <w:rPr>
                <w:rFonts w:cs="Calibri"/>
                <w:color w:val="000000"/>
                <w:sz w:val="18"/>
                <w:szCs w:val="18"/>
              </w:rPr>
            </w:pPr>
            <w:r w:rsidRPr="00D2456B">
              <w:rPr>
                <w:rFonts w:cs="Calibri"/>
                <w:color w:val="000000"/>
                <w:sz w:val="18"/>
                <w:szCs w:val="18"/>
              </w:rPr>
              <w:t xml:space="preserve">Upraviť legislatívny rámec tak, aby sa posilnila záväznosť rozpočtovaných výdavkov, vrátane stanovenia transparentných pravidiel pre tvorbu, použitie a zverejňovanie informácií o všetkých rezervách. </w:t>
            </w:r>
          </w:p>
        </w:tc>
        <w:tc>
          <w:tcPr>
            <w:tcW w:w="3260" w:type="dxa"/>
            <w:tcBorders>
              <w:top w:val="nil"/>
              <w:left w:val="nil"/>
              <w:bottom w:val="single" w:sz="4" w:space="0" w:color="BFBFBF"/>
              <w:right w:val="nil"/>
            </w:tcBorders>
            <w:shd w:val="clear" w:color="auto" w:fill="auto"/>
            <w:vAlign w:val="center"/>
            <w:hideMark/>
          </w:tcPr>
          <w:p w14:paraId="61F390EC" w14:textId="77777777" w:rsidR="00033042" w:rsidRPr="00D2456B" w:rsidRDefault="00033042" w:rsidP="00033042">
            <w:pPr>
              <w:rPr>
                <w:rFonts w:cs="Calibri"/>
                <w:color w:val="000000"/>
                <w:sz w:val="18"/>
                <w:szCs w:val="18"/>
              </w:rPr>
            </w:pPr>
            <w:r w:rsidRPr="00D2456B">
              <w:rPr>
                <w:rFonts w:cs="Calibri"/>
                <w:color w:val="000000"/>
                <w:sz w:val="18"/>
                <w:szCs w:val="18"/>
              </w:rPr>
              <w:t>Nedošlo k žiadnej zmene.</w:t>
            </w:r>
          </w:p>
        </w:tc>
      </w:tr>
      <w:tr w:rsidR="000B7C6F" w:rsidRPr="00B81300" w14:paraId="519D3C57" w14:textId="77777777" w:rsidTr="00BF3551">
        <w:trPr>
          <w:trHeight w:val="720"/>
        </w:trPr>
        <w:tc>
          <w:tcPr>
            <w:tcW w:w="5812" w:type="dxa"/>
            <w:tcBorders>
              <w:top w:val="nil"/>
              <w:left w:val="nil"/>
              <w:bottom w:val="single" w:sz="4" w:space="0" w:color="BFBFBF"/>
              <w:right w:val="single" w:sz="4" w:space="0" w:color="13B5EA"/>
            </w:tcBorders>
            <w:shd w:val="clear" w:color="auto" w:fill="auto"/>
            <w:vAlign w:val="center"/>
          </w:tcPr>
          <w:p w14:paraId="6423F238" w14:textId="360C1AAF" w:rsidR="000B7C6F" w:rsidRPr="00D2456B" w:rsidRDefault="000B7C6F" w:rsidP="00033042">
            <w:pPr>
              <w:jc w:val="both"/>
              <w:rPr>
                <w:rFonts w:cs="Calibri"/>
                <w:color w:val="000000"/>
                <w:sz w:val="18"/>
                <w:szCs w:val="18"/>
              </w:rPr>
            </w:pPr>
            <w:r w:rsidRPr="000B7C6F">
              <w:rPr>
                <w:rFonts w:cs="Calibri"/>
                <w:color w:val="000000"/>
                <w:sz w:val="18"/>
                <w:szCs w:val="18"/>
              </w:rPr>
              <w:t>Zvýšiť kvalitu poskytovaných informácií v</w:t>
            </w:r>
            <w:r>
              <w:rPr>
                <w:rFonts w:cs="Calibri"/>
                <w:color w:val="000000"/>
                <w:sz w:val="18"/>
                <w:szCs w:val="18"/>
              </w:rPr>
              <w:t> </w:t>
            </w:r>
            <w:r w:rsidRPr="000B7C6F">
              <w:rPr>
                <w:rFonts w:cs="Calibri"/>
                <w:color w:val="000000"/>
                <w:sz w:val="18"/>
                <w:szCs w:val="18"/>
              </w:rPr>
              <w:t>rozpočte</w:t>
            </w:r>
            <w:r>
              <w:rPr>
                <w:rFonts w:cs="Calibri"/>
                <w:color w:val="000000"/>
                <w:sz w:val="18"/>
                <w:szCs w:val="18"/>
              </w:rPr>
              <w:t xml:space="preserve"> </w:t>
            </w:r>
            <w:r w:rsidRPr="000B7C6F">
              <w:rPr>
                <w:rFonts w:cs="Calibri"/>
                <w:color w:val="000000"/>
                <w:sz w:val="18"/>
                <w:szCs w:val="18"/>
              </w:rPr>
              <w:t>uvádzaním rozpočtových vplyvov jednotlivých legislatívnych opatrení</w:t>
            </w:r>
            <w:r>
              <w:rPr>
                <w:rFonts w:cs="Calibri"/>
                <w:color w:val="000000"/>
                <w:sz w:val="18"/>
                <w:szCs w:val="18"/>
              </w:rPr>
              <w:t xml:space="preserve"> </w:t>
            </w:r>
            <w:r w:rsidRPr="000B7C6F">
              <w:rPr>
                <w:rFonts w:cs="Calibri"/>
                <w:color w:val="000000"/>
                <w:sz w:val="18"/>
                <w:szCs w:val="18"/>
              </w:rPr>
              <w:t>v</w:t>
            </w:r>
            <w:r>
              <w:rPr>
                <w:rFonts w:cs="Calibri"/>
                <w:color w:val="000000"/>
                <w:sz w:val="18"/>
                <w:szCs w:val="18"/>
              </w:rPr>
              <w:t xml:space="preserve"> </w:t>
            </w:r>
            <w:r w:rsidRPr="000B7C6F">
              <w:rPr>
                <w:rFonts w:cs="Calibri"/>
                <w:color w:val="000000"/>
                <w:sz w:val="18"/>
                <w:szCs w:val="18"/>
              </w:rPr>
              <w:t>zmysle príslušného ustanovenia zákona o</w:t>
            </w:r>
            <w:r>
              <w:rPr>
                <w:rFonts w:cs="Calibri"/>
                <w:color w:val="000000"/>
                <w:sz w:val="18"/>
                <w:szCs w:val="18"/>
              </w:rPr>
              <w:t xml:space="preserve"> </w:t>
            </w:r>
            <w:r w:rsidRPr="000B7C6F">
              <w:rPr>
                <w:rFonts w:cs="Calibri"/>
                <w:color w:val="000000"/>
                <w:sz w:val="18"/>
                <w:szCs w:val="18"/>
              </w:rPr>
              <w:t>rozpočtových pravidlách verejnej správy</w:t>
            </w:r>
            <w:r>
              <w:rPr>
                <w:rFonts w:cs="Calibri"/>
                <w:color w:val="000000"/>
                <w:sz w:val="18"/>
                <w:szCs w:val="18"/>
              </w:rPr>
              <w:t xml:space="preserve"> </w:t>
            </w:r>
            <w:r w:rsidRPr="000B7C6F">
              <w:rPr>
                <w:rFonts w:cs="Calibri"/>
                <w:color w:val="000000"/>
                <w:sz w:val="18"/>
                <w:szCs w:val="18"/>
              </w:rPr>
              <w:t>a</w:t>
            </w:r>
            <w:r>
              <w:rPr>
                <w:rFonts w:cs="Calibri"/>
                <w:color w:val="000000"/>
                <w:sz w:val="18"/>
                <w:szCs w:val="18"/>
              </w:rPr>
              <w:t> </w:t>
            </w:r>
            <w:r w:rsidRPr="000B7C6F">
              <w:rPr>
                <w:rFonts w:cs="Calibri"/>
                <w:color w:val="000000"/>
                <w:sz w:val="18"/>
                <w:szCs w:val="18"/>
              </w:rPr>
              <w:t>popisom</w:t>
            </w:r>
            <w:r>
              <w:rPr>
                <w:rFonts w:cs="Calibri"/>
                <w:color w:val="000000"/>
                <w:sz w:val="18"/>
                <w:szCs w:val="18"/>
              </w:rPr>
              <w:t xml:space="preserve"> </w:t>
            </w:r>
            <w:r w:rsidRPr="000B7C6F">
              <w:rPr>
                <w:rFonts w:cs="Calibri"/>
                <w:color w:val="000000"/>
                <w:sz w:val="18"/>
                <w:szCs w:val="18"/>
              </w:rPr>
              <w:t>všetkých opatrení</w:t>
            </w:r>
            <w:r>
              <w:rPr>
                <w:rFonts w:cs="Calibri"/>
                <w:color w:val="000000"/>
                <w:sz w:val="18"/>
                <w:szCs w:val="18"/>
              </w:rPr>
              <w:t xml:space="preserve"> </w:t>
            </w:r>
            <w:r w:rsidRPr="000B7C6F">
              <w:rPr>
                <w:rFonts w:cs="Calibri"/>
                <w:color w:val="000000"/>
                <w:sz w:val="18"/>
                <w:szCs w:val="18"/>
              </w:rPr>
              <w:t>zapracovaných do</w:t>
            </w:r>
            <w:r>
              <w:rPr>
                <w:rFonts w:cs="Calibri"/>
                <w:color w:val="000000"/>
                <w:sz w:val="18"/>
                <w:szCs w:val="18"/>
              </w:rPr>
              <w:t xml:space="preserve"> </w:t>
            </w:r>
            <w:r w:rsidRPr="000B7C6F">
              <w:rPr>
                <w:rFonts w:cs="Calibri"/>
                <w:color w:val="000000"/>
                <w:sz w:val="18"/>
                <w:szCs w:val="18"/>
              </w:rPr>
              <w:t>rozpočtu vrátane použitých predpokladov pri vyčíslení ich vplyvov.</w:t>
            </w:r>
          </w:p>
        </w:tc>
        <w:tc>
          <w:tcPr>
            <w:tcW w:w="3260" w:type="dxa"/>
            <w:tcBorders>
              <w:top w:val="nil"/>
              <w:left w:val="nil"/>
              <w:bottom w:val="single" w:sz="4" w:space="0" w:color="BFBFBF"/>
              <w:right w:val="nil"/>
            </w:tcBorders>
            <w:shd w:val="clear" w:color="auto" w:fill="auto"/>
            <w:vAlign w:val="center"/>
          </w:tcPr>
          <w:p w14:paraId="52102D0D" w14:textId="6521F54C" w:rsidR="000B7C6F" w:rsidRPr="00D2456B" w:rsidRDefault="00926918" w:rsidP="00033042">
            <w:pPr>
              <w:rPr>
                <w:rFonts w:cs="Calibri"/>
                <w:color w:val="000000"/>
                <w:sz w:val="18"/>
                <w:szCs w:val="18"/>
              </w:rPr>
            </w:pPr>
            <w:r>
              <w:rPr>
                <w:rFonts w:cs="Calibri"/>
                <w:color w:val="000000"/>
                <w:sz w:val="18"/>
                <w:szCs w:val="18"/>
              </w:rPr>
              <w:t>Návrh rozpočtového plánu na rok 2020 obsahoval zoznam prijatých príjmových a najvýznamnejších výdavkových opatrení zahrnutých do návrhu rozpočtu.</w:t>
            </w:r>
          </w:p>
        </w:tc>
      </w:tr>
      <w:tr w:rsidR="00033042" w:rsidRPr="00B81300" w14:paraId="17DF406F" w14:textId="77777777" w:rsidTr="00BF3551">
        <w:trPr>
          <w:trHeight w:val="480"/>
        </w:trPr>
        <w:tc>
          <w:tcPr>
            <w:tcW w:w="5812" w:type="dxa"/>
            <w:tcBorders>
              <w:top w:val="nil"/>
              <w:left w:val="nil"/>
              <w:bottom w:val="single" w:sz="4" w:space="0" w:color="BFBFBF"/>
              <w:right w:val="single" w:sz="4" w:space="0" w:color="13B5EA"/>
            </w:tcBorders>
            <w:shd w:val="clear" w:color="auto" w:fill="auto"/>
            <w:vAlign w:val="center"/>
            <w:hideMark/>
          </w:tcPr>
          <w:p w14:paraId="4D0F5E92" w14:textId="77777777" w:rsidR="00033042" w:rsidRPr="00266C70" w:rsidRDefault="00033042" w:rsidP="00033042">
            <w:pPr>
              <w:jc w:val="both"/>
              <w:rPr>
                <w:rFonts w:cs="Calibri"/>
                <w:color w:val="000000"/>
                <w:sz w:val="18"/>
                <w:szCs w:val="18"/>
              </w:rPr>
            </w:pPr>
            <w:r w:rsidRPr="00266C70">
              <w:rPr>
                <w:rFonts w:cs="Calibri"/>
                <w:color w:val="000000"/>
                <w:sz w:val="18"/>
                <w:szCs w:val="18"/>
              </w:rPr>
              <w:t>Poskytnúť detailnejší obraz o vývoji vo verejných financiách v aktuálnom roku, najmä lepšie vysvetliť očakávané rozdiely v porovnaní so schváleným rozpočtom.</w:t>
            </w:r>
          </w:p>
        </w:tc>
        <w:tc>
          <w:tcPr>
            <w:tcW w:w="3260" w:type="dxa"/>
            <w:tcBorders>
              <w:top w:val="nil"/>
              <w:left w:val="nil"/>
              <w:bottom w:val="single" w:sz="4" w:space="0" w:color="BFBFBF"/>
              <w:right w:val="nil"/>
            </w:tcBorders>
            <w:shd w:val="clear" w:color="auto" w:fill="auto"/>
            <w:vAlign w:val="center"/>
            <w:hideMark/>
          </w:tcPr>
          <w:p w14:paraId="61ABD38A" w14:textId="1CA8F973" w:rsidR="00033042" w:rsidRPr="00266C70" w:rsidRDefault="00926918" w:rsidP="00033042">
            <w:pPr>
              <w:rPr>
                <w:rFonts w:cs="Calibri"/>
                <w:color w:val="000000"/>
                <w:sz w:val="18"/>
                <w:szCs w:val="18"/>
              </w:rPr>
            </w:pPr>
            <w:r>
              <w:rPr>
                <w:rFonts w:cs="Calibri"/>
                <w:color w:val="000000"/>
                <w:sz w:val="18"/>
                <w:szCs w:val="18"/>
              </w:rPr>
              <w:t>D</w:t>
            </w:r>
            <w:r w:rsidRPr="00926918">
              <w:rPr>
                <w:rFonts w:cs="Calibri"/>
                <w:color w:val="000000"/>
                <w:sz w:val="18"/>
                <w:szCs w:val="18"/>
              </w:rPr>
              <w:t>ošlo k zlepšeniu informovanosti, keďže odhadované rozdiely voči rozpočtu sú popísané aj z hľadiska najvýznamnejších faktorov ako aj vývoja bilancie vybraných subjektov verejnej správy.</w:t>
            </w:r>
          </w:p>
        </w:tc>
      </w:tr>
      <w:tr w:rsidR="000B7C6F" w:rsidRPr="00B81300" w14:paraId="1FA7C477" w14:textId="77777777" w:rsidTr="00BF3551">
        <w:trPr>
          <w:trHeight w:val="480"/>
        </w:trPr>
        <w:tc>
          <w:tcPr>
            <w:tcW w:w="5812" w:type="dxa"/>
            <w:tcBorders>
              <w:top w:val="nil"/>
              <w:left w:val="nil"/>
              <w:bottom w:val="single" w:sz="4" w:space="0" w:color="BFBFBF"/>
              <w:right w:val="single" w:sz="4" w:space="0" w:color="13B5EA"/>
            </w:tcBorders>
            <w:shd w:val="clear" w:color="auto" w:fill="auto"/>
            <w:vAlign w:val="center"/>
          </w:tcPr>
          <w:p w14:paraId="69EB17C3" w14:textId="3FAA0C4B" w:rsidR="000B7C6F" w:rsidRPr="00266C70" w:rsidRDefault="000B7C6F" w:rsidP="000B7C6F">
            <w:pPr>
              <w:jc w:val="both"/>
              <w:rPr>
                <w:rFonts w:cs="Calibri"/>
                <w:color w:val="000000"/>
                <w:sz w:val="18"/>
                <w:szCs w:val="18"/>
              </w:rPr>
            </w:pPr>
            <w:r w:rsidRPr="00BD3309">
              <w:rPr>
                <w:rFonts w:cs="Calibri"/>
                <w:color w:val="000000"/>
                <w:sz w:val="18"/>
                <w:szCs w:val="18"/>
              </w:rPr>
              <w:t>Zverejňovať ukazovatele hospodárenia všetkých štátnych podnikov a</w:t>
            </w:r>
            <w:r w:rsidR="00CF71B7">
              <w:rPr>
                <w:rFonts w:cs="Calibri"/>
                <w:color w:val="000000"/>
                <w:sz w:val="18"/>
                <w:szCs w:val="18"/>
              </w:rPr>
              <w:t> </w:t>
            </w:r>
            <w:r w:rsidRPr="00BD3309">
              <w:rPr>
                <w:rFonts w:cs="Calibri"/>
                <w:color w:val="000000"/>
                <w:sz w:val="18"/>
                <w:szCs w:val="18"/>
              </w:rPr>
              <w:t xml:space="preserve">podnikov MH Manažment. Hospodárenie podnikov doplniť o komentár aj v kontexte vyplácania dividend, vplyvu na výnos dane z príjmov právnických osôb a prípadných ďalších vzťahov s rozpočtom verejnej správy. Pokúsiť sa aspoň v kvalitatívnej rovine vyhodnotiť riziká plynúce z hospodárenia štátnych podnikov a podnikov MH Manažment. </w:t>
            </w:r>
          </w:p>
        </w:tc>
        <w:tc>
          <w:tcPr>
            <w:tcW w:w="3260" w:type="dxa"/>
            <w:tcBorders>
              <w:top w:val="nil"/>
              <w:left w:val="nil"/>
              <w:bottom w:val="single" w:sz="4" w:space="0" w:color="BFBFBF"/>
              <w:right w:val="nil"/>
            </w:tcBorders>
            <w:shd w:val="clear" w:color="auto" w:fill="auto"/>
            <w:vAlign w:val="center"/>
          </w:tcPr>
          <w:p w14:paraId="7AFB8EF2" w14:textId="159920DA" w:rsidR="000B7C6F" w:rsidRPr="000B7C6F" w:rsidRDefault="000B7C6F" w:rsidP="000B7C6F">
            <w:pPr>
              <w:rPr>
                <w:rFonts w:cs="Calibri"/>
                <w:color w:val="000000"/>
                <w:sz w:val="18"/>
                <w:szCs w:val="18"/>
                <w:highlight w:val="yellow"/>
              </w:rPr>
            </w:pPr>
            <w:r w:rsidRPr="00D2456B">
              <w:rPr>
                <w:rFonts w:cs="Calibri"/>
                <w:color w:val="000000"/>
                <w:sz w:val="18"/>
                <w:szCs w:val="18"/>
              </w:rPr>
              <w:t>Nedošlo k žiadnej zmene.</w:t>
            </w:r>
          </w:p>
        </w:tc>
      </w:tr>
      <w:tr w:rsidR="000B7C6F" w:rsidRPr="00B81300" w14:paraId="1CBB45C9" w14:textId="77777777" w:rsidTr="00BF3551">
        <w:trPr>
          <w:trHeight w:val="480"/>
        </w:trPr>
        <w:tc>
          <w:tcPr>
            <w:tcW w:w="5812" w:type="dxa"/>
            <w:tcBorders>
              <w:top w:val="nil"/>
              <w:left w:val="nil"/>
              <w:bottom w:val="single" w:sz="4" w:space="0" w:color="BFBFBF"/>
              <w:right w:val="single" w:sz="4" w:space="0" w:color="13B5EA"/>
            </w:tcBorders>
            <w:shd w:val="clear" w:color="auto" w:fill="auto"/>
            <w:vAlign w:val="center"/>
          </w:tcPr>
          <w:p w14:paraId="3FD71BD1" w14:textId="000496E7" w:rsidR="000B7C6F" w:rsidRPr="00BD3309" w:rsidRDefault="000B7C6F" w:rsidP="000B7C6F">
            <w:pPr>
              <w:jc w:val="both"/>
              <w:rPr>
                <w:rFonts w:cs="Calibri"/>
                <w:color w:val="000000"/>
                <w:sz w:val="18"/>
                <w:szCs w:val="18"/>
              </w:rPr>
            </w:pPr>
            <w:r w:rsidRPr="000B7C6F">
              <w:rPr>
                <w:rFonts w:cs="Calibri"/>
                <w:color w:val="000000"/>
                <w:sz w:val="18"/>
                <w:szCs w:val="18"/>
              </w:rPr>
              <w:t>Rozpočtovať všetky položky rozpočtu v</w:t>
            </w:r>
            <w:r>
              <w:rPr>
                <w:rFonts w:cs="Calibri"/>
                <w:color w:val="000000"/>
                <w:sz w:val="18"/>
                <w:szCs w:val="18"/>
              </w:rPr>
              <w:t xml:space="preserve"> </w:t>
            </w:r>
            <w:r w:rsidRPr="000B7C6F">
              <w:rPr>
                <w:rFonts w:cs="Calibri"/>
                <w:color w:val="000000"/>
                <w:sz w:val="18"/>
                <w:szCs w:val="18"/>
              </w:rPr>
              <w:t>súlade s</w:t>
            </w:r>
            <w:r>
              <w:rPr>
                <w:rFonts w:cs="Calibri"/>
                <w:color w:val="000000"/>
                <w:sz w:val="18"/>
                <w:szCs w:val="18"/>
              </w:rPr>
              <w:t xml:space="preserve"> </w:t>
            </w:r>
            <w:r w:rsidRPr="000B7C6F">
              <w:rPr>
                <w:rFonts w:cs="Calibri"/>
                <w:color w:val="000000"/>
                <w:sz w:val="18"/>
                <w:szCs w:val="18"/>
              </w:rPr>
              <w:t>metodikou ESA2010 a</w:t>
            </w:r>
            <w:r w:rsidR="00CF71B7">
              <w:rPr>
                <w:rFonts w:cs="Calibri"/>
                <w:color w:val="000000"/>
                <w:sz w:val="18"/>
                <w:szCs w:val="18"/>
              </w:rPr>
              <w:t> </w:t>
            </w:r>
            <w:r w:rsidRPr="000B7C6F">
              <w:rPr>
                <w:rFonts w:cs="Calibri"/>
                <w:color w:val="000000"/>
                <w:sz w:val="18"/>
                <w:szCs w:val="18"/>
              </w:rPr>
              <w:t>zahrnúť predpoklady o</w:t>
            </w:r>
            <w:r>
              <w:rPr>
                <w:rFonts w:cs="Calibri"/>
                <w:color w:val="000000"/>
                <w:sz w:val="18"/>
                <w:szCs w:val="18"/>
              </w:rPr>
              <w:t xml:space="preserve"> </w:t>
            </w:r>
            <w:r w:rsidRPr="000B7C6F">
              <w:rPr>
                <w:rFonts w:cs="Calibri"/>
                <w:color w:val="000000"/>
                <w:sz w:val="18"/>
                <w:szCs w:val="18"/>
              </w:rPr>
              <w:t>príjmoch a</w:t>
            </w:r>
            <w:r>
              <w:rPr>
                <w:rFonts w:cs="Calibri"/>
                <w:color w:val="000000"/>
                <w:sz w:val="18"/>
                <w:szCs w:val="18"/>
              </w:rPr>
              <w:t xml:space="preserve"> </w:t>
            </w:r>
            <w:r w:rsidRPr="000B7C6F">
              <w:rPr>
                <w:rFonts w:cs="Calibri"/>
                <w:color w:val="000000"/>
                <w:sz w:val="18"/>
                <w:szCs w:val="18"/>
              </w:rPr>
              <w:t>výdavkoch všetkých subjektov, ktoré sú v</w:t>
            </w:r>
            <w:r>
              <w:rPr>
                <w:rFonts w:cs="Calibri"/>
                <w:color w:val="000000"/>
                <w:sz w:val="18"/>
                <w:szCs w:val="18"/>
              </w:rPr>
              <w:t xml:space="preserve"> </w:t>
            </w:r>
            <w:r w:rsidRPr="000B7C6F">
              <w:rPr>
                <w:rFonts w:cs="Calibri"/>
                <w:color w:val="000000"/>
                <w:sz w:val="18"/>
                <w:szCs w:val="18"/>
              </w:rPr>
              <w:t>čase zostavovania rozpočtu súčasťou sektora verejnej správy.</w:t>
            </w:r>
          </w:p>
        </w:tc>
        <w:tc>
          <w:tcPr>
            <w:tcW w:w="3260" w:type="dxa"/>
            <w:tcBorders>
              <w:top w:val="nil"/>
              <w:left w:val="nil"/>
              <w:bottom w:val="single" w:sz="4" w:space="0" w:color="BFBFBF"/>
              <w:right w:val="nil"/>
            </w:tcBorders>
            <w:shd w:val="clear" w:color="auto" w:fill="auto"/>
            <w:vAlign w:val="center"/>
          </w:tcPr>
          <w:p w14:paraId="3A52FCDC" w14:textId="47373A87" w:rsidR="000B7C6F" w:rsidRPr="00D2456B" w:rsidRDefault="008360BA" w:rsidP="000B7C6F">
            <w:pPr>
              <w:rPr>
                <w:rFonts w:cs="Calibri"/>
                <w:color w:val="000000"/>
                <w:sz w:val="18"/>
                <w:szCs w:val="18"/>
              </w:rPr>
            </w:pPr>
            <w:r w:rsidRPr="00D2456B">
              <w:rPr>
                <w:rFonts w:cs="Calibri"/>
                <w:color w:val="000000"/>
                <w:sz w:val="18"/>
                <w:szCs w:val="18"/>
              </w:rPr>
              <w:t>Nedošlo k žiadnej zmene</w:t>
            </w:r>
            <w:r>
              <w:rPr>
                <w:rFonts w:cs="Calibri"/>
                <w:color w:val="000000"/>
                <w:sz w:val="18"/>
                <w:szCs w:val="18"/>
              </w:rPr>
              <w:t>, rozdiely sa prehĺbili po benchmarkovej revízii národných účtov (podpora uhlia a zelenej energie).</w:t>
            </w:r>
          </w:p>
        </w:tc>
      </w:tr>
      <w:tr w:rsidR="000B7C6F" w:rsidRPr="00B81300" w14:paraId="75933A77" w14:textId="77777777" w:rsidTr="000B7C6F">
        <w:trPr>
          <w:trHeight w:val="480"/>
        </w:trPr>
        <w:tc>
          <w:tcPr>
            <w:tcW w:w="5812" w:type="dxa"/>
            <w:tcBorders>
              <w:top w:val="nil"/>
              <w:left w:val="nil"/>
              <w:bottom w:val="single" w:sz="4" w:space="0" w:color="BFBFBF"/>
              <w:right w:val="single" w:sz="4" w:space="0" w:color="13B5EA"/>
            </w:tcBorders>
            <w:shd w:val="clear" w:color="auto" w:fill="auto"/>
            <w:vAlign w:val="center"/>
            <w:hideMark/>
          </w:tcPr>
          <w:p w14:paraId="24984838" w14:textId="77777777" w:rsidR="000B7C6F" w:rsidRPr="00D2456B" w:rsidRDefault="000B7C6F" w:rsidP="004771AE">
            <w:pPr>
              <w:jc w:val="both"/>
              <w:rPr>
                <w:rFonts w:cs="Calibri"/>
                <w:color w:val="000000"/>
                <w:sz w:val="18"/>
                <w:szCs w:val="18"/>
              </w:rPr>
            </w:pPr>
            <w:r w:rsidRPr="00D2456B">
              <w:rPr>
                <w:rFonts w:cs="Calibri"/>
                <w:color w:val="000000"/>
                <w:sz w:val="18"/>
                <w:szCs w:val="18"/>
              </w:rPr>
              <w:t xml:space="preserve">V dokumentoch rozpočtu informovať </w:t>
            </w:r>
            <w:r>
              <w:rPr>
                <w:rFonts w:cs="Calibri"/>
                <w:color w:val="000000"/>
                <w:sz w:val="18"/>
                <w:szCs w:val="18"/>
              </w:rPr>
              <w:t xml:space="preserve">na jednom mieste </w:t>
            </w:r>
            <w:r w:rsidRPr="00D2456B">
              <w:rPr>
                <w:rFonts w:cs="Calibri"/>
                <w:color w:val="000000"/>
                <w:sz w:val="18"/>
                <w:szCs w:val="18"/>
              </w:rPr>
              <w:t>o všetkých daňových príjmoch a odvodoch zapracovaných do rozpočtu</w:t>
            </w:r>
            <w:r>
              <w:rPr>
                <w:rFonts w:cs="Calibri"/>
                <w:color w:val="000000"/>
                <w:sz w:val="18"/>
                <w:szCs w:val="18"/>
              </w:rPr>
              <w:t xml:space="preserve"> vrátane zmien prijatých počas schvaľovania v NR SR</w:t>
            </w:r>
            <w:r w:rsidRPr="00D2456B">
              <w:rPr>
                <w:rFonts w:cs="Calibri"/>
                <w:color w:val="000000"/>
                <w:sz w:val="18"/>
                <w:szCs w:val="18"/>
              </w:rPr>
              <w:t>.</w:t>
            </w:r>
          </w:p>
        </w:tc>
        <w:tc>
          <w:tcPr>
            <w:tcW w:w="3260" w:type="dxa"/>
            <w:tcBorders>
              <w:top w:val="nil"/>
              <w:left w:val="nil"/>
              <w:bottom w:val="single" w:sz="4" w:space="0" w:color="BFBFBF"/>
              <w:right w:val="nil"/>
            </w:tcBorders>
            <w:shd w:val="clear" w:color="auto" w:fill="auto"/>
            <w:vAlign w:val="center"/>
            <w:hideMark/>
          </w:tcPr>
          <w:p w14:paraId="01174A8A" w14:textId="77777777" w:rsidR="000B7C6F" w:rsidRPr="00D2456B" w:rsidRDefault="000B7C6F" w:rsidP="004771AE">
            <w:pPr>
              <w:rPr>
                <w:rFonts w:cs="Calibri"/>
                <w:color w:val="000000"/>
                <w:sz w:val="18"/>
                <w:szCs w:val="18"/>
              </w:rPr>
            </w:pPr>
            <w:r w:rsidRPr="00D2456B">
              <w:rPr>
                <w:rFonts w:cs="Calibri"/>
                <w:color w:val="000000"/>
                <w:sz w:val="18"/>
                <w:szCs w:val="18"/>
              </w:rPr>
              <w:t>Nedošlo k žiadnej zmene.</w:t>
            </w:r>
          </w:p>
        </w:tc>
      </w:tr>
      <w:tr w:rsidR="00033042" w:rsidRPr="00B81300" w14:paraId="0DEBADB6" w14:textId="77777777" w:rsidTr="000B7C6F">
        <w:trPr>
          <w:trHeight w:val="1440"/>
        </w:trPr>
        <w:tc>
          <w:tcPr>
            <w:tcW w:w="5812" w:type="dxa"/>
            <w:tcBorders>
              <w:top w:val="single" w:sz="4" w:space="0" w:color="BFBFBF"/>
              <w:left w:val="nil"/>
              <w:bottom w:val="single" w:sz="4" w:space="0" w:color="13B5EA"/>
              <w:right w:val="single" w:sz="4" w:space="0" w:color="13B5EA"/>
            </w:tcBorders>
            <w:shd w:val="clear" w:color="auto" w:fill="auto"/>
            <w:vAlign w:val="center"/>
            <w:hideMark/>
          </w:tcPr>
          <w:p w14:paraId="6AB799FE" w14:textId="77777777" w:rsidR="00033042" w:rsidRPr="00D2456B" w:rsidRDefault="00033042" w:rsidP="00033042">
            <w:pPr>
              <w:jc w:val="both"/>
              <w:rPr>
                <w:rFonts w:cs="Calibri"/>
                <w:color w:val="000000"/>
                <w:sz w:val="18"/>
                <w:szCs w:val="18"/>
              </w:rPr>
            </w:pPr>
            <w:r w:rsidRPr="00D2456B">
              <w:rPr>
                <w:rFonts w:cs="Calibri"/>
                <w:color w:val="000000"/>
                <w:sz w:val="18"/>
                <w:szCs w:val="18"/>
              </w:rPr>
              <w:t>Pokračovať v analýze ďalších oblastí verejných financií z hľadiska hodnoty za peniaze (VFM) a odpočte plnenia identifikovaných opatrení. Silnejšie previazanie rozpočtu s výsledkami získanými z VFM a jednoznačné informovanie o vplyvoch opatrení zapracovaných do rozpočtu by významne zvýšilo jeho transparentnosť a skvalitnilo diskusiu o prioritách vlády.</w:t>
            </w:r>
          </w:p>
        </w:tc>
        <w:tc>
          <w:tcPr>
            <w:tcW w:w="3260" w:type="dxa"/>
            <w:tcBorders>
              <w:top w:val="single" w:sz="4" w:space="0" w:color="BFBFBF"/>
              <w:left w:val="nil"/>
              <w:bottom w:val="single" w:sz="4" w:space="0" w:color="13B5EA"/>
              <w:right w:val="nil"/>
            </w:tcBorders>
            <w:shd w:val="clear" w:color="auto" w:fill="auto"/>
            <w:vAlign w:val="center"/>
            <w:hideMark/>
          </w:tcPr>
          <w:p w14:paraId="209BA3E8" w14:textId="06E1E711" w:rsidR="00033042" w:rsidRPr="00D2456B" w:rsidRDefault="00033042" w:rsidP="00033042">
            <w:pPr>
              <w:rPr>
                <w:rFonts w:cs="Calibri"/>
                <w:color w:val="000000"/>
                <w:sz w:val="18"/>
                <w:szCs w:val="18"/>
              </w:rPr>
            </w:pPr>
            <w:r w:rsidRPr="003008A0">
              <w:rPr>
                <w:rFonts w:cs="Calibri"/>
                <w:color w:val="000000"/>
                <w:sz w:val="18"/>
                <w:szCs w:val="18"/>
              </w:rPr>
              <w:t>V priebehu roku 201</w:t>
            </w:r>
            <w:r w:rsidR="00775F9D" w:rsidRPr="003008A0">
              <w:rPr>
                <w:rFonts w:cs="Calibri"/>
                <w:color w:val="000000"/>
                <w:sz w:val="18"/>
                <w:szCs w:val="18"/>
              </w:rPr>
              <w:t>9</w:t>
            </w:r>
            <w:r w:rsidRPr="003008A0">
              <w:rPr>
                <w:rFonts w:cs="Calibri"/>
                <w:color w:val="000000"/>
                <w:sz w:val="18"/>
                <w:szCs w:val="18"/>
              </w:rPr>
              <w:t xml:space="preserve"> bola zverejnená predbežná správa o revízii výdavkov v</w:t>
            </w:r>
            <w:r w:rsidR="007502C9" w:rsidRPr="003008A0">
              <w:rPr>
                <w:rFonts w:cs="Calibri"/>
                <w:color w:val="000000"/>
                <w:sz w:val="18"/>
                <w:szCs w:val="18"/>
              </w:rPr>
              <w:t xml:space="preserve"> životnom prostredí, školstve, </w:t>
            </w:r>
            <w:r w:rsidRPr="003008A0">
              <w:rPr>
                <w:rFonts w:cs="Calibri"/>
                <w:color w:val="000000"/>
                <w:sz w:val="18"/>
                <w:szCs w:val="18"/>
              </w:rPr>
              <w:t>v</w:t>
            </w:r>
            <w:r w:rsidR="000B129A" w:rsidRPr="003008A0">
              <w:rPr>
                <w:rFonts w:cs="Calibri"/>
                <w:color w:val="000000"/>
                <w:sz w:val="18"/>
                <w:szCs w:val="18"/>
              </w:rPr>
              <w:t xml:space="preserve"> doprave a informatizácii, </w:t>
            </w:r>
            <w:r w:rsidR="00DD0C1A" w:rsidRPr="003008A0">
              <w:rPr>
                <w:rFonts w:cs="Calibri"/>
                <w:color w:val="000000"/>
                <w:sz w:val="18"/>
                <w:szCs w:val="18"/>
              </w:rPr>
              <w:t>na trhu práce</w:t>
            </w:r>
            <w:r w:rsidRPr="003008A0">
              <w:rPr>
                <w:rFonts w:cs="Calibri"/>
                <w:color w:val="000000"/>
                <w:sz w:val="18"/>
                <w:szCs w:val="18"/>
              </w:rPr>
              <w:t xml:space="preserve"> a</w:t>
            </w:r>
            <w:r w:rsidR="00DD0C1A" w:rsidRPr="003008A0">
              <w:rPr>
                <w:rFonts w:cs="Calibri"/>
                <w:color w:val="000000"/>
                <w:sz w:val="18"/>
                <w:szCs w:val="18"/>
              </w:rPr>
              <w:t> sociálnych politík</w:t>
            </w:r>
            <w:r w:rsidRPr="003008A0">
              <w:rPr>
                <w:rFonts w:cs="Calibri"/>
                <w:color w:val="000000"/>
                <w:sz w:val="18"/>
                <w:szCs w:val="18"/>
              </w:rPr>
              <w:t xml:space="preserve"> a</w:t>
            </w:r>
            <w:r w:rsidR="00E0644D">
              <w:rPr>
                <w:rFonts w:cs="Calibri"/>
                <w:color w:val="000000"/>
                <w:sz w:val="18"/>
                <w:szCs w:val="18"/>
              </w:rPr>
              <w:t> záverečná správa</w:t>
            </w:r>
            <w:r w:rsidRPr="003008A0">
              <w:rPr>
                <w:rFonts w:cs="Calibri"/>
                <w:color w:val="000000"/>
                <w:sz w:val="18"/>
                <w:szCs w:val="18"/>
              </w:rPr>
              <w:t xml:space="preserve"> v zdravotníctve.</w:t>
            </w:r>
            <w:r w:rsidRPr="00D2456B">
              <w:rPr>
                <w:rFonts w:cs="Calibri"/>
                <w:color w:val="000000"/>
                <w:sz w:val="18"/>
                <w:szCs w:val="18"/>
              </w:rPr>
              <w:t xml:space="preserve"> Implementácia opatrení je však zdĺhavá a bez očakávaných fiškálnych úspor a štrukturálnych zmien.</w:t>
            </w:r>
          </w:p>
        </w:tc>
      </w:tr>
      <w:tr w:rsidR="00033042" w:rsidRPr="00B81300" w14:paraId="1A8FFFFB" w14:textId="77777777" w:rsidTr="000B7C6F">
        <w:trPr>
          <w:trHeight w:val="300"/>
        </w:trPr>
        <w:tc>
          <w:tcPr>
            <w:tcW w:w="5812" w:type="dxa"/>
            <w:tcBorders>
              <w:top w:val="single" w:sz="4" w:space="0" w:color="13B5EA"/>
              <w:left w:val="nil"/>
              <w:right w:val="single" w:sz="4" w:space="0" w:color="13B5EA"/>
            </w:tcBorders>
            <w:shd w:val="clear" w:color="auto" w:fill="auto"/>
            <w:vAlign w:val="center"/>
            <w:hideMark/>
          </w:tcPr>
          <w:p w14:paraId="15914053" w14:textId="77777777" w:rsidR="00033042" w:rsidRPr="00D2456B" w:rsidRDefault="00033042" w:rsidP="00033042">
            <w:pPr>
              <w:rPr>
                <w:rFonts w:cs="Calibri"/>
                <w:b/>
                <w:bCs/>
                <w:color w:val="000000"/>
                <w:sz w:val="18"/>
                <w:szCs w:val="18"/>
              </w:rPr>
            </w:pPr>
            <w:r w:rsidRPr="00D2456B">
              <w:rPr>
                <w:rFonts w:cs="Calibri"/>
                <w:b/>
                <w:bCs/>
                <w:color w:val="000000"/>
                <w:sz w:val="18"/>
                <w:szCs w:val="18"/>
              </w:rPr>
              <w:t>Súhrnná výročná správa</w:t>
            </w:r>
          </w:p>
        </w:tc>
        <w:tc>
          <w:tcPr>
            <w:tcW w:w="3260" w:type="dxa"/>
            <w:tcBorders>
              <w:top w:val="single" w:sz="4" w:space="0" w:color="13B5EA"/>
              <w:left w:val="nil"/>
              <w:right w:val="nil"/>
            </w:tcBorders>
            <w:shd w:val="clear" w:color="auto" w:fill="auto"/>
            <w:vAlign w:val="center"/>
            <w:hideMark/>
          </w:tcPr>
          <w:p w14:paraId="005D68F4" w14:textId="77777777" w:rsidR="00033042" w:rsidRPr="00D2456B" w:rsidRDefault="00033042" w:rsidP="00033042">
            <w:pPr>
              <w:rPr>
                <w:rFonts w:cs="Calibri"/>
                <w:b/>
                <w:bCs/>
                <w:color w:val="000000"/>
                <w:sz w:val="18"/>
                <w:szCs w:val="18"/>
              </w:rPr>
            </w:pPr>
          </w:p>
        </w:tc>
      </w:tr>
      <w:tr w:rsidR="000B7C6F" w:rsidRPr="00B81300" w14:paraId="5A60D24A" w14:textId="77777777" w:rsidTr="000B7C6F">
        <w:trPr>
          <w:trHeight w:val="300"/>
        </w:trPr>
        <w:tc>
          <w:tcPr>
            <w:tcW w:w="5812" w:type="dxa"/>
            <w:tcBorders>
              <w:left w:val="nil"/>
              <w:bottom w:val="nil"/>
              <w:right w:val="single" w:sz="4" w:space="0" w:color="13B5EA"/>
            </w:tcBorders>
            <w:shd w:val="clear" w:color="auto" w:fill="auto"/>
            <w:vAlign w:val="center"/>
          </w:tcPr>
          <w:p w14:paraId="72721A16" w14:textId="2CDD5BF0" w:rsidR="000B7C6F" w:rsidRPr="00D2456B" w:rsidRDefault="000B7C6F" w:rsidP="000B7C6F">
            <w:pPr>
              <w:rPr>
                <w:rFonts w:cs="Calibri"/>
                <w:b/>
                <w:bCs/>
                <w:color w:val="000000"/>
                <w:sz w:val="18"/>
                <w:szCs w:val="18"/>
              </w:rPr>
            </w:pPr>
            <w:r w:rsidRPr="00A5528F">
              <w:rPr>
                <w:rFonts w:eastAsia="Symbol" w:cs="Symbol"/>
                <w:color w:val="000000"/>
                <w:sz w:val="18"/>
                <w:szCs w:val="18"/>
              </w:rPr>
              <w:t>Ocenenie zatiaľ nevyčíslených zložiek ukazovateľa čistého bohatstva a odstránenie zostávajúcich metodických nezrovnalostí pri jeho vykazovaní (odlišný prístup odhadu implicitných záväzkov univerzálneho dôchodkového systému v porovnaní so systémom ozbrojených zložiek) by mohli prispieť k zlepšeniu vypovedacej schopnosti čistého bohatstva.</w:t>
            </w:r>
          </w:p>
        </w:tc>
        <w:tc>
          <w:tcPr>
            <w:tcW w:w="3260" w:type="dxa"/>
            <w:tcBorders>
              <w:left w:val="single" w:sz="4" w:space="0" w:color="13B5EA"/>
              <w:bottom w:val="nil"/>
              <w:right w:val="nil"/>
            </w:tcBorders>
            <w:shd w:val="clear" w:color="auto" w:fill="auto"/>
            <w:vAlign w:val="center"/>
          </w:tcPr>
          <w:p w14:paraId="1E5FC04B" w14:textId="431CD097" w:rsidR="000B7C6F" w:rsidRPr="00D2456B" w:rsidRDefault="000B7C6F" w:rsidP="000B7C6F">
            <w:pPr>
              <w:rPr>
                <w:rFonts w:cs="Calibri"/>
                <w:b/>
                <w:bCs/>
                <w:color w:val="000000"/>
                <w:sz w:val="18"/>
                <w:szCs w:val="18"/>
              </w:rPr>
            </w:pPr>
            <w:r>
              <w:rPr>
                <w:rFonts w:cs="Calibri"/>
                <w:color w:val="000000"/>
                <w:sz w:val="18"/>
                <w:szCs w:val="18"/>
              </w:rPr>
              <w:t>N</w:t>
            </w:r>
            <w:r w:rsidRPr="00A5528F">
              <w:rPr>
                <w:rFonts w:cs="Calibri"/>
                <w:color w:val="000000"/>
                <w:sz w:val="18"/>
                <w:szCs w:val="18"/>
              </w:rPr>
              <w:t>edošlo k žiadnej zmene.</w:t>
            </w:r>
          </w:p>
        </w:tc>
      </w:tr>
      <w:tr w:rsidR="000B7C6F" w:rsidRPr="00B81300" w14:paraId="545A825C" w14:textId="77777777" w:rsidTr="000B7C6F">
        <w:trPr>
          <w:trHeight w:val="300"/>
        </w:trPr>
        <w:tc>
          <w:tcPr>
            <w:tcW w:w="5812" w:type="dxa"/>
            <w:tcBorders>
              <w:left w:val="nil"/>
              <w:bottom w:val="nil"/>
              <w:right w:val="single" w:sz="4" w:space="0" w:color="13B5EA"/>
            </w:tcBorders>
            <w:shd w:val="clear" w:color="auto" w:fill="auto"/>
            <w:vAlign w:val="center"/>
          </w:tcPr>
          <w:p w14:paraId="3E28920E" w14:textId="40417F1A" w:rsidR="000B7C6F" w:rsidRPr="00D2456B" w:rsidRDefault="000B7C6F" w:rsidP="000B7C6F">
            <w:pPr>
              <w:rPr>
                <w:rFonts w:cs="Calibri"/>
                <w:b/>
                <w:bCs/>
                <w:color w:val="000000"/>
                <w:sz w:val="18"/>
                <w:szCs w:val="18"/>
              </w:rPr>
            </w:pPr>
            <w:r w:rsidRPr="00D2456B">
              <w:rPr>
                <w:rFonts w:cs="Calibri"/>
                <w:color w:val="000000"/>
                <w:sz w:val="18"/>
                <w:szCs w:val="18"/>
              </w:rPr>
              <w:t>Vytvoriť technické podmienky a v spolupráci s RRZ definovať metodiku prepojenia salda a dlhu verejnej správy so zmenou čistého bohatstva.</w:t>
            </w:r>
          </w:p>
        </w:tc>
        <w:tc>
          <w:tcPr>
            <w:tcW w:w="3260" w:type="dxa"/>
            <w:tcBorders>
              <w:left w:val="single" w:sz="4" w:space="0" w:color="13B5EA"/>
              <w:bottom w:val="nil"/>
              <w:right w:val="nil"/>
            </w:tcBorders>
            <w:shd w:val="clear" w:color="auto" w:fill="auto"/>
            <w:vAlign w:val="center"/>
          </w:tcPr>
          <w:p w14:paraId="3577EA0B" w14:textId="2BB5DCAB" w:rsidR="000B7C6F" w:rsidRPr="00D2456B" w:rsidRDefault="000B7C6F" w:rsidP="000B7C6F">
            <w:pPr>
              <w:rPr>
                <w:rFonts w:cs="Calibri"/>
                <w:b/>
                <w:bCs/>
                <w:color w:val="000000"/>
                <w:sz w:val="18"/>
                <w:szCs w:val="18"/>
              </w:rPr>
            </w:pPr>
            <w:r w:rsidRPr="00D2456B">
              <w:rPr>
                <w:rFonts w:cs="Calibri"/>
                <w:color w:val="000000"/>
                <w:sz w:val="18"/>
                <w:szCs w:val="18"/>
              </w:rPr>
              <w:t>Nedošlo k žiadnej zmene.</w:t>
            </w:r>
          </w:p>
        </w:tc>
      </w:tr>
      <w:tr w:rsidR="00033042" w:rsidRPr="00B81300" w14:paraId="350B568F" w14:textId="77777777" w:rsidTr="000B7C6F">
        <w:trPr>
          <w:trHeight w:val="300"/>
        </w:trPr>
        <w:tc>
          <w:tcPr>
            <w:tcW w:w="5812" w:type="dxa"/>
            <w:tcBorders>
              <w:top w:val="nil"/>
              <w:left w:val="nil"/>
              <w:bottom w:val="single" w:sz="4" w:space="0" w:color="13B5EA"/>
              <w:right w:val="single" w:sz="4" w:space="0" w:color="13B5EA"/>
            </w:tcBorders>
            <w:shd w:val="clear" w:color="auto" w:fill="auto"/>
            <w:vAlign w:val="center"/>
            <w:hideMark/>
          </w:tcPr>
          <w:p w14:paraId="215C0186" w14:textId="5F883769" w:rsidR="00033042" w:rsidRPr="00B81300" w:rsidRDefault="000754D2" w:rsidP="00033042">
            <w:pPr>
              <w:jc w:val="both"/>
              <w:rPr>
                <w:rFonts w:cs="Calibri"/>
                <w:color w:val="000000"/>
                <w:sz w:val="18"/>
                <w:szCs w:val="18"/>
                <w:highlight w:val="yellow"/>
              </w:rPr>
            </w:pPr>
            <w:r w:rsidRPr="000754D2">
              <w:rPr>
                <w:rFonts w:cs="Calibri"/>
                <w:color w:val="000000"/>
                <w:sz w:val="18"/>
                <w:szCs w:val="18"/>
              </w:rPr>
              <w:t>Ucelene informovať o</w:t>
            </w:r>
            <w:r>
              <w:rPr>
                <w:rFonts w:cs="Calibri"/>
                <w:color w:val="000000"/>
                <w:sz w:val="18"/>
                <w:szCs w:val="18"/>
              </w:rPr>
              <w:t xml:space="preserve"> </w:t>
            </w:r>
            <w:r w:rsidRPr="000754D2">
              <w:rPr>
                <w:rFonts w:cs="Calibri"/>
                <w:color w:val="000000"/>
                <w:sz w:val="18"/>
                <w:szCs w:val="18"/>
              </w:rPr>
              <w:t>príčinách rozdielneho vývoja príjmov, výdavkov a</w:t>
            </w:r>
            <w:r>
              <w:rPr>
                <w:rFonts w:cs="Calibri"/>
                <w:color w:val="000000"/>
                <w:sz w:val="18"/>
                <w:szCs w:val="18"/>
              </w:rPr>
              <w:t xml:space="preserve"> </w:t>
            </w:r>
            <w:r w:rsidRPr="000754D2">
              <w:rPr>
                <w:rFonts w:cs="Calibri"/>
                <w:color w:val="000000"/>
                <w:sz w:val="18"/>
                <w:szCs w:val="18"/>
              </w:rPr>
              <w:t>hrubého dlhu verejnej správy v</w:t>
            </w:r>
            <w:r>
              <w:rPr>
                <w:rFonts w:cs="Calibri"/>
                <w:color w:val="000000"/>
                <w:sz w:val="18"/>
                <w:szCs w:val="18"/>
              </w:rPr>
              <w:t xml:space="preserve"> </w:t>
            </w:r>
            <w:r w:rsidRPr="000754D2">
              <w:rPr>
                <w:rFonts w:cs="Calibri"/>
                <w:color w:val="000000"/>
                <w:sz w:val="18"/>
                <w:szCs w:val="18"/>
              </w:rPr>
              <w:t>porovnaní s</w:t>
            </w:r>
            <w:r>
              <w:rPr>
                <w:rFonts w:cs="Calibri"/>
                <w:color w:val="000000"/>
                <w:sz w:val="18"/>
                <w:szCs w:val="18"/>
              </w:rPr>
              <w:t xml:space="preserve"> </w:t>
            </w:r>
            <w:r w:rsidRPr="000754D2">
              <w:rPr>
                <w:rFonts w:cs="Calibri"/>
                <w:color w:val="000000"/>
                <w:sz w:val="18"/>
                <w:szCs w:val="18"/>
              </w:rPr>
              <w:t>rozpočtom (s dôrazom na vecné faktory a</w:t>
            </w:r>
            <w:r>
              <w:rPr>
                <w:rFonts w:cs="Calibri"/>
                <w:color w:val="000000"/>
                <w:sz w:val="18"/>
                <w:szCs w:val="18"/>
              </w:rPr>
              <w:t xml:space="preserve"> </w:t>
            </w:r>
            <w:r w:rsidRPr="000754D2">
              <w:rPr>
                <w:rFonts w:cs="Calibri"/>
                <w:color w:val="000000"/>
                <w:sz w:val="18"/>
                <w:szCs w:val="18"/>
              </w:rPr>
              <w:t>rozdiely v</w:t>
            </w:r>
            <w:r>
              <w:rPr>
                <w:rFonts w:cs="Calibri"/>
                <w:color w:val="000000"/>
                <w:sz w:val="18"/>
                <w:szCs w:val="18"/>
              </w:rPr>
              <w:t xml:space="preserve"> </w:t>
            </w:r>
            <w:r w:rsidRPr="000754D2">
              <w:rPr>
                <w:rFonts w:cs="Calibri"/>
                <w:color w:val="000000"/>
                <w:sz w:val="18"/>
                <w:szCs w:val="18"/>
              </w:rPr>
              <w:t>jednotlivých subjektoch) v</w:t>
            </w:r>
            <w:r>
              <w:rPr>
                <w:rFonts w:cs="Calibri"/>
                <w:color w:val="000000"/>
                <w:sz w:val="18"/>
                <w:szCs w:val="18"/>
              </w:rPr>
              <w:t> </w:t>
            </w:r>
            <w:r w:rsidRPr="000754D2">
              <w:rPr>
                <w:rFonts w:cs="Calibri"/>
                <w:color w:val="000000"/>
                <w:sz w:val="18"/>
                <w:szCs w:val="18"/>
              </w:rPr>
              <w:t>jednom</w:t>
            </w:r>
            <w:r>
              <w:rPr>
                <w:rFonts w:cs="Calibri"/>
                <w:color w:val="000000"/>
                <w:sz w:val="18"/>
                <w:szCs w:val="18"/>
              </w:rPr>
              <w:t xml:space="preserve"> </w:t>
            </w:r>
            <w:r w:rsidRPr="000754D2">
              <w:rPr>
                <w:rFonts w:cs="Calibri"/>
                <w:color w:val="000000"/>
                <w:sz w:val="18"/>
                <w:szCs w:val="18"/>
              </w:rPr>
              <w:t>materiáli, ideálne v</w:t>
            </w:r>
            <w:r>
              <w:rPr>
                <w:rFonts w:cs="Calibri"/>
                <w:color w:val="000000"/>
                <w:sz w:val="18"/>
                <w:szCs w:val="18"/>
              </w:rPr>
              <w:t> </w:t>
            </w:r>
            <w:r w:rsidRPr="000754D2">
              <w:rPr>
                <w:rFonts w:cs="Calibri"/>
                <w:color w:val="000000"/>
                <w:sz w:val="18"/>
                <w:szCs w:val="18"/>
              </w:rPr>
              <w:t>štátnom</w:t>
            </w:r>
            <w:r>
              <w:rPr>
                <w:rFonts w:cs="Calibri"/>
                <w:color w:val="000000"/>
                <w:sz w:val="18"/>
                <w:szCs w:val="18"/>
              </w:rPr>
              <w:t xml:space="preserve"> </w:t>
            </w:r>
            <w:r w:rsidRPr="000754D2">
              <w:rPr>
                <w:rFonts w:cs="Calibri"/>
                <w:color w:val="000000"/>
                <w:sz w:val="18"/>
                <w:szCs w:val="18"/>
              </w:rPr>
              <w:t>záverečnom</w:t>
            </w:r>
            <w:r>
              <w:rPr>
                <w:rFonts w:cs="Calibri"/>
                <w:color w:val="000000"/>
                <w:sz w:val="18"/>
                <w:szCs w:val="18"/>
              </w:rPr>
              <w:t xml:space="preserve"> </w:t>
            </w:r>
            <w:r w:rsidRPr="000754D2">
              <w:rPr>
                <w:rFonts w:cs="Calibri"/>
                <w:color w:val="000000"/>
                <w:sz w:val="18"/>
                <w:szCs w:val="18"/>
              </w:rPr>
              <w:t>účte. Súhrnná výročná správa by</w:t>
            </w:r>
            <w:r>
              <w:rPr>
                <w:rFonts w:cs="Calibri"/>
                <w:color w:val="000000"/>
                <w:sz w:val="18"/>
                <w:szCs w:val="18"/>
              </w:rPr>
              <w:t xml:space="preserve"> </w:t>
            </w:r>
            <w:r w:rsidRPr="000754D2">
              <w:rPr>
                <w:rFonts w:cs="Calibri"/>
                <w:color w:val="000000"/>
                <w:sz w:val="18"/>
                <w:szCs w:val="18"/>
              </w:rPr>
              <w:t>potom</w:t>
            </w:r>
            <w:r>
              <w:rPr>
                <w:rFonts w:cs="Calibri"/>
                <w:color w:val="000000"/>
                <w:sz w:val="18"/>
                <w:szCs w:val="18"/>
              </w:rPr>
              <w:t xml:space="preserve"> </w:t>
            </w:r>
            <w:r w:rsidRPr="000754D2">
              <w:rPr>
                <w:rFonts w:cs="Calibri"/>
                <w:color w:val="000000"/>
                <w:sz w:val="18"/>
                <w:szCs w:val="18"/>
              </w:rPr>
              <w:t>informovala o prípadných revíziách údajov a nových skutočnostiach.</w:t>
            </w:r>
          </w:p>
        </w:tc>
        <w:tc>
          <w:tcPr>
            <w:tcW w:w="3260" w:type="dxa"/>
            <w:tcBorders>
              <w:top w:val="nil"/>
              <w:left w:val="nil"/>
              <w:bottom w:val="single" w:sz="4" w:space="0" w:color="13B5EA"/>
              <w:right w:val="nil"/>
            </w:tcBorders>
            <w:shd w:val="clear" w:color="auto" w:fill="auto"/>
            <w:vAlign w:val="center"/>
            <w:hideMark/>
          </w:tcPr>
          <w:p w14:paraId="61B34282" w14:textId="7E7222CE" w:rsidR="00033042" w:rsidRPr="00B81300" w:rsidRDefault="00A15598" w:rsidP="00033042">
            <w:pPr>
              <w:rPr>
                <w:rFonts w:cs="Calibri"/>
                <w:color w:val="000000"/>
                <w:sz w:val="18"/>
                <w:szCs w:val="18"/>
                <w:highlight w:val="yellow"/>
              </w:rPr>
            </w:pPr>
            <w:r w:rsidRPr="00D2456B">
              <w:rPr>
                <w:rFonts w:cs="Calibri"/>
                <w:color w:val="000000"/>
                <w:sz w:val="18"/>
                <w:szCs w:val="18"/>
              </w:rPr>
              <w:t>Nedošlo k žiadnej zmene.</w:t>
            </w:r>
          </w:p>
        </w:tc>
      </w:tr>
      <w:tr w:rsidR="00033042" w:rsidRPr="00B81300" w14:paraId="4F8DBEE3" w14:textId="77777777" w:rsidTr="000B7C6F">
        <w:trPr>
          <w:trHeight w:val="300"/>
        </w:trPr>
        <w:tc>
          <w:tcPr>
            <w:tcW w:w="5812" w:type="dxa"/>
            <w:tcBorders>
              <w:top w:val="single" w:sz="4" w:space="0" w:color="13B5EA"/>
              <w:left w:val="nil"/>
              <w:bottom w:val="nil"/>
              <w:right w:val="nil"/>
            </w:tcBorders>
            <w:shd w:val="clear" w:color="auto" w:fill="auto"/>
            <w:vAlign w:val="center"/>
            <w:hideMark/>
          </w:tcPr>
          <w:p w14:paraId="3329DF01" w14:textId="77777777" w:rsidR="00033042" w:rsidRPr="000B7C6F" w:rsidRDefault="00033042" w:rsidP="00033042">
            <w:pPr>
              <w:rPr>
                <w:rFonts w:cs="Calibri"/>
                <w:color w:val="000000"/>
                <w:sz w:val="16"/>
                <w:szCs w:val="16"/>
              </w:rPr>
            </w:pPr>
          </w:p>
        </w:tc>
        <w:tc>
          <w:tcPr>
            <w:tcW w:w="3260" w:type="dxa"/>
            <w:tcBorders>
              <w:top w:val="single" w:sz="4" w:space="0" w:color="13B5EA"/>
              <w:left w:val="nil"/>
              <w:bottom w:val="nil"/>
              <w:right w:val="nil"/>
            </w:tcBorders>
            <w:shd w:val="clear" w:color="auto" w:fill="auto"/>
            <w:vAlign w:val="center"/>
            <w:hideMark/>
          </w:tcPr>
          <w:p w14:paraId="685CEA19" w14:textId="77777777" w:rsidR="00033042" w:rsidRPr="000B7C6F" w:rsidRDefault="00033042" w:rsidP="00033042">
            <w:pPr>
              <w:jc w:val="right"/>
              <w:rPr>
                <w:rFonts w:cs="Calibri"/>
                <w:i/>
                <w:color w:val="13B5EA"/>
                <w:sz w:val="16"/>
                <w:szCs w:val="16"/>
              </w:rPr>
            </w:pPr>
            <w:r w:rsidRPr="000B7C6F">
              <w:rPr>
                <w:rFonts w:cs="Calibri"/>
                <w:i/>
                <w:color w:val="13B5EA"/>
                <w:sz w:val="16"/>
                <w:szCs w:val="16"/>
              </w:rPr>
              <w:t>Zdroj: RRZ</w:t>
            </w:r>
          </w:p>
        </w:tc>
      </w:tr>
    </w:tbl>
    <w:p w14:paraId="48C86E06" w14:textId="236A2FC0" w:rsidR="009E30CB" w:rsidRPr="004A79A6" w:rsidRDefault="009E30CB">
      <w:pPr>
        <w:rPr>
          <w:rFonts w:cs="Arial"/>
          <w:b/>
          <w:color w:val="59595B"/>
          <w:kern w:val="32"/>
          <w:sz w:val="4"/>
          <w:szCs w:val="4"/>
          <w:highlight w:val="yellow"/>
        </w:rPr>
      </w:pPr>
    </w:p>
    <w:p w14:paraId="3EDE453D" w14:textId="622D0E69" w:rsidR="0053375A" w:rsidRPr="00C57FDE" w:rsidRDefault="0053375A" w:rsidP="0053375A">
      <w:pPr>
        <w:pStyle w:val="Heading1"/>
        <w:spacing w:before="120"/>
      </w:pPr>
      <w:bookmarkStart w:id="891" w:name="_Toc49506887"/>
      <w:r w:rsidRPr="00C57FDE">
        <w:lastRenderedPageBreak/>
        <w:t xml:space="preserve">Príloha </w:t>
      </w:r>
      <w:r w:rsidR="009E30CB" w:rsidRPr="00C57FDE">
        <w:t xml:space="preserve">3 </w:t>
      </w:r>
      <w:r w:rsidRPr="00C57FDE">
        <w:t>– Vývoj dlhu v rokoch 201</w:t>
      </w:r>
      <w:r w:rsidR="004379D3" w:rsidRPr="00C57FDE">
        <w:t>2</w:t>
      </w:r>
      <w:r w:rsidRPr="00C57FDE">
        <w:t xml:space="preserve"> až 20</w:t>
      </w:r>
      <w:r w:rsidR="00B61236" w:rsidRPr="00C57FDE">
        <w:t>2</w:t>
      </w:r>
      <w:r w:rsidR="00C57FDE" w:rsidRPr="00C57FDE">
        <w:t>3</w:t>
      </w:r>
      <w:bookmarkEnd w:id="875"/>
      <w:bookmarkEnd w:id="876"/>
      <w:bookmarkEnd w:id="877"/>
      <w:bookmarkEnd w:id="878"/>
      <w:bookmarkEnd w:id="879"/>
      <w:bookmarkEnd w:id="880"/>
      <w:bookmarkEnd w:id="881"/>
      <w:bookmarkEnd w:id="882"/>
      <w:bookmarkEnd w:id="883"/>
      <w:bookmarkEnd w:id="884"/>
      <w:bookmarkEnd w:id="885"/>
      <w:bookmarkEnd w:id="886"/>
      <w:bookmarkEnd w:id="891"/>
    </w:p>
    <w:p w14:paraId="701310B8" w14:textId="77777777" w:rsidR="0053375A" w:rsidRPr="00B81300" w:rsidRDefault="0053375A" w:rsidP="0053375A">
      <w:pPr>
        <w:rPr>
          <w:highlight w:val="yellow"/>
        </w:rPr>
      </w:pPr>
    </w:p>
    <w:p w14:paraId="267561B3" w14:textId="77777777" w:rsidR="0053375A" w:rsidRPr="00CF24E6" w:rsidRDefault="0053375A" w:rsidP="0053375A">
      <w:pPr>
        <w:jc w:val="both"/>
      </w:pPr>
      <w:r w:rsidRPr="00CF24E6">
        <w:t>Hrubý dlh je jedným zo základných ukazovateľov vývoja zadlženia verejnej správy danej krajiny. Na jeho výšku sú naviazané viaceré fiškálne pravidlá, či už na európskej alebo národnej úrovni. Pravidelne ho zverejňuje Eurostat a je relatívne ľahko kvantifikovateľný, keďže záväzky sú vyjadrené v nominálnych hodnotách.</w:t>
      </w:r>
    </w:p>
    <w:p w14:paraId="0031D770" w14:textId="77777777" w:rsidR="0053375A" w:rsidRPr="00CF24E6" w:rsidRDefault="0053375A" w:rsidP="0053375A">
      <w:pPr>
        <w:jc w:val="both"/>
      </w:pPr>
    </w:p>
    <w:p w14:paraId="13229B23" w14:textId="7029FAAC" w:rsidR="0053375A" w:rsidRPr="00B81300" w:rsidRDefault="0053375A" w:rsidP="0053375A">
      <w:pPr>
        <w:jc w:val="both"/>
        <w:rPr>
          <w:highlight w:val="yellow"/>
        </w:rPr>
      </w:pPr>
      <w:r w:rsidRPr="00CF24E6">
        <w:t>Vývoj hrubého dlhu však neposkytuje ucelený obraz o tom, aký vplyv na jeho výšku má hospodárenie vlády. Zásadným nedostatkom tohto ukazovateľa je, že nezohľadňuje vývoj aktív verejnej správy. Vo všeobecnosti platí, že krajina je v lepšej situáci</w:t>
      </w:r>
      <w:r w:rsidR="003C27FA">
        <w:t>i</w:t>
      </w:r>
      <w:r w:rsidRPr="00CF24E6">
        <w:t xml:space="preserve"> pri danej úrovni hrubého dlhu, ak má vyššie aktíva, keďže tieto môžu byť použité na jeho zníženie. Z tohto pohľadu je vhodnejším ukazovateľom čistý dlh, ktorý zverejňuje aj ministerstvo financií v súlade s definíciou z Paktu stability a rastu. Ide o hrubý dlh očistený o likvidné finančné aktíva, ako sú hotovosť na účtoch verejnej správy</w:t>
      </w:r>
      <w:r w:rsidRPr="00CF24E6">
        <w:rPr>
          <w:rStyle w:val="FootnoteReference"/>
        </w:rPr>
        <w:footnoteReference w:id="103"/>
      </w:r>
      <w:r w:rsidRPr="00CF24E6">
        <w:t>, cenné papiere a kótované akcie.</w:t>
      </w:r>
    </w:p>
    <w:p w14:paraId="31A65114" w14:textId="77777777" w:rsidR="0053375A" w:rsidRPr="00B81300" w:rsidRDefault="0053375A" w:rsidP="0053375A">
      <w:pPr>
        <w:jc w:val="both"/>
        <w:rPr>
          <w:highlight w:val="yellow"/>
        </w:rPr>
      </w:pPr>
    </w:p>
    <w:p w14:paraId="5481396C" w14:textId="712A782A" w:rsidR="0053375A" w:rsidRPr="00583E17" w:rsidRDefault="0053375A" w:rsidP="0053375A">
      <w:pPr>
        <w:jc w:val="both"/>
      </w:pPr>
      <w:r w:rsidRPr="00583E17">
        <w:t xml:space="preserve">Rozdielny vývoj medzi obomi ukazovateľmi možno vidieť v roku 2014 (tabuľka </w:t>
      </w:r>
      <w:r w:rsidR="00210990" w:rsidRPr="00583E17">
        <w:t>6</w:t>
      </w:r>
      <w:r w:rsidRPr="00583E17">
        <w:t>), kde podiel hrubého dlhu na HDP medziročne klesol z</w:t>
      </w:r>
      <w:r w:rsidR="00293BC3" w:rsidRPr="00583E17">
        <w:t> 54,7</w:t>
      </w:r>
      <w:r w:rsidRPr="00583E17">
        <w:t xml:space="preserve"> % na 53,</w:t>
      </w:r>
      <w:r w:rsidR="004964B5" w:rsidRPr="00583E17">
        <w:t>5</w:t>
      </w:r>
      <w:r w:rsidRPr="00583E17">
        <w:t xml:space="preserve"> % HDP. Čistý dlh však v rovnakom období vzrástol z 4</w:t>
      </w:r>
      <w:r w:rsidR="00466AC4" w:rsidRPr="00583E17">
        <w:t>7</w:t>
      </w:r>
      <w:r w:rsidRPr="00583E17">
        <w:t>,</w:t>
      </w:r>
      <w:r w:rsidR="00466AC4" w:rsidRPr="00583E17">
        <w:t>8</w:t>
      </w:r>
      <w:r w:rsidRPr="00583E17">
        <w:t xml:space="preserve"> % HDP na 49,</w:t>
      </w:r>
      <w:r w:rsidR="00466AC4" w:rsidRPr="00583E17">
        <w:t>5</w:t>
      </w:r>
      <w:r w:rsidRPr="00583E17">
        <w:t xml:space="preserve"> % HDP. To bolo spôsobené práve vývojom hotovosti na</w:t>
      </w:r>
      <w:r w:rsidR="00503761" w:rsidRPr="00583E17">
        <w:t> </w:t>
      </w:r>
      <w:r w:rsidRPr="00583E17">
        <w:t>účtoch verejnej správy, keďže hr</w:t>
      </w:r>
      <w:r w:rsidR="00E35438" w:rsidRPr="00583E17">
        <w:t>ubý dlh sa znížil jej poklesom.</w:t>
      </w:r>
    </w:p>
    <w:p w14:paraId="7C84C962" w14:textId="77777777" w:rsidR="0053375A" w:rsidRPr="00B81300" w:rsidRDefault="0053375A" w:rsidP="0053375A">
      <w:pPr>
        <w:jc w:val="both"/>
        <w:rPr>
          <w:highlight w:val="yellow"/>
        </w:rPr>
      </w:pPr>
    </w:p>
    <w:tbl>
      <w:tblPr>
        <w:tblW w:w="9072" w:type="dxa"/>
        <w:tblLayout w:type="fixed"/>
        <w:tblCellMar>
          <w:left w:w="70" w:type="dxa"/>
          <w:right w:w="70" w:type="dxa"/>
        </w:tblCellMar>
        <w:tblLook w:val="04A0" w:firstRow="1" w:lastRow="0" w:firstColumn="1" w:lastColumn="0" w:noHBand="0" w:noVBand="1"/>
      </w:tblPr>
      <w:tblGrid>
        <w:gridCol w:w="1560"/>
        <w:gridCol w:w="682"/>
        <w:gridCol w:w="683"/>
        <w:gridCol w:w="683"/>
        <w:gridCol w:w="683"/>
        <w:gridCol w:w="683"/>
        <w:gridCol w:w="683"/>
        <w:gridCol w:w="683"/>
        <w:gridCol w:w="683"/>
        <w:gridCol w:w="683"/>
        <w:gridCol w:w="683"/>
        <w:gridCol w:w="683"/>
      </w:tblGrid>
      <w:tr w:rsidR="00A77B6C" w:rsidRPr="00B81300" w14:paraId="5517465B" w14:textId="77777777" w:rsidTr="004A79A6">
        <w:trPr>
          <w:trHeight w:val="300"/>
        </w:trPr>
        <w:tc>
          <w:tcPr>
            <w:tcW w:w="9072" w:type="dxa"/>
            <w:gridSpan w:val="12"/>
            <w:tcBorders>
              <w:top w:val="nil"/>
              <w:left w:val="nil"/>
              <w:bottom w:val="nil"/>
              <w:right w:val="nil"/>
            </w:tcBorders>
          </w:tcPr>
          <w:p w14:paraId="0D2EBD0D" w14:textId="17361B3D" w:rsidR="00A77B6C" w:rsidRPr="0058274D" w:rsidRDefault="00A77B6C" w:rsidP="00A77B6C">
            <w:pPr>
              <w:pStyle w:val="tab"/>
            </w:pPr>
            <w:bookmarkStart w:id="892" w:name="_Toc459275420"/>
            <w:bookmarkStart w:id="893" w:name="_Toc489954222"/>
            <w:bookmarkStart w:id="894" w:name="_Toc490143838"/>
            <w:bookmarkStart w:id="895" w:name="_Toc490642141"/>
            <w:bookmarkStart w:id="896" w:name="_Toc522105525"/>
            <w:bookmarkStart w:id="897" w:name="_Toc522200677"/>
            <w:bookmarkStart w:id="898" w:name="_Toc523390263"/>
            <w:bookmarkStart w:id="899" w:name="_Toc523392868"/>
            <w:bookmarkStart w:id="900" w:name="_Toc49506905"/>
            <w:r w:rsidRPr="0058274D">
              <w:rPr>
                <w:szCs w:val="20"/>
              </w:rPr>
              <w:t xml:space="preserve">Tab </w:t>
            </w:r>
            <w:r w:rsidR="00210990" w:rsidRPr="0058274D">
              <w:rPr>
                <w:szCs w:val="20"/>
              </w:rPr>
              <w:t>6</w:t>
            </w:r>
            <w:r w:rsidRPr="0058274D">
              <w:rPr>
                <w:szCs w:val="20"/>
              </w:rPr>
              <w:t>: Vývoj dlhu medzi rokmi 201</w:t>
            </w:r>
            <w:r w:rsidR="0058274D" w:rsidRPr="0058274D">
              <w:rPr>
                <w:szCs w:val="20"/>
              </w:rPr>
              <w:t>3</w:t>
            </w:r>
            <w:r w:rsidRPr="0058274D">
              <w:rPr>
                <w:szCs w:val="20"/>
              </w:rPr>
              <w:t xml:space="preserve"> až 202</w:t>
            </w:r>
            <w:r w:rsidR="0058274D" w:rsidRPr="0058274D">
              <w:rPr>
                <w:szCs w:val="20"/>
              </w:rPr>
              <w:t>3</w:t>
            </w:r>
            <w:bookmarkEnd w:id="892"/>
            <w:bookmarkEnd w:id="893"/>
            <w:bookmarkEnd w:id="894"/>
            <w:bookmarkEnd w:id="895"/>
            <w:bookmarkEnd w:id="896"/>
            <w:bookmarkEnd w:id="897"/>
            <w:bookmarkEnd w:id="898"/>
            <w:bookmarkEnd w:id="899"/>
            <w:bookmarkEnd w:id="900"/>
          </w:p>
        </w:tc>
      </w:tr>
      <w:tr w:rsidR="00133E4A" w:rsidRPr="00B81300" w14:paraId="1E67DADD" w14:textId="77777777" w:rsidTr="0070280D">
        <w:trPr>
          <w:trHeight w:val="300"/>
        </w:trPr>
        <w:tc>
          <w:tcPr>
            <w:tcW w:w="1560" w:type="dxa"/>
            <w:tcBorders>
              <w:top w:val="nil"/>
              <w:left w:val="nil"/>
              <w:bottom w:val="nil"/>
              <w:right w:val="nil"/>
            </w:tcBorders>
            <w:shd w:val="clear" w:color="000000" w:fill="13B5EA"/>
            <w:noWrap/>
            <w:vAlign w:val="bottom"/>
            <w:hideMark/>
          </w:tcPr>
          <w:p w14:paraId="78F2F875" w14:textId="77777777" w:rsidR="00D766E5" w:rsidRPr="0058274D" w:rsidRDefault="00D766E5" w:rsidP="00D766E5">
            <w:pPr>
              <w:rPr>
                <w:b/>
                <w:color w:val="FFFFFF"/>
                <w:sz w:val="18"/>
                <w:szCs w:val="18"/>
              </w:rPr>
            </w:pPr>
            <w:r w:rsidRPr="0058274D">
              <w:rPr>
                <w:b/>
                <w:color w:val="FFFFFF"/>
                <w:sz w:val="18"/>
                <w:szCs w:val="18"/>
              </w:rPr>
              <w:t> </w:t>
            </w:r>
          </w:p>
        </w:tc>
        <w:tc>
          <w:tcPr>
            <w:tcW w:w="682" w:type="dxa"/>
            <w:tcBorders>
              <w:top w:val="nil"/>
              <w:left w:val="nil"/>
              <w:bottom w:val="nil"/>
              <w:right w:val="nil"/>
            </w:tcBorders>
            <w:shd w:val="clear" w:color="000000" w:fill="13B5EA"/>
            <w:noWrap/>
            <w:vAlign w:val="center"/>
            <w:hideMark/>
          </w:tcPr>
          <w:p w14:paraId="1C3293D2" w14:textId="30C92E51" w:rsidR="00D766E5" w:rsidRPr="0058274D" w:rsidRDefault="00D766E5" w:rsidP="00D766E5">
            <w:pPr>
              <w:jc w:val="right"/>
              <w:rPr>
                <w:b/>
                <w:bCs/>
                <w:color w:val="FFFFFF"/>
                <w:sz w:val="18"/>
                <w:szCs w:val="18"/>
              </w:rPr>
            </w:pPr>
            <w:r w:rsidRPr="0058274D">
              <w:rPr>
                <w:b/>
                <w:bCs/>
                <w:color w:val="FFFFFF"/>
                <w:sz w:val="18"/>
                <w:szCs w:val="18"/>
              </w:rPr>
              <w:t>201</w:t>
            </w:r>
            <w:r w:rsidR="0041141B" w:rsidRPr="0058274D">
              <w:rPr>
                <w:b/>
                <w:bCs/>
                <w:color w:val="FFFFFF"/>
                <w:sz w:val="18"/>
                <w:szCs w:val="18"/>
              </w:rPr>
              <w:t>3</w:t>
            </w:r>
          </w:p>
        </w:tc>
        <w:tc>
          <w:tcPr>
            <w:tcW w:w="683" w:type="dxa"/>
            <w:tcBorders>
              <w:top w:val="nil"/>
              <w:left w:val="nil"/>
              <w:bottom w:val="nil"/>
              <w:right w:val="nil"/>
            </w:tcBorders>
            <w:shd w:val="clear" w:color="000000" w:fill="13B5EA"/>
            <w:noWrap/>
            <w:vAlign w:val="center"/>
            <w:hideMark/>
          </w:tcPr>
          <w:p w14:paraId="5B5DA7BE" w14:textId="27F9EC57" w:rsidR="00D766E5" w:rsidRPr="0058274D" w:rsidRDefault="00D766E5" w:rsidP="00D766E5">
            <w:pPr>
              <w:jc w:val="right"/>
              <w:rPr>
                <w:b/>
                <w:color w:val="FFFFFF"/>
                <w:sz w:val="18"/>
                <w:szCs w:val="18"/>
              </w:rPr>
            </w:pPr>
            <w:r w:rsidRPr="0058274D">
              <w:rPr>
                <w:b/>
                <w:bCs/>
                <w:color w:val="FFFFFF"/>
                <w:sz w:val="18"/>
                <w:szCs w:val="18"/>
              </w:rPr>
              <w:t>201</w:t>
            </w:r>
            <w:r w:rsidR="00655008" w:rsidRPr="0058274D">
              <w:rPr>
                <w:b/>
                <w:bCs/>
                <w:color w:val="FFFFFF"/>
                <w:sz w:val="18"/>
                <w:szCs w:val="18"/>
              </w:rPr>
              <w:t>4</w:t>
            </w:r>
          </w:p>
        </w:tc>
        <w:tc>
          <w:tcPr>
            <w:tcW w:w="683" w:type="dxa"/>
            <w:tcBorders>
              <w:top w:val="nil"/>
              <w:left w:val="nil"/>
              <w:bottom w:val="nil"/>
              <w:right w:val="nil"/>
            </w:tcBorders>
            <w:shd w:val="clear" w:color="000000" w:fill="13B5EA"/>
            <w:noWrap/>
            <w:vAlign w:val="center"/>
            <w:hideMark/>
          </w:tcPr>
          <w:p w14:paraId="32F916AA" w14:textId="43DC160A" w:rsidR="00D766E5" w:rsidRPr="0058274D" w:rsidRDefault="00D766E5" w:rsidP="00D766E5">
            <w:pPr>
              <w:jc w:val="right"/>
              <w:rPr>
                <w:b/>
                <w:color w:val="FFFFFF"/>
                <w:sz w:val="18"/>
                <w:szCs w:val="18"/>
              </w:rPr>
            </w:pPr>
            <w:r w:rsidRPr="0058274D">
              <w:rPr>
                <w:b/>
                <w:bCs/>
                <w:color w:val="FFFFFF"/>
                <w:sz w:val="18"/>
                <w:szCs w:val="18"/>
              </w:rPr>
              <w:t>201</w:t>
            </w:r>
            <w:r w:rsidR="00655008" w:rsidRPr="0058274D">
              <w:rPr>
                <w:b/>
                <w:bCs/>
                <w:color w:val="FFFFFF"/>
                <w:sz w:val="18"/>
                <w:szCs w:val="18"/>
              </w:rPr>
              <w:t>5</w:t>
            </w:r>
          </w:p>
        </w:tc>
        <w:tc>
          <w:tcPr>
            <w:tcW w:w="683" w:type="dxa"/>
            <w:tcBorders>
              <w:top w:val="nil"/>
              <w:left w:val="nil"/>
              <w:bottom w:val="nil"/>
              <w:right w:val="nil"/>
            </w:tcBorders>
            <w:shd w:val="clear" w:color="000000" w:fill="13B5EA"/>
            <w:noWrap/>
            <w:vAlign w:val="center"/>
            <w:hideMark/>
          </w:tcPr>
          <w:p w14:paraId="18E74E27" w14:textId="3F79A46A" w:rsidR="00D766E5" w:rsidRPr="0058274D" w:rsidRDefault="00D766E5" w:rsidP="00D766E5">
            <w:pPr>
              <w:jc w:val="right"/>
              <w:rPr>
                <w:b/>
                <w:color w:val="FFFFFF"/>
                <w:sz w:val="18"/>
                <w:szCs w:val="18"/>
              </w:rPr>
            </w:pPr>
            <w:r w:rsidRPr="0058274D">
              <w:rPr>
                <w:b/>
                <w:bCs/>
                <w:color w:val="FFFFFF"/>
                <w:sz w:val="18"/>
                <w:szCs w:val="18"/>
              </w:rPr>
              <w:t>201</w:t>
            </w:r>
            <w:r w:rsidR="00655008" w:rsidRPr="0058274D">
              <w:rPr>
                <w:b/>
                <w:bCs/>
                <w:color w:val="FFFFFF"/>
                <w:sz w:val="18"/>
                <w:szCs w:val="18"/>
              </w:rPr>
              <w:t>6</w:t>
            </w:r>
          </w:p>
        </w:tc>
        <w:tc>
          <w:tcPr>
            <w:tcW w:w="683" w:type="dxa"/>
            <w:tcBorders>
              <w:top w:val="nil"/>
              <w:left w:val="nil"/>
              <w:bottom w:val="nil"/>
              <w:right w:val="nil"/>
            </w:tcBorders>
            <w:shd w:val="clear" w:color="000000" w:fill="13B5EA"/>
            <w:noWrap/>
            <w:vAlign w:val="center"/>
            <w:hideMark/>
          </w:tcPr>
          <w:p w14:paraId="7CADF233" w14:textId="362E18DB" w:rsidR="00D766E5" w:rsidRPr="0058274D" w:rsidRDefault="00D766E5" w:rsidP="00D766E5">
            <w:pPr>
              <w:jc w:val="right"/>
              <w:rPr>
                <w:b/>
                <w:color w:val="FFFFFF"/>
                <w:sz w:val="18"/>
                <w:szCs w:val="18"/>
              </w:rPr>
            </w:pPr>
            <w:r w:rsidRPr="0058274D">
              <w:rPr>
                <w:b/>
                <w:bCs/>
                <w:color w:val="FFFFFF"/>
                <w:sz w:val="18"/>
                <w:szCs w:val="18"/>
              </w:rPr>
              <w:t>201</w:t>
            </w:r>
            <w:r w:rsidR="00655008" w:rsidRPr="0058274D">
              <w:rPr>
                <w:b/>
                <w:bCs/>
                <w:color w:val="FFFFFF"/>
                <w:sz w:val="18"/>
                <w:szCs w:val="18"/>
              </w:rPr>
              <w:t>7</w:t>
            </w:r>
          </w:p>
        </w:tc>
        <w:tc>
          <w:tcPr>
            <w:tcW w:w="683" w:type="dxa"/>
            <w:tcBorders>
              <w:top w:val="nil"/>
              <w:left w:val="nil"/>
              <w:bottom w:val="nil"/>
              <w:right w:val="nil"/>
            </w:tcBorders>
            <w:shd w:val="clear" w:color="000000" w:fill="13B5EA"/>
            <w:noWrap/>
            <w:vAlign w:val="center"/>
            <w:hideMark/>
          </w:tcPr>
          <w:p w14:paraId="38318C08" w14:textId="37D0C1D6" w:rsidR="00D766E5" w:rsidRPr="0058274D" w:rsidRDefault="00D766E5" w:rsidP="00D766E5">
            <w:pPr>
              <w:jc w:val="right"/>
              <w:rPr>
                <w:b/>
                <w:color w:val="FFFFFF"/>
                <w:sz w:val="18"/>
                <w:szCs w:val="18"/>
              </w:rPr>
            </w:pPr>
            <w:r w:rsidRPr="0058274D">
              <w:rPr>
                <w:b/>
                <w:bCs/>
                <w:color w:val="FFFFFF"/>
                <w:sz w:val="18"/>
                <w:szCs w:val="18"/>
              </w:rPr>
              <w:t>201</w:t>
            </w:r>
            <w:r w:rsidR="00655008" w:rsidRPr="0058274D">
              <w:rPr>
                <w:b/>
                <w:bCs/>
                <w:color w:val="FFFFFF"/>
                <w:sz w:val="18"/>
                <w:szCs w:val="18"/>
              </w:rPr>
              <w:t>8</w:t>
            </w:r>
          </w:p>
        </w:tc>
        <w:tc>
          <w:tcPr>
            <w:tcW w:w="683" w:type="dxa"/>
            <w:tcBorders>
              <w:top w:val="nil"/>
              <w:left w:val="nil"/>
              <w:bottom w:val="nil"/>
              <w:right w:val="nil"/>
            </w:tcBorders>
            <w:shd w:val="clear" w:color="000000" w:fill="13B5EA"/>
            <w:noWrap/>
            <w:vAlign w:val="center"/>
            <w:hideMark/>
          </w:tcPr>
          <w:p w14:paraId="5FD5F256" w14:textId="1570512B" w:rsidR="00D766E5" w:rsidRPr="0058274D" w:rsidRDefault="00D766E5" w:rsidP="00D766E5">
            <w:pPr>
              <w:jc w:val="right"/>
              <w:rPr>
                <w:b/>
                <w:color w:val="FFFFFF"/>
                <w:sz w:val="18"/>
                <w:szCs w:val="18"/>
              </w:rPr>
            </w:pPr>
            <w:r w:rsidRPr="0058274D">
              <w:rPr>
                <w:b/>
                <w:bCs/>
                <w:color w:val="FFFFFF"/>
                <w:sz w:val="18"/>
                <w:szCs w:val="18"/>
              </w:rPr>
              <w:t>201</w:t>
            </w:r>
            <w:r w:rsidR="00655008" w:rsidRPr="0058274D">
              <w:rPr>
                <w:b/>
                <w:bCs/>
                <w:color w:val="FFFFFF"/>
                <w:sz w:val="18"/>
                <w:szCs w:val="18"/>
              </w:rPr>
              <w:t>9</w:t>
            </w:r>
          </w:p>
        </w:tc>
        <w:tc>
          <w:tcPr>
            <w:tcW w:w="683" w:type="dxa"/>
            <w:tcBorders>
              <w:top w:val="nil"/>
              <w:left w:val="nil"/>
              <w:bottom w:val="nil"/>
              <w:right w:val="nil"/>
            </w:tcBorders>
            <w:shd w:val="clear" w:color="000000" w:fill="13B5EA"/>
            <w:noWrap/>
            <w:vAlign w:val="center"/>
            <w:hideMark/>
          </w:tcPr>
          <w:p w14:paraId="2DBEA882" w14:textId="72098773" w:rsidR="00D766E5" w:rsidRPr="0058274D" w:rsidRDefault="00D766E5" w:rsidP="00D766E5">
            <w:pPr>
              <w:jc w:val="right"/>
              <w:rPr>
                <w:b/>
                <w:color w:val="FFFFFF"/>
                <w:sz w:val="18"/>
                <w:szCs w:val="18"/>
              </w:rPr>
            </w:pPr>
            <w:r w:rsidRPr="0058274D">
              <w:rPr>
                <w:b/>
                <w:bCs/>
                <w:color w:val="FFFFFF"/>
                <w:sz w:val="18"/>
                <w:szCs w:val="18"/>
              </w:rPr>
              <w:t>20</w:t>
            </w:r>
            <w:r w:rsidR="00655008" w:rsidRPr="0058274D">
              <w:rPr>
                <w:b/>
                <w:bCs/>
                <w:color w:val="FFFFFF"/>
                <w:sz w:val="18"/>
                <w:szCs w:val="18"/>
              </w:rPr>
              <w:t>20</w:t>
            </w:r>
          </w:p>
        </w:tc>
        <w:tc>
          <w:tcPr>
            <w:tcW w:w="683" w:type="dxa"/>
            <w:tcBorders>
              <w:top w:val="nil"/>
              <w:left w:val="nil"/>
              <w:bottom w:val="nil"/>
              <w:right w:val="nil"/>
            </w:tcBorders>
            <w:shd w:val="clear" w:color="000000" w:fill="13B5EA"/>
            <w:vAlign w:val="center"/>
          </w:tcPr>
          <w:p w14:paraId="1EBEAD4A" w14:textId="3DA2B685" w:rsidR="00D766E5" w:rsidRPr="0058274D" w:rsidRDefault="00D766E5" w:rsidP="00D766E5">
            <w:pPr>
              <w:jc w:val="right"/>
              <w:rPr>
                <w:b/>
                <w:color w:val="FFFFFF"/>
                <w:sz w:val="18"/>
                <w:szCs w:val="18"/>
              </w:rPr>
            </w:pPr>
            <w:r w:rsidRPr="0058274D">
              <w:rPr>
                <w:b/>
                <w:bCs/>
                <w:color w:val="FFFFFF"/>
                <w:sz w:val="18"/>
                <w:szCs w:val="18"/>
              </w:rPr>
              <w:t>202</w:t>
            </w:r>
            <w:r w:rsidR="00655008" w:rsidRPr="0058274D">
              <w:rPr>
                <w:b/>
                <w:bCs/>
                <w:color w:val="FFFFFF"/>
                <w:sz w:val="18"/>
                <w:szCs w:val="18"/>
              </w:rPr>
              <w:t>1</w:t>
            </w:r>
          </w:p>
        </w:tc>
        <w:tc>
          <w:tcPr>
            <w:tcW w:w="683" w:type="dxa"/>
            <w:tcBorders>
              <w:top w:val="nil"/>
              <w:left w:val="nil"/>
              <w:bottom w:val="nil"/>
              <w:right w:val="nil"/>
            </w:tcBorders>
            <w:shd w:val="clear" w:color="000000" w:fill="13B5EA"/>
            <w:noWrap/>
            <w:vAlign w:val="center"/>
            <w:hideMark/>
          </w:tcPr>
          <w:p w14:paraId="06533FD9" w14:textId="2137F050" w:rsidR="00D766E5" w:rsidRPr="0058274D" w:rsidRDefault="00D766E5" w:rsidP="00D766E5">
            <w:pPr>
              <w:jc w:val="right"/>
              <w:rPr>
                <w:b/>
                <w:color w:val="FFFFFF"/>
                <w:sz w:val="18"/>
                <w:szCs w:val="18"/>
              </w:rPr>
            </w:pPr>
            <w:r w:rsidRPr="0058274D">
              <w:rPr>
                <w:b/>
                <w:bCs/>
                <w:color w:val="FFFFFF"/>
                <w:sz w:val="18"/>
                <w:szCs w:val="18"/>
              </w:rPr>
              <w:t>202</w:t>
            </w:r>
            <w:r w:rsidR="00655008" w:rsidRPr="0058274D">
              <w:rPr>
                <w:b/>
                <w:bCs/>
                <w:color w:val="FFFFFF"/>
                <w:sz w:val="18"/>
                <w:szCs w:val="18"/>
              </w:rPr>
              <w:t>2</w:t>
            </w:r>
          </w:p>
        </w:tc>
        <w:tc>
          <w:tcPr>
            <w:tcW w:w="683" w:type="dxa"/>
            <w:tcBorders>
              <w:top w:val="nil"/>
              <w:left w:val="nil"/>
              <w:bottom w:val="nil"/>
              <w:right w:val="nil"/>
            </w:tcBorders>
            <w:shd w:val="clear" w:color="000000" w:fill="13B5EA"/>
            <w:noWrap/>
            <w:vAlign w:val="center"/>
            <w:hideMark/>
          </w:tcPr>
          <w:p w14:paraId="42C51949" w14:textId="0E7D1DFF" w:rsidR="00D766E5" w:rsidRPr="0058274D" w:rsidRDefault="00D766E5" w:rsidP="00D766E5">
            <w:pPr>
              <w:jc w:val="right"/>
              <w:rPr>
                <w:b/>
                <w:color w:val="FFFFFF"/>
                <w:sz w:val="18"/>
                <w:szCs w:val="18"/>
              </w:rPr>
            </w:pPr>
            <w:r w:rsidRPr="0058274D">
              <w:rPr>
                <w:b/>
                <w:bCs/>
                <w:color w:val="FFFFFF"/>
                <w:sz w:val="18"/>
                <w:szCs w:val="18"/>
              </w:rPr>
              <w:t>202</w:t>
            </w:r>
            <w:r w:rsidR="00655008" w:rsidRPr="0058274D">
              <w:rPr>
                <w:b/>
                <w:bCs/>
                <w:color w:val="FFFFFF"/>
                <w:sz w:val="18"/>
                <w:szCs w:val="18"/>
              </w:rPr>
              <w:t>3</w:t>
            </w:r>
          </w:p>
        </w:tc>
      </w:tr>
      <w:tr w:rsidR="00A77B6C" w:rsidRPr="00B81300" w14:paraId="4E4EBCBE" w14:textId="77777777" w:rsidTr="0070280D">
        <w:trPr>
          <w:trHeight w:val="300"/>
        </w:trPr>
        <w:tc>
          <w:tcPr>
            <w:tcW w:w="1560" w:type="dxa"/>
            <w:tcBorders>
              <w:top w:val="nil"/>
              <w:left w:val="nil"/>
              <w:bottom w:val="nil"/>
              <w:right w:val="nil"/>
            </w:tcBorders>
            <w:shd w:val="clear" w:color="auto" w:fill="auto"/>
            <w:noWrap/>
            <w:vAlign w:val="center"/>
            <w:hideMark/>
          </w:tcPr>
          <w:p w14:paraId="114425DB" w14:textId="77777777" w:rsidR="00A77B6C" w:rsidRPr="0058274D" w:rsidRDefault="00A77B6C" w:rsidP="00EA0905">
            <w:pPr>
              <w:jc w:val="center"/>
              <w:rPr>
                <w:b/>
                <w:color w:val="13B5EA"/>
                <w:sz w:val="18"/>
                <w:szCs w:val="18"/>
              </w:rPr>
            </w:pPr>
            <w:r w:rsidRPr="0058274D">
              <w:rPr>
                <w:b/>
                <w:color w:val="13B5EA"/>
                <w:sz w:val="18"/>
                <w:szCs w:val="18"/>
              </w:rPr>
              <w:t>(v mil. eur)</w:t>
            </w:r>
          </w:p>
        </w:tc>
        <w:tc>
          <w:tcPr>
            <w:tcW w:w="682" w:type="dxa"/>
            <w:tcBorders>
              <w:top w:val="nil"/>
              <w:left w:val="nil"/>
              <w:bottom w:val="nil"/>
              <w:right w:val="nil"/>
            </w:tcBorders>
            <w:shd w:val="clear" w:color="auto" w:fill="auto"/>
            <w:noWrap/>
            <w:vAlign w:val="center"/>
            <w:hideMark/>
          </w:tcPr>
          <w:p w14:paraId="7E6D06AA" w14:textId="77777777" w:rsidR="00A77B6C" w:rsidRPr="0058274D" w:rsidRDefault="00A77B6C" w:rsidP="00EA0905">
            <w:pPr>
              <w:jc w:val="center"/>
              <w:rPr>
                <w:b/>
                <w:color w:val="13B5EA"/>
                <w:sz w:val="18"/>
                <w:szCs w:val="18"/>
              </w:rPr>
            </w:pPr>
          </w:p>
        </w:tc>
        <w:tc>
          <w:tcPr>
            <w:tcW w:w="683" w:type="dxa"/>
            <w:tcBorders>
              <w:top w:val="nil"/>
              <w:left w:val="nil"/>
              <w:bottom w:val="nil"/>
              <w:right w:val="nil"/>
            </w:tcBorders>
            <w:shd w:val="clear" w:color="auto" w:fill="auto"/>
            <w:noWrap/>
            <w:vAlign w:val="center"/>
            <w:hideMark/>
          </w:tcPr>
          <w:p w14:paraId="37A5AC3B"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69CD32AA"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001D9ECB"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0B618EF7"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38B65C92"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470A0FCA"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680CA33A"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vAlign w:val="center"/>
          </w:tcPr>
          <w:p w14:paraId="5BCF49FB" w14:textId="77777777" w:rsidR="00A77B6C" w:rsidRPr="0058274D" w:rsidRDefault="00A77B6C" w:rsidP="00A77B6C">
            <w:pPr>
              <w:jc w:val="right"/>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47DEE906" w14:textId="76DB72C8"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4D9E55CF" w14:textId="77777777" w:rsidR="00A77B6C" w:rsidRPr="0058274D" w:rsidRDefault="00A77B6C" w:rsidP="00EA0905">
            <w:pPr>
              <w:rPr>
                <w:rFonts w:ascii="Times New Roman" w:hAnsi="Times New Roman"/>
                <w:sz w:val="20"/>
              </w:rPr>
            </w:pPr>
          </w:p>
        </w:tc>
      </w:tr>
      <w:tr w:rsidR="00724004" w:rsidRPr="00B81300" w14:paraId="58EEC5FA" w14:textId="77777777" w:rsidTr="0070280D">
        <w:trPr>
          <w:trHeight w:hRule="exact" w:val="266"/>
        </w:trPr>
        <w:tc>
          <w:tcPr>
            <w:tcW w:w="1560" w:type="dxa"/>
            <w:tcBorders>
              <w:top w:val="nil"/>
              <w:left w:val="nil"/>
              <w:bottom w:val="nil"/>
              <w:right w:val="nil"/>
            </w:tcBorders>
            <w:shd w:val="clear" w:color="auto" w:fill="auto"/>
            <w:noWrap/>
            <w:vAlign w:val="center"/>
            <w:hideMark/>
          </w:tcPr>
          <w:p w14:paraId="3DAB96FF" w14:textId="58462F01" w:rsidR="00724004" w:rsidRPr="0058274D" w:rsidRDefault="00724004" w:rsidP="00724004">
            <w:pPr>
              <w:rPr>
                <w:color w:val="000000"/>
                <w:sz w:val="18"/>
                <w:szCs w:val="18"/>
              </w:rPr>
            </w:pPr>
            <w:r w:rsidRPr="0058274D">
              <w:rPr>
                <w:color w:val="000000"/>
                <w:sz w:val="18"/>
                <w:szCs w:val="18"/>
              </w:rPr>
              <w:t>1. Hrubý dlh</w:t>
            </w:r>
          </w:p>
        </w:tc>
        <w:tc>
          <w:tcPr>
            <w:tcW w:w="682" w:type="dxa"/>
            <w:tcBorders>
              <w:top w:val="nil"/>
              <w:left w:val="nil"/>
              <w:bottom w:val="nil"/>
              <w:right w:val="nil"/>
            </w:tcBorders>
            <w:shd w:val="clear" w:color="auto" w:fill="auto"/>
            <w:noWrap/>
            <w:vAlign w:val="center"/>
            <w:hideMark/>
          </w:tcPr>
          <w:p w14:paraId="7ACC8388" w14:textId="00D37978" w:rsidR="00724004" w:rsidRPr="0058274D" w:rsidRDefault="005D6FBB" w:rsidP="00136F55">
            <w:pPr>
              <w:ind w:left="-69"/>
              <w:jc w:val="right"/>
              <w:rPr>
                <w:color w:val="000000"/>
                <w:sz w:val="18"/>
                <w:szCs w:val="18"/>
              </w:rPr>
            </w:pPr>
            <w:r w:rsidRPr="0058274D">
              <w:rPr>
                <w:rFonts w:cs="Calibri"/>
                <w:color w:val="000000"/>
                <w:sz w:val="18"/>
                <w:szCs w:val="18"/>
              </w:rPr>
              <w:t>40</w:t>
            </w:r>
            <w:r w:rsidR="00136F55" w:rsidRPr="0058274D">
              <w:rPr>
                <w:rFonts w:cs="Calibri"/>
                <w:color w:val="000000"/>
                <w:sz w:val="18"/>
                <w:szCs w:val="18"/>
              </w:rPr>
              <w:t xml:space="preserve"> </w:t>
            </w:r>
            <w:r w:rsidRPr="0058274D">
              <w:rPr>
                <w:rFonts w:cs="Calibri"/>
                <w:color w:val="000000"/>
                <w:sz w:val="18"/>
                <w:szCs w:val="18"/>
              </w:rPr>
              <w:t>678</w:t>
            </w:r>
          </w:p>
        </w:tc>
        <w:tc>
          <w:tcPr>
            <w:tcW w:w="683" w:type="dxa"/>
            <w:tcBorders>
              <w:top w:val="nil"/>
              <w:left w:val="nil"/>
              <w:bottom w:val="nil"/>
              <w:right w:val="nil"/>
            </w:tcBorders>
            <w:shd w:val="clear" w:color="auto" w:fill="auto"/>
            <w:noWrap/>
            <w:vAlign w:val="center"/>
            <w:hideMark/>
          </w:tcPr>
          <w:p w14:paraId="12DF02E0" w14:textId="351F15E9" w:rsidR="00724004" w:rsidRPr="0058274D" w:rsidRDefault="00724004" w:rsidP="00136F55">
            <w:pPr>
              <w:ind w:left="-156"/>
              <w:jc w:val="right"/>
              <w:rPr>
                <w:color w:val="000000"/>
                <w:sz w:val="18"/>
                <w:szCs w:val="18"/>
              </w:rPr>
            </w:pPr>
            <w:r w:rsidRPr="0058274D">
              <w:rPr>
                <w:rFonts w:cs="Calibri"/>
                <w:color w:val="000000"/>
                <w:sz w:val="18"/>
                <w:szCs w:val="18"/>
              </w:rPr>
              <w:t>40</w:t>
            </w:r>
            <w:r w:rsidR="00136F55" w:rsidRPr="0058274D">
              <w:rPr>
                <w:rFonts w:cs="Calibri"/>
                <w:color w:val="000000"/>
                <w:sz w:val="18"/>
                <w:szCs w:val="18"/>
              </w:rPr>
              <w:t xml:space="preserve"> </w:t>
            </w:r>
            <w:r w:rsidR="00151D20" w:rsidRPr="0058274D">
              <w:rPr>
                <w:rFonts w:cs="Calibri"/>
                <w:color w:val="000000"/>
                <w:sz w:val="18"/>
                <w:szCs w:val="18"/>
              </w:rPr>
              <w:t>802</w:t>
            </w:r>
          </w:p>
        </w:tc>
        <w:tc>
          <w:tcPr>
            <w:tcW w:w="683" w:type="dxa"/>
            <w:tcBorders>
              <w:top w:val="nil"/>
              <w:left w:val="nil"/>
              <w:bottom w:val="nil"/>
              <w:right w:val="nil"/>
            </w:tcBorders>
            <w:shd w:val="clear" w:color="auto" w:fill="auto"/>
            <w:noWrap/>
            <w:vAlign w:val="center"/>
            <w:hideMark/>
          </w:tcPr>
          <w:p w14:paraId="107E18A1" w14:textId="306496D8" w:rsidR="00724004" w:rsidRPr="0058274D" w:rsidRDefault="00724004" w:rsidP="00724004">
            <w:pPr>
              <w:jc w:val="right"/>
              <w:rPr>
                <w:color w:val="000000"/>
                <w:sz w:val="18"/>
                <w:szCs w:val="18"/>
              </w:rPr>
            </w:pPr>
            <w:r w:rsidRPr="0058274D">
              <w:rPr>
                <w:rFonts w:cs="Calibri"/>
                <w:color w:val="000000"/>
                <w:sz w:val="18"/>
                <w:szCs w:val="18"/>
              </w:rPr>
              <w:t>4</w:t>
            </w:r>
            <w:r w:rsidR="001D7267" w:rsidRPr="0058274D">
              <w:rPr>
                <w:rFonts w:cs="Calibri"/>
                <w:color w:val="000000"/>
                <w:sz w:val="18"/>
                <w:szCs w:val="18"/>
              </w:rPr>
              <w:t>1</w:t>
            </w:r>
            <w:r w:rsidRPr="0058274D">
              <w:rPr>
                <w:rFonts w:cs="Calibri"/>
                <w:color w:val="000000"/>
                <w:sz w:val="18"/>
                <w:szCs w:val="18"/>
              </w:rPr>
              <w:t xml:space="preserve"> </w:t>
            </w:r>
            <w:r w:rsidR="001D7267" w:rsidRPr="0058274D">
              <w:rPr>
                <w:rFonts w:cs="Calibri"/>
                <w:color w:val="000000"/>
                <w:sz w:val="18"/>
                <w:szCs w:val="18"/>
              </w:rPr>
              <w:t>384</w:t>
            </w:r>
          </w:p>
        </w:tc>
        <w:tc>
          <w:tcPr>
            <w:tcW w:w="683" w:type="dxa"/>
            <w:tcBorders>
              <w:top w:val="nil"/>
              <w:left w:val="nil"/>
              <w:bottom w:val="nil"/>
              <w:right w:val="nil"/>
            </w:tcBorders>
            <w:shd w:val="clear" w:color="auto" w:fill="auto"/>
            <w:noWrap/>
            <w:vAlign w:val="center"/>
            <w:hideMark/>
          </w:tcPr>
          <w:p w14:paraId="50839661" w14:textId="2BA98639" w:rsidR="00724004" w:rsidRPr="0058274D" w:rsidRDefault="002C448C" w:rsidP="00724004">
            <w:pPr>
              <w:jc w:val="right"/>
              <w:rPr>
                <w:color w:val="000000"/>
                <w:sz w:val="18"/>
                <w:szCs w:val="18"/>
              </w:rPr>
            </w:pPr>
            <w:r w:rsidRPr="0058274D">
              <w:rPr>
                <w:rFonts w:cs="Calibri"/>
                <w:color w:val="000000"/>
                <w:sz w:val="18"/>
                <w:szCs w:val="18"/>
              </w:rPr>
              <w:t>42 160</w:t>
            </w:r>
          </w:p>
        </w:tc>
        <w:tc>
          <w:tcPr>
            <w:tcW w:w="683" w:type="dxa"/>
            <w:tcBorders>
              <w:top w:val="nil"/>
              <w:left w:val="nil"/>
              <w:bottom w:val="nil"/>
              <w:right w:val="nil"/>
            </w:tcBorders>
            <w:shd w:val="clear" w:color="auto" w:fill="auto"/>
            <w:noWrap/>
            <w:vAlign w:val="center"/>
            <w:hideMark/>
          </w:tcPr>
          <w:p w14:paraId="632CE26D" w14:textId="31955531" w:rsidR="00724004" w:rsidRPr="0058274D" w:rsidRDefault="002C448C" w:rsidP="00724004">
            <w:pPr>
              <w:jc w:val="right"/>
              <w:rPr>
                <w:color w:val="000000"/>
                <w:sz w:val="18"/>
                <w:szCs w:val="18"/>
              </w:rPr>
            </w:pPr>
            <w:r w:rsidRPr="0058274D">
              <w:rPr>
                <w:rFonts w:cs="Calibri"/>
                <w:color w:val="000000"/>
                <w:sz w:val="18"/>
                <w:szCs w:val="18"/>
              </w:rPr>
              <w:t>43 370</w:t>
            </w:r>
          </w:p>
        </w:tc>
        <w:tc>
          <w:tcPr>
            <w:tcW w:w="683" w:type="dxa"/>
            <w:tcBorders>
              <w:top w:val="nil"/>
              <w:left w:val="nil"/>
              <w:bottom w:val="nil"/>
              <w:right w:val="nil"/>
            </w:tcBorders>
            <w:shd w:val="clear" w:color="auto" w:fill="auto"/>
            <w:noWrap/>
            <w:vAlign w:val="center"/>
            <w:hideMark/>
          </w:tcPr>
          <w:p w14:paraId="4BF74B9C" w14:textId="6DCFA5B0" w:rsidR="00724004" w:rsidRPr="0058274D" w:rsidRDefault="002C448C" w:rsidP="00724004">
            <w:pPr>
              <w:jc w:val="right"/>
              <w:rPr>
                <w:color w:val="000000"/>
                <w:sz w:val="18"/>
                <w:szCs w:val="18"/>
              </w:rPr>
            </w:pPr>
            <w:r w:rsidRPr="0058274D">
              <w:rPr>
                <w:rFonts w:cs="Calibri"/>
                <w:color w:val="000000"/>
                <w:sz w:val="18"/>
                <w:szCs w:val="18"/>
              </w:rPr>
              <w:t>44 322</w:t>
            </w:r>
          </w:p>
        </w:tc>
        <w:tc>
          <w:tcPr>
            <w:tcW w:w="683" w:type="dxa"/>
            <w:tcBorders>
              <w:top w:val="nil"/>
              <w:left w:val="nil"/>
              <w:bottom w:val="nil"/>
              <w:right w:val="nil"/>
            </w:tcBorders>
            <w:shd w:val="clear" w:color="auto" w:fill="auto"/>
            <w:noWrap/>
            <w:vAlign w:val="center"/>
            <w:hideMark/>
          </w:tcPr>
          <w:p w14:paraId="691C7B9B" w14:textId="0E1FDD68" w:rsidR="00724004" w:rsidRPr="0058274D" w:rsidRDefault="00136F55" w:rsidP="00724004">
            <w:pPr>
              <w:jc w:val="right"/>
              <w:rPr>
                <w:color w:val="000000"/>
                <w:sz w:val="18"/>
                <w:szCs w:val="18"/>
              </w:rPr>
            </w:pPr>
            <w:r w:rsidRPr="0058274D">
              <w:rPr>
                <w:rFonts w:cs="Calibri"/>
                <w:color w:val="000000"/>
                <w:sz w:val="18"/>
                <w:szCs w:val="18"/>
              </w:rPr>
              <w:t>45 202</w:t>
            </w:r>
          </w:p>
        </w:tc>
        <w:tc>
          <w:tcPr>
            <w:tcW w:w="683" w:type="dxa"/>
            <w:tcBorders>
              <w:top w:val="nil"/>
              <w:left w:val="nil"/>
              <w:bottom w:val="nil"/>
              <w:right w:val="nil"/>
            </w:tcBorders>
            <w:shd w:val="clear" w:color="auto" w:fill="auto"/>
            <w:noWrap/>
            <w:vAlign w:val="center"/>
            <w:hideMark/>
          </w:tcPr>
          <w:p w14:paraId="04BEE4A5" w14:textId="4D8684DD" w:rsidR="00724004" w:rsidRPr="0058274D" w:rsidRDefault="00136F55" w:rsidP="00724004">
            <w:pPr>
              <w:jc w:val="right"/>
              <w:rPr>
                <w:color w:val="000000"/>
                <w:sz w:val="18"/>
                <w:szCs w:val="18"/>
              </w:rPr>
            </w:pPr>
            <w:r w:rsidRPr="0058274D">
              <w:rPr>
                <w:rFonts w:cs="Calibri"/>
                <w:color w:val="000000"/>
                <w:sz w:val="18"/>
                <w:szCs w:val="18"/>
              </w:rPr>
              <w:t>54 060</w:t>
            </w:r>
          </w:p>
        </w:tc>
        <w:tc>
          <w:tcPr>
            <w:tcW w:w="683" w:type="dxa"/>
            <w:tcBorders>
              <w:top w:val="nil"/>
              <w:left w:val="nil"/>
              <w:bottom w:val="nil"/>
              <w:right w:val="nil"/>
            </w:tcBorders>
            <w:vAlign w:val="center"/>
          </w:tcPr>
          <w:p w14:paraId="599F8A01" w14:textId="5F268BEE" w:rsidR="00724004" w:rsidRPr="0058274D" w:rsidRDefault="001527CE" w:rsidP="00724004">
            <w:pPr>
              <w:jc w:val="right"/>
              <w:rPr>
                <w:color w:val="000000"/>
                <w:sz w:val="18"/>
                <w:szCs w:val="18"/>
              </w:rPr>
            </w:pPr>
            <w:r w:rsidRPr="0058274D">
              <w:rPr>
                <w:rFonts w:cs="Calibri"/>
                <w:color w:val="000000"/>
                <w:sz w:val="18"/>
                <w:szCs w:val="18"/>
              </w:rPr>
              <w:t>59 094</w:t>
            </w:r>
          </w:p>
        </w:tc>
        <w:tc>
          <w:tcPr>
            <w:tcW w:w="683" w:type="dxa"/>
            <w:tcBorders>
              <w:top w:val="nil"/>
              <w:left w:val="nil"/>
              <w:bottom w:val="nil"/>
              <w:right w:val="nil"/>
            </w:tcBorders>
            <w:shd w:val="clear" w:color="auto" w:fill="auto"/>
            <w:noWrap/>
            <w:vAlign w:val="center"/>
            <w:hideMark/>
          </w:tcPr>
          <w:p w14:paraId="2A5640AB" w14:textId="2452E63C" w:rsidR="00724004" w:rsidRPr="0058274D" w:rsidRDefault="001527CE" w:rsidP="00724004">
            <w:pPr>
              <w:jc w:val="right"/>
              <w:rPr>
                <w:color w:val="000000"/>
                <w:sz w:val="18"/>
                <w:szCs w:val="18"/>
              </w:rPr>
            </w:pPr>
            <w:r w:rsidRPr="0058274D">
              <w:rPr>
                <w:rFonts w:cs="Calibri"/>
                <w:color w:val="000000"/>
                <w:sz w:val="18"/>
                <w:szCs w:val="18"/>
              </w:rPr>
              <w:t>64 138</w:t>
            </w:r>
          </w:p>
        </w:tc>
        <w:tc>
          <w:tcPr>
            <w:tcW w:w="683" w:type="dxa"/>
            <w:tcBorders>
              <w:top w:val="nil"/>
              <w:left w:val="nil"/>
              <w:bottom w:val="nil"/>
              <w:right w:val="nil"/>
            </w:tcBorders>
            <w:shd w:val="clear" w:color="auto" w:fill="auto"/>
            <w:noWrap/>
            <w:vAlign w:val="center"/>
            <w:hideMark/>
          </w:tcPr>
          <w:p w14:paraId="49FBB8D6" w14:textId="65C3B212" w:rsidR="00724004" w:rsidRPr="0058274D" w:rsidRDefault="001527CE" w:rsidP="00724004">
            <w:pPr>
              <w:jc w:val="right"/>
              <w:rPr>
                <w:color w:val="000000"/>
                <w:sz w:val="18"/>
                <w:szCs w:val="18"/>
              </w:rPr>
            </w:pPr>
            <w:r w:rsidRPr="0058274D">
              <w:rPr>
                <w:rFonts w:cs="Calibri"/>
                <w:color w:val="000000"/>
                <w:sz w:val="18"/>
                <w:szCs w:val="18"/>
              </w:rPr>
              <w:t>69 731</w:t>
            </w:r>
          </w:p>
        </w:tc>
      </w:tr>
      <w:tr w:rsidR="00724004" w:rsidRPr="00B81300" w14:paraId="51F8B02D" w14:textId="77777777" w:rsidTr="0070280D">
        <w:trPr>
          <w:trHeight w:hRule="exact" w:val="266"/>
        </w:trPr>
        <w:tc>
          <w:tcPr>
            <w:tcW w:w="1560" w:type="dxa"/>
            <w:tcBorders>
              <w:top w:val="nil"/>
              <w:left w:val="nil"/>
              <w:bottom w:val="nil"/>
              <w:right w:val="nil"/>
            </w:tcBorders>
            <w:shd w:val="clear" w:color="auto" w:fill="auto"/>
            <w:noWrap/>
            <w:vAlign w:val="center"/>
            <w:hideMark/>
          </w:tcPr>
          <w:p w14:paraId="5B2DF8A9" w14:textId="3BB6918C" w:rsidR="00724004" w:rsidRPr="0058274D" w:rsidRDefault="00724004" w:rsidP="00724004">
            <w:pPr>
              <w:rPr>
                <w:color w:val="000000"/>
                <w:sz w:val="18"/>
                <w:szCs w:val="18"/>
              </w:rPr>
            </w:pPr>
            <w:r w:rsidRPr="0058274D">
              <w:rPr>
                <w:color w:val="000000"/>
                <w:sz w:val="18"/>
                <w:szCs w:val="18"/>
              </w:rPr>
              <w:t>2. Likv</w:t>
            </w:r>
            <w:r w:rsidR="0070280D">
              <w:rPr>
                <w:color w:val="000000"/>
                <w:sz w:val="18"/>
                <w:szCs w:val="18"/>
              </w:rPr>
              <w:t>.</w:t>
            </w:r>
            <w:r w:rsidRPr="0058274D">
              <w:rPr>
                <w:color w:val="000000"/>
                <w:sz w:val="18"/>
                <w:szCs w:val="18"/>
              </w:rPr>
              <w:t xml:space="preserve"> fin.aktíva</w:t>
            </w:r>
          </w:p>
        </w:tc>
        <w:tc>
          <w:tcPr>
            <w:tcW w:w="682" w:type="dxa"/>
            <w:tcBorders>
              <w:top w:val="nil"/>
              <w:left w:val="nil"/>
              <w:bottom w:val="nil"/>
              <w:right w:val="nil"/>
            </w:tcBorders>
            <w:shd w:val="clear" w:color="auto" w:fill="auto"/>
            <w:noWrap/>
            <w:vAlign w:val="center"/>
            <w:hideMark/>
          </w:tcPr>
          <w:p w14:paraId="0DA95A5E" w14:textId="07A1515D" w:rsidR="00724004" w:rsidRPr="0058274D" w:rsidRDefault="00BC6FD9" w:rsidP="00724004">
            <w:pPr>
              <w:jc w:val="right"/>
              <w:rPr>
                <w:color w:val="000000"/>
                <w:sz w:val="18"/>
                <w:szCs w:val="18"/>
              </w:rPr>
            </w:pPr>
            <w:r w:rsidRPr="0058274D">
              <w:rPr>
                <w:rFonts w:cs="Calibri"/>
                <w:color w:val="000000"/>
                <w:sz w:val="18"/>
                <w:szCs w:val="18"/>
              </w:rPr>
              <w:t>5</w:t>
            </w:r>
            <w:r w:rsidR="00A07E7A" w:rsidRPr="0058274D">
              <w:rPr>
                <w:rFonts w:cs="Calibri"/>
                <w:color w:val="000000"/>
                <w:sz w:val="18"/>
                <w:szCs w:val="18"/>
              </w:rPr>
              <w:t xml:space="preserve"> 127</w:t>
            </w:r>
          </w:p>
        </w:tc>
        <w:tc>
          <w:tcPr>
            <w:tcW w:w="683" w:type="dxa"/>
            <w:tcBorders>
              <w:top w:val="nil"/>
              <w:left w:val="nil"/>
              <w:bottom w:val="nil"/>
              <w:right w:val="nil"/>
            </w:tcBorders>
            <w:shd w:val="clear" w:color="auto" w:fill="auto"/>
            <w:noWrap/>
            <w:vAlign w:val="center"/>
            <w:hideMark/>
          </w:tcPr>
          <w:p w14:paraId="34FC7C00" w14:textId="060A15CF" w:rsidR="00724004" w:rsidRPr="0058274D" w:rsidRDefault="007A5A49" w:rsidP="00724004">
            <w:pPr>
              <w:jc w:val="right"/>
              <w:rPr>
                <w:color w:val="000000"/>
                <w:sz w:val="18"/>
                <w:szCs w:val="18"/>
              </w:rPr>
            </w:pPr>
            <w:r w:rsidRPr="0058274D">
              <w:rPr>
                <w:rFonts w:cs="Calibri"/>
                <w:color w:val="000000"/>
                <w:sz w:val="18"/>
                <w:szCs w:val="18"/>
              </w:rPr>
              <w:t>3 058</w:t>
            </w:r>
          </w:p>
        </w:tc>
        <w:tc>
          <w:tcPr>
            <w:tcW w:w="683" w:type="dxa"/>
            <w:tcBorders>
              <w:top w:val="nil"/>
              <w:left w:val="nil"/>
              <w:bottom w:val="nil"/>
              <w:right w:val="nil"/>
            </w:tcBorders>
            <w:shd w:val="clear" w:color="auto" w:fill="auto"/>
            <w:noWrap/>
            <w:vAlign w:val="center"/>
            <w:hideMark/>
          </w:tcPr>
          <w:p w14:paraId="552DDA26" w14:textId="0087500F" w:rsidR="00724004" w:rsidRPr="0058274D" w:rsidRDefault="005F137B" w:rsidP="00724004">
            <w:pPr>
              <w:jc w:val="right"/>
              <w:rPr>
                <w:color w:val="000000"/>
                <w:sz w:val="18"/>
                <w:szCs w:val="18"/>
              </w:rPr>
            </w:pPr>
            <w:r w:rsidRPr="0058274D">
              <w:rPr>
                <w:rFonts w:cs="Calibri"/>
                <w:color w:val="000000"/>
                <w:sz w:val="18"/>
                <w:szCs w:val="18"/>
              </w:rPr>
              <w:t xml:space="preserve">3 </w:t>
            </w:r>
            <w:r w:rsidR="006B5692" w:rsidRPr="0058274D">
              <w:rPr>
                <w:rFonts w:cs="Calibri"/>
                <w:color w:val="000000"/>
                <w:sz w:val="18"/>
                <w:szCs w:val="18"/>
              </w:rPr>
              <w:t>538</w:t>
            </w:r>
          </w:p>
        </w:tc>
        <w:tc>
          <w:tcPr>
            <w:tcW w:w="683" w:type="dxa"/>
            <w:tcBorders>
              <w:top w:val="nil"/>
              <w:left w:val="nil"/>
              <w:bottom w:val="nil"/>
              <w:right w:val="nil"/>
            </w:tcBorders>
            <w:shd w:val="clear" w:color="auto" w:fill="auto"/>
            <w:noWrap/>
            <w:vAlign w:val="center"/>
            <w:hideMark/>
          </w:tcPr>
          <w:p w14:paraId="5B16CEF3" w14:textId="2AA52DDE" w:rsidR="00724004" w:rsidRPr="0058274D" w:rsidRDefault="006B5692" w:rsidP="00724004">
            <w:pPr>
              <w:jc w:val="right"/>
              <w:rPr>
                <w:color w:val="000000"/>
                <w:sz w:val="18"/>
                <w:szCs w:val="18"/>
              </w:rPr>
            </w:pPr>
            <w:r w:rsidRPr="0058274D">
              <w:rPr>
                <w:rFonts w:cs="Calibri"/>
                <w:color w:val="000000"/>
                <w:sz w:val="18"/>
                <w:szCs w:val="18"/>
              </w:rPr>
              <w:t>4 190</w:t>
            </w:r>
          </w:p>
        </w:tc>
        <w:tc>
          <w:tcPr>
            <w:tcW w:w="683" w:type="dxa"/>
            <w:tcBorders>
              <w:top w:val="nil"/>
              <w:left w:val="nil"/>
              <w:bottom w:val="nil"/>
              <w:right w:val="nil"/>
            </w:tcBorders>
            <w:shd w:val="clear" w:color="auto" w:fill="auto"/>
            <w:noWrap/>
            <w:vAlign w:val="center"/>
            <w:hideMark/>
          </w:tcPr>
          <w:p w14:paraId="150E36BE" w14:textId="54CB6031" w:rsidR="00724004" w:rsidRPr="0058274D" w:rsidRDefault="00724004" w:rsidP="00724004">
            <w:pPr>
              <w:jc w:val="right"/>
              <w:rPr>
                <w:color w:val="000000"/>
                <w:sz w:val="18"/>
                <w:szCs w:val="18"/>
              </w:rPr>
            </w:pPr>
            <w:r w:rsidRPr="0058274D">
              <w:rPr>
                <w:rFonts w:cs="Calibri"/>
                <w:color w:val="000000"/>
                <w:sz w:val="18"/>
                <w:szCs w:val="18"/>
              </w:rPr>
              <w:t xml:space="preserve">4 </w:t>
            </w:r>
            <w:r w:rsidR="006B5692" w:rsidRPr="0058274D">
              <w:rPr>
                <w:rFonts w:cs="Calibri"/>
                <w:color w:val="000000"/>
                <w:sz w:val="18"/>
                <w:szCs w:val="18"/>
              </w:rPr>
              <w:t>784</w:t>
            </w:r>
          </w:p>
        </w:tc>
        <w:tc>
          <w:tcPr>
            <w:tcW w:w="683" w:type="dxa"/>
            <w:tcBorders>
              <w:top w:val="nil"/>
              <w:left w:val="nil"/>
              <w:bottom w:val="nil"/>
              <w:right w:val="nil"/>
            </w:tcBorders>
            <w:shd w:val="clear" w:color="auto" w:fill="auto"/>
            <w:noWrap/>
            <w:vAlign w:val="center"/>
            <w:hideMark/>
          </w:tcPr>
          <w:p w14:paraId="5D56D12B" w14:textId="49373FC4" w:rsidR="00724004" w:rsidRPr="0058274D" w:rsidRDefault="002160B5" w:rsidP="00724004">
            <w:pPr>
              <w:jc w:val="right"/>
              <w:rPr>
                <w:color w:val="000000"/>
                <w:sz w:val="18"/>
                <w:szCs w:val="18"/>
              </w:rPr>
            </w:pPr>
            <w:r w:rsidRPr="004A79A6">
              <w:rPr>
                <w:rFonts w:cs="Calibri"/>
                <w:color w:val="000000"/>
                <w:sz w:val="18"/>
                <w:szCs w:val="18"/>
              </w:rPr>
              <w:t>5 373</w:t>
            </w:r>
          </w:p>
        </w:tc>
        <w:tc>
          <w:tcPr>
            <w:tcW w:w="683" w:type="dxa"/>
            <w:tcBorders>
              <w:top w:val="nil"/>
              <w:left w:val="nil"/>
              <w:bottom w:val="nil"/>
              <w:right w:val="nil"/>
            </w:tcBorders>
            <w:shd w:val="clear" w:color="auto" w:fill="auto"/>
            <w:noWrap/>
            <w:vAlign w:val="center"/>
            <w:hideMark/>
          </w:tcPr>
          <w:p w14:paraId="66A336A9" w14:textId="2E753BEA" w:rsidR="00724004" w:rsidRPr="0058274D" w:rsidRDefault="00BC47E4" w:rsidP="00724004">
            <w:pPr>
              <w:jc w:val="right"/>
              <w:rPr>
                <w:color w:val="000000"/>
                <w:sz w:val="18"/>
                <w:szCs w:val="18"/>
              </w:rPr>
            </w:pPr>
            <w:r w:rsidRPr="0058274D">
              <w:rPr>
                <w:rFonts w:cs="Calibri"/>
                <w:color w:val="000000"/>
                <w:sz w:val="18"/>
                <w:szCs w:val="18"/>
              </w:rPr>
              <w:t>4 560</w:t>
            </w:r>
          </w:p>
        </w:tc>
        <w:tc>
          <w:tcPr>
            <w:tcW w:w="683" w:type="dxa"/>
            <w:tcBorders>
              <w:top w:val="nil"/>
              <w:left w:val="nil"/>
              <w:bottom w:val="nil"/>
              <w:right w:val="nil"/>
            </w:tcBorders>
            <w:shd w:val="clear" w:color="auto" w:fill="auto"/>
            <w:noWrap/>
            <w:vAlign w:val="center"/>
            <w:hideMark/>
          </w:tcPr>
          <w:p w14:paraId="1E74DBA5" w14:textId="53D05CCC" w:rsidR="00724004" w:rsidRPr="0058274D" w:rsidRDefault="00724004" w:rsidP="00724004">
            <w:pPr>
              <w:jc w:val="right"/>
              <w:rPr>
                <w:color w:val="000000"/>
                <w:sz w:val="18"/>
                <w:szCs w:val="18"/>
              </w:rPr>
            </w:pPr>
            <w:r w:rsidRPr="0058274D">
              <w:rPr>
                <w:rFonts w:cs="Calibri"/>
                <w:color w:val="000000"/>
                <w:sz w:val="18"/>
                <w:szCs w:val="18"/>
              </w:rPr>
              <w:t xml:space="preserve">6 </w:t>
            </w:r>
            <w:r w:rsidR="00BC47E4" w:rsidRPr="0058274D">
              <w:rPr>
                <w:rFonts w:cs="Calibri"/>
                <w:color w:val="000000"/>
                <w:sz w:val="18"/>
                <w:szCs w:val="18"/>
              </w:rPr>
              <w:t>169</w:t>
            </w:r>
          </w:p>
        </w:tc>
        <w:tc>
          <w:tcPr>
            <w:tcW w:w="683" w:type="dxa"/>
            <w:tcBorders>
              <w:top w:val="nil"/>
              <w:left w:val="nil"/>
              <w:bottom w:val="nil"/>
              <w:right w:val="nil"/>
            </w:tcBorders>
            <w:vAlign w:val="center"/>
          </w:tcPr>
          <w:p w14:paraId="5BF338E7" w14:textId="249FBF82" w:rsidR="00724004" w:rsidRPr="0058274D" w:rsidRDefault="00BC47E4" w:rsidP="00724004">
            <w:pPr>
              <w:jc w:val="right"/>
              <w:rPr>
                <w:color w:val="000000"/>
                <w:sz w:val="18"/>
                <w:szCs w:val="18"/>
              </w:rPr>
            </w:pPr>
            <w:r w:rsidRPr="0058274D">
              <w:rPr>
                <w:rFonts w:cs="Calibri"/>
                <w:color w:val="000000"/>
                <w:sz w:val="18"/>
                <w:szCs w:val="18"/>
              </w:rPr>
              <w:t>4 846</w:t>
            </w:r>
          </w:p>
        </w:tc>
        <w:tc>
          <w:tcPr>
            <w:tcW w:w="683" w:type="dxa"/>
            <w:tcBorders>
              <w:top w:val="nil"/>
              <w:left w:val="nil"/>
              <w:bottom w:val="nil"/>
              <w:right w:val="nil"/>
            </w:tcBorders>
            <w:shd w:val="clear" w:color="auto" w:fill="auto"/>
            <w:noWrap/>
            <w:vAlign w:val="center"/>
            <w:hideMark/>
          </w:tcPr>
          <w:p w14:paraId="041B1226" w14:textId="45F8BDC1" w:rsidR="00724004" w:rsidRPr="0058274D" w:rsidRDefault="00BC47E4" w:rsidP="00724004">
            <w:pPr>
              <w:jc w:val="right"/>
              <w:rPr>
                <w:color w:val="000000"/>
                <w:sz w:val="18"/>
                <w:szCs w:val="18"/>
              </w:rPr>
            </w:pPr>
            <w:r w:rsidRPr="0058274D">
              <w:rPr>
                <w:rFonts w:cs="Calibri"/>
                <w:color w:val="000000"/>
                <w:sz w:val="18"/>
                <w:szCs w:val="18"/>
              </w:rPr>
              <w:t>3 887</w:t>
            </w:r>
          </w:p>
        </w:tc>
        <w:tc>
          <w:tcPr>
            <w:tcW w:w="683" w:type="dxa"/>
            <w:tcBorders>
              <w:top w:val="nil"/>
              <w:left w:val="nil"/>
              <w:bottom w:val="nil"/>
              <w:right w:val="nil"/>
            </w:tcBorders>
            <w:shd w:val="clear" w:color="auto" w:fill="auto"/>
            <w:noWrap/>
            <w:vAlign w:val="center"/>
            <w:hideMark/>
          </w:tcPr>
          <w:p w14:paraId="1D94010A" w14:textId="089FE480" w:rsidR="00724004" w:rsidRPr="0058274D" w:rsidRDefault="00BC47E4" w:rsidP="00724004">
            <w:pPr>
              <w:jc w:val="right"/>
              <w:rPr>
                <w:color w:val="000000"/>
                <w:sz w:val="18"/>
                <w:szCs w:val="18"/>
              </w:rPr>
            </w:pPr>
            <w:r w:rsidRPr="0058274D">
              <w:rPr>
                <w:rFonts w:cs="Calibri"/>
                <w:color w:val="000000"/>
                <w:sz w:val="18"/>
                <w:szCs w:val="18"/>
              </w:rPr>
              <w:t>2 841</w:t>
            </w:r>
          </w:p>
        </w:tc>
      </w:tr>
      <w:tr w:rsidR="00724004" w:rsidRPr="00B81300" w14:paraId="2EB7BB0D" w14:textId="77777777" w:rsidTr="0070280D">
        <w:trPr>
          <w:trHeight w:hRule="exact" w:val="266"/>
        </w:trPr>
        <w:tc>
          <w:tcPr>
            <w:tcW w:w="1560" w:type="dxa"/>
            <w:tcBorders>
              <w:top w:val="nil"/>
              <w:left w:val="nil"/>
              <w:bottom w:val="nil"/>
              <w:right w:val="nil"/>
            </w:tcBorders>
            <w:shd w:val="clear" w:color="auto" w:fill="auto"/>
            <w:noWrap/>
            <w:vAlign w:val="center"/>
            <w:hideMark/>
          </w:tcPr>
          <w:p w14:paraId="4C8B9C7E" w14:textId="75A113C4" w:rsidR="00724004" w:rsidRPr="0058274D" w:rsidRDefault="00724004" w:rsidP="00724004">
            <w:pPr>
              <w:rPr>
                <w:color w:val="000000"/>
                <w:sz w:val="18"/>
                <w:szCs w:val="18"/>
              </w:rPr>
            </w:pPr>
            <w:r w:rsidRPr="0058274D">
              <w:rPr>
                <w:color w:val="000000"/>
                <w:sz w:val="18"/>
                <w:szCs w:val="18"/>
              </w:rPr>
              <w:t>3. Čistý dlh (1-2)</w:t>
            </w:r>
          </w:p>
        </w:tc>
        <w:tc>
          <w:tcPr>
            <w:tcW w:w="682" w:type="dxa"/>
            <w:tcBorders>
              <w:top w:val="nil"/>
              <w:left w:val="nil"/>
              <w:bottom w:val="nil"/>
              <w:right w:val="nil"/>
            </w:tcBorders>
            <w:shd w:val="clear" w:color="auto" w:fill="auto"/>
            <w:noWrap/>
            <w:vAlign w:val="center"/>
            <w:hideMark/>
          </w:tcPr>
          <w:p w14:paraId="22FF6810" w14:textId="7D54C9D4" w:rsidR="00724004" w:rsidRPr="0058274D" w:rsidRDefault="00724004" w:rsidP="00724004">
            <w:pPr>
              <w:jc w:val="right"/>
              <w:rPr>
                <w:color w:val="000000"/>
                <w:sz w:val="18"/>
                <w:szCs w:val="18"/>
              </w:rPr>
            </w:pPr>
            <w:r w:rsidRPr="0058274D">
              <w:rPr>
                <w:rFonts w:cs="Calibri"/>
                <w:color w:val="000000"/>
                <w:sz w:val="18"/>
                <w:szCs w:val="18"/>
              </w:rPr>
              <w:t>3</w:t>
            </w:r>
            <w:r w:rsidR="00473A73" w:rsidRPr="0058274D">
              <w:rPr>
                <w:rFonts w:cs="Calibri"/>
                <w:color w:val="000000"/>
                <w:sz w:val="18"/>
                <w:szCs w:val="18"/>
              </w:rPr>
              <w:t>5</w:t>
            </w:r>
            <w:r w:rsidRPr="0058274D">
              <w:rPr>
                <w:rFonts w:cs="Calibri"/>
                <w:color w:val="000000"/>
                <w:sz w:val="18"/>
                <w:szCs w:val="18"/>
              </w:rPr>
              <w:t xml:space="preserve"> </w:t>
            </w:r>
            <w:r w:rsidR="00D27278" w:rsidRPr="0058274D">
              <w:rPr>
                <w:rFonts w:cs="Calibri"/>
                <w:color w:val="000000"/>
                <w:sz w:val="18"/>
                <w:szCs w:val="18"/>
              </w:rPr>
              <w:t>551</w:t>
            </w:r>
          </w:p>
        </w:tc>
        <w:tc>
          <w:tcPr>
            <w:tcW w:w="683" w:type="dxa"/>
            <w:tcBorders>
              <w:top w:val="nil"/>
              <w:left w:val="nil"/>
              <w:bottom w:val="nil"/>
              <w:right w:val="nil"/>
            </w:tcBorders>
            <w:shd w:val="clear" w:color="auto" w:fill="auto"/>
            <w:noWrap/>
            <w:vAlign w:val="center"/>
            <w:hideMark/>
          </w:tcPr>
          <w:p w14:paraId="3B4802EF" w14:textId="2159E59B" w:rsidR="00724004" w:rsidRPr="0058274D" w:rsidRDefault="00724004" w:rsidP="00724004">
            <w:pPr>
              <w:jc w:val="right"/>
              <w:rPr>
                <w:color w:val="000000"/>
                <w:sz w:val="18"/>
                <w:szCs w:val="18"/>
              </w:rPr>
            </w:pPr>
            <w:r w:rsidRPr="0058274D">
              <w:rPr>
                <w:rFonts w:cs="Calibri"/>
                <w:color w:val="000000"/>
                <w:sz w:val="18"/>
                <w:szCs w:val="18"/>
              </w:rPr>
              <w:t>3</w:t>
            </w:r>
            <w:r w:rsidR="00EC247E" w:rsidRPr="0058274D">
              <w:rPr>
                <w:rFonts w:cs="Calibri"/>
                <w:color w:val="000000"/>
                <w:sz w:val="18"/>
                <w:szCs w:val="18"/>
              </w:rPr>
              <w:t>7 745</w:t>
            </w:r>
          </w:p>
        </w:tc>
        <w:tc>
          <w:tcPr>
            <w:tcW w:w="683" w:type="dxa"/>
            <w:tcBorders>
              <w:top w:val="nil"/>
              <w:left w:val="nil"/>
              <w:bottom w:val="nil"/>
              <w:right w:val="nil"/>
            </w:tcBorders>
            <w:shd w:val="clear" w:color="auto" w:fill="auto"/>
            <w:noWrap/>
            <w:vAlign w:val="center"/>
            <w:hideMark/>
          </w:tcPr>
          <w:p w14:paraId="54A54B7D" w14:textId="565FF5EF" w:rsidR="00724004" w:rsidRPr="0058274D" w:rsidRDefault="00724004" w:rsidP="00724004">
            <w:pPr>
              <w:jc w:val="right"/>
              <w:rPr>
                <w:color w:val="000000"/>
                <w:sz w:val="18"/>
                <w:szCs w:val="18"/>
              </w:rPr>
            </w:pPr>
            <w:r w:rsidRPr="0058274D">
              <w:rPr>
                <w:rFonts w:cs="Calibri"/>
                <w:color w:val="000000"/>
                <w:sz w:val="18"/>
                <w:szCs w:val="18"/>
              </w:rPr>
              <w:t>37 8</w:t>
            </w:r>
            <w:r w:rsidR="00CD7E6F" w:rsidRPr="0058274D">
              <w:rPr>
                <w:rFonts w:cs="Calibri"/>
                <w:color w:val="000000"/>
                <w:sz w:val="18"/>
                <w:szCs w:val="18"/>
              </w:rPr>
              <w:t>46</w:t>
            </w:r>
          </w:p>
        </w:tc>
        <w:tc>
          <w:tcPr>
            <w:tcW w:w="683" w:type="dxa"/>
            <w:tcBorders>
              <w:top w:val="nil"/>
              <w:left w:val="nil"/>
              <w:bottom w:val="nil"/>
              <w:right w:val="nil"/>
            </w:tcBorders>
            <w:shd w:val="clear" w:color="auto" w:fill="auto"/>
            <w:noWrap/>
            <w:vAlign w:val="center"/>
            <w:hideMark/>
          </w:tcPr>
          <w:p w14:paraId="644DCAE2" w14:textId="566B35F5" w:rsidR="00724004" w:rsidRPr="0058274D" w:rsidRDefault="00724004" w:rsidP="00724004">
            <w:pPr>
              <w:jc w:val="right"/>
              <w:rPr>
                <w:color w:val="000000"/>
                <w:sz w:val="18"/>
                <w:szCs w:val="18"/>
              </w:rPr>
            </w:pPr>
            <w:r w:rsidRPr="0058274D">
              <w:rPr>
                <w:rFonts w:cs="Calibri"/>
                <w:color w:val="000000"/>
                <w:sz w:val="18"/>
                <w:szCs w:val="18"/>
              </w:rPr>
              <w:t xml:space="preserve">37 </w:t>
            </w:r>
            <w:r w:rsidR="00CD7E6F" w:rsidRPr="0058274D">
              <w:rPr>
                <w:rFonts w:cs="Calibri"/>
                <w:color w:val="000000"/>
                <w:sz w:val="18"/>
                <w:szCs w:val="18"/>
              </w:rPr>
              <w:t>970</w:t>
            </w:r>
          </w:p>
        </w:tc>
        <w:tc>
          <w:tcPr>
            <w:tcW w:w="683" w:type="dxa"/>
            <w:tcBorders>
              <w:top w:val="nil"/>
              <w:left w:val="nil"/>
              <w:bottom w:val="nil"/>
              <w:right w:val="nil"/>
            </w:tcBorders>
            <w:shd w:val="clear" w:color="auto" w:fill="auto"/>
            <w:noWrap/>
            <w:vAlign w:val="center"/>
            <w:hideMark/>
          </w:tcPr>
          <w:p w14:paraId="176D1D17" w14:textId="5738898D" w:rsidR="00724004" w:rsidRPr="0058274D" w:rsidRDefault="003636A3" w:rsidP="00724004">
            <w:pPr>
              <w:jc w:val="right"/>
              <w:rPr>
                <w:color w:val="000000"/>
                <w:sz w:val="18"/>
                <w:szCs w:val="18"/>
              </w:rPr>
            </w:pPr>
            <w:r w:rsidRPr="0058274D">
              <w:rPr>
                <w:rFonts w:cs="Calibri"/>
                <w:color w:val="000000"/>
                <w:sz w:val="18"/>
                <w:szCs w:val="18"/>
              </w:rPr>
              <w:t>38 586</w:t>
            </w:r>
          </w:p>
        </w:tc>
        <w:tc>
          <w:tcPr>
            <w:tcW w:w="683" w:type="dxa"/>
            <w:tcBorders>
              <w:top w:val="nil"/>
              <w:left w:val="nil"/>
              <w:bottom w:val="nil"/>
              <w:right w:val="nil"/>
            </w:tcBorders>
            <w:shd w:val="clear" w:color="auto" w:fill="auto"/>
            <w:noWrap/>
            <w:vAlign w:val="center"/>
            <w:hideMark/>
          </w:tcPr>
          <w:p w14:paraId="5001BECA" w14:textId="3C4BD3EF" w:rsidR="00724004" w:rsidRPr="0058274D" w:rsidRDefault="00724004" w:rsidP="003636A3">
            <w:pPr>
              <w:ind w:left="-65"/>
              <w:jc w:val="right"/>
              <w:rPr>
                <w:color w:val="000000"/>
                <w:sz w:val="18"/>
                <w:szCs w:val="18"/>
              </w:rPr>
            </w:pPr>
            <w:r w:rsidRPr="0058274D">
              <w:rPr>
                <w:rFonts w:cs="Calibri"/>
                <w:color w:val="000000"/>
                <w:sz w:val="18"/>
                <w:szCs w:val="18"/>
              </w:rPr>
              <w:t xml:space="preserve">38 </w:t>
            </w:r>
            <w:r w:rsidR="003636A3" w:rsidRPr="0058274D">
              <w:rPr>
                <w:rFonts w:cs="Calibri"/>
                <w:color w:val="000000"/>
                <w:sz w:val="18"/>
                <w:szCs w:val="18"/>
              </w:rPr>
              <w:t>949</w:t>
            </w:r>
          </w:p>
        </w:tc>
        <w:tc>
          <w:tcPr>
            <w:tcW w:w="683" w:type="dxa"/>
            <w:tcBorders>
              <w:top w:val="nil"/>
              <w:left w:val="nil"/>
              <w:bottom w:val="nil"/>
              <w:right w:val="nil"/>
            </w:tcBorders>
            <w:shd w:val="clear" w:color="auto" w:fill="auto"/>
            <w:noWrap/>
            <w:vAlign w:val="center"/>
            <w:hideMark/>
          </w:tcPr>
          <w:p w14:paraId="6E013780" w14:textId="350EA909" w:rsidR="00724004" w:rsidRPr="0058274D" w:rsidRDefault="00440F2D" w:rsidP="00440F2D">
            <w:pPr>
              <w:ind w:left="-9"/>
              <w:jc w:val="right"/>
              <w:rPr>
                <w:color w:val="000000"/>
                <w:sz w:val="18"/>
                <w:szCs w:val="18"/>
              </w:rPr>
            </w:pPr>
            <w:r w:rsidRPr="0058274D">
              <w:rPr>
                <w:rFonts w:cs="Calibri"/>
                <w:color w:val="000000"/>
                <w:sz w:val="18"/>
                <w:szCs w:val="18"/>
              </w:rPr>
              <w:t>40 642</w:t>
            </w:r>
          </w:p>
        </w:tc>
        <w:tc>
          <w:tcPr>
            <w:tcW w:w="683" w:type="dxa"/>
            <w:tcBorders>
              <w:top w:val="nil"/>
              <w:left w:val="nil"/>
              <w:bottom w:val="nil"/>
              <w:right w:val="nil"/>
            </w:tcBorders>
            <w:shd w:val="clear" w:color="auto" w:fill="auto"/>
            <w:noWrap/>
            <w:vAlign w:val="center"/>
            <w:hideMark/>
          </w:tcPr>
          <w:p w14:paraId="3FBB2DD3" w14:textId="01520128" w:rsidR="00724004" w:rsidRPr="0058274D" w:rsidRDefault="00A619CF" w:rsidP="00724004">
            <w:pPr>
              <w:jc w:val="right"/>
              <w:rPr>
                <w:color w:val="000000"/>
                <w:sz w:val="18"/>
                <w:szCs w:val="18"/>
              </w:rPr>
            </w:pPr>
            <w:r w:rsidRPr="0058274D">
              <w:rPr>
                <w:rFonts w:cs="Calibri"/>
                <w:color w:val="000000"/>
                <w:sz w:val="18"/>
                <w:szCs w:val="18"/>
              </w:rPr>
              <w:t>47 892</w:t>
            </w:r>
          </w:p>
        </w:tc>
        <w:tc>
          <w:tcPr>
            <w:tcW w:w="683" w:type="dxa"/>
            <w:tcBorders>
              <w:top w:val="nil"/>
              <w:left w:val="nil"/>
              <w:bottom w:val="nil"/>
              <w:right w:val="nil"/>
            </w:tcBorders>
            <w:vAlign w:val="center"/>
          </w:tcPr>
          <w:p w14:paraId="0D4DF046" w14:textId="7853EEBB" w:rsidR="00724004" w:rsidRPr="0058274D" w:rsidRDefault="00A619CF" w:rsidP="00724004">
            <w:pPr>
              <w:jc w:val="right"/>
              <w:rPr>
                <w:color w:val="000000"/>
                <w:sz w:val="18"/>
                <w:szCs w:val="18"/>
              </w:rPr>
            </w:pPr>
            <w:r w:rsidRPr="0058274D">
              <w:rPr>
                <w:rFonts w:cs="Calibri"/>
                <w:color w:val="000000"/>
                <w:sz w:val="18"/>
                <w:szCs w:val="18"/>
              </w:rPr>
              <w:t>54 248</w:t>
            </w:r>
          </w:p>
        </w:tc>
        <w:tc>
          <w:tcPr>
            <w:tcW w:w="683" w:type="dxa"/>
            <w:tcBorders>
              <w:top w:val="nil"/>
              <w:left w:val="nil"/>
              <w:bottom w:val="nil"/>
              <w:right w:val="nil"/>
            </w:tcBorders>
            <w:shd w:val="clear" w:color="auto" w:fill="auto"/>
            <w:noWrap/>
            <w:vAlign w:val="center"/>
            <w:hideMark/>
          </w:tcPr>
          <w:p w14:paraId="0AD9C91A" w14:textId="6DF58AF9" w:rsidR="00724004" w:rsidRPr="0058274D" w:rsidRDefault="00A619CF" w:rsidP="00724004">
            <w:pPr>
              <w:jc w:val="right"/>
              <w:rPr>
                <w:color w:val="000000"/>
                <w:sz w:val="18"/>
                <w:szCs w:val="18"/>
              </w:rPr>
            </w:pPr>
            <w:r w:rsidRPr="0058274D">
              <w:rPr>
                <w:rFonts w:cs="Calibri"/>
                <w:color w:val="000000"/>
                <w:sz w:val="18"/>
                <w:szCs w:val="18"/>
              </w:rPr>
              <w:t>60 25</w:t>
            </w:r>
            <w:r w:rsidR="00ED47F9" w:rsidRPr="0058274D">
              <w:rPr>
                <w:rFonts w:cs="Calibri"/>
                <w:color w:val="000000"/>
                <w:sz w:val="18"/>
                <w:szCs w:val="18"/>
              </w:rPr>
              <w:t>2</w:t>
            </w:r>
          </w:p>
        </w:tc>
        <w:tc>
          <w:tcPr>
            <w:tcW w:w="683" w:type="dxa"/>
            <w:tcBorders>
              <w:top w:val="nil"/>
              <w:left w:val="nil"/>
              <w:bottom w:val="nil"/>
              <w:right w:val="nil"/>
            </w:tcBorders>
            <w:shd w:val="clear" w:color="auto" w:fill="auto"/>
            <w:noWrap/>
            <w:vAlign w:val="center"/>
            <w:hideMark/>
          </w:tcPr>
          <w:p w14:paraId="6004AEEE" w14:textId="466114AE" w:rsidR="00724004" w:rsidRPr="0058274D" w:rsidRDefault="00ED47F9" w:rsidP="00ED47F9">
            <w:pPr>
              <w:ind w:left="-119"/>
              <w:jc w:val="right"/>
              <w:rPr>
                <w:color w:val="000000"/>
                <w:sz w:val="18"/>
                <w:szCs w:val="18"/>
              </w:rPr>
            </w:pPr>
            <w:r w:rsidRPr="0058274D">
              <w:rPr>
                <w:rFonts w:cs="Calibri"/>
                <w:color w:val="000000"/>
                <w:sz w:val="18"/>
                <w:szCs w:val="18"/>
              </w:rPr>
              <w:t>66 890</w:t>
            </w:r>
          </w:p>
        </w:tc>
      </w:tr>
      <w:tr w:rsidR="00A77B6C" w:rsidRPr="00B81300" w14:paraId="542AE301" w14:textId="77777777" w:rsidTr="0070280D">
        <w:trPr>
          <w:trHeight w:val="300"/>
        </w:trPr>
        <w:tc>
          <w:tcPr>
            <w:tcW w:w="1560" w:type="dxa"/>
            <w:tcBorders>
              <w:top w:val="nil"/>
              <w:left w:val="nil"/>
              <w:bottom w:val="nil"/>
              <w:right w:val="nil"/>
            </w:tcBorders>
            <w:shd w:val="clear" w:color="auto" w:fill="auto"/>
            <w:noWrap/>
            <w:vAlign w:val="center"/>
            <w:hideMark/>
          </w:tcPr>
          <w:p w14:paraId="598FAC5A" w14:textId="77777777" w:rsidR="00A77B6C" w:rsidRPr="0058274D" w:rsidRDefault="00A77B6C" w:rsidP="00EA0905">
            <w:pPr>
              <w:jc w:val="center"/>
              <w:rPr>
                <w:b/>
                <w:color w:val="13B5EA"/>
                <w:sz w:val="18"/>
                <w:szCs w:val="18"/>
              </w:rPr>
            </w:pPr>
            <w:r w:rsidRPr="0058274D">
              <w:rPr>
                <w:b/>
                <w:color w:val="13B5EA"/>
                <w:sz w:val="18"/>
                <w:szCs w:val="18"/>
              </w:rPr>
              <w:t>(v % HDP)</w:t>
            </w:r>
          </w:p>
        </w:tc>
        <w:tc>
          <w:tcPr>
            <w:tcW w:w="682" w:type="dxa"/>
            <w:tcBorders>
              <w:top w:val="nil"/>
              <w:left w:val="nil"/>
              <w:bottom w:val="nil"/>
              <w:right w:val="nil"/>
            </w:tcBorders>
            <w:shd w:val="clear" w:color="auto" w:fill="auto"/>
            <w:noWrap/>
            <w:vAlign w:val="center"/>
            <w:hideMark/>
          </w:tcPr>
          <w:p w14:paraId="77D3CF3C" w14:textId="77777777" w:rsidR="00A77B6C" w:rsidRPr="0058274D" w:rsidRDefault="00A77B6C" w:rsidP="00EA0905">
            <w:pPr>
              <w:jc w:val="center"/>
              <w:rPr>
                <w:b/>
                <w:color w:val="13B5EA"/>
                <w:sz w:val="18"/>
                <w:szCs w:val="18"/>
              </w:rPr>
            </w:pPr>
          </w:p>
        </w:tc>
        <w:tc>
          <w:tcPr>
            <w:tcW w:w="683" w:type="dxa"/>
            <w:tcBorders>
              <w:top w:val="nil"/>
              <w:left w:val="nil"/>
              <w:bottom w:val="nil"/>
              <w:right w:val="nil"/>
            </w:tcBorders>
            <w:shd w:val="clear" w:color="auto" w:fill="auto"/>
            <w:noWrap/>
            <w:vAlign w:val="center"/>
            <w:hideMark/>
          </w:tcPr>
          <w:p w14:paraId="13C22922"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1AB0CC67"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0B9E5719"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54801F17"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52359A5C"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6D6F8F90"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6BE386D7" w14:textId="77777777" w:rsidR="00A77B6C" w:rsidRPr="0058274D" w:rsidRDefault="00A77B6C" w:rsidP="00EA0905">
            <w:pPr>
              <w:rPr>
                <w:rFonts w:ascii="Times New Roman" w:hAnsi="Times New Roman"/>
                <w:sz w:val="20"/>
              </w:rPr>
            </w:pPr>
          </w:p>
        </w:tc>
        <w:tc>
          <w:tcPr>
            <w:tcW w:w="683" w:type="dxa"/>
            <w:tcBorders>
              <w:top w:val="nil"/>
              <w:left w:val="nil"/>
              <w:bottom w:val="nil"/>
              <w:right w:val="nil"/>
            </w:tcBorders>
            <w:vAlign w:val="center"/>
          </w:tcPr>
          <w:p w14:paraId="31C6C42B" w14:textId="77777777" w:rsidR="00A77B6C" w:rsidRPr="0058274D" w:rsidRDefault="00A77B6C" w:rsidP="00A77B6C">
            <w:pPr>
              <w:jc w:val="right"/>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12B8C5F1" w14:textId="3F22B6AC" w:rsidR="00A77B6C" w:rsidRPr="0058274D" w:rsidRDefault="00A77B6C" w:rsidP="00EA0905">
            <w:pPr>
              <w:rPr>
                <w:rFonts w:ascii="Times New Roman" w:hAnsi="Times New Roman"/>
                <w:sz w:val="20"/>
              </w:rPr>
            </w:pPr>
          </w:p>
        </w:tc>
        <w:tc>
          <w:tcPr>
            <w:tcW w:w="683" w:type="dxa"/>
            <w:tcBorders>
              <w:top w:val="nil"/>
              <w:left w:val="nil"/>
              <w:bottom w:val="nil"/>
              <w:right w:val="nil"/>
            </w:tcBorders>
            <w:shd w:val="clear" w:color="auto" w:fill="auto"/>
            <w:noWrap/>
            <w:vAlign w:val="center"/>
            <w:hideMark/>
          </w:tcPr>
          <w:p w14:paraId="558E6E50" w14:textId="77777777" w:rsidR="00A77B6C" w:rsidRPr="0058274D" w:rsidRDefault="00A77B6C" w:rsidP="00EA0905">
            <w:pPr>
              <w:rPr>
                <w:rFonts w:ascii="Times New Roman" w:hAnsi="Times New Roman"/>
                <w:sz w:val="20"/>
              </w:rPr>
            </w:pPr>
          </w:p>
        </w:tc>
      </w:tr>
      <w:tr w:rsidR="003C56FB" w:rsidRPr="00B81300" w14:paraId="344D85C3" w14:textId="77777777" w:rsidTr="0070280D">
        <w:trPr>
          <w:trHeight w:hRule="exact" w:val="266"/>
        </w:trPr>
        <w:tc>
          <w:tcPr>
            <w:tcW w:w="1560" w:type="dxa"/>
            <w:tcBorders>
              <w:top w:val="nil"/>
              <w:left w:val="nil"/>
              <w:bottom w:val="nil"/>
              <w:right w:val="nil"/>
            </w:tcBorders>
            <w:shd w:val="clear" w:color="auto" w:fill="auto"/>
            <w:noWrap/>
            <w:vAlign w:val="center"/>
            <w:hideMark/>
          </w:tcPr>
          <w:p w14:paraId="0C538571" w14:textId="3AE7736E" w:rsidR="003C56FB" w:rsidRPr="0058274D" w:rsidRDefault="003C56FB" w:rsidP="003C56FB">
            <w:pPr>
              <w:rPr>
                <w:color w:val="000000"/>
                <w:sz w:val="18"/>
                <w:szCs w:val="18"/>
              </w:rPr>
            </w:pPr>
            <w:r w:rsidRPr="0058274D">
              <w:rPr>
                <w:color w:val="000000"/>
                <w:sz w:val="18"/>
                <w:szCs w:val="18"/>
              </w:rPr>
              <w:t>4. Hrubý dlh</w:t>
            </w:r>
          </w:p>
        </w:tc>
        <w:tc>
          <w:tcPr>
            <w:tcW w:w="682" w:type="dxa"/>
            <w:tcBorders>
              <w:top w:val="nil"/>
              <w:left w:val="nil"/>
              <w:bottom w:val="nil"/>
              <w:right w:val="nil"/>
            </w:tcBorders>
            <w:shd w:val="clear" w:color="auto" w:fill="auto"/>
            <w:noWrap/>
            <w:vAlign w:val="center"/>
            <w:hideMark/>
          </w:tcPr>
          <w:p w14:paraId="7B32FEFD" w14:textId="1D919136" w:rsidR="003C56FB" w:rsidRPr="0058274D" w:rsidRDefault="003C56FB" w:rsidP="003C56FB">
            <w:pPr>
              <w:jc w:val="right"/>
              <w:rPr>
                <w:color w:val="000000"/>
                <w:sz w:val="18"/>
                <w:szCs w:val="18"/>
              </w:rPr>
            </w:pPr>
            <w:r w:rsidRPr="0058274D">
              <w:rPr>
                <w:rFonts w:cs="Calibri"/>
                <w:color w:val="000000"/>
                <w:sz w:val="18"/>
                <w:szCs w:val="18"/>
              </w:rPr>
              <w:t>5</w:t>
            </w:r>
            <w:r w:rsidR="007A5A49" w:rsidRPr="0058274D">
              <w:rPr>
                <w:rFonts w:cs="Calibri"/>
                <w:color w:val="000000"/>
                <w:sz w:val="18"/>
                <w:szCs w:val="18"/>
              </w:rPr>
              <w:t>4,7</w:t>
            </w:r>
          </w:p>
        </w:tc>
        <w:tc>
          <w:tcPr>
            <w:tcW w:w="683" w:type="dxa"/>
            <w:tcBorders>
              <w:top w:val="nil"/>
              <w:left w:val="nil"/>
              <w:bottom w:val="nil"/>
              <w:right w:val="nil"/>
            </w:tcBorders>
            <w:shd w:val="clear" w:color="auto" w:fill="auto"/>
            <w:noWrap/>
            <w:vAlign w:val="center"/>
            <w:hideMark/>
          </w:tcPr>
          <w:p w14:paraId="6E6D1FED" w14:textId="3F87D17B" w:rsidR="003C56FB" w:rsidRPr="0058274D" w:rsidRDefault="003C56FB" w:rsidP="003C56FB">
            <w:pPr>
              <w:jc w:val="right"/>
              <w:rPr>
                <w:color w:val="000000"/>
                <w:sz w:val="18"/>
                <w:szCs w:val="18"/>
              </w:rPr>
            </w:pPr>
            <w:r w:rsidRPr="0058274D">
              <w:rPr>
                <w:rFonts w:cs="Calibri"/>
                <w:color w:val="000000"/>
                <w:sz w:val="18"/>
                <w:szCs w:val="18"/>
              </w:rPr>
              <w:t>5</w:t>
            </w:r>
            <w:r w:rsidR="007127C4" w:rsidRPr="0058274D">
              <w:rPr>
                <w:rFonts w:cs="Calibri"/>
                <w:color w:val="000000"/>
                <w:sz w:val="18"/>
                <w:szCs w:val="18"/>
              </w:rPr>
              <w:t>3</w:t>
            </w:r>
            <w:r w:rsidRPr="0058274D">
              <w:rPr>
                <w:rFonts w:cs="Calibri"/>
                <w:color w:val="000000"/>
                <w:sz w:val="18"/>
                <w:szCs w:val="18"/>
              </w:rPr>
              <w:t>,</w:t>
            </w:r>
            <w:r w:rsidR="007127C4" w:rsidRPr="0058274D">
              <w:rPr>
                <w:rFonts w:cs="Calibri"/>
                <w:color w:val="000000"/>
                <w:sz w:val="18"/>
                <w:szCs w:val="18"/>
              </w:rPr>
              <w:t>5</w:t>
            </w:r>
          </w:p>
        </w:tc>
        <w:tc>
          <w:tcPr>
            <w:tcW w:w="683" w:type="dxa"/>
            <w:tcBorders>
              <w:top w:val="nil"/>
              <w:left w:val="nil"/>
              <w:bottom w:val="nil"/>
              <w:right w:val="nil"/>
            </w:tcBorders>
            <w:shd w:val="clear" w:color="auto" w:fill="auto"/>
            <w:noWrap/>
            <w:vAlign w:val="center"/>
            <w:hideMark/>
          </w:tcPr>
          <w:p w14:paraId="6B6EB637" w14:textId="0CCD34E1" w:rsidR="003C56FB" w:rsidRPr="0058274D" w:rsidRDefault="007127C4" w:rsidP="003C56FB">
            <w:pPr>
              <w:jc w:val="right"/>
              <w:rPr>
                <w:color w:val="000000"/>
                <w:sz w:val="18"/>
                <w:szCs w:val="18"/>
              </w:rPr>
            </w:pPr>
            <w:r w:rsidRPr="0058274D">
              <w:rPr>
                <w:rFonts w:cs="Calibri"/>
                <w:color w:val="000000"/>
                <w:sz w:val="18"/>
                <w:szCs w:val="18"/>
              </w:rPr>
              <w:t>51,9</w:t>
            </w:r>
          </w:p>
        </w:tc>
        <w:tc>
          <w:tcPr>
            <w:tcW w:w="683" w:type="dxa"/>
            <w:tcBorders>
              <w:top w:val="nil"/>
              <w:left w:val="nil"/>
              <w:bottom w:val="nil"/>
              <w:right w:val="nil"/>
            </w:tcBorders>
            <w:shd w:val="clear" w:color="auto" w:fill="auto"/>
            <w:noWrap/>
            <w:vAlign w:val="center"/>
            <w:hideMark/>
          </w:tcPr>
          <w:p w14:paraId="11514435" w14:textId="63A1BBC9" w:rsidR="003C56FB" w:rsidRPr="0058274D" w:rsidRDefault="003C56FB" w:rsidP="003C56FB">
            <w:pPr>
              <w:jc w:val="right"/>
              <w:rPr>
                <w:color w:val="000000"/>
                <w:sz w:val="18"/>
                <w:szCs w:val="18"/>
              </w:rPr>
            </w:pPr>
            <w:r w:rsidRPr="0058274D">
              <w:rPr>
                <w:rFonts w:cs="Calibri"/>
                <w:color w:val="000000"/>
                <w:sz w:val="18"/>
                <w:szCs w:val="18"/>
              </w:rPr>
              <w:t>52,</w:t>
            </w:r>
            <w:r w:rsidR="000906BA" w:rsidRPr="0058274D">
              <w:rPr>
                <w:rFonts w:cs="Calibri"/>
                <w:color w:val="000000"/>
                <w:sz w:val="18"/>
                <w:szCs w:val="18"/>
              </w:rPr>
              <w:t>0</w:t>
            </w:r>
          </w:p>
        </w:tc>
        <w:tc>
          <w:tcPr>
            <w:tcW w:w="683" w:type="dxa"/>
            <w:tcBorders>
              <w:top w:val="nil"/>
              <w:left w:val="nil"/>
              <w:bottom w:val="nil"/>
              <w:right w:val="nil"/>
            </w:tcBorders>
            <w:shd w:val="clear" w:color="auto" w:fill="auto"/>
            <w:noWrap/>
            <w:vAlign w:val="center"/>
            <w:hideMark/>
          </w:tcPr>
          <w:p w14:paraId="75B27234" w14:textId="77203736" w:rsidR="003C56FB" w:rsidRPr="0058274D" w:rsidRDefault="003C56FB" w:rsidP="003C56FB">
            <w:pPr>
              <w:jc w:val="right"/>
              <w:rPr>
                <w:color w:val="000000"/>
                <w:sz w:val="18"/>
                <w:szCs w:val="18"/>
              </w:rPr>
            </w:pPr>
            <w:r w:rsidRPr="0058274D">
              <w:rPr>
                <w:rFonts w:cs="Calibri"/>
                <w:color w:val="000000"/>
                <w:sz w:val="18"/>
                <w:szCs w:val="18"/>
              </w:rPr>
              <w:t>51,</w:t>
            </w:r>
            <w:r w:rsidR="000906BA" w:rsidRPr="0058274D">
              <w:rPr>
                <w:rFonts w:cs="Calibri"/>
                <w:color w:val="000000"/>
                <w:sz w:val="18"/>
                <w:szCs w:val="18"/>
              </w:rPr>
              <w:t>3</w:t>
            </w:r>
          </w:p>
        </w:tc>
        <w:tc>
          <w:tcPr>
            <w:tcW w:w="683" w:type="dxa"/>
            <w:tcBorders>
              <w:top w:val="nil"/>
              <w:left w:val="nil"/>
              <w:bottom w:val="nil"/>
              <w:right w:val="nil"/>
            </w:tcBorders>
            <w:shd w:val="clear" w:color="auto" w:fill="auto"/>
            <w:noWrap/>
            <w:vAlign w:val="center"/>
            <w:hideMark/>
          </w:tcPr>
          <w:p w14:paraId="59D423A2" w14:textId="25E560DA" w:rsidR="003C56FB" w:rsidRPr="0058274D" w:rsidRDefault="000906BA" w:rsidP="003C56FB">
            <w:pPr>
              <w:jc w:val="right"/>
              <w:rPr>
                <w:color w:val="000000"/>
                <w:sz w:val="18"/>
                <w:szCs w:val="18"/>
              </w:rPr>
            </w:pPr>
            <w:r w:rsidRPr="0058274D">
              <w:rPr>
                <w:rFonts w:cs="Calibri"/>
                <w:color w:val="000000"/>
                <w:sz w:val="18"/>
                <w:szCs w:val="18"/>
              </w:rPr>
              <w:t>49,</w:t>
            </w:r>
            <w:r w:rsidR="00696C23" w:rsidRPr="0058274D">
              <w:rPr>
                <w:rFonts w:cs="Calibri"/>
                <w:color w:val="000000"/>
                <w:sz w:val="18"/>
                <w:szCs w:val="18"/>
              </w:rPr>
              <w:t>5</w:t>
            </w:r>
          </w:p>
        </w:tc>
        <w:tc>
          <w:tcPr>
            <w:tcW w:w="683" w:type="dxa"/>
            <w:tcBorders>
              <w:top w:val="nil"/>
              <w:left w:val="nil"/>
              <w:bottom w:val="nil"/>
              <w:right w:val="nil"/>
            </w:tcBorders>
            <w:shd w:val="clear" w:color="auto" w:fill="auto"/>
            <w:noWrap/>
            <w:vAlign w:val="center"/>
            <w:hideMark/>
          </w:tcPr>
          <w:p w14:paraId="3A67E9AD" w14:textId="7259DDF4" w:rsidR="003C56FB" w:rsidRPr="0058274D" w:rsidRDefault="003C56FB" w:rsidP="003C56FB">
            <w:pPr>
              <w:jc w:val="right"/>
              <w:rPr>
                <w:color w:val="000000"/>
                <w:sz w:val="18"/>
                <w:szCs w:val="18"/>
              </w:rPr>
            </w:pPr>
            <w:r w:rsidRPr="0058274D">
              <w:rPr>
                <w:rFonts w:cs="Calibri"/>
                <w:color w:val="000000"/>
                <w:sz w:val="18"/>
                <w:szCs w:val="18"/>
              </w:rPr>
              <w:t>48,</w:t>
            </w:r>
            <w:r w:rsidR="00696C23" w:rsidRPr="0058274D">
              <w:rPr>
                <w:rFonts w:cs="Calibri"/>
                <w:color w:val="000000"/>
                <w:sz w:val="18"/>
                <w:szCs w:val="18"/>
              </w:rPr>
              <w:t>0</w:t>
            </w:r>
          </w:p>
        </w:tc>
        <w:tc>
          <w:tcPr>
            <w:tcW w:w="683" w:type="dxa"/>
            <w:tcBorders>
              <w:top w:val="nil"/>
              <w:left w:val="nil"/>
              <w:bottom w:val="nil"/>
              <w:right w:val="nil"/>
            </w:tcBorders>
            <w:shd w:val="clear" w:color="auto" w:fill="auto"/>
            <w:noWrap/>
            <w:vAlign w:val="center"/>
            <w:hideMark/>
          </w:tcPr>
          <w:p w14:paraId="3F7C53EF" w14:textId="693626FA" w:rsidR="003C56FB" w:rsidRPr="0058274D" w:rsidRDefault="00F00F49" w:rsidP="003C56FB">
            <w:pPr>
              <w:jc w:val="right"/>
              <w:rPr>
                <w:color w:val="000000"/>
                <w:sz w:val="18"/>
                <w:szCs w:val="18"/>
              </w:rPr>
            </w:pPr>
            <w:r w:rsidRPr="0058274D">
              <w:rPr>
                <w:rFonts w:cs="Calibri"/>
                <w:color w:val="000000"/>
                <w:sz w:val="18"/>
                <w:szCs w:val="18"/>
              </w:rPr>
              <w:t>62</w:t>
            </w:r>
            <w:r w:rsidR="003C56FB" w:rsidRPr="0058274D">
              <w:rPr>
                <w:rFonts w:cs="Calibri"/>
                <w:color w:val="000000"/>
                <w:sz w:val="18"/>
                <w:szCs w:val="18"/>
              </w:rPr>
              <w:t>,5</w:t>
            </w:r>
          </w:p>
        </w:tc>
        <w:tc>
          <w:tcPr>
            <w:tcW w:w="683" w:type="dxa"/>
            <w:tcBorders>
              <w:top w:val="nil"/>
              <w:left w:val="nil"/>
              <w:bottom w:val="nil"/>
              <w:right w:val="nil"/>
            </w:tcBorders>
            <w:vAlign w:val="center"/>
          </w:tcPr>
          <w:p w14:paraId="7B0AB43D" w14:textId="56ACA119" w:rsidR="003C56FB" w:rsidRPr="0058274D" w:rsidRDefault="00F00F49" w:rsidP="003C56FB">
            <w:pPr>
              <w:jc w:val="right"/>
              <w:rPr>
                <w:color w:val="000000"/>
                <w:sz w:val="18"/>
                <w:szCs w:val="18"/>
              </w:rPr>
            </w:pPr>
            <w:r w:rsidRPr="0058274D">
              <w:rPr>
                <w:rFonts w:cs="Calibri"/>
                <w:color w:val="000000"/>
                <w:sz w:val="18"/>
                <w:szCs w:val="18"/>
              </w:rPr>
              <w:t>63,2</w:t>
            </w:r>
          </w:p>
        </w:tc>
        <w:tc>
          <w:tcPr>
            <w:tcW w:w="683" w:type="dxa"/>
            <w:tcBorders>
              <w:top w:val="nil"/>
              <w:left w:val="nil"/>
              <w:bottom w:val="nil"/>
              <w:right w:val="nil"/>
            </w:tcBorders>
            <w:shd w:val="clear" w:color="auto" w:fill="auto"/>
            <w:noWrap/>
            <w:vAlign w:val="center"/>
            <w:hideMark/>
          </w:tcPr>
          <w:p w14:paraId="1FACD99C" w14:textId="7F244508" w:rsidR="003C56FB" w:rsidRPr="0058274D" w:rsidRDefault="00F00F49" w:rsidP="003C56FB">
            <w:pPr>
              <w:jc w:val="right"/>
              <w:rPr>
                <w:color w:val="000000"/>
                <w:sz w:val="18"/>
                <w:szCs w:val="18"/>
              </w:rPr>
            </w:pPr>
            <w:r w:rsidRPr="0058274D">
              <w:rPr>
                <w:rFonts w:cs="Calibri"/>
                <w:color w:val="000000"/>
                <w:sz w:val="18"/>
                <w:szCs w:val="18"/>
              </w:rPr>
              <w:t>66,4</w:t>
            </w:r>
          </w:p>
        </w:tc>
        <w:tc>
          <w:tcPr>
            <w:tcW w:w="683" w:type="dxa"/>
            <w:tcBorders>
              <w:top w:val="nil"/>
              <w:left w:val="nil"/>
              <w:bottom w:val="nil"/>
              <w:right w:val="nil"/>
            </w:tcBorders>
            <w:shd w:val="clear" w:color="auto" w:fill="auto"/>
            <w:noWrap/>
            <w:vAlign w:val="center"/>
            <w:hideMark/>
          </w:tcPr>
          <w:p w14:paraId="4524EAB9" w14:textId="72CC0B2D" w:rsidR="003C56FB" w:rsidRPr="0058274D" w:rsidRDefault="00F00F49" w:rsidP="003C56FB">
            <w:pPr>
              <w:jc w:val="right"/>
              <w:rPr>
                <w:color w:val="000000"/>
                <w:sz w:val="18"/>
                <w:szCs w:val="18"/>
              </w:rPr>
            </w:pPr>
            <w:r w:rsidRPr="0058274D">
              <w:rPr>
                <w:rFonts w:cs="Calibri"/>
                <w:color w:val="000000"/>
                <w:sz w:val="18"/>
                <w:szCs w:val="18"/>
              </w:rPr>
              <w:t>69,1</w:t>
            </w:r>
          </w:p>
        </w:tc>
      </w:tr>
      <w:tr w:rsidR="003C56FB" w:rsidRPr="00B81300" w14:paraId="1FF8D254" w14:textId="77777777" w:rsidTr="0070280D">
        <w:trPr>
          <w:trHeight w:hRule="exact" w:val="266"/>
        </w:trPr>
        <w:tc>
          <w:tcPr>
            <w:tcW w:w="1560" w:type="dxa"/>
            <w:tcBorders>
              <w:top w:val="nil"/>
              <w:left w:val="nil"/>
              <w:bottom w:val="nil"/>
              <w:right w:val="nil"/>
            </w:tcBorders>
            <w:shd w:val="clear" w:color="auto" w:fill="auto"/>
            <w:noWrap/>
            <w:vAlign w:val="center"/>
            <w:hideMark/>
          </w:tcPr>
          <w:p w14:paraId="1D11596B" w14:textId="65FA758F" w:rsidR="003C56FB" w:rsidRPr="0058274D" w:rsidRDefault="003C56FB" w:rsidP="003C56FB">
            <w:pPr>
              <w:rPr>
                <w:color w:val="000000"/>
                <w:sz w:val="18"/>
                <w:szCs w:val="18"/>
              </w:rPr>
            </w:pPr>
            <w:r w:rsidRPr="0058274D">
              <w:rPr>
                <w:color w:val="000000"/>
                <w:sz w:val="18"/>
                <w:szCs w:val="18"/>
              </w:rPr>
              <w:t>5. Likv</w:t>
            </w:r>
            <w:r w:rsidR="0070280D">
              <w:rPr>
                <w:color w:val="000000"/>
                <w:sz w:val="18"/>
                <w:szCs w:val="18"/>
              </w:rPr>
              <w:t>.</w:t>
            </w:r>
            <w:r w:rsidRPr="0058274D">
              <w:rPr>
                <w:color w:val="000000"/>
                <w:sz w:val="18"/>
                <w:szCs w:val="18"/>
              </w:rPr>
              <w:t xml:space="preserve"> fin.aktíva</w:t>
            </w:r>
          </w:p>
        </w:tc>
        <w:tc>
          <w:tcPr>
            <w:tcW w:w="682" w:type="dxa"/>
            <w:tcBorders>
              <w:top w:val="nil"/>
              <w:left w:val="nil"/>
              <w:bottom w:val="nil"/>
              <w:right w:val="nil"/>
            </w:tcBorders>
            <w:shd w:val="clear" w:color="auto" w:fill="auto"/>
            <w:noWrap/>
            <w:vAlign w:val="center"/>
            <w:hideMark/>
          </w:tcPr>
          <w:p w14:paraId="3DA00D9A" w14:textId="17B72A33" w:rsidR="003C56FB" w:rsidRPr="0058274D" w:rsidRDefault="003C56FB" w:rsidP="003C56FB">
            <w:pPr>
              <w:jc w:val="right"/>
              <w:rPr>
                <w:color w:val="000000"/>
                <w:sz w:val="18"/>
                <w:szCs w:val="18"/>
              </w:rPr>
            </w:pPr>
            <w:r w:rsidRPr="0058274D">
              <w:rPr>
                <w:rFonts w:cs="Calibri"/>
                <w:color w:val="000000"/>
                <w:sz w:val="18"/>
                <w:szCs w:val="18"/>
              </w:rPr>
              <w:t>6,</w:t>
            </w:r>
            <w:r w:rsidR="005640BE" w:rsidRPr="0058274D">
              <w:rPr>
                <w:rFonts w:cs="Calibri"/>
                <w:color w:val="000000"/>
                <w:sz w:val="18"/>
                <w:szCs w:val="18"/>
              </w:rPr>
              <w:t>9</w:t>
            </w:r>
          </w:p>
        </w:tc>
        <w:tc>
          <w:tcPr>
            <w:tcW w:w="683" w:type="dxa"/>
            <w:tcBorders>
              <w:top w:val="nil"/>
              <w:left w:val="nil"/>
              <w:bottom w:val="nil"/>
              <w:right w:val="nil"/>
            </w:tcBorders>
            <w:shd w:val="clear" w:color="auto" w:fill="auto"/>
            <w:noWrap/>
            <w:vAlign w:val="center"/>
            <w:hideMark/>
          </w:tcPr>
          <w:p w14:paraId="40369B78" w14:textId="31331CC4" w:rsidR="003C56FB" w:rsidRPr="0058274D" w:rsidRDefault="00857A58" w:rsidP="003C56FB">
            <w:pPr>
              <w:jc w:val="right"/>
              <w:rPr>
                <w:color w:val="000000"/>
                <w:sz w:val="18"/>
                <w:szCs w:val="18"/>
              </w:rPr>
            </w:pPr>
            <w:r w:rsidRPr="0058274D">
              <w:rPr>
                <w:rFonts w:cs="Calibri"/>
                <w:color w:val="000000"/>
                <w:sz w:val="18"/>
                <w:szCs w:val="18"/>
              </w:rPr>
              <w:t>4,0</w:t>
            </w:r>
          </w:p>
        </w:tc>
        <w:tc>
          <w:tcPr>
            <w:tcW w:w="683" w:type="dxa"/>
            <w:tcBorders>
              <w:top w:val="nil"/>
              <w:left w:val="nil"/>
              <w:bottom w:val="nil"/>
              <w:right w:val="nil"/>
            </w:tcBorders>
            <w:shd w:val="clear" w:color="auto" w:fill="auto"/>
            <w:noWrap/>
            <w:vAlign w:val="center"/>
            <w:hideMark/>
          </w:tcPr>
          <w:p w14:paraId="09F73239" w14:textId="74EAD182" w:rsidR="003C56FB" w:rsidRPr="0058274D" w:rsidRDefault="00EE5411" w:rsidP="003C56FB">
            <w:pPr>
              <w:jc w:val="right"/>
              <w:rPr>
                <w:color w:val="000000"/>
                <w:sz w:val="18"/>
                <w:szCs w:val="18"/>
              </w:rPr>
            </w:pPr>
            <w:r w:rsidRPr="0058274D">
              <w:rPr>
                <w:rFonts w:cs="Calibri"/>
                <w:color w:val="000000"/>
                <w:sz w:val="18"/>
                <w:szCs w:val="18"/>
              </w:rPr>
              <w:t>4,4</w:t>
            </w:r>
          </w:p>
        </w:tc>
        <w:tc>
          <w:tcPr>
            <w:tcW w:w="683" w:type="dxa"/>
            <w:tcBorders>
              <w:top w:val="nil"/>
              <w:left w:val="nil"/>
              <w:bottom w:val="nil"/>
              <w:right w:val="nil"/>
            </w:tcBorders>
            <w:shd w:val="clear" w:color="auto" w:fill="auto"/>
            <w:noWrap/>
            <w:vAlign w:val="center"/>
            <w:hideMark/>
          </w:tcPr>
          <w:p w14:paraId="6B4E7033" w14:textId="3C471E86" w:rsidR="003C56FB" w:rsidRPr="0058274D" w:rsidRDefault="003C56FB" w:rsidP="003C56FB">
            <w:pPr>
              <w:jc w:val="right"/>
              <w:rPr>
                <w:color w:val="000000"/>
                <w:sz w:val="18"/>
                <w:szCs w:val="18"/>
              </w:rPr>
            </w:pPr>
            <w:r w:rsidRPr="0058274D">
              <w:rPr>
                <w:rFonts w:cs="Calibri"/>
                <w:color w:val="000000"/>
                <w:sz w:val="18"/>
                <w:szCs w:val="18"/>
              </w:rPr>
              <w:t>5</w:t>
            </w:r>
            <w:r w:rsidR="00EE5411" w:rsidRPr="0058274D">
              <w:rPr>
                <w:rFonts w:cs="Calibri"/>
                <w:color w:val="000000"/>
                <w:sz w:val="18"/>
                <w:szCs w:val="18"/>
              </w:rPr>
              <w:t>,2</w:t>
            </w:r>
          </w:p>
        </w:tc>
        <w:tc>
          <w:tcPr>
            <w:tcW w:w="683" w:type="dxa"/>
            <w:tcBorders>
              <w:top w:val="nil"/>
              <w:left w:val="nil"/>
              <w:bottom w:val="nil"/>
              <w:right w:val="nil"/>
            </w:tcBorders>
            <w:shd w:val="clear" w:color="auto" w:fill="auto"/>
            <w:noWrap/>
            <w:vAlign w:val="center"/>
            <w:hideMark/>
          </w:tcPr>
          <w:p w14:paraId="3B3336E9" w14:textId="69335AAB" w:rsidR="003C56FB" w:rsidRPr="0058274D" w:rsidRDefault="003C56FB" w:rsidP="003C56FB">
            <w:pPr>
              <w:jc w:val="right"/>
              <w:rPr>
                <w:color w:val="000000"/>
                <w:sz w:val="18"/>
                <w:szCs w:val="18"/>
              </w:rPr>
            </w:pPr>
            <w:r w:rsidRPr="0058274D">
              <w:rPr>
                <w:rFonts w:cs="Calibri"/>
                <w:color w:val="000000"/>
                <w:sz w:val="18"/>
                <w:szCs w:val="18"/>
              </w:rPr>
              <w:t>5,</w:t>
            </w:r>
            <w:r w:rsidR="00EE5411" w:rsidRPr="0058274D">
              <w:rPr>
                <w:rFonts w:cs="Calibri"/>
                <w:color w:val="000000"/>
                <w:sz w:val="18"/>
                <w:szCs w:val="18"/>
              </w:rPr>
              <w:t>7</w:t>
            </w:r>
          </w:p>
        </w:tc>
        <w:tc>
          <w:tcPr>
            <w:tcW w:w="683" w:type="dxa"/>
            <w:tcBorders>
              <w:top w:val="nil"/>
              <w:left w:val="nil"/>
              <w:bottom w:val="nil"/>
              <w:right w:val="nil"/>
            </w:tcBorders>
            <w:shd w:val="clear" w:color="auto" w:fill="auto"/>
            <w:noWrap/>
            <w:vAlign w:val="center"/>
            <w:hideMark/>
          </w:tcPr>
          <w:p w14:paraId="36CE4F27" w14:textId="00E6C9A8" w:rsidR="003C56FB" w:rsidRPr="0058274D" w:rsidRDefault="003C56FB" w:rsidP="003C56FB">
            <w:pPr>
              <w:jc w:val="right"/>
              <w:rPr>
                <w:color w:val="000000"/>
                <w:sz w:val="18"/>
                <w:szCs w:val="18"/>
              </w:rPr>
            </w:pPr>
            <w:r w:rsidRPr="0058274D">
              <w:rPr>
                <w:rFonts w:cs="Calibri"/>
                <w:color w:val="000000"/>
                <w:sz w:val="18"/>
                <w:szCs w:val="18"/>
              </w:rPr>
              <w:t>6</w:t>
            </w:r>
            <w:r w:rsidR="00EE5411" w:rsidRPr="0058274D">
              <w:rPr>
                <w:rFonts w:cs="Calibri"/>
                <w:color w:val="000000"/>
                <w:sz w:val="18"/>
                <w:szCs w:val="18"/>
              </w:rPr>
              <w:t>,0</w:t>
            </w:r>
          </w:p>
        </w:tc>
        <w:tc>
          <w:tcPr>
            <w:tcW w:w="683" w:type="dxa"/>
            <w:tcBorders>
              <w:top w:val="nil"/>
              <w:left w:val="nil"/>
              <w:bottom w:val="nil"/>
              <w:right w:val="nil"/>
            </w:tcBorders>
            <w:shd w:val="clear" w:color="auto" w:fill="auto"/>
            <w:noWrap/>
            <w:vAlign w:val="center"/>
            <w:hideMark/>
          </w:tcPr>
          <w:p w14:paraId="23BF6216" w14:textId="35CE2994" w:rsidR="003C56FB" w:rsidRPr="0058274D" w:rsidRDefault="00A37668" w:rsidP="003C56FB">
            <w:pPr>
              <w:jc w:val="right"/>
              <w:rPr>
                <w:color w:val="000000"/>
                <w:sz w:val="18"/>
                <w:szCs w:val="18"/>
              </w:rPr>
            </w:pPr>
            <w:r w:rsidRPr="0058274D">
              <w:rPr>
                <w:rFonts w:cs="Calibri"/>
                <w:color w:val="000000"/>
                <w:sz w:val="18"/>
                <w:szCs w:val="18"/>
              </w:rPr>
              <w:t>4,8</w:t>
            </w:r>
          </w:p>
        </w:tc>
        <w:tc>
          <w:tcPr>
            <w:tcW w:w="683" w:type="dxa"/>
            <w:tcBorders>
              <w:top w:val="nil"/>
              <w:left w:val="nil"/>
              <w:bottom w:val="nil"/>
              <w:right w:val="nil"/>
            </w:tcBorders>
            <w:shd w:val="clear" w:color="auto" w:fill="auto"/>
            <w:noWrap/>
            <w:vAlign w:val="center"/>
            <w:hideMark/>
          </w:tcPr>
          <w:p w14:paraId="0022B472" w14:textId="678D0FA3" w:rsidR="003C56FB" w:rsidRPr="0058274D" w:rsidRDefault="00A37668" w:rsidP="003C56FB">
            <w:pPr>
              <w:jc w:val="right"/>
              <w:rPr>
                <w:color w:val="000000"/>
                <w:sz w:val="18"/>
                <w:szCs w:val="18"/>
              </w:rPr>
            </w:pPr>
            <w:r w:rsidRPr="0058274D">
              <w:rPr>
                <w:rFonts w:cs="Calibri"/>
                <w:color w:val="000000"/>
                <w:sz w:val="18"/>
                <w:szCs w:val="18"/>
              </w:rPr>
              <w:t>7,1</w:t>
            </w:r>
          </w:p>
        </w:tc>
        <w:tc>
          <w:tcPr>
            <w:tcW w:w="683" w:type="dxa"/>
            <w:tcBorders>
              <w:top w:val="nil"/>
              <w:left w:val="nil"/>
              <w:bottom w:val="nil"/>
              <w:right w:val="nil"/>
            </w:tcBorders>
            <w:vAlign w:val="center"/>
          </w:tcPr>
          <w:p w14:paraId="10C782DB" w14:textId="65B38DE4" w:rsidR="003C56FB" w:rsidRPr="0058274D" w:rsidRDefault="00A37668" w:rsidP="003C56FB">
            <w:pPr>
              <w:jc w:val="right"/>
              <w:rPr>
                <w:color w:val="000000"/>
                <w:sz w:val="18"/>
                <w:szCs w:val="18"/>
              </w:rPr>
            </w:pPr>
            <w:r w:rsidRPr="0058274D">
              <w:rPr>
                <w:rFonts w:cs="Calibri"/>
                <w:color w:val="000000"/>
                <w:sz w:val="18"/>
                <w:szCs w:val="18"/>
              </w:rPr>
              <w:t>5,2</w:t>
            </w:r>
          </w:p>
        </w:tc>
        <w:tc>
          <w:tcPr>
            <w:tcW w:w="683" w:type="dxa"/>
            <w:tcBorders>
              <w:top w:val="nil"/>
              <w:left w:val="nil"/>
              <w:bottom w:val="nil"/>
              <w:right w:val="nil"/>
            </w:tcBorders>
            <w:shd w:val="clear" w:color="auto" w:fill="auto"/>
            <w:noWrap/>
            <w:vAlign w:val="center"/>
            <w:hideMark/>
          </w:tcPr>
          <w:p w14:paraId="4E7133B5" w14:textId="5F211F7A" w:rsidR="003C56FB" w:rsidRPr="0058274D" w:rsidRDefault="003C56FB" w:rsidP="003C56FB">
            <w:pPr>
              <w:jc w:val="right"/>
              <w:rPr>
                <w:color w:val="000000"/>
                <w:sz w:val="18"/>
                <w:szCs w:val="18"/>
              </w:rPr>
            </w:pPr>
            <w:r w:rsidRPr="0058274D">
              <w:rPr>
                <w:rFonts w:cs="Calibri"/>
                <w:color w:val="000000"/>
                <w:sz w:val="18"/>
                <w:szCs w:val="18"/>
              </w:rPr>
              <w:t>4</w:t>
            </w:r>
            <w:r w:rsidR="00A37668" w:rsidRPr="0058274D">
              <w:rPr>
                <w:rFonts w:cs="Calibri"/>
                <w:color w:val="000000"/>
                <w:sz w:val="18"/>
                <w:szCs w:val="18"/>
              </w:rPr>
              <w:t>,0</w:t>
            </w:r>
          </w:p>
        </w:tc>
        <w:tc>
          <w:tcPr>
            <w:tcW w:w="683" w:type="dxa"/>
            <w:tcBorders>
              <w:top w:val="nil"/>
              <w:left w:val="nil"/>
              <w:bottom w:val="nil"/>
              <w:right w:val="nil"/>
            </w:tcBorders>
            <w:shd w:val="clear" w:color="auto" w:fill="auto"/>
            <w:noWrap/>
            <w:vAlign w:val="center"/>
            <w:hideMark/>
          </w:tcPr>
          <w:p w14:paraId="67D98CBB" w14:textId="7690B96F" w:rsidR="003C56FB" w:rsidRPr="0058274D" w:rsidRDefault="00A37668" w:rsidP="003C56FB">
            <w:pPr>
              <w:jc w:val="right"/>
              <w:rPr>
                <w:color w:val="000000"/>
                <w:sz w:val="18"/>
                <w:szCs w:val="18"/>
              </w:rPr>
            </w:pPr>
            <w:r w:rsidRPr="0058274D">
              <w:rPr>
                <w:rFonts w:cs="Calibri"/>
                <w:color w:val="000000"/>
                <w:sz w:val="18"/>
                <w:szCs w:val="18"/>
              </w:rPr>
              <w:t>2,8</w:t>
            </w:r>
          </w:p>
        </w:tc>
      </w:tr>
      <w:tr w:rsidR="003C56FB" w:rsidRPr="00B81300" w14:paraId="7537FF4E" w14:textId="77777777" w:rsidTr="0070280D">
        <w:trPr>
          <w:trHeight w:hRule="exact" w:val="266"/>
        </w:trPr>
        <w:tc>
          <w:tcPr>
            <w:tcW w:w="1560" w:type="dxa"/>
            <w:tcBorders>
              <w:top w:val="nil"/>
              <w:left w:val="nil"/>
              <w:bottom w:val="single" w:sz="4" w:space="0" w:color="13B5EA"/>
              <w:right w:val="nil"/>
            </w:tcBorders>
            <w:shd w:val="clear" w:color="auto" w:fill="auto"/>
            <w:noWrap/>
            <w:vAlign w:val="center"/>
            <w:hideMark/>
          </w:tcPr>
          <w:p w14:paraId="27A9A5AD" w14:textId="61D652B0" w:rsidR="003C56FB" w:rsidRPr="0058274D" w:rsidRDefault="003C56FB" w:rsidP="003C56FB">
            <w:pPr>
              <w:rPr>
                <w:color w:val="000000"/>
                <w:sz w:val="18"/>
                <w:szCs w:val="18"/>
              </w:rPr>
            </w:pPr>
            <w:r w:rsidRPr="0058274D">
              <w:rPr>
                <w:color w:val="000000"/>
                <w:sz w:val="18"/>
                <w:szCs w:val="18"/>
              </w:rPr>
              <w:t>6. Čistý dlh (4-5)</w:t>
            </w:r>
          </w:p>
        </w:tc>
        <w:tc>
          <w:tcPr>
            <w:tcW w:w="682" w:type="dxa"/>
            <w:tcBorders>
              <w:top w:val="nil"/>
              <w:left w:val="nil"/>
              <w:bottom w:val="single" w:sz="4" w:space="0" w:color="13B5EA"/>
              <w:right w:val="nil"/>
            </w:tcBorders>
            <w:shd w:val="clear" w:color="auto" w:fill="auto"/>
            <w:noWrap/>
            <w:vAlign w:val="center"/>
            <w:hideMark/>
          </w:tcPr>
          <w:p w14:paraId="3245AA6D" w14:textId="080DA228" w:rsidR="003C56FB" w:rsidRPr="0058274D" w:rsidRDefault="003C56FB" w:rsidP="003C56FB">
            <w:pPr>
              <w:jc w:val="right"/>
              <w:rPr>
                <w:color w:val="000000"/>
                <w:sz w:val="18"/>
                <w:szCs w:val="18"/>
              </w:rPr>
            </w:pPr>
            <w:r w:rsidRPr="0058274D">
              <w:rPr>
                <w:rFonts w:cs="Calibri"/>
                <w:color w:val="000000"/>
                <w:sz w:val="18"/>
                <w:szCs w:val="18"/>
              </w:rPr>
              <w:t>4</w:t>
            </w:r>
            <w:r w:rsidR="00DA5C6C" w:rsidRPr="0058274D">
              <w:rPr>
                <w:rFonts w:cs="Calibri"/>
                <w:color w:val="000000"/>
                <w:sz w:val="18"/>
                <w:szCs w:val="18"/>
              </w:rPr>
              <w:t>7</w:t>
            </w:r>
            <w:r w:rsidRPr="0058274D">
              <w:rPr>
                <w:rFonts w:cs="Calibri"/>
                <w:color w:val="000000"/>
                <w:sz w:val="18"/>
                <w:szCs w:val="18"/>
              </w:rPr>
              <w:t>,</w:t>
            </w:r>
            <w:r w:rsidR="00DA5C6C" w:rsidRPr="0058274D">
              <w:rPr>
                <w:rFonts w:cs="Calibri"/>
                <w:color w:val="000000"/>
                <w:sz w:val="18"/>
                <w:szCs w:val="18"/>
              </w:rPr>
              <w:t>8</w:t>
            </w:r>
          </w:p>
        </w:tc>
        <w:tc>
          <w:tcPr>
            <w:tcW w:w="683" w:type="dxa"/>
            <w:tcBorders>
              <w:top w:val="nil"/>
              <w:left w:val="nil"/>
              <w:bottom w:val="single" w:sz="4" w:space="0" w:color="13B5EA"/>
              <w:right w:val="nil"/>
            </w:tcBorders>
            <w:shd w:val="clear" w:color="auto" w:fill="auto"/>
            <w:noWrap/>
            <w:vAlign w:val="center"/>
            <w:hideMark/>
          </w:tcPr>
          <w:p w14:paraId="35A7E380" w14:textId="7B4E5E4A" w:rsidR="003C56FB" w:rsidRPr="0058274D" w:rsidRDefault="003C56FB" w:rsidP="003C56FB">
            <w:pPr>
              <w:jc w:val="right"/>
              <w:rPr>
                <w:color w:val="000000"/>
                <w:sz w:val="18"/>
                <w:szCs w:val="18"/>
              </w:rPr>
            </w:pPr>
            <w:r w:rsidRPr="0058274D">
              <w:rPr>
                <w:rFonts w:cs="Calibri"/>
                <w:color w:val="000000"/>
                <w:sz w:val="18"/>
                <w:szCs w:val="18"/>
              </w:rPr>
              <w:t>4</w:t>
            </w:r>
            <w:r w:rsidR="00DA5C6C" w:rsidRPr="0058274D">
              <w:rPr>
                <w:rFonts w:cs="Calibri"/>
                <w:color w:val="000000"/>
                <w:sz w:val="18"/>
                <w:szCs w:val="18"/>
              </w:rPr>
              <w:t>9</w:t>
            </w:r>
            <w:r w:rsidRPr="0058274D">
              <w:rPr>
                <w:rFonts w:cs="Calibri"/>
                <w:color w:val="000000"/>
                <w:sz w:val="18"/>
                <w:szCs w:val="18"/>
              </w:rPr>
              <w:t>,</w:t>
            </w:r>
            <w:r w:rsidR="00DA5C6C" w:rsidRPr="0058274D">
              <w:rPr>
                <w:rFonts w:cs="Calibri"/>
                <w:color w:val="000000"/>
                <w:sz w:val="18"/>
                <w:szCs w:val="18"/>
              </w:rPr>
              <w:t>5</w:t>
            </w:r>
          </w:p>
        </w:tc>
        <w:tc>
          <w:tcPr>
            <w:tcW w:w="683" w:type="dxa"/>
            <w:tcBorders>
              <w:top w:val="nil"/>
              <w:left w:val="nil"/>
              <w:bottom w:val="single" w:sz="4" w:space="0" w:color="13B5EA"/>
              <w:right w:val="nil"/>
            </w:tcBorders>
            <w:shd w:val="clear" w:color="auto" w:fill="auto"/>
            <w:noWrap/>
            <w:vAlign w:val="center"/>
            <w:hideMark/>
          </w:tcPr>
          <w:p w14:paraId="04CF7F6B" w14:textId="57B98E04" w:rsidR="003C56FB" w:rsidRPr="0058274D" w:rsidRDefault="003C56FB" w:rsidP="003C56FB">
            <w:pPr>
              <w:jc w:val="right"/>
              <w:rPr>
                <w:color w:val="000000"/>
                <w:sz w:val="18"/>
                <w:szCs w:val="18"/>
              </w:rPr>
            </w:pPr>
            <w:r w:rsidRPr="0058274D">
              <w:rPr>
                <w:rFonts w:cs="Calibri"/>
                <w:color w:val="000000"/>
                <w:sz w:val="18"/>
                <w:szCs w:val="18"/>
              </w:rPr>
              <w:t>47</w:t>
            </w:r>
            <w:r w:rsidR="006C2E9C" w:rsidRPr="0058274D">
              <w:rPr>
                <w:rFonts w:cs="Calibri"/>
                <w:color w:val="000000"/>
                <w:sz w:val="18"/>
                <w:szCs w:val="18"/>
              </w:rPr>
              <w:t>,5</w:t>
            </w:r>
          </w:p>
        </w:tc>
        <w:tc>
          <w:tcPr>
            <w:tcW w:w="683" w:type="dxa"/>
            <w:tcBorders>
              <w:top w:val="nil"/>
              <w:left w:val="nil"/>
              <w:bottom w:val="single" w:sz="4" w:space="0" w:color="13B5EA"/>
              <w:right w:val="nil"/>
            </w:tcBorders>
            <w:shd w:val="clear" w:color="auto" w:fill="auto"/>
            <w:noWrap/>
            <w:vAlign w:val="center"/>
            <w:hideMark/>
          </w:tcPr>
          <w:p w14:paraId="2757DE26" w14:textId="195D3CE6" w:rsidR="003C56FB" w:rsidRPr="0058274D" w:rsidRDefault="006C2E9C" w:rsidP="003C56FB">
            <w:pPr>
              <w:jc w:val="right"/>
              <w:rPr>
                <w:color w:val="000000"/>
                <w:sz w:val="18"/>
                <w:szCs w:val="18"/>
              </w:rPr>
            </w:pPr>
            <w:r w:rsidRPr="0058274D">
              <w:rPr>
                <w:rFonts w:cs="Calibri"/>
                <w:color w:val="000000"/>
                <w:sz w:val="18"/>
                <w:szCs w:val="18"/>
              </w:rPr>
              <w:t>46</w:t>
            </w:r>
            <w:r w:rsidR="00D556E0" w:rsidRPr="0058274D">
              <w:rPr>
                <w:rFonts w:cs="Calibri"/>
                <w:color w:val="000000"/>
                <w:sz w:val="18"/>
                <w:szCs w:val="18"/>
              </w:rPr>
              <w:t>,9</w:t>
            </w:r>
          </w:p>
        </w:tc>
        <w:tc>
          <w:tcPr>
            <w:tcW w:w="683" w:type="dxa"/>
            <w:tcBorders>
              <w:top w:val="nil"/>
              <w:left w:val="nil"/>
              <w:bottom w:val="single" w:sz="4" w:space="0" w:color="13B5EA"/>
              <w:right w:val="nil"/>
            </w:tcBorders>
            <w:shd w:val="clear" w:color="auto" w:fill="auto"/>
            <w:noWrap/>
            <w:vAlign w:val="center"/>
            <w:hideMark/>
          </w:tcPr>
          <w:p w14:paraId="70F22D12" w14:textId="555526A5" w:rsidR="003C56FB" w:rsidRPr="0058274D" w:rsidRDefault="00FB68E0" w:rsidP="003C56FB">
            <w:pPr>
              <w:jc w:val="right"/>
              <w:rPr>
                <w:color w:val="000000"/>
                <w:sz w:val="18"/>
                <w:szCs w:val="18"/>
              </w:rPr>
            </w:pPr>
            <w:r w:rsidRPr="0058274D">
              <w:rPr>
                <w:rFonts w:cs="Calibri"/>
                <w:color w:val="000000"/>
                <w:sz w:val="18"/>
                <w:szCs w:val="18"/>
              </w:rPr>
              <w:t>45,7</w:t>
            </w:r>
          </w:p>
        </w:tc>
        <w:tc>
          <w:tcPr>
            <w:tcW w:w="683" w:type="dxa"/>
            <w:tcBorders>
              <w:top w:val="nil"/>
              <w:left w:val="nil"/>
              <w:bottom w:val="single" w:sz="4" w:space="0" w:color="13B5EA"/>
              <w:right w:val="nil"/>
            </w:tcBorders>
            <w:shd w:val="clear" w:color="auto" w:fill="auto"/>
            <w:noWrap/>
            <w:vAlign w:val="center"/>
            <w:hideMark/>
          </w:tcPr>
          <w:p w14:paraId="15B80081" w14:textId="547CD6A6" w:rsidR="003C56FB" w:rsidRPr="0058274D" w:rsidRDefault="00FB68E0" w:rsidP="003C56FB">
            <w:pPr>
              <w:jc w:val="right"/>
              <w:rPr>
                <w:color w:val="000000"/>
                <w:sz w:val="18"/>
                <w:szCs w:val="18"/>
              </w:rPr>
            </w:pPr>
            <w:r w:rsidRPr="0058274D">
              <w:rPr>
                <w:rFonts w:cs="Calibri"/>
                <w:color w:val="000000"/>
                <w:sz w:val="18"/>
                <w:szCs w:val="18"/>
              </w:rPr>
              <w:t>43,</w:t>
            </w:r>
            <w:r w:rsidR="00A362A6">
              <w:rPr>
                <w:rFonts w:cs="Calibri"/>
                <w:color w:val="000000"/>
                <w:sz w:val="18"/>
                <w:szCs w:val="18"/>
              </w:rPr>
              <w:t>5</w:t>
            </w:r>
          </w:p>
        </w:tc>
        <w:tc>
          <w:tcPr>
            <w:tcW w:w="683" w:type="dxa"/>
            <w:tcBorders>
              <w:top w:val="nil"/>
              <w:left w:val="nil"/>
              <w:bottom w:val="single" w:sz="4" w:space="0" w:color="13B5EA"/>
              <w:right w:val="nil"/>
            </w:tcBorders>
            <w:shd w:val="clear" w:color="auto" w:fill="auto"/>
            <w:noWrap/>
            <w:vAlign w:val="center"/>
            <w:hideMark/>
          </w:tcPr>
          <w:p w14:paraId="4EF81D2B" w14:textId="0ACE8B5C" w:rsidR="003C56FB" w:rsidRPr="0058274D" w:rsidRDefault="003C56FB" w:rsidP="003C56FB">
            <w:pPr>
              <w:jc w:val="right"/>
              <w:rPr>
                <w:color w:val="000000"/>
                <w:sz w:val="18"/>
                <w:szCs w:val="18"/>
              </w:rPr>
            </w:pPr>
            <w:r w:rsidRPr="0058274D">
              <w:rPr>
                <w:rFonts w:cs="Calibri"/>
                <w:color w:val="000000"/>
                <w:sz w:val="18"/>
                <w:szCs w:val="18"/>
              </w:rPr>
              <w:t>43,</w:t>
            </w:r>
            <w:r w:rsidR="00FB68E0" w:rsidRPr="0058274D">
              <w:rPr>
                <w:rFonts w:cs="Calibri"/>
                <w:color w:val="000000"/>
                <w:sz w:val="18"/>
                <w:szCs w:val="18"/>
              </w:rPr>
              <w:t>2</w:t>
            </w:r>
          </w:p>
        </w:tc>
        <w:tc>
          <w:tcPr>
            <w:tcW w:w="683" w:type="dxa"/>
            <w:tcBorders>
              <w:top w:val="nil"/>
              <w:left w:val="nil"/>
              <w:bottom w:val="single" w:sz="4" w:space="0" w:color="13B5EA"/>
              <w:right w:val="nil"/>
            </w:tcBorders>
            <w:shd w:val="clear" w:color="auto" w:fill="auto"/>
            <w:noWrap/>
            <w:vAlign w:val="center"/>
            <w:hideMark/>
          </w:tcPr>
          <w:p w14:paraId="1F83DF54" w14:textId="1AADBCCA" w:rsidR="003C56FB" w:rsidRPr="0058274D" w:rsidRDefault="00FB68E0" w:rsidP="003C56FB">
            <w:pPr>
              <w:jc w:val="right"/>
              <w:rPr>
                <w:color w:val="000000"/>
                <w:sz w:val="18"/>
                <w:szCs w:val="18"/>
              </w:rPr>
            </w:pPr>
            <w:r w:rsidRPr="0058274D">
              <w:rPr>
                <w:rFonts w:cs="Calibri"/>
                <w:color w:val="000000"/>
                <w:sz w:val="18"/>
                <w:szCs w:val="18"/>
              </w:rPr>
              <w:t>55</w:t>
            </w:r>
            <w:r w:rsidR="003C56FB" w:rsidRPr="0058274D">
              <w:rPr>
                <w:rFonts w:cs="Calibri"/>
                <w:color w:val="000000"/>
                <w:sz w:val="18"/>
                <w:szCs w:val="18"/>
              </w:rPr>
              <w:t>,3</w:t>
            </w:r>
          </w:p>
        </w:tc>
        <w:tc>
          <w:tcPr>
            <w:tcW w:w="683" w:type="dxa"/>
            <w:tcBorders>
              <w:top w:val="nil"/>
              <w:left w:val="nil"/>
              <w:bottom w:val="single" w:sz="4" w:space="0" w:color="13B5EA"/>
              <w:right w:val="nil"/>
            </w:tcBorders>
            <w:vAlign w:val="center"/>
          </w:tcPr>
          <w:p w14:paraId="100F931D" w14:textId="70192C31" w:rsidR="003C56FB" w:rsidRPr="0058274D" w:rsidRDefault="00FB68E0" w:rsidP="003C56FB">
            <w:pPr>
              <w:jc w:val="right"/>
              <w:rPr>
                <w:color w:val="000000"/>
                <w:sz w:val="18"/>
                <w:szCs w:val="18"/>
              </w:rPr>
            </w:pPr>
            <w:r w:rsidRPr="0058274D">
              <w:rPr>
                <w:rFonts w:cs="Calibri"/>
                <w:color w:val="000000"/>
                <w:sz w:val="18"/>
                <w:szCs w:val="18"/>
              </w:rPr>
              <w:t>58,0</w:t>
            </w:r>
          </w:p>
        </w:tc>
        <w:tc>
          <w:tcPr>
            <w:tcW w:w="683" w:type="dxa"/>
            <w:tcBorders>
              <w:top w:val="nil"/>
              <w:left w:val="nil"/>
              <w:bottom w:val="single" w:sz="4" w:space="0" w:color="13B5EA"/>
              <w:right w:val="nil"/>
            </w:tcBorders>
            <w:shd w:val="clear" w:color="auto" w:fill="auto"/>
            <w:noWrap/>
            <w:vAlign w:val="center"/>
            <w:hideMark/>
          </w:tcPr>
          <w:p w14:paraId="211B51CA" w14:textId="17D85BED" w:rsidR="003C56FB" w:rsidRPr="0058274D" w:rsidRDefault="00FB68E0" w:rsidP="003C56FB">
            <w:pPr>
              <w:jc w:val="right"/>
              <w:rPr>
                <w:color w:val="000000"/>
                <w:sz w:val="18"/>
                <w:szCs w:val="18"/>
              </w:rPr>
            </w:pPr>
            <w:r w:rsidRPr="0058274D">
              <w:rPr>
                <w:rFonts w:cs="Calibri"/>
                <w:color w:val="000000"/>
                <w:sz w:val="18"/>
                <w:szCs w:val="18"/>
              </w:rPr>
              <w:t>62,4</w:t>
            </w:r>
          </w:p>
        </w:tc>
        <w:tc>
          <w:tcPr>
            <w:tcW w:w="683" w:type="dxa"/>
            <w:tcBorders>
              <w:top w:val="nil"/>
              <w:left w:val="nil"/>
              <w:bottom w:val="single" w:sz="4" w:space="0" w:color="13B5EA"/>
              <w:right w:val="nil"/>
            </w:tcBorders>
            <w:shd w:val="clear" w:color="auto" w:fill="auto"/>
            <w:noWrap/>
            <w:vAlign w:val="center"/>
            <w:hideMark/>
          </w:tcPr>
          <w:p w14:paraId="301D75AB" w14:textId="10056C3F" w:rsidR="003C56FB" w:rsidRPr="0058274D" w:rsidRDefault="00FB68E0" w:rsidP="003C56FB">
            <w:pPr>
              <w:jc w:val="right"/>
              <w:rPr>
                <w:color w:val="000000"/>
                <w:sz w:val="18"/>
                <w:szCs w:val="18"/>
              </w:rPr>
            </w:pPr>
            <w:r w:rsidRPr="0058274D">
              <w:rPr>
                <w:rFonts w:cs="Calibri"/>
                <w:color w:val="000000"/>
                <w:sz w:val="18"/>
                <w:szCs w:val="18"/>
              </w:rPr>
              <w:t>66,3</w:t>
            </w:r>
          </w:p>
        </w:tc>
      </w:tr>
      <w:tr w:rsidR="003C56FB" w:rsidRPr="00B81300" w14:paraId="19D5FB34" w14:textId="77777777" w:rsidTr="0070280D">
        <w:trPr>
          <w:trHeight w:val="300"/>
        </w:trPr>
        <w:tc>
          <w:tcPr>
            <w:tcW w:w="1560" w:type="dxa"/>
            <w:tcBorders>
              <w:top w:val="nil"/>
              <w:left w:val="nil"/>
              <w:bottom w:val="single" w:sz="4" w:space="0" w:color="13B5EA"/>
              <w:right w:val="nil"/>
            </w:tcBorders>
            <w:shd w:val="clear" w:color="auto" w:fill="auto"/>
            <w:noWrap/>
            <w:vAlign w:val="center"/>
            <w:hideMark/>
          </w:tcPr>
          <w:p w14:paraId="78EC3EC0" w14:textId="77777777" w:rsidR="003C56FB" w:rsidRPr="0058274D" w:rsidRDefault="003C56FB" w:rsidP="003C56FB">
            <w:pPr>
              <w:rPr>
                <w:i/>
                <w:color w:val="000000"/>
                <w:sz w:val="18"/>
                <w:szCs w:val="18"/>
              </w:rPr>
            </w:pPr>
            <w:r w:rsidRPr="0058274D">
              <w:rPr>
                <w:i/>
                <w:color w:val="000000"/>
                <w:sz w:val="18"/>
                <w:szCs w:val="18"/>
              </w:rPr>
              <w:t xml:space="preserve">p.m. Nom. HDP </w:t>
            </w:r>
          </w:p>
          <w:p w14:paraId="004A398B" w14:textId="0B89F87E" w:rsidR="003C56FB" w:rsidRPr="0058274D" w:rsidRDefault="003C56FB" w:rsidP="003C56FB">
            <w:pPr>
              <w:rPr>
                <w:i/>
                <w:color w:val="000000"/>
                <w:sz w:val="18"/>
                <w:szCs w:val="18"/>
              </w:rPr>
            </w:pPr>
            <w:r w:rsidRPr="0058274D">
              <w:rPr>
                <w:i/>
                <w:color w:val="000000"/>
                <w:sz w:val="18"/>
                <w:szCs w:val="18"/>
              </w:rPr>
              <w:t xml:space="preserve">         (mil. eur)</w:t>
            </w:r>
          </w:p>
        </w:tc>
        <w:tc>
          <w:tcPr>
            <w:tcW w:w="682" w:type="dxa"/>
            <w:tcBorders>
              <w:top w:val="nil"/>
              <w:left w:val="nil"/>
              <w:bottom w:val="single" w:sz="4" w:space="0" w:color="13B5EA"/>
              <w:right w:val="nil"/>
            </w:tcBorders>
            <w:shd w:val="clear" w:color="auto" w:fill="auto"/>
            <w:noWrap/>
            <w:vAlign w:val="center"/>
            <w:hideMark/>
          </w:tcPr>
          <w:p w14:paraId="3A8E33AE" w14:textId="7C4B082A" w:rsidR="003C56FB" w:rsidRPr="0058274D" w:rsidRDefault="003C56FB" w:rsidP="003C56FB">
            <w:pPr>
              <w:jc w:val="right"/>
              <w:rPr>
                <w:color w:val="000000"/>
                <w:sz w:val="17"/>
                <w:szCs w:val="17"/>
              </w:rPr>
            </w:pPr>
            <w:r w:rsidRPr="0058274D">
              <w:rPr>
                <w:rFonts w:cs="Calibri"/>
                <w:i/>
                <w:iCs/>
                <w:color w:val="000000"/>
                <w:sz w:val="18"/>
                <w:szCs w:val="18"/>
              </w:rPr>
              <w:t>7</w:t>
            </w:r>
            <w:r w:rsidR="00C06BD8" w:rsidRPr="0058274D">
              <w:rPr>
                <w:rFonts w:cs="Calibri"/>
                <w:i/>
                <w:iCs/>
                <w:color w:val="000000"/>
                <w:sz w:val="18"/>
                <w:szCs w:val="18"/>
              </w:rPr>
              <w:t>4 355</w:t>
            </w:r>
          </w:p>
        </w:tc>
        <w:tc>
          <w:tcPr>
            <w:tcW w:w="683" w:type="dxa"/>
            <w:tcBorders>
              <w:top w:val="nil"/>
              <w:left w:val="nil"/>
              <w:bottom w:val="single" w:sz="4" w:space="0" w:color="13B5EA"/>
              <w:right w:val="nil"/>
            </w:tcBorders>
            <w:shd w:val="clear" w:color="auto" w:fill="auto"/>
            <w:noWrap/>
            <w:vAlign w:val="center"/>
            <w:hideMark/>
          </w:tcPr>
          <w:p w14:paraId="7C617E2A" w14:textId="3E41AFF7" w:rsidR="003C56FB" w:rsidRPr="0058274D" w:rsidRDefault="002157E3" w:rsidP="003C56FB">
            <w:pPr>
              <w:jc w:val="right"/>
              <w:rPr>
                <w:color w:val="000000"/>
                <w:sz w:val="17"/>
                <w:szCs w:val="17"/>
              </w:rPr>
            </w:pPr>
            <w:r w:rsidRPr="0058274D">
              <w:rPr>
                <w:rFonts w:cs="Calibri"/>
                <w:i/>
                <w:iCs/>
                <w:color w:val="000000"/>
                <w:sz w:val="18"/>
                <w:szCs w:val="18"/>
              </w:rPr>
              <w:t>76 256</w:t>
            </w:r>
          </w:p>
        </w:tc>
        <w:tc>
          <w:tcPr>
            <w:tcW w:w="683" w:type="dxa"/>
            <w:tcBorders>
              <w:top w:val="nil"/>
              <w:left w:val="nil"/>
              <w:bottom w:val="single" w:sz="4" w:space="0" w:color="13B5EA"/>
              <w:right w:val="nil"/>
            </w:tcBorders>
            <w:shd w:val="clear" w:color="auto" w:fill="auto"/>
            <w:noWrap/>
            <w:vAlign w:val="center"/>
            <w:hideMark/>
          </w:tcPr>
          <w:p w14:paraId="43320552" w14:textId="0470919C" w:rsidR="003C56FB" w:rsidRPr="0058274D" w:rsidRDefault="00E12C50" w:rsidP="003C56FB">
            <w:pPr>
              <w:jc w:val="right"/>
              <w:rPr>
                <w:color w:val="000000"/>
                <w:sz w:val="17"/>
                <w:szCs w:val="17"/>
              </w:rPr>
            </w:pPr>
            <w:r w:rsidRPr="0058274D">
              <w:rPr>
                <w:rFonts w:cs="Calibri"/>
                <w:i/>
                <w:iCs/>
                <w:color w:val="000000"/>
                <w:sz w:val="18"/>
                <w:szCs w:val="18"/>
              </w:rPr>
              <w:t>79 758</w:t>
            </w:r>
          </w:p>
        </w:tc>
        <w:tc>
          <w:tcPr>
            <w:tcW w:w="683" w:type="dxa"/>
            <w:tcBorders>
              <w:top w:val="nil"/>
              <w:left w:val="nil"/>
              <w:bottom w:val="single" w:sz="4" w:space="0" w:color="13B5EA"/>
              <w:right w:val="nil"/>
            </w:tcBorders>
            <w:shd w:val="clear" w:color="auto" w:fill="auto"/>
            <w:noWrap/>
            <w:vAlign w:val="center"/>
            <w:hideMark/>
          </w:tcPr>
          <w:p w14:paraId="71030290" w14:textId="5569523D" w:rsidR="003C56FB" w:rsidRPr="0058274D" w:rsidRDefault="00E12C50" w:rsidP="003C56FB">
            <w:pPr>
              <w:jc w:val="right"/>
              <w:rPr>
                <w:color w:val="000000"/>
                <w:sz w:val="17"/>
                <w:szCs w:val="17"/>
              </w:rPr>
            </w:pPr>
            <w:r w:rsidRPr="0058274D">
              <w:rPr>
                <w:rFonts w:cs="Calibri"/>
                <w:i/>
                <w:iCs/>
                <w:color w:val="000000"/>
                <w:sz w:val="18"/>
                <w:szCs w:val="18"/>
              </w:rPr>
              <w:t>81 038</w:t>
            </w:r>
          </w:p>
        </w:tc>
        <w:tc>
          <w:tcPr>
            <w:tcW w:w="683" w:type="dxa"/>
            <w:tcBorders>
              <w:top w:val="nil"/>
              <w:left w:val="nil"/>
              <w:bottom w:val="single" w:sz="4" w:space="0" w:color="13B5EA"/>
              <w:right w:val="nil"/>
            </w:tcBorders>
            <w:shd w:val="clear" w:color="auto" w:fill="auto"/>
            <w:noWrap/>
            <w:vAlign w:val="center"/>
            <w:hideMark/>
          </w:tcPr>
          <w:p w14:paraId="1B863E1C" w14:textId="31FC5C37" w:rsidR="003C56FB" w:rsidRPr="000B70B9" w:rsidRDefault="005E014E" w:rsidP="003C56FB">
            <w:pPr>
              <w:jc w:val="right"/>
              <w:rPr>
                <w:color w:val="000000"/>
                <w:sz w:val="17"/>
                <w:szCs w:val="17"/>
              </w:rPr>
            </w:pPr>
            <w:r w:rsidRPr="000B70B9">
              <w:rPr>
                <w:rFonts w:cs="Calibri"/>
                <w:i/>
                <w:iCs/>
                <w:color w:val="000000"/>
                <w:sz w:val="18"/>
                <w:szCs w:val="18"/>
              </w:rPr>
              <w:t>84 5</w:t>
            </w:r>
            <w:r w:rsidR="003A6C59" w:rsidRPr="000B70B9">
              <w:rPr>
                <w:rFonts w:cs="Calibri"/>
                <w:i/>
                <w:iCs/>
                <w:color w:val="000000"/>
                <w:sz w:val="18"/>
                <w:szCs w:val="18"/>
              </w:rPr>
              <w:t>21</w:t>
            </w:r>
          </w:p>
        </w:tc>
        <w:tc>
          <w:tcPr>
            <w:tcW w:w="683" w:type="dxa"/>
            <w:tcBorders>
              <w:top w:val="nil"/>
              <w:left w:val="nil"/>
              <w:bottom w:val="single" w:sz="4" w:space="0" w:color="13B5EA"/>
              <w:right w:val="nil"/>
            </w:tcBorders>
            <w:shd w:val="clear" w:color="auto" w:fill="auto"/>
            <w:noWrap/>
            <w:vAlign w:val="center"/>
            <w:hideMark/>
          </w:tcPr>
          <w:p w14:paraId="08096BF3" w14:textId="0779F458" w:rsidR="003C56FB" w:rsidRPr="000B70B9" w:rsidRDefault="005E014E" w:rsidP="003C56FB">
            <w:pPr>
              <w:jc w:val="right"/>
              <w:rPr>
                <w:color w:val="000000"/>
                <w:sz w:val="17"/>
                <w:szCs w:val="17"/>
              </w:rPr>
            </w:pPr>
            <w:r w:rsidRPr="000B70B9">
              <w:rPr>
                <w:rFonts w:cs="Calibri"/>
                <w:i/>
                <w:iCs/>
                <w:color w:val="000000"/>
                <w:sz w:val="18"/>
                <w:szCs w:val="18"/>
              </w:rPr>
              <w:t>89</w:t>
            </w:r>
            <w:r w:rsidR="008E39F0" w:rsidRPr="000B70B9">
              <w:rPr>
                <w:rFonts w:cs="Calibri"/>
                <w:i/>
                <w:iCs/>
                <w:color w:val="000000"/>
                <w:sz w:val="18"/>
                <w:szCs w:val="18"/>
              </w:rPr>
              <w:t xml:space="preserve"> </w:t>
            </w:r>
            <w:r w:rsidR="000B70B9" w:rsidRPr="000B70B9">
              <w:rPr>
                <w:rFonts w:cs="Calibri"/>
                <w:i/>
                <w:iCs/>
                <w:color w:val="000000"/>
                <w:sz w:val="18"/>
                <w:szCs w:val="18"/>
              </w:rPr>
              <w:t>6</w:t>
            </w:r>
            <w:r w:rsidR="00D6153F" w:rsidRPr="000B70B9">
              <w:rPr>
                <w:rFonts w:cs="Calibri"/>
                <w:i/>
                <w:iCs/>
                <w:color w:val="000000"/>
                <w:sz w:val="18"/>
                <w:szCs w:val="18"/>
              </w:rPr>
              <w:t>06</w:t>
            </w:r>
          </w:p>
        </w:tc>
        <w:tc>
          <w:tcPr>
            <w:tcW w:w="683" w:type="dxa"/>
            <w:tcBorders>
              <w:top w:val="nil"/>
              <w:left w:val="nil"/>
              <w:bottom w:val="single" w:sz="4" w:space="0" w:color="13B5EA"/>
              <w:right w:val="nil"/>
            </w:tcBorders>
            <w:shd w:val="clear" w:color="auto" w:fill="auto"/>
            <w:noWrap/>
            <w:vAlign w:val="center"/>
            <w:hideMark/>
          </w:tcPr>
          <w:p w14:paraId="6C7F1075" w14:textId="5BA4E0EC" w:rsidR="003C56FB" w:rsidRPr="0058274D" w:rsidRDefault="005E014E" w:rsidP="003C56FB">
            <w:pPr>
              <w:jc w:val="right"/>
              <w:rPr>
                <w:color w:val="000000"/>
                <w:sz w:val="17"/>
                <w:szCs w:val="17"/>
              </w:rPr>
            </w:pPr>
            <w:r w:rsidRPr="0058274D">
              <w:rPr>
                <w:rFonts w:cs="Calibri"/>
                <w:i/>
                <w:iCs/>
                <w:color w:val="000000"/>
                <w:sz w:val="18"/>
                <w:szCs w:val="18"/>
              </w:rPr>
              <w:t>94 17</w:t>
            </w:r>
            <w:r w:rsidR="000B70B9">
              <w:rPr>
                <w:rFonts w:cs="Calibri"/>
                <w:i/>
                <w:iCs/>
                <w:color w:val="000000"/>
                <w:sz w:val="18"/>
                <w:szCs w:val="18"/>
              </w:rPr>
              <w:t>1</w:t>
            </w:r>
          </w:p>
        </w:tc>
        <w:tc>
          <w:tcPr>
            <w:tcW w:w="683" w:type="dxa"/>
            <w:tcBorders>
              <w:top w:val="nil"/>
              <w:left w:val="nil"/>
              <w:bottom w:val="single" w:sz="4" w:space="0" w:color="13B5EA"/>
              <w:right w:val="nil"/>
            </w:tcBorders>
            <w:shd w:val="clear" w:color="auto" w:fill="auto"/>
            <w:noWrap/>
            <w:vAlign w:val="center"/>
            <w:hideMark/>
          </w:tcPr>
          <w:p w14:paraId="61A747C5" w14:textId="547AA610" w:rsidR="003C56FB" w:rsidRPr="0058274D" w:rsidRDefault="0058274D" w:rsidP="003C56FB">
            <w:pPr>
              <w:jc w:val="right"/>
              <w:rPr>
                <w:color w:val="000000"/>
                <w:sz w:val="17"/>
                <w:szCs w:val="17"/>
              </w:rPr>
            </w:pPr>
            <w:r w:rsidRPr="0058274D">
              <w:rPr>
                <w:rFonts w:cs="Calibri"/>
                <w:i/>
                <w:iCs/>
                <w:color w:val="000000"/>
                <w:sz w:val="18"/>
                <w:szCs w:val="18"/>
              </w:rPr>
              <w:t>86 549</w:t>
            </w:r>
          </w:p>
        </w:tc>
        <w:tc>
          <w:tcPr>
            <w:tcW w:w="683" w:type="dxa"/>
            <w:tcBorders>
              <w:top w:val="nil"/>
              <w:left w:val="nil"/>
              <w:bottom w:val="single" w:sz="4" w:space="0" w:color="13B5EA"/>
              <w:right w:val="nil"/>
            </w:tcBorders>
            <w:vAlign w:val="center"/>
          </w:tcPr>
          <w:p w14:paraId="7B05433A" w14:textId="0BC5FCFC" w:rsidR="003C56FB" w:rsidRPr="0058274D" w:rsidRDefault="0058274D" w:rsidP="003C56FB">
            <w:pPr>
              <w:jc w:val="right"/>
              <w:rPr>
                <w:color w:val="000000"/>
                <w:sz w:val="17"/>
                <w:szCs w:val="17"/>
              </w:rPr>
            </w:pPr>
            <w:r w:rsidRPr="0058274D">
              <w:rPr>
                <w:rFonts w:cs="Calibri"/>
                <w:i/>
                <w:iCs/>
                <w:color w:val="000000"/>
                <w:sz w:val="18"/>
                <w:szCs w:val="18"/>
              </w:rPr>
              <w:t>93 472</w:t>
            </w:r>
          </w:p>
        </w:tc>
        <w:tc>
          <w:tcPr>
            <w:tcW w:w="683" w:type="dxa"/>
            <w:tcBorders>
              <w:top w:val="nil"/>
              <w:left w:val="nil"/>
              <w:bottom w:val="single" w:sz="4" w:space="0" w:color="13B5EA"/>
              <w:right w:val="nil"/>
            </w:tcBorders>
            <w:shd w:val="clear" w:color="auto" w:fill="auto"/>
            <w:noWrap/>
            <w:vAlign w:val="center"/>
            <w:hideMark/>
          </w:tcPr>
          <w:p w14:paraId="697946BA" w14:textId="16423337" w:rsidR="003C56FB" w:rsidRPr="0058274D" w:rsidRDefault="0058274D" w:rsidP="003C56FB">
            <w:pPr>
              <w:jc w:val="right"/>
              <w:rPr>
                <w:color w:val="000000"/>
                <w:sz w:val="17"/>
                <w:szCs w:val="17"/>
              </w:rPr>
            </w:pPr>
            <w:r w:rsidRPr="0058274D">
              <w:rPr>
                <w:rFonts w:cs="Calibri"/>
                <w:i/>
                <w:iCs/>
                <w:color w:val="000000"/>
                <w:sz w:val="18"/>
                <w:szCs w:val="18"/>
              </w:rPr>
              <w:t>96 565</w:t>
            </w:r>
          </w:p>
        </w:tc>
        <w:tc>
          <w:tcPr>
            <w:tcW w:w="683" w:type="dxa"/>
            <w:tcBorders>
              <w:top w:val="nil"/>
              <w:left w:val="nil"/>
              <w:bottom w:val="single" w:sz="4" w:space="0" w:color="13B5EA"/>
              <w:right w:val="nil"/>
            </w:tcBorders>
            <w:shd w:val="clear" w:color="auto" w:fill="auto"/>
            <w:noWrap/>
            <w:vAlign w:val="center"/>
            <w:hideMark/>
          </w:tcPr>
          <w:p w14:paraId="6C9B3891" w14:textId="55788AC1" w:rsidR="003C56FB" w:rsidRPr="0058274D" w:rsidRDefault="0058274D" w:rsidP="003C56FB">
            <w:pPr>
              <w:jc w:val="right"/>
              <w:rPr>
                <w:color w:val="000000"/>
                <w:sz w:val="17"/>
                <w:szCs w:val="17"/>
              </w:rPr>
            </w:pPr>
            <w:r w:rsidRPr="0058274D">
              <w:rPr>
                <w:rFonts w:cs="Calibri"/>
                <w:i/>
                <w:iCs/>
                <w:color w:val="000000"/>
                <w:sz w:val="18"/>
                <w:szCs w:val="18"/>
              </w:rPr>
              <w:t>100 911</w:t>
            </w:r>
          </w:p>
        </w:tc>
      </w:tr>
      <w:tr w:rsidR="00A77B6C" w:rsidRPr="00B81300" w14:paraId="06D0A6F5" w14:textId="77777777" w:rsidTr="004A79A6">
        <w:trPr>
          <w:trHeight w:val="300"/>
        </w:trPr>
        <w:tc>
          <w:tcPr>
            <w:tcW w:w="9072" w:type="dxa"/>
            <w:gridSpan w:val="12"/>
            <w:tcBorders>
              <w:top w:val="nil"/>
              <w:left w:val="nil"/>
              <w:bottom w:val="nil"/>
              <w:right w:val="nil"/>
            </w:tcBorders>
          </w:tcPr>
          <w:p w14:paraId="4112BC5A" w14:textId="521EED0E" w:rsidR="00A77B6C" w:rsidRPr="00621E04" w:rsidRDefault="00A77B6C" w:rsidP="00EA0905">
            <w:pPr>
              <w:rPr>
                <w:i/>
                <w:color w:val="13B5EA"/>
                <w:sz w:val="16"/>
                <w:szCs w:val="16"/>
              </w:rPr>
            </w:pPr>
            <w:r w:rsidRPr="00621E04">
              <w:rPr>
                <w:i/>
                <w:color w:val="13B5EA"/>
                <w:sz w:val="16"/>
                <w:szCs w:val="16"/>
              </w:rPr>
              <w:t xml:space="preserve">Pozn.: </w:t>
            </w:r>
            <w:r w:rsidR="003C29A9">
              <w:rPr>
                <w:i/>
                <w:color w:val="13B5EA"/>
                <w:sz w:val="16"/>
                <w:szCs w:val="16"/>
              </w:rPr>
              <w:t>v rokoch</w:t>
            </w:r>
            <w:r w:rsidRPr="00621E04">
              <w:rPr>
                <w:i/>
                <w:color w:val="13B5EA"/>
                <w:sz w:val="16"/>
                <w:szCs w:val="16"/>
              </w:rPr>
              <w:t xml:space="preserve"> </w:t>
            </w:r>
            <w:r w:rsidRPr="00621E04">
              <w:rPr>
                <w:i/>
                <w:iCs/>
                <w:color w:val="13B5EA"/>
                <w:sz w:val="16"/>
                <w:szCs w:val="16"/>
              </w:rPr>
              <w:t>20</w:t>
            </w:r>
            <w:r w:rsidR="009521E7" w:rsidRPr="00621E04">
              <w:rPr>
                <w:i/>
                <w:iCs/>
                <w:color w:val="13B5EA"/>
                <w:sz w:val="16"/>
                <w:szCs w:val="16"/>
              </w:rPr>
              <w:t>20</w:t>
            </w:r>
            <w:r w:rsidRPr="00621E04">
              <w:rPr>
                <w:i/>
                <w:color w:val="13B5EA"/>
                <w:sz w:val="16"/>
                <w:szCs w:val="16"/>
              </w:rPr>
              <w:t xml:space="preserve"> až </w:t>
            </w:r>
            <w:r w:rsidRPr="00621E04">
              <w:rPr>
                <w:i/>
                <w:iCs/>
                <w:color w:val="13B5EA"/>
                <w:sz w:val="16"/>
                <w:szCs w:val="16"/>
              </w:rPr>
              <w:t>202</w:t>
            </w:r>
            <w:r w:rsidR="009521E7" w:rsidRPr="00621E04">
              <w:rPr>
                <w:i/>
                <w:iCs/>
                <w:color w:val="13B5EA"/>
                <w:sz w:val="16"/>
                <w:szCs w:val="16"/>
              </w:rPr>
              <w:t>3</w:t>
            </w:r>
            <w:r w:rsidRPr="00621E04">
              <w:rPr>
                <w:i/>
                <w:color w:val="13B5EA"/>
                <w:sz w:val="16"/>
                <w:szCs w:val="16"/>
              </w:rPr>
              <w:t xml:space="preserve"> </w:t>
            </w:r>
            <w:r w:rsidR="003C29A9">
              <w:rPr>
                <w:i/>
                <w:color w:val="13B5EA"/>
                <w:sz w:val="16"/>
                <w:szCs w:val="16"/>
              </w:rPr>
              <w:t xml:space="preserve">ide o prognózu RRZ za predpokladu nezmenených politík (NPC scenár)         </w:t>
            </w:r>
            <w:r w:rsidRPr="00621E04">
              <w:rPr>
                <w:i/>
                <w:color w:val="13B5EA"/>
                <w:sz w:val="16"/>
                <w:szCs w:val="16"/>
              </w:rPr>
              <w:t>Zdroj: MF SR, ŠÚ SR</w:t>
            </w:r>
            <w:r w:rsidR="004A4090" w:rsidRPr="00621E04">
              <w:rPr>
                <w:i/>
                <w:color w:val="13B5EA"/>
                <w:sz w:val="16"/>
                <w:szCs w:val="16"/>
              </w:rPr>
              <w:t>, RRZ</w:t>
            </w:r>
          </w:p>
        </w:tc>
      </w:tr>
    </w:tbl>
    <w:p w14:paraId="0DA1CBD1" w14:textId="77777777" w:rsidR="0053375A" w:rsidRPr="00B81300" w:rsidRDefault="0053375A" w:rsidP="0053375A">
      <w:pPr>
        <w:jc w:val="both"/>
        <w:rPr>
          <w:highlight w:val="yellow"/>
        </w:rPr>
      </w:pPr>
    </w:p>
    <w:p w14:paraId="1314B6FE" w14:textId="448E685C" w:rsidR="0099478A" w:rsidRPr="007B595D" w:rsidRDefault="00000017" w:rsidP="0099478A">
      <w:pPr>
        <w:jc w:val="both"/>
      </w:pPr>
      <w:r w:rsidRPr="007B595D">
        <w:t>Ukazovateľ č</w:t>
      </w:r>
      <w:r w:rsidR="0053375A" w:rsidRPr="007B595D">
        <w:t>istý dlh má takisto svoje nedostatky, keďže nezohľadňuje vývoj ostatných aktív verejnej správy, ani vplyv aktuálnej fiškálnej politiky vlády na budúci vývoj aktív a záväzkov (napríklad implicitné a podmienené záväzky). Z tohto pohľadu by vhodným ukazovateľom bolo čisté bohatstvo, ktoré všetky tieto zložky bilancie zahŕňa. V súčasnosti však zatiaľ kvôli dátovým problémom a chýbajúcej metodike nie je možné prepojiť vývoj čistého bohatstva s</w:t>
      </w:r>
      <w:r w:rsidR="00503761" w:rsidRPr="007B595D">
        <w:t> </w:t>
      </w:r>
      <w:r w:rsidR="0053375A" w:rsidRPr="007B595D">
        <w:t xml:space="preserve">hospodárením vlády. RRZ preto v snahe priblížiť analýzu vývoja dlhu k tomuto konceptu identifikovala </w:t>
      </w:r>
      <w:r w:rsidR="0053375A" w:rsidRPr="007B595D">
        <w:rPr>
          <w:b/>
        </w:rPr>
        <w:t xml:space="preserve">také jednorazové a dočasné faktory ovplyvňujúce hotovosť, ktoré čisté bohatstvo nezlepšujú resp. ovplyvňujú </w:t>
      </w:r>
      <w:r w:rsidRPr="007B595D">
        <w:rPr>
          <w:b/>
        </w:rPr>
        <w:t xml:space="preserve">ho </w:t>
      </w:r>
      <w:r w:rsidR="0053375A" w:rsidRPr="007B595D">
        <w:rPr>
          <w:b/>
        </w:rPr>
        <w:t>iba dočasne</w:t>
      </w:r>
      <w:r w:rsidR="0053375A" w:rsidRPr="007B595D">
        <w:t xml:space="preserve"> (tabuľka </w:t>
      </w:r>
      <w:r w:rsidR="00210990" w:rsidRPr="007B595D">
        <w:t>7</w:t>
      </w:r>
      <w:r w:rsidR="0053375A" w:rsidRPr="007B595D">
        <w:t>). Po úprave čistého dlhu o tieto faktory získame informáciu o tom, ako sa vyvíjal dlh vplyvom trvalých opatrení vlády.</w:t>
      </w:r>
    </w:p>
    <w:p w14:paraId="7A2E3A1E" w14:textId="77777777" w:rsidR="00503761" w:rsidRPr="00B81300" w:rsidRDefault="00503761" w:rsidP="0053375A">
      <w:pPr>
        <w:jc w:val="both"/>
        <w:rPr>
          <w:highlight w:val="yellow"/>
        </w:rPr>
      </w:pPr>
    </w:p>
    <w:p w14:paraId="1CBCEC3E" w14:textId="77777777" w:rsidR="0053375A" w:rsidRPr="00401D1C" w:rsidRDefault="0053375A" w:rsidP="0053375A">
      <w:pPr>
        <w:jc w:val="both"/>
      </w:pPr>
      <w:r w:rsidRPr="00401D1C">
        <w:lastRenderedPageBreak/>
        <w:t xml:space="preserve">Prvou skupinou úprav sú </w:t>
      </w:r>
      <w:r w:rsidRPr="00401D1C">
        <w:rPr>
          <w:b/>
        </w:rPr>
        <w:t>jednorazové vplyvy, ktoré v metodike ESA2010 ovplyvňujú saldo verejnej správy</w:t>
      </w:r>
      <w:r w:rsidRPr="00401D1C">
        <w:t xml:space="preserve"> v danom roku. V porovnaní so zoznamom jednorazových vplyvov, ktorý zverejňuje RRZ pri hodnotení rozpočtu, sa do úvahy berú iba také, ktoré majú vplyv na hotovosť.</w:t>
      </w:r>
    </w:p>
    <w:p w14:paraId="16BFC252" w14:textId="77777777" w:rsidR="0053375A" w:rsidRPr="00B81300" w:rsidRDefault="0053375A" w:rsidP="0053375A">
      <w:pPr>
        <w:jc w:val="both"/>
        <w:rPr>
          <w:highlight w:val="yellow"/>
        </w:rPr>
      </w:pPr>
    </w:p>
    <w:p w14:paraId="558E7551" w14:textId="3854B537" w:rsidR="0053375A" w:rsidRPr="00A554DA" w:rsidRDefault="0053375A" w:rsidP="0053375A">
      <w:pPr>
        <w:jc w:val="both"/>
      </w:pPr>
      <w:r w:rsidRPr="00A554DA">
        <w:t xml:space="preserve">Druhou skupinou sú </w:t>
      </w:r>
      <w:r w:rsidRPr="00A554DA">
        <w:rPr>
          <w:b/>
        </w:rPr>
        <w:t>jednorazové vplyvy, ktoré neovplyvňujú saldo verejnej správy, ale majú vplyv na hotovosť</w:t>
      </w:r>
      <w:r w:rsidRPr="00A554DA">
        <w:t>. Ide o faktory, ktoré menia výšku hotovosti pri súčasnej zmene iných (nie likvidných) aktív alebo zmene takých záväzkov, ktoré nie sú súčasťou hrubého dlhu. V rokoch 201</w:t>
      </w:r>
      <w:r w:rsidR="000D4175" w:rsidRPr="00A554DA">
        <w:t>3</w:t>
      </w:r>
      <w:r w:rsidRPr="00A554DA">
        <w:t xml:space="preserve"> až 20</w:t>
      </w:r>
      <w:r w:rsidR="00C44357" w:rsidRPr="00A554DA">
        <w:t>2</w:t>
      </w:r>
      <w:r w:rsidR="000D4175" w:rsidRPr="00A554DA">
        <w:t>3</w:t>
      </w:r>
      <w:r w:rsidRPr="00A554DA">
        <w:t xml:space="preserve"> RRZ identifikovala transakcie so štátnymi podnikmi, ako napríklad privatizácia podielu štátu (Slovak Telekom), vyplatenie dividend nad rámec ich zisku z riadnej hospodárskej činnosti (najmä SPP</w:t>
      </w:r>
      <w:r w:rsidR="00F84C45" w:rsidRPr="00A554DA">
        <w:t>,</w:t>
      </w:r>
      <w:r w:rsidRPr="00A554DA">
        <w:t xml:space="preserve"> ZSE</w:t>
      </w:r>
      <w:r w:rsidR="00F84C45" w:rsidRPr="00A554DA">
        <w:t>, VSE</w:t>
      </w:r>
      <w:r w:rsidRPr="00A554DA">
        <w:t>), príjmy štátu zo splatených úverov, ktoré si daný podnik nahradil súkromnými úvermi (Vodohospodárska výstavba). Patria sem aj zmeny spojené s kapitalizačným pilierom dôchodkového systému. Presun naakumulovaných aktív sporiteľov zo súkromných dôchodkových správcovských spoločností do sektora verejnej správy síce zvyšuje hotovosť na účtoch verejnej správy, ale je zároveň spojený aj s budúcimi výdavkami pri výplate dôchodkov týchto sporiteľov</w:t>
      </w:r>
      <w:r w:rsidR="00B26474" w:rsidRPr="00A554DA">
        <w:t xml:space="preserve"> (nárast implicitných záväzkov)</w:t>
      </w:r>
      <w:r w:rsidRPr="00A554DA">
        <w:t xml:space="preserve">. </w:t>
      </w:r>
      <w:r w:rsidR="00CE1FCE" w:rsidRPr="00A554DA">
        <w:t xml:space="preserve">Patria sem aj jednorazové príjmy </w:t>
      </w:r>
      <w:r w:rsidR="00834A08" w:rsidRPr="00A554DA">
        <w:t>z osobitného odvodu z podnikania v</w:t>
      </w:r>
      <w:r w:rsidR="002423BD" w:rsidRPr="00A554DA">
        <w:t> </w:t>
      </w:r>
      <w:r w:rsidR="00834A08" w:rsidRPr="00A554DA">
        <w:t>regulo</w:t>
      </w:r>
      <w:r w:rsidR="002423BD" w:rsidRPr="00A554DA">
        <w:t>vaných odvetviach z reorganizácie spoločnosti SPP</w:t>
      </w:r>
      <w:r w:rsidR="003B2343" w:rsidRPr="00A554DA">
        <w:t>.</w:t>
      </w:r>
    </w:p>
    <w:p w14:paraId="553780BD" w14:textId="77777777" w:rsidR="0053375A" w:rsidRPr="00B81300" w:rsidRDefault="0053375A" w:rsidP="0053375A">
      <w:pPr>
        <w:jc w:val="both"/>
        <w:rPr>
          <w:highlight w:val="yellow"/>
        </w:rPr>
      </w:pPr>
    </w:p>
    <w:p w14:paraId="4D52A41B" w14:textId="60972CB1" w:rsidR="0053375A" w:rsidRPr="00C57FDE" w:rsidRDefault="0053375A" w:rsidP="0053375A">
      <w:pPr>
        <w:jc w:val="both"/>
      </w:pPr>
      <w:r w:rsidRPr="00C57FDE">
        <w:t xml:space="preserve">Ďalšou skupinou faktorov, ktoré RRZ zohľadnila, sú </w:t>
      </w:r>
      <w:r w:rsidRPr="00C57FDE">
        <w:rPr>
          <w:b/>
        </w:rPr>
        <w:t>toky spojené s čerpaním fondov EÚ</w:t>
      </w:r>
      <w:r w:rsidRPr="00C57FDE">
        <w:t>. Keďže dochádza k časovému nesúladu medzi skutočne vynaloženými prostriedkami zo štátneho rozpočtu na financovanie projektov EÚ a ich preplatením z rozpočtu EÚ, v jednotlivých rokoch môže dôjsť k výraznejším rozdielom medzi hotovostnými</w:t>
      </w:r>
      <w:r w:rsidRPr="00C57FDE">
        <w:rPr>
          <w:rStyle w:val="FootnoteReference"/>
        </w:rPr>
        <w:footnoteReference w:id="104"/>
      </w:r>
      <w:r w:rsidRPr="00C57FDE">
        <w:t xml:space="preserve"> príjmami a výdavkami spojenými s čerpaním fondov EÚ. Ide o faktor mimo kontroly vlády, ovplyvňuje však stavy hotovosti na</w:t>
      </w:r>
      <w:r w:rsidR="008E58A8" w:rsidRPr="00C57FDE">
        <w:t> </w:t>
      </w:r>
      <w:r w:rsidRPr="00C57FDE">
        <w:t>účtoch verejnej správy a teda aj výšku dlhu. RRZ v rámci hotovostných tokov zohľadnila aj</w:t>
      </w:r>
      <w:r w:rsidR="00503761" w:rsidRPr="00C57FDE">
        <w:t> </w:t>
      </w:r>
      <w:r w:rsidRPr="00C57FDE">
        <w:t>finančné korekcie súvisiace s nezrovnalosťami pri čerpaní fondov EÚ, keďže sa nimi znižuje nárok krajiny na sumu preplatených prostriedkov z rozpočtu EÚ. Zároveň hotovostnú bilanciu ovplyvňujú aj preddavky (nezahrnuté do rozpočtu), ktoré sa neskôr zúčtujú.</w:t>
      </w:r>
    </w:p>
    <w:p w14:paraId="766E8AA7" w14:textId="77777777" w:rsidR="0053375A" w:rsidRPr="00B81300" w:rsidRDefault="0053375A" w:rsidP="0053375A">
      <w:pPr>
        <w:jc w:val="both"/>
        <w:rPr>
          <w:highlight w:val="yellow"/>
        </w:rPr>
      </w:pPr>
    </w:p>
    <w:p w14:paraId="679004C3" w14:textId="77777777" w:rsidR="00E47D9E" w:rsidRPr="00B81300" w:rsidRDefault="00E47D9E">
      <w:pPr>
        <w:rPr>
          <w:highlight w:val="yellow"/>
        </w:rPr>
      </w:pPr>
      <w:bookmarkStart w:id="901" w:name="_Toc459275421"/>
      <w:bookmarkStart w:id="902" w:name="_Toc489954223"/>
      <w:bookmarkStart w:id="903" w:name="_Toc490143839"/>
      <w:bookmarkStart w:id="904" w:name="_Toc490642142"/>
      <w:bookmarkStart w:id="905" w:name="_Toc459208005"/>
      <w:r w:rsidRPr="00B81300">
        <w:rPr>
          <w:highlight w:val="yellow"/>
        </w:rPr>
        <w:br w:type="page"/>
      </w:r>
    </w:p>
    <w:tbl>
      <w:tblPr>
        <w:tblW w:w="9277" w:type="dxa"/>
        <w:tblLayout w:type="fixed"/>
        <w:tblCellMar>
          <w:left w:w="70" w:type="dxa"/>
          <w:right w:w="70" w:type="dxa"/>
        </w:tblCellMar>
        <w:tblLook w:val="04A0" w:firstRow="1" w:lastRow="0" w:firstColumn="1" w:lastColumn="0" w:noHBand="0" w:noVBand="1"/>
      </w:tblPr>
      <w:tblGrid>
        <w:gridCol w:w="3994"/>
        <w:gridCol w:w="485"/>
        <w:gridCol w:w="471"/>
        <w:gridCol w:w="470"/>
        <w:gridCol w:w="465"/>
        <w:gridCol w:w="477"/>
        <w:gridCol w:w="467"/>
        <w:gridCol w:w="517"/>
        <w:gridCol w:w="467"/>
        <w:gridCol w:w="510"/>
        <w:gridCol w:w="448"/>
        <w:gridCol w:w="506"/>
      </w:tblGrid>
      <w:tr w:rsidR="00293BC3" w:rsidRPr="00B81300" w14:paraId="2BAB8377" w14:textId="77777777" w:rsidTr="00D773FB">
        <w:trPr>
          <w:trHeight w:val="300"/>
        </w:trPr>
        <w:tc>
          <w:tcPr>
            <w:tcW w:w="9277" w:type="dxa"/>
            <w:gridSpan w:val="12"/>
            <w:tcBorders>
              <w:top w:val="nil"/>
              <w:left w:val="nil"/>
              <w:bottom w:val="nil"/>
              <w:right w:val="nil"/>
            </w:tcBorders>
          </w:tcPr>
          <w:p w14:paraId="09CA29A0" w14:textId="46FABD80" w:rsidR="00293BC3" w:rsidRPr="00621E04" w:rsidRDefault="00293BC3" w:rsidP="00D1024E">
            <w:pPr>
              <w:rPr>
                <w:rStyle w:val="tabChar"/>
                <w:sz w:val="20"/>
              </w:rPr>
            </w:pPr>
            <w:bookmarkStart w:id="906" w:name="_Toc522105526"/>
            <w:bookmarkStart w:id="907" w:name="_Toc522200678"/>
            <w:bookmarkStart w:id="908" w:name="_Toc523390264"/>
            <w:bookmarkStart w:id="909" w:name="_Toc523392869"/>
            <w:bookmarkStart w:id="910" w:name="_Toc49506906"/>
            <w:r w:rsidRPr="00621E04">
              <w:rPr>
                <w:rStyle w:val="tabChar"/>
                <w:sz w:val="20"/>
              </w:rPr>
              <w:lastRenderedPageBreak/>
              <w:t xml:space="preserve">Tab </w:t>
            </w:r>
            <w:r w:rsidR="00210990" w:rsidRPr="00621E04">
              <w:rPr>
                <w:rStyle w:val="tabChar"/>
                <w:sz w:val="20"/>
              </w:rPr>
              <w:t>7</w:t>
            </w:r>
            <w:r w:rsidRPr="00621E04">
              <w:rPr>
                <w:rStyle w:val="tabChar"/>
                <w:sz w:val="20"/>
              </w:rPr>
              <w:t xml:space="preserve">: </w:t>
            </w:r>
            <w:bookmarkEnd w:id="901"/>
            <w:bookmarkEnd w:id="902"/>
            <w:bookmarkEnd w:id="903"/>
            <w:bookmarkEnd w:id="904"/>
            <w:bookmarkEnd w:id="906"/>
            <w:bookmarkEnd w:id="907"/>
            <w:bookmarkEnd w:id="908"/>
            <w:bookmarkEnd w:id="909"/>
            <w:r w:rsidR="00671634">
              <w:rPr>
                <w:rStyle w:val="tabChar"/>
                <w:sz w:val="20"/>
              </w:rPr>
              <w:t>Jednorazové vplyvy na dlh</w:t>
            </w:r>
            <w:bookmarkEnd w:id="910"/>
            <w:r w:rsidRPr="00621E04">
              <w:rPr>
                <w:rStyle w:val="tabChar"/>
                <w:sz w:val="20"/>
              </w:rPr>
              <w:t xml:space="preserve"> </w:t>
            </w:r>
            <w:r w:rsidRPr="00621E04">
              <w:rPr>
                <w:b/>
                <w:color w:val="13B5EA"/>
                <w:sz w:val="20"/>
              </w:rPr>
              <w:t>(mil. eur)</w:t>
            </w:r>
            <w:bookmarkEnd w:id="905"/>
          </w:p>
        </w:tc>
      </w:tr>
      <w:tr w:rsidR="00AD12F6" w:rsidRPr="00B81300" w14:paraId="4D5AC6F9" w14:textId="77777777" w:rsidTr="00AD12F6">
        <w:trPr>
          <w:trHeight w:val="300"/>
        </w:trPr>
        <w:tc>
          <w:tcPr>
            <w:tcW w:w="3994" w:type="dxa"/>
            <w:tcBorders>
              <w:top w:val="nil"/>
              <w:left w:val="nil"/>
              <w:bottom w:val="nil"/>
              <w:right w:val="nil"/>
            </w:tcBorders>
            <w:shd w:val="clear" w:color="000000" w:fill="13B5EA"/>
            <w:noWrap/>
            <w:vAlign w:val="center"/>
            <w:hideMark/>
          </w:tcPr>
          <w:p w14:paraId="6DDF49BD" w14:textId="77777777" w:rsidR="00AD12F6" w:rsidRPr="00621E04" w:rsidRDefault="00AD12F6" w:rsidP="00AD12F6">
            <w:pPr>
              <w:rPr>
                <w:b/>
                <w:color w:val="FFFFFF"/>
                <w:sz w:val="18"/>
                <w:szCs w:val="18"/>
              </w:rPr>
            </w:pPr>
            <w:r w:rsidRPr="00621E04">
              <w:rPr>
                <w:b/>
                <w:color w:val="FFFFFF"/>
                <w:sz w:val="18"/>
                <w:szCs w:val="18"/>
              </w:rPr>
              <w:t> </w:t>
            </w:r>
          </w:p>
        </w:tc>
        <w:tc>
          <w:tcPr>
            <w:tcW w:w="485" w:type="dxa"/>
            <w:tcBorders>
              <w:top w:val="nil"/>
              <w:left w:val="nil"/>
              <w:bottom w:val="nil"/>
              <w:right w:val="nil"/>
            </w:tcBorders>
            <w:shd w:val="clear" w:color="000000" w:fill="13B5EA"/>
            <w:noWrap/>
            <w:vAlign w:val="center"/>
            <w:hideMark/>
          </w:tcPr>
          <w:p w14:paraId="2A1CCBE0" w14:textId="28A7E63D" w:rsidR="00AD12F6" w:rsidRPr="00621E04" w:rsidRDefault="00AD12F6" w:rsidP="00AD12F6">
            <w:pPr>
              <w:jc w:val="right"/>
              <w:rPr>
                <w:b/>
                <w:color w:val="FFFFFF"/>
                <w:sz w:val="16"/>
                <w:szCs w:val="16"/>
              </w:rPr>
            </w:pPr>
            <w:r w:rsidRPr="00621E04">
              <w:rPr>
                <w:b/>
                <w:bCs/>
                <w:color w:val="FFFFFF"/>
                <w:sz w:val="16"/>
                <w:szCs w:val="16"/>
              </w:rPr>
              <w:t>201</w:t>
            </w:r>
            <w:r w:rsidR="00852532" w:rsidRPr="00621E04">
              <w:rPr>
                <w:b/>
                <w:bCs/>
                <w:color w:val="FFFFFF"/>
                <w:sz w:val="16"/>
                <w:szCs w:val="16"/>
              </w:rPr>
              <w:t>3</w:t>
            </w:r>
          </w:p>
        </w:tc>
        <w:tc>
          <w:tcPr>
            <w:tcW w:w="471" w:type="dxa"/>
            <w:tcBorders>
              <w:top w:val="nil"/>
              <w:left w:val="nil"/>
              <w:bottom w:val="nil"/>
              <w:right w:val="nil"/>
            </w:tcBorders>
            <w:shd w:val="clear" w:color="000000" w:fill="13B5EA"/>
            <w:noWrap/>
            <w:vAlign w:val="center"/>
            <w:hideMark/>
          </w:tcPr>
          <w:p w14:paraId="2DC61FBA" w14:textId="2F237BE6" w:rsidR="00AD12F6" w:rsidRPr="00621E04" w:rsidRDefault="00AD12F6" w:rsidP="00AD12F6">
            <w:pPr>
              <w:jc w:val="right"/>
              <w:rPr>
                <w:b/>
                <w:color w:val="FFFFFF"/>
                <w:sz w:val="16"/>
                <w:szCs w:val="16"/>
              </w:rPr>
            </w:pPr>
            <w:r w:rsidRPr="00621E04">
              <w:rPr>
                <w:b/>
                <w:bCs/>
                <w:color w:val="FFFFFF"/>
                <w:sz w:val="16"/>
                <w:szCs w:val="16"/>
              </w:rPr>
              <w:t>201</w:t>
            </w:r>
            <w:r w:rsidR="00852532" w:rsidRPr="00621E04">
              <w:rPr>
                <w:b/>
                <w:bCs/>
                <w:color w:val="FFFFFF"/>
                <w:sz w:val="16"/>
                <w:szCs w:val="16"/>
              </w:rPr>
              <w:t>4</w:t>
            </w:r>
          </w:p>
        </w:tc>
        <w:tc>
          <w:tcPr>
            <w:tcW w:w="470" w:type="dxa"/>
            <w:tcBorders>
              <w:top w:val="nil"/>
              <w:left w:val="nil"/>
              <w:bottom w:val="nil"/>
              <w:right w:val="nil"/>
            </w:tcBorders>
            <w:shd w:val="clear" w:color="000000" w:fill="13B5EA"/>
            <w:noWrap/>
            <w:vAlign w:val="center"/>
            <w:hideMark/>
          </w:tcPr>
          <w:p w14:paraId="24BBE3C3" w14:textId="79DD814B" w:rsidR="00AD12F6" w:rsidRPr="004F4DDE" w:rsidRDefault="00AD12F6" w:rsidP="00AD12F6">
            <w:pPr>
              <w:jc w:val="right"/>
              <w:rPr>
                <w:b/>
                <w:color w:val="FFFFFF"/>
                <w:sz w:val="16"/>
                <w:szCs w:val="16"/>
              </w:rPr>
            </w:pPr>
            <w:r w:rsidRPr="004F4DDE">
              <w:rPr>
                <w:b/>
                <w:bCs/>
                <w:color w:val="FFFFFF"/>
                <w:sz w:val="16"/>
                <w:szCs w:val="16"/>
              </w:rPr>
              <w:t>201</w:t>
            </w:r>
            <w:r w:rsidR="00852532">
              <w:rPr>
                <w:b/>
                <w:bCs/>
                <w:color w:val="FFFFFF"/>
                <w:sz w:val="16"/>
                <w:szCs w:val="16"/>
              </w:rPr>
              <w:t>5</w:t>
            </w:r>
          </w:p>
        </w:tc>
        <w:tc>
          <w:tcPr>
            <w:tcW w:w="465" w:type="dxa"/>
            <w:tcBorders>
              <w:top w:val="nil"/>
              <w:left w:val="nil"/>
              <w:bottom w:val="nil"/>
              <w:right w:val="nil"/>
            </w:tcBorders>
            <w:shd w:val="clear" w:color="000000" w:fill="13B5EA"/>
            <w:vAlign w:val="center"/>
          </w:tcPr>
          <w:p w14:paraId="024A5A8B" w14:textId="009A911E" w:rsidR="00AD12F6" w:rsidRPr="004F4DDE" w:rsidRDefault="00AD12F6" w:rsidP="00AD12F6">
            <w:pPr>
              <w:jc w:val="right"/>
              <w:rPr>
                <w:b/>
                <w:color w:val="FFFFFF"/>
                <w:sz w:val="16"/>
                <w:szCs w:val="16"/>
              </w:rPr>
            </w:pPr>
            <w:r w:rsidRPr="004F4DDE">
              <w:rPr>
                <w:b/>
                <w:bCs/>
                <w:color w:val="FFFFFF"/>
                <w:sz w:val="16"/>
                <w:szCs w:val="16"/>
              </w:rPr>
              <w:t>201</w:t>
            </w:r>
            <w:r w:rsidR="00852532">
              <w:rPr>
                <w:b/>
                <w:bCs/>
                <w:color w:val="FFFFFF"/>
                <w:sz w:val="16"/>
                <w:szCs w:val="16"/>
              </w:rPr>
              <w:t>6</w:t>
            </w:r>
          </w:p>
        </w:tc>
        <w:tc>
          <w:tcPr>
            <w:tcW w:w="477" w:type="dxa"/>
            <w:tcBorders>
              <w:top w:val="nil"/>
              <w:left w:val="nil"/>
              <w:bottom w:val="nil"/>
              <w:right w:val="nil"/>
            </w:tcBorders>
            <w:shd w:val="clear" w:color="000000" w:fill="13B5EA"/>
            <w:noWrap/>
            <w:vAlign w:val="center"/>
            <w:hideMark/>
          </w:tcPr>
          <w:p w14:paraId="571D645D" w14:textId="41EA6629" w:rsidR="00AD12F6" w:rsidRPr="004F4DDE" w:rsidRDefault="00AD12F6" w:rsidP="00AD12F6">
            <w:pPr>
              <w:jc w:val="right"/>
              <w:rPr>
                <w:b/>
                <w:color w:val="FFFFFF"/>
                <w:sz w:val="16"/>
                <w:szCs w:val="16"/>
              </w:rPr>
            </w:pPr>
            <w:r w:rsidRPr="004F4DDE">
              <w:rPr>
                <w:b/>
                <w:bCs/>
                <w:color w:val="FFFFFF"/>
                <w:sz w:val="16"/>
                <w:szCs w:val="16"/>
              </w:rPr>
              <w:t>201</w:t>
            </w:r>
            <w:r w:rsidR="00852532">
              <w:rPr>
                <w:b/>
                <w:bCs/>
                <w:color w:val="FFFFFF"/>
                <w:sz w:val="16"/>
                <w:szCs w:val="16"/>
              </w:rPr>
              <w:t>7</w:t>
            </w:r>
          </w:p>
        </w:tc>
        <w:tc>
          <w:tcPr>
            <w:tcW w:w="467" w:type="dxa"/>
            <w:tcBorders>
              <w:top w:val="nil"/>
              <w:left w:val="nil"/>
              <w:bottom w:val="nil"/>
              <w:right w:val="nil"/>
            </w:tcBorders>
            <w:shd w:val="clear" w:color="000000" w:fill="13B5EA"/>
            <w:noWrap/>
            <w:vAlign w:val="center"/>
            <w:hideMark/>
          </w:tcPr>
          <w:p w14:paraId="1DA02A4A" w14:textId="2D8DFDC7" w:rsidR="00AD12F6" w:rsidRPr="004F4DDE" w:rsidRDefault="00AD12F6" w:rsidP="00AD12F6">
            <w:pPr>
              <w:jc w:val="right"/>
              <w:rPr>
                <w:b/>
                <w:color w:val="FFFFFF"/>
                <w:sz w:val="16"/>
                <w:szCs w:val="16"/>
              </w:rPr>
            </w:pPr>
            <w:r w:rsidRPr="004F4DDE">
              <w:rPr>
                <w:b/>
                <w:bCs/>
                <w:color w:val="FFFFFF"/>
                <w:sz w:val="16"/>
                <w:szCs w:val="16"/>
              </w:rPr>
              <w:t>201</w:t>
            </w:r>
            <w:r w:rsidR="00852532">
              <w:rPr>
                <w:b/>
                <w:bCs/>
                <w:color w:val="FFFFFF"/>
                <w:sz w:val="16"/>
                <w:szCs w:val="16"/>
              </w:rPr>
              <w:t>8</w:t>
            </w:r>
          </w:p>
        </w:tc>
        <w:tc>
          <w:tcPr>
            <w:tcW w:w="517" w:type="dxa"/>
            <w:tcBorders>
              <w:top w:val="nil"/>
              <w:left w:val="nil"/>
              <w:bottom w:val="nil"/>
              <w:right w:val="nil"/>
            </w:tcBorders>
            <w:shd w:val="clear" w:color="000000" w:fill="13B5EA"/>
            <w:noWrap/>
            <w:vAlign w:val="center"/>
            <w:hideMark/>
          </w:tcPr>
          <w:p w14:paraId="24831EF1" w14:textId="27E6A77A" w:rsidR="00AD12F6" w:rsidRPr="004F4DDE" w:rsidRDefault="00AD12F6" w:rsidP="00AD12F6">
            <w:pPr>
              <w:jc w:val="right"/>
              <w:rPr>
                <w:b/>
                <w:color w:val="FFFFFF"/>
                <w:sz w:val="16"/>
                <w:szCs w:val="16"/>
              </w:rPr>
            </w:pPr>
            <w:r w:rsidRPr="004F4DDE">
              <w:rPr>
                <w:b/>
                <w:bCs/>
                <w:color w:val="FFFFFF"/>
                <w:sz w:val="16"/>
                <w:szCs w:val="16"/>
              </w:rPr>
              <w:t>201</w:t>
            </w:r>
            <w:r w:rsidR="00852532">
              <w:rPr>
                <w:b/>
                <w:bCs/>
                <w:color w:val="FFFFFF"/>
                <w:sz w:val="16"/>
                <w:szCs w:val="16"/>
              </w:rPr>
              <w:t>9</w:t>
            </w:r>
          </w:p>
        </w:tc>
        <w:tc>
          <w:tcPr>
            <w:tcW w:w="467" w:type="dxa"/>
            <w:tcBorders>
              <w:top w:val="nil"/>
              <w:left w:val="nil"/>
              <w:bottom w:val="nil"/>
              <w:right w:val="nil"/>
            </w:tcBorders>
            <w:shd w:val="clear" w:color="000000" w:fill="13B5EA"/>
            <w:noWrap/>
            <w:vAlign w:val="center"/>
            <w:hideMark/>
          </w:tcPr>
          <w:p w14:paraId="5546D705" w14:textId="04EE7E11" w:rsidR="00AD12F6" w:rsidRPr="004F4DDE" w:rsidRDefault="00AD12F6" w:rsidP="0001206B">
            <w:pPr>
              <w:ind w:left="-47"/>
              <w:jc w:val="right"/>
              <w:rPr>
                <w:b/>
                <w:color w:val="FFFFFF"/>
                <w:sz w:val="16"/>
                <w:szCs w:val="16"/>
              </w:rPr>
            </w:pPr>
            <w:r w:rsidRPr="004F4DDE">
              <w:rPr>
                <w:b/>
                <w:bCs/>
                <w:color w:val="FFFFFF"/>
                <w:sz w:val="16"/>
                <w:szCs w:val="16"/>
              </w:rPr>
              <w:t>20</w:t>
            </w:r>
            <w:r w:rsidR="00852532">
              <w:rPr>
                <w:b/>
                <w:bCs/>
                <w:color w:val="FFFFFF"/>
                <w:sz w:val="16"/>
                <w:szCs w:val="16"/>
              </w:rPr>
              <w:t>20</w:t>
            </w:r>
          </w:p>
        </w:tc>
        <w:tc>
          <w:tcPr>
            <w:tcW w:w="510" w:type="dxa"/>
            <w:tcBorders>
              <w:top w:val="nil"/>
              <w:left w:val="nil"/>
              <w:bottom w:val="nil"/>
              <w:right w:val="nil"/>
            </w:tcBorders>
            <w:shd w:val="clear" w:color="000000" w:fill="13B5EA"/>
            <w:noWrap/>
            <w:vAlign w:val="center"/>
            <w:hideMark/>
          </w:tcPr>
          <w:p w14:paraId="19B3C1FF" w14:textId="2BDDC3B6" w:rsidR="00AD12F6" w:rsidRPr="004F4DDE" w:rsidRDefault="00AD12F6" w:rsidP="00AD12F6">
            <w:pPr>
              <w:jc w:val="right"/>
              <w:rPr>
                <w:b/>
                <w:color w:val="FFFFFF"/>
                <w:sz w:val="16"/>
                <w:szCs w:val="16"/>
              </w:rPr>
            </w:pPr>
            <w:r w:rsidRPr="004F4DDE">
              <w:rPr>
                <w:b/>
                <w:bCs/>
                <w:color w:val="FFFFFF"/>
                <w:sz w:val="16"/>
                <w:szCs w:val="16"/>
              </w:rPr>
              <w:t>202</w:t>
            </w:r>
            <w:r w:rsidR="0001206B">
              <w:rPr>
                <w:b/>
                <w:bCs/>
                <w:color w:val="FFFFFF"/>
                <w:sz w:val="16"/>
                <w:szCs w:val="16"/>
              </w:rPr>
              <w:t>1</w:t>
            </w:r>
          </w:p>
        </w:tc>
        <w:tc>
          <w:tcPr>
            <w:tcW w:w="448" w:type="dxa"/>
            <w:tcBorders>
              <w:top w:val="nil"/>
              <w:left w:val="nil"/>
              <w:bottom w:val="nil"/>
              <w:right w:val="nil"/>
            </w:tcBorders>
            <w:shd w:val="clear" w:color="000000" w:fill="13B5EA"/>
            <w:noWrap/>
            <w:vAlign w:val="center"/>
            <w:hideMark/>
          </w:tcPr>
          <w:p w14:paraId="20260BAF" w14:textId="1220E173" w:rsidR="00AD12F6" w:rsidRPr="004F4DDE" w:rsidRDefault="00AD12F6" w:rsidP="0001206B">
            <w:pPr>
              <w:ind w:left="-25"/>
              <w:jc w:val="right"/>
              <w:rPr>
                <w:b/>
                <w:color w:val="FFFFFF"/>
                <w:sz w:val="16"/>
                <w:szCs w:val="16"/>
              </w:rPr>
            </w:pPr>
            <w:r w:rsidRPr="004F4DDE">
              <w:rPr>
                <w:b/>
                <w:bCs/>
                <w:color w:val="FFFFFF"/>
                <w:sz w:val="16"/>
                <w:szCs w:val="16"/>
              </w:rPr>
              <w:t>202</w:t>
            </w:r>
            <w:r w:rsidR="0001206B">
              <w:rPr>
                <w:b/>
                <w:bCs/>
                <w:color w:val="FFFFFF"/>
                <w:sz w:val="16"/>
                <w:szCs w:val="16"/>
              </w:rPr>
              <w:t>2</w:t>
            </w:r>
          </w:p>
        </w:tc>
        <w:tc>
          <w:tcPr>
            <w:tcW w:w="506" w:type="dxa"/>
            <w:tcBorders>
              <w:top w:val="nil"/>
              <w:left w:val="nil"/>
              <w:bottom w:val="nil"/>
              <w:right w:val="nil"/>
            </w:tcBorders>
            <w:shd w:val="clear" w:color="000000" w:fill="13B5EA"/>
            <w:noWrap/>
            <w:vAlign w:val="center"/>
            <w:hideMark/>
          </w:tcPr>
          <w:p w14:paraId="6E9B0D51" w14:textId="48AB7C48" w:rsidR="00AD12F6" w:rsidRPr="004F4DDE" w:rsidRDefault="00AD12F6" w:rsidP="00AD12F6">
            <w:pPr>
              <w:jc w:val="right"/>
              <w:rPr>
                <w:b/>
                <w:color w:val="FFFFFF"/>
                <w:sz w:val="16"/>
                <w:szCs w:val="16"/>
              </w:rPr>
            </w:pPr>
            <w:r w:rsidRPr="004F4DDE">
              <w:rPr>
                <w:b/>
                <w:bCs/>
                <w:color w:val="FFFFFF"/>
                <w:sz w:val="16"/>
                <w:szCs w:val="16"/>
              </w:rPr>
              <w:t>202</w:t>
            </w:r>
            <w:r w:rsidR="0001206B">
              <w:rPr>
                <w:b/>
                <w:bCs/>
                <w:color w:val="FFFFFF"/>
                <w:sz w:val="16"/>
                <w:szCs w:val="16"/>
              </w:rPr>
              <w:t>3</w:t>
            </w:r>
          </w:p>
        </w:tc>
      </w:tr>
      <w:tr w:rsidR="00EB1BB4" w:rsidRPr="00B81300" w14:paraId="3AFD82A3" w14:textId="77777777" w:rsidTr="00AD12F6">
        <w:trPr>
          <w:trHeight w:val="300"/>
        </w:trPr>
        <w:tc>
          <w:tcPr>
            <w:tcW w:w="3994" w:type="dxa"/>
            <w:tcBorders>
              <w:top w:val="nil"/>
              <w:left w:val="nil"/>
              <w:bottom w:val="nil"/>
              <w:right w:val="nil"/>
            </w:tcBorders>
            <w:shd w:val="clear" w:color="auto" w:fill="auto"/>
            <w:noWrap/>
            <w:vAlign w:val="center"/>
            <w:hideMark/>
          </w:tcPr>
          <w:p w14:paraId="2E9023B0" w14:textId="77777777" w:rsidR="00EB1BB4" w:rsidRPr="00621E04" w:rsidRDefault="00EB1BB4" w:rsidP="00EB1BB4">
            <w:pPr>
              <w:rPr>
                <w:color w:val="000000"/>
                <w:sz w:val="18"/>
                <w:szCs w:val="18"/>
              </w:rPr>
            </w:pPr>
            <w:r w:rsidRPr="00621E04">
              <w:rPr>
                <w:color w:val="000000"/>
                <w:sz w:val="18"/>
                <w:szCs w:val="18"/>
              </w:rPr>
              <w:t>1. Jednorazové hotovostné vplyvy na saldo VS</w:t>
            </w:r>
          </w:p>
        </w:tc>
        <w:tc>
          <w:tcPr>
            <w:tcW w:w="485" w:type="dxa"/>
            <w:tcBorders>
              <w:top w:val="nil"/>
              <w:left w:val="nil"/>
              <w:bottom w:val="nil"/>
              <w:right w:val="nil"/>
            </w:tcBorders>
            <w:shd w:val="clear" w:color="auto" w:fill="auto"/>
            <w:noWrap/>
            <w:vAlign w:val="center"/>
            <w:hideMark/>
          </w:tcPr>
          <w:p w14:paraId="6AB5D99F" w14:textId="23305EF0" w:rsidR="00EB1BB4" w:rsidRPr="00621E04" w:rsidRDefault="00246571" w:rsidP="00EB1BB4">
            <w:pPr>
              <w:jc w:val="center"/>
              <w:rPr>
                <w:color w:val="000000"/>
                <w:sz w:val="16"/>
                <w:szCs w:val="16"/>
              </w:rPr>
            </w:pPr>
            <w:r w:rsidRPr="00621E04">
              <w:rPr>
                <w:rFonts w:cs="Calibri"/>
                <w:color w:val="000000"/>
                <w:sz w:val="16"/>
                <w:szCs w:val="16"/>
              </w:rPr>
              <w:t>22</w:t>
            </w:r>
          </w:p>
        </w:tc>
        <w:tc>
          <w:tcPr>
            <w:tcW w:w="471" w:type="dxa"/>
            <w:tcBorders>
              <w:top w:val="nil"/>
              <w:left w:val="nil"/>
              <w:bottom w:val="nil"/>
              <w:right w:val="nil"/>
            </w:tcBorders>
            <w:shd w:val="clear" w:color="auto" w:fill="auto"/>
            <w:noWrap/>
            <w:vAlign w:val="center"/>
            <w:hideMark/>
          </w:tcPr>
          <w:p w14:paraId="5D6A9BED" w14:textId="27FB09DF" w:rsidR="00EB1BB4" w:rsidRPr="00621E04" w:rsidRDefault="00246571" w:rsidP="00EB1BB4">
            <w:pPr>
              <w:jc w:val="center"/>
              <w:rPr>
                <w:color w:val="000000"/>
                <w:sz w:val="16"/>
                <w:szCs w:val="16"/>
              </w:rPr>
            </w:pPr>
            <w:r w:rsidRPr="00621E04">
              <w:rPr>
                <w:rFonts w:cs="Calibri"/>
                <w:color w:val="000000"/>
                <w:sz w:val="16"/>
                <w:szCs w:val="16"/>
              </w:rPr>
              <w:t>-86</w:t>
            </w:r>
          </w:p>
        </w:tc>
        <w:tc>
          <w:tcPr>
            <w:tcW w:w="470" w:type="dxa"/>
            <w:tcBorders>
              <w:top w:val="nil"/>
              <w:left w:val="nil"/>
              <w:bottom w:val="nil"/>
              <w:right w:val="nil"/>
            </w:tcBorders>
            <w:shd w:val="clear" w:color="auto" w:fill="auto"/>
            <w:noWrap/>
            <w:vAlign w:val="center"/>
            <w:hideMark/>
          </w:tcPr>
          <w:p w14:paraId="5DECB3E7" w14:textId="47FBD714" w:rsidR="00EB1BB4" w:rsidRPr="00446EC5" w:rsidRDefault="00246571" w:rsidP="00EB1BB4">
            <w:pPr>
              <w:jc w:val="center"/>
              <w:rPr>
                <w:color w:val="000000"/>
                <w:sz w:val="16"/>
                <w:szCs w:val="16"/>
              </w:rPr>
            </w:pPr>
            <w:r w:rsidRPr="00446EC5">
              <w:rPr>
                <w:rFonts w:cs="Calibri"/>
                <w:color w:val="000000"/>
                <w:sz w:val="16"/>
                <w:szCs w:val="16"/>
              </w:rPr>
              <w:t>0</w:t>
            </w:r>
          </w:p>
        </w:tc>
        <w:tc>
          <w:tcPr>
            <w:tcW w:w="465" w:type="dxa"/>
            <w:tcBorders>
              <w:top w:val="nil"/>
              <w:left w:val="nil"/>
              <w:bottom w:val="nil"/>
              <w:right w:val="nil"/>
            </w:tcBorders>
            <w:vAlign w:val="center"/>
          </w:tcPr>
          <w:p w14:paraId="2400B2CB" w14:textId="3D37DB84" w:rsidR="00EB1BB4" w:rsidRPr="00446EC5" w:rsidRDefault="00C9620B" w:rsidP="00EB1BB4">
            <w:pPr>
              <w:jc w:val="center"/>
              <w:rPr>
                <w:color w:val="000000"/>
                <w:sz w:val="16"/>
                <w:szCs w:val="16"/>
              </w:rPr>
            </w:pPr>
            <w:r w:rsidRPr="00446EC5">
              <w:rPr>
                <w:rFonts w:cs="Calibri"/>
                <w:color w:val="000000"/>
                <w:sz w:val="16"/>
                <w:szCs w:val="16"/>
              </w:rPr>
              <w:t>-46</w:t>
            </w:r>
          </w:p>
        </w:tc>
        <w:tc>
          <w:tcPr>
            <w:tcW w:w="477" w:type="dxa"/>
            <w:tcBorders>
              <w:top w:val="nil"/>
              <w:left w:val="nil"/>
              <w:bottom w:val="nil"/>
              <w:right w:val="nil"/>
            </w:tcBorders>
            <w:shd w:val="clear" w:color="auto" w:fill="auto"/>
            <w:noWrap/>
            <w:vAlign w:val="center"/>
            <w:hideMark/>
          </w:tcPr>
          <w:p w14:paraId="5CBE98D5" w14:textId="2AAD2993" w:rsidR="00EB1BB4" w:rsidRPr="00446EC5" w:rsidRDefault="00EB1BB4" w:rsidP="00EB1BB4">
            <w:pPr>
              <w:jc w:val="center"/>
              <w:rPr>
                <w:color w:val="000000"/>
                <w:sz w:val="16"/>
                <w:szCs w:val="16"/>
              </w:rPr>
            </w:pPr>
            <w:r w:rsidRPr="00446EC5">
              <w:rPr>
                <w:rFonts w:cs="Calibri"/>
                <w:color w:val="000000"/>
                <w:sz w:val="16"/>
                <w:szCs w:val="16"/>
              </w:rPr>
              <w:t>-</w:t>
            </w:r>
            <w:r w:rsidR="00C9620B" w:rsidRPr="00446EC5">
              <w:rPr>
                <w:rFonts w:cs="Calibri"/>
                <w:color w:val="000000"/>
                <w:sz w:val="16"/>
                <w:szCs w:val="16"/>
              </w:rPr>
              <w:t>41</w:t>
            </w:r>
          </w:p>
        </w:tc>
        <w:tc>
          <w:tcPr>
            <w:tcW w:w="467" w:type="dxa"/>
            <w:tcBorders>
              <w:top w:val="nil"/>
              <w:left w:val="nil"/>
              <w:bottom w:val="nil"/>
              <w:right w:val="nil"/>
            </w:tcBorders>
            <w:shd w:val="clear" w:color="auto" w:fill="auto"/>
            <w:noWrap/>
            <w:vAlign w:val="center"/>
            <w:hideMark/>
          </w:tcPr>
          <w:p w14:paraId="16F9FD25" w14:textId="3D80F16A" w:rsidR="00EB1BB4" w:rsidRPr="00446EC5" w:rsidRDefault="00C9620B" w:rsidP="00EB1BB4">
            <w:pPr>
              <w:jc w:val="center"/>
              <w:rPr>
                <w:color w:val="000000"/>
                <w:sz w:val="16"/>
                <w:szCs w:val="16"/>
              </w:rPr>
            </w:pPr>
            <w:r w:rsidRPr="00446EC5">
              <w:rPr>
                <w:rFonts w:cs="Calibri"/>
                <w:color w:val="000000"/>
                <w:sz w:val="16"/>
                <w:szCs w:val="16"/>
              </w:rPr>
              <w:t>33</w:t>
            </w:r>
          </w:p>
        </w:tc>
        <w:tc>
          <w:tcPr>
            <w:tcW w:w="517" w:type="dxa"/>
            <w:tcBorders>
              <w:top w:val="nil"/>
              <w:left w:val="nil"/>
              <w:bottom w:val="nil"/>
              <w:right w:val="nil"/>
            </w:tcBorders>
            <w:shd w:val="clear" w:color="auto" w:fill="auto"/>
            <w:noWrap/>
            <w:vAlign w:val="center"/>
            <w:hideMark/>
          </w:tcPr>
          <w:p w14:paraId="0F713F26" w14:textId="6CE86B8F" w:rsidR="00EB1BB4" w:rsidRPr="00FB4087" w:rsidRDefault="00E01EEC" w:rsidP="00EB1BB4">
            <w:pPr>
              <w:jc w:val="center"/>
              <w:rPr>
                <w:color w:val="000000"/>
                <w:sz w:val="16"/>
                <w:szCs w:val="16"/>
              </w:rPr>
            </w:pPr>
            <w:r>
              <w:rPr>
                <w:rFonts w:cs="Calibri"/>
                <w:color w:val="000000"/>
                <w:sz w:val="16"/>
                <w:szCs w:val="16"/>
              </w:rPr>
              <w:t>0</w:t>
            </w:r>
          </w:p>
        </w:tc>
        <w:tc>
          <w:tcPr>
            <w:tcW w:w="467" w:type="dxa"/>
            <w:tcBorders>
              <w:top w:val="nil"/>
              <w:left w:val="nil"/>
              <w:bottom w:val="nil"/>
              <w:right w:val="nil"/>
            </w:tcBorders>
            <w:shd w:val="clear" w:color="auto" w:fill="auto"/>
            <w:noWrap/>
            <w:vAlign w:val="center"/>
            <w:hideMark/>
          </w:tcPr>
          <w:p w14:paraId="06904BF5" w14:textId="12AC05BB" w:rsidR="00EB1BB4" w:rsidRPr="00FB4087" w:rsidRDefault="00EF5B0E" w:rsidP="00EB1BB4">
            <w:pPr>
              <w:jc w:val="center"/>
              <w:rPr>
                <w:color w:val="000000"/>
                <w:sz w:val="16"/>
                <w:szCs w:val="16"/>
              </w:rPr>
            </w:pPr>
            <w:r w:rsidRPr="00FB4087">
              <w:rPr>
                <w:rFonts w:cs="Calibri"/>
                <w:color w:val="000000"/>
                <w:sz w:val="16"/>
                <w:szCs w:val="16"/>
              </w:rPr>
              <w:t>-</w:t>
            </w:r>
            <w:r w:rsidR="008C38C5">
              <w:rPr>
                <w:rFonts w:cs="Calibri"/>
                <w:color w:val="000000"/>
                <w:sz w:val="16"/>
                <w:szCs w:val="16"/>
              </w:rPr>
              <w:t>797</w:t>
            </w:r>
          </w:p>
        </w:tc>
        <w:tc>
          <w:tcPr>
            <w:tcW w:w="510" w:type="dxa"/>
            <w:tcBorders>
              <w:top w:val="nil"/>
              <w:left w:val="nil"/>
              <w:bottom w:val="nil"/>
              <w:right w:val="nil"/>
            </w:tcBorders>
            <w:shd w:val="clear" w:color="auto" w:fill="auto"/>
            <w:noWrap/>
            <w:vAlign w:val="center"/>
            <w:hideMark/>
          </w:tcPr>
          <w:p w14:paraId="68BE9D7D" w14:textId="077924E1" w:rsidR="00EB1BB4" w:rsidRPr="00FB4087" w:rsidRDefault="008545FA" w:rsidP="00EB1BB4">
            <w:pPr>
              <w:jc w:val="center"/>
              <w:rPr>
                <w:color w:val="000000"/>
                <w:sz w:val="16"/>
                <w:szCs w:val="16"/>
              </w:rPr>
            </w:pPr>
            <w:r>
              <w:rPr>
                <w:rFonts w:cs="Calibri"/>
                <w:color w:val="000000"/>
                <w:sz w:val="16"/>
                <w:szCs w:val="16"/>
              </w:rPr>
              <w:t>0</w:t>
            </w:r>
          </w:p>
        </w:tc>
        <w:tc>
          <w:tcPr>
            <w:tcW w:w="448" w:type="dxa"/>
            <w:tcBorders>
              <w:top w:val="nil"/>
              <w:left w:val="nil"/>
              <w:bottom w:val="nil"/>
              <w:right w:val="nil"/>
            </w:tcBorders>
            <w:shd w:val="clear" w:color="auto" w:fill="auto"/>
            <w:noWrap/>
            <w:vAlign w:val="center"/>
            <w:hideMark/>
          </w:tcPr>
          <w:p w14:paraId="73ACBA0B" w14:textId="4D8889B4" w:rsidR="00EB1BB4" w:rsidRPr="00FB4087" w:rsidRDefault="008545FA" w:rsidP="00EB1BB4">
            <w:pPr>
              <w:jc w:val="center"/>
              <w:rPr>
                <w:color w:val="000000"/>
                <w:sz w:val="16"/>
                <w:szCs w:val="16"/>
              </w:rPr>
            </w:pPr>
            <w:r>
              <w:rPr>
                <w:rFonts w:cs="Calibri"/>
                <w:color w:val="000000"/>
                <w:sz w:val="16"/>
                <w:szCs w:val="16"/>
              </w:rPr>
              <w:t>0</w:t>
            </w:r>
          </w:p>
        </w:tc>
        <w:tc>
          <w:tcPr>
            <w:tcW w:w="506" w:type="dxa"/>
            <w:tcBorders>
              <w:top w:val="nil"/>
              <w:left w:val="nil"/>
              <w:bottom w:val="nil"/>
              <w:right w:val="nil"/>
            </w:tcBorders>
            <w:shd w:val="clear" w:color="auto" w:fill="auto"/>
            <w:noWrap/>
            <w:vAlign w:val="center"/>
            <w:hideMark/>
          </w:tcPr>
          <w:p w14:paraId="446A3EF1" w14:textId="0A17A08D" w:rsidR="00EB1BB4" w:rsidRPr="00FB4087" w:rsidRDefault="008545FA" w:rsidP="00EB1BB4">
            <w:pPr>
              <w:jc w:val="center"/>
              <w:rPr>
                <w:color w:val="000000"/>
                <w:sz w:val="16"/>
                <w:szCs w:val="16"/>
              </w:rPr>
            </w:pPr>
            <w:r>
              <w:rPr>
                <w:rFonts w:cs="Calibri"/>
                <w:color w:val="000000"/>
                <w:sz w:val="16"/>
                <w:szCs w:val="16"/>
              </w:rPr>
              <w:t>0</w:t>
            </w:r>
          </w:p>
        </w:tc>
      </w:tr>
      <w:tr w:rsidR="00372352" w:rsidRPr="00B81300" w14:paraId="68C1D96E" w14:textId="77777777" w:rsidTr="00AD12F6">
        <w:trPr>
          <w:trHeight w:val="300"/>
        </w:trPr>
        <w:tc>
          <w:tcPr>
            <w:tcW w:w="3994" w:type="dxa"/>
            <w:tcBorders>
              <w:top w:val="nil"/>
              <w:left w:val="nil"/>
              <w:bottom w:val="nil"/>
              <w:right w:val="nil"/>
            </w:tcBorders>
            <w:shd w:val="clear" w:color="auto" w:fill="auto"/>
            <w:noWrap/>
            <w:vAlign w:val="center"/>
          </w:tcPr>
          <w:p w14:paraId="6A9C738D" w14:textId="0E4313F7" w:rsidR="00372352" w:rsidRPr="00E01EEC" w:rsidRDefault="00372352" w:rsidP="00372352">
            <w:pPr>
              <w:ind w:firstLineChars="100" w:firstLine="180"/>
              <w:rPr>
                <w:color w:val="000000"/>
                <w:sz w:val="18"/>
                <w:szCs w:val="18"/>
              </w:rPr>
            </w:pPr>
            <w:r w:rsidRPr="00E01EEC">
              <w:rPr>
                <w:color w:val="000000"/>
                <w:sz w:val="18"/>
                <w:szCs w:val="18"/>
              </w:rPr>
              <w:t xml:space="preserve"> - </w:t>
            </w:r>
            <w:r w:rsidR="00E01EEC" w:rsidRPr="00E01EEC">
              <w:rPr>
                <w:color w:val="000000"/>
                <w:sz w:val="18"/>
                <w:szCs w:val="18"/>
              </w:rPr>
              <w:t>opatrenia</w:t>
            </w:r>
            <w:r w:rsidRPr="00E01EEC">
              <w:rPr>
                <w:color w:val="000000"/>
                <w:sz w:val="18"/>
                <w:szCs w:val="18"/>
              </w:rPr>
              <w:t xml:space="preserve"> spojené s</w:t>
            </w:r>
            <w:r w:rsidR="00E01EEC" w:rsidRPr="00E01EEC">
              <w:rPr>
                <w:color w:val="000000"/>
                <w:sz w:val="18"/>
                <w:szCs w:val="18"/>
              </w:rPr>
              <w:t xml:space="preserve"> pandémiou </w:t>
            </w:r>
            <w:r w:rsidR="00E01EEC">
              <w:rPr>
                <w:color w:val="000000"/>
                <w:sz w:val="18"/>
                <w:szCs w:val="18"/>
              </w:rPr>
              <w:t>koronavírusu</w:t>
            </w:r>
          </w:p>
        </w:tc>
        <w:tc>
          <w:tcPr>
            <w:tcW w:w="485" w:type="dxa"/>
            <w:tcBorders>
              <w:top w:val="nil"/>
              <w:left w:val="nil"/>
              <w:bottom w:val="nil"/>
              <w:right w:val="nil"/>
            </w:tcBorders>
            <w:shd w:val="clear" w:color="auto" w:fill="auto"/>
            <w:noWrap/>
            <w:vAlign w:val="center"/>
          </w:tcPr>
          <w:p w14:paraId="0F09C643" w14:textId="27BECE44" w:rsidR="00372352" w:rsidRPr="00E01EEC" w:rsidRDefault="00372352" w:rsidP="00372352">
            <w:pPr>
              <w:jc w:val="center"/>
              <w:rPr>
                <w:rFonts w:cs="Calibri"/>
                <w:color w:val="000000"/>
                <w:sz w:val="16"/>
                <w:szCs w:val="16"/>
              </w:rPr>
            </w:pPr>
            <w:r w:rsidRPr="00E01EEC">
              <w:rPr>
                <w:rFonts w:cs="Calibri"/>
                <w:color w:val="000000"/>
                <w:sz w:val="16"/>
                <w:szCs w:val="16"/>
              </w:rPr>
              <w:t>-</w:t>
            </w:r>
          </w:p>
        </w:tc>
        <w:tc>
          <w:tcPr>
            <w:tcW w:w="471" w:type="dxa"/>
            <w:tcBorders>
              <w:top w:val="nil"/>
              <w:left w:val="nil"/>
              <w:bottom w:val="nil"/>
              <w:right w:val="nil"/>
            </w:tcBorders>
            <w:shd w:val="clear" w:color="auto" w:fill="auto"/>
            <w:noWrap/>
            <w:vAlign w:val="center"/>
          </w:tcPr>
          <w:p w14:paraId="0507AA3F" w14:textId="5DFBC9B0" w:rsidR="00372352" w:rsidRPr="00E01EEC" w:rsidRDefault="00372352" w:rsidP="00372352">
            <w:pPr>
              <w:jc w:val="center"/>
              <w:rPr>
                <w:rFonts w:cs="Calibri"/>
                <w:color w:val="000000"/>
                <w:sz w:val="16"/>
                <w:szCs w:val="16"/>
              </w:rPr>
            </w:pPr>
            <w:r w:rsidRPr="00E01EEC">
              <w:rPr>
                <w:rFonts w:cs="Calibri"/>
                <w:color w:val="000000"/>
                <w:sz w:val="16"/>
                <w:szCs w:val="16"/>
              </w:rPr>
              <w:t>-</w:t>
            </w:r>
          </w:p>
        </w:tc>
        <w:tc>
          <w:tcPr>
            <w:tcW w:w="470" w:type="dxa"/>
            <w:tcBorders>
              <w:top w:val="nil"/>
              <w:left w:val="nil"/>
              <w:bottom w:val="nil"/>
              <w:right w:val="nil"/>
            </w:tcBorders>
            <w:shd w:val="clear" w:color="auto" w:fill="auto"/>
            <w:noWrap/>
            <w:vAlign w:val="center"/>
          </w:tcPr>
          <w:p w14:paraId="121AE551" w14:textId="1F754D9D" w:rsidR="00372352" w:rsidRPr="00E01EEC" w:rsidRDefault="00372352" w:rsidP="00372352">
            <w:pPr>
              <w:jc w:val="center"/>
              <w:rPr>
                <w:rFonts w:cs="Calibri"/>
                <w:color w:val="000000"/>
                <w:sz w:val="16"/>
                <w:szCs w:val="16"/>
              </w:rPr>
            </w:pPr>
            <w:r w:rsidRPr="00E01EEC">
              <w:rPr>
                <w:rFonts w:cs="Calibri"/>
                <w:color w:val="000000"/>
                <w:sz w:val="16"/>
                <w:szCs w:val="16"/>
              </w:rPr>
              <w:t>-</w:t>
            </w:r>
          </w:p>
        </w:tc>
        <w:tc>
          <w:tcPr>
            <w:tcW w:w="465" w:type="dxa"/>
            <w:tcBorders>
              <w:top w:val="nil"/>
              <w:left w:val="nil"/>
              <w:bottom w:val="nil"/>
              <w:right w:val="nil"/>
            </w:tcBorders>
            <w:vAlign w:val="center"/>
          </w:tcPr>
          <w:p w14:paraId="2CDC1145" w14:textId="722F505B" w:rsidR="00372352" w:rsidRPr="00E01EEC" w:rsidRDefault="00372352" w:rsidP="00372352">
            <w:pPr>
              <w:jc w:val="center"/>
              <w:rPr>
                <w:rFonts w:cs="Calibri"/>
                <w:color w:val="000000"/>
                <w:sz w:val="16"/>
                <w:szCs w:val="16"/>
              </w:rPr>
            </w:pPr>
            <w:r w:rsidRPr="00E01EEC">
              <w:rPr>
                <w:rFonts w:cs="Calibri"/>
                <w:color w:val="000000"/>
                <w:sz w:val="16"/>
                <w:szCs w:val="16"/>
              </w:rPr>
              <w:t>-</w:t>
            </w:r>
          </w:p>
        </w:tc>
        <w:tc>
          <w:tcPr>
            <w:tcW w:w="477" w:type="dxa"/>
            <w:tcBorders>
              <w:top w:val="nil"/>
              <w:left w:val="nil"/>
              <w:bottom w:val="nil"/>
              <w:right w:val="nil"/>
            </w:tcBorders>
            <w:shd w:val="clear" w:color="auto" w:fill="auto"/>
            <w:noWrap/>
            <w:vAlign w:val="center"/>
          </w:tcPr>
          <w:p w14:paraId="118F4A6D" w14:textId="1C2AA879" w:rsidR="00372352" w:rsidRPr="00E01EEC" w:rsidRDefault="00372352" w:rsidP="00372352">
            <w:pPr>
              <w:jc w:val="center"/>
              <w:rPr>
                <w:rFonts w:cs="Calibri"/>
                <w:color w:val="000000"/>
                <w:sz w:val="16"/>
                <w:szCs w:val="16"/>
              </w:rPr>
            </w:pPr>
            <w:r w:rsidRPr="00E01EEC">
              <w:rPr>
                <w:rFonts w:cs="Calibri"/>
                <w:color w:val="000000"/>
                <w:sz w:val="16"/>
                <w:szCs w:val="16"/>
              </w:rPr>
              <w:t>-</w:t>
            </w:r>
          </w:p>
        </w:tc>
        <w:tc>
          <w:tcPr>
            <w:tcW w:w="467" w:type="dxa"/>
            <w:tcBorders>
              <w:top w:val="nil"/>
              <w:left w:val="nil"/>
              <w:bottom w:val="nil"/>
              <w:right w:val="nil"/>
            </w:tcBorders>
            <w:shd w:val="clear" w:color="auto" w:fill="auto"/>
            <w:noWrap/>
            <w:vAlign w:val="center"/>
          </w:tcPr>
          <w:p w14:paraId="41270094" w14:textId="2B8DF5B6" w:rsidR="00372352" w:rsidRPr="00E01EEC" w:rsidRDefault="00372352" w:rsidP="00372352">
            <w:pPr>
              <w:jc w:val="center"/>
              <w:rPr>
                <w:rFonts w:cs="Calibri"/>
                <w:color w:val="000000"/>
                <w:sz w:val="16"/>
                <w:szCs w:val="16"/>
              </w:rPr>
            </w:pPr>
            <w:r w:rsidRPr="00E01EEC">
              <w:rPr>
                <w:rFonts w:cs="Calibri"/>
                <w:color w:val="000000"/>
                <w:sz w:val="16"/>
                <w:szCs w:val="16"/>
              </w:rPr>
              <w:t>-</w:t>
            </w:r>
          </w:p>
        </w:tc>
        <w:tc>
          <w:tcPr>
            <w:tcW w:w="517" w:type="dxa"/>
            <w:tcBorders>
              <w:top w:val="nil"/>
              <w:left w:val="nil"/>
              <w:bottom w:val="nil"/>
              <w:right w:val="nil"/>
            </w:tcBorders>
            <w:shd w:val="clear" w:color="auto" w:fill="auto"/>
            <w:noWrap/>
            <w:vAlign w:val="center"/>
          </w:tcPr>
          <w:p w14:paraId="104E0476" w14:textId="00181319" w:rsidR="00372352" w:rsidRPr="00E01EEC" w:rsidRDefault="00372352" w:rsidP="00372352">
            <w:pPr>
              <w:jc w:val="center"/>
              <w:rPr>
                <w:rFonts w:cs="Calibri"/>
                <w:color w:val="000000"/>
                <w:sz w:val="16"/>
                <w:szCs w:val="16"/>
              </w:rPr>
            </w:pPr>
            <w:r w:rsidRPr="00E01EEC">
              <w:rPr>
                <w:rFonts w:cs="Calibri"/>
                <w:color w:val="000000"/>
                <w:sz w:val="16"/>
                <w:szCs w:val="16"/>
              </w:rPr>
              <w:t>-</w:t>
            </w:r>
          </w:p>
        </w:tc>
        <w:tc>
          <w:tcPr>
            <w:tcW w:w="467" w:type="dxa"/>
            <w:tcBorders>
              <w:top w:val="nil"/>
              <w:left w:val="nil"/>
              <w:bottom w:val="nil"/>
              <w:right w:val="nil"/>
            </w:tcBorders>
            <w:shd w:val="clear" w:color="auto" w:fill="auto"/>
            <w:noWrap/>
            <w:vAlign w:val="center"/>
          </w:tcPr>
          <w:p w14:paraId="1C0DDC6A" w14:textId="70C8FDA7" w:rsidR="00372352" w:rsidRPr="00E01EEC" w:rsidRDefault="0083653D" w:rsidP="00372352">
            <w:pPr>
              <w:jc w:val="center"/>
              <w:rPr>
                <w:rFonts w:cs="Calibri"/>
                <w:color w:val="000000"/>
                <w:sz w:val="16"/>
                <w:szCs w:val="16"/>
              </w:rPr>
            </w:pPr>
            <w:r w:rsidRPr="00E01EEC">
              <w:rPr>
                <w:rFonts w:cs="Calibri"/>
                <w:color w:val="000000"/>
                <w:sz w:val="16"/>
                <w:szCs w:val="16"/>
              </w:rPr>
              <w:t>-797</w:t>
            </w:r>
          </w:p>
        </w:tc>
        <w:tc>
          <w:tcPr>
            <w:tcW w:w="510" w:type="dxa"/>
            <w:tcBorders>
              <w:top w:val="nil"/>
              <w:left w:val="nil"/>
              <w:bottom w:val="nil"/>
              <w:right w:val="nil"/>
            </w:tcBorders>
            <w:shd w:val="clear" w:color="auto" w:fill="auto"/>
            <w:noWrap/>
            <w:vAlign w:val="center"/>
          </w:tcPr>
          <w:p w14:paraId="5ACD952A" w14:textId="6803C877" w:rsidR="00372352" w:rsidRPr="00E01EEC" w:rsidRDefault="00372352" w:rsidP="00372352">
            <w:pPr>
              <w:jc w:val="center"/>
              <w:rPr>
                <w:rFonts w:cs="Calibri"/>
                <w:color w:val="000000"/>
                <w:sz w:val="16"/>
                <w:szCs w:val="16"/>
              </w:rPr>
            </w:pPr>
            <w:r w:rsidRPr="00E01EEC">
              <w:rPr>
                <w:rFonts w:cs="Calibri"/>
                <w:color w:val="000000"/>
                <w:sz w:val="16"/>
                <w:szCs w:val="16"/>
              </w:rPr>
              <w:t>-</w:t>
            </w:r>
          </w:p>
        </w:tc>
        <w:tc>
          <w:tcPr>
            <w:tcW w:w="448" w:type="dxa"/>
            <w:tcBorders>
              <w:top w:val="nil"/>
              <w:left w:val="nil"/>
              <w:bottom w:val="nil"/>
              <w:right w:val="nil"/>
            </w:tcBorders>
            <w:shd w:val="clear" w:color="auto" w:fill="auto"/>
            <w:noWrap/>
            <w:vAlign w:val="center"/>
          </w:tcPr>
          <w:p w14:paraId="1BE0511D" w14:textId="742E6082" w:rsidR="00372352" w:rsidRPr="00FB4087" w:rsidRDefault="00372352" w:rsidP="00372352">
            <w:pPr>
              <w:jc w:val="center"/>
              <w:rPr>
                <w:rFonts w:cs="Calibri"/>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tcPr>
          <w:p w14:paraId="07948BBF" w14:textId="32394EEB" w:rsidR="00372352" w:rsidRPr="00FB4087" w:rsidRDefault="00372352" w:rsidP="00372352">
            <w:pPr>
              <w:jc w:val="center"/>
              <w:rPr>
                <w:rFonts w:cs="Calibri"/>
                <w:color w:val="000000"/>
                <w:sz w:val="16"/>
                <w:szCs w:val="16"/>
              </w:rPr>
            </w:pPr>
            <w:r w:rsidRPr="00FB4087">
              <w:rPr>
                <w:rFonts w:cs="Calibri"/>
                <w:color w:val="000000"/>
                <w:sz w:val="16"/>
                <w:szCs w:val="16"/>
              </w:rPr>
              <w:t>-</w:t>
            </w:r>
          </w:p>
        </w:tc>
      </w:tr>
      <w:tr w:rsidR="00372352" w:rsidRPr="00B81300" w14:paraId="52208700" w14:textId="77777777" w:rsidTr="00AD12F6">
        <w:trPr>
          <w:trHeight w:val="300"/>
        </w:trPr>
        <w:tc>
          <w:tcPr>
            <w:tcW w:w="3994" w:type="dxa"/>
            <w:tcBorders>
              <w:top w:val="nil"/>
              <w:left w:val="nil"/>
              <w:bottom w:val="nil"/>
              <w:right w:val="nil"/>
            </w:tcBorders>
            <w:shd w:val="clear" w:color="auto" w:fill="auto"/>
            <w:noWrap/>
            <w:vAlign w:val="center"/>
            <w:hideMark/>
          </w:tcPr>
          <w:p w14:paraId="73B051D8" w14:textId="11A10BCB" w:rsidR="00372352" w:rsidRPr="00621E04" w:rsidRDefault="00372352" w:rsidP="00372352">
            <w:pPr>
              <w:ind w:firstLineChars="100" w:firstLine="180"/>
              <w:rPr>
                <w:color w:val="000000"/>
                <w:sz w:val="18"/>
                <w:szCs w:val="18"/>
              </w:rPr>
            </w:pPr>
            <w:r w:rsidRPr="00621E04">
              <w:rPr>
                <w:color w:val="000000"/>
                <w:sz w:val="18"/>
                <w:szCs w:val="18"/>
              </w:rPr>
              <w:t xml:space="preserve"> - mimoriadny odvod v bankovom sektore</w:t>
            </w:r>
          </w:p>
        </w:tc>
        <w:tc>
          <w:tcPr>
            <w:tcW w:w="485" w:type="dxa"/>
            <w:tcBorders>
              <w:top w:val="nil"/>
              <w:left w:val="nil"/>
              <w:bottom w:val="nil"/>
              <w:right w:val="nil"/>
            </w:tcBorders>
            <w:shd w:val="clear" w:color="auto" w:fill="auto"/>
            <w:noWrap/>
            <w:vAlign w:val="center"/>
            <w:hideMark/>
          </w:tcPr>
          <w:p w14:paraId="4E40B258" w14:textId="6058556D" w:rsidR="00372352" w:rsidRPr="00621E04" w:rsidRDefault="00372352" w:rsidP="00372352">
            <w:pPr>
              <w:jc w:val="center"/>
              <w:rPr>
                <w:color w:val="000000"/>
                <w:sz w:val="16"/>
                <w:szCs w:val="16"/>
              </w:rPr>
            </w:pPr>
            <w:r w:rsidRPr="00621E04">
              <w:rPr>
                <w:rFonts w:cs="Calibri"/>
                <w:color w:val="000000"/>
                <w:sz w:val="16"/>
                <w:szCs w:val="16"/>
              </w:rPr>
              <w:t>-</w:t>
            </w:r>
          </w:p>
        </w:tc>
        <w:tc>
          <w:tcPr>
            <w:tcW w:w="471" w:type="dxa"/>
            <w:tcBorders>
              <w:top w:val="nil"/>
              <w:left w:val="nil"/>
              <w:bottom w:val="nil"/>
              <w:right w:val="nil"/>
            </w:tcBorders>
            <w:shd w:val="clear" w:color="auto" w:fill="auto"/>
            <w:noWrap/>
            <w:vAlign w:val="center"/>
            <w:hideMark/>
          </w:tcPr>
          <w:p w14:paraId="2306C2F2" w14:textId="72619974" w:rsidR="00372352" w:rsidRPr="00621E04" w:rsidRDefault="00372352" w:rsidP="00372352">
            <w:pPr>
              <w:jc w:val="center"/>
              <w:rPr>
                <w:color w:val="000000"/>
                <w:sz w:val="16"/>
                <w:szCs w:val="16"/>
              </w:rPr>
            </w:pPr>
            <w:r w:rsidRPr="00621E04">
              <w:rPr>
                <w:rFonts w:cs="Calibri"/>
                <w:color w:val="000000"/>
                <w:sz w:val="16"/>
                <w:szCs w:val="16"/>
              </w:rPr>
              <w:t>-</w:t>
            </w:r>
          </w:p>
        </w:tc>
        <w:tc>
          <w:tcPr>
            <w:tcW w:w="470" w:type="dxa"/>
            <w:tcBorders>
              <w:top w:val="nil"/>
              <w:left w:val="nil"/>
              <w:bottom w:val="nil"/>
              <w:right w:val="nil"/>
            </w:tcBorders>
            <w:shd w:val="clear" w:color="auto" w:fill="auto"/>
            <w:noWrap/>
            <w:vAlign w:val="center"/>
            <w:hideMark/>
          </w:tcPr>
          <w:p w14:paraId="557183BF" w14:textId="78B65A33" w:rsidR="00372352" w:rsidRPr="00446EC5" w:rsidRDefault="00372352" w:rsidP="00372352">
            <w:pPr>
              <w:jc w:val="center"/>
              <w:rPr>
                <w:color w:val="000000"/>
                <w:sz w:val="16"/>
                <w:szCs w:val="16"/>
              </w:rPr>
            </w:pPr>
            <w:r w:rsidRPr="00446EC5">
              <w:rPr>
                <w:rFonts w:cs="Calibri"/>
                <w:color w:val="000000"/>
                <w:sz w:val="16"/>
                <w:szCs w:val="16"/>
              </w:rPr>
              <w:t>-</w:t>
            </w:r>
          </w:p>
        </w:tc>
        <w:tc>
          <w:tcPr>
            <w:tcW w:w="465" w:type="dxa"/>
            <w:tcBorders>
              <w:top w:val="nil"/>
              <w:left w:val="nil"/>
              <w:bottom w:val="nil"/>
              <w:right w:val="nil"/>
            </w:tcBorders>
            <w:vAlign w:val="center"/>
          </w:tcPr>
          <w:p w14:paraId="2CAA8D13" w14:textId="0DADCC22"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hideMark/>
          </w:tcPr>
          <w:p w14:paraId="7ED81B50" w14:textId="5577A5F4"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439CBF9A" w14:textId="5FA10C0C"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6F6F5461" w14:textId="0F27A45C"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1D04FA7C" w14:textId="6BB45355"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630A3A97" w14:textId="618AEB72"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1A76A101" w14:textId="65ADAF7C"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540B574A" w14:textId="4239DF38"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5D4BD913" w14:textId="77777777" w:rsidTr="00AD12F6">
        <w:trPr>
          <w:trHeight w:val="300"/>
        </w:trPr>
        <w:tc>
          <w:tcPr>
            <w:tcW w:w="3994" w:type="dxa"/>
            <w:tcBorders>
              <w:top w:val="nil"/>
              <w:left w:val="nil"/>
              <w:bottom w:val="nil"/>
              <w:right w:val="nil"/>
            </w:tcBorders>
            <w:shd w:val="clear" w:color="auto" w:fill="auto"/>
            <w:noWrap/>
            <w:vAlign w:val="center"/>
          </w:tcPr>
          <w:p w14:paraId="44E7F207" w14:textId="2B1C7A0F" w:rsidR="00372352" w:rsidRPr="00621E04" w:rsidRDefault="00372352" w:rsidP="00372352">
            <w:pPr>
              <w:ind w:firstLineChars="100" w:firstLine="180"/>
              <w:rPr>
                <w:color w:val="000000"/>
                <w:sz w:val="18"/>
                <w:szCs w:val="18"/>
              </w:rPr>
            </w:pPr>
            <w:r w:rsidRPr="00621E04">
              <w:rPr>
                <w:color w:val="000000"/>
                <w:sz w:val="18"/>
                <w:szCs w:val="18"/>
              </w:rPr>
              <w:t xml:space="preserve"> - dividendy nad rámec zisku z riadnej činnosti</w:t>
            </w:r>
          </w:p>
        </w:tc>
        <w:tc>
          <w:tcPr>
            <w:tcW w:w="485" w:type="dxa"/>
            <w:tcBorders>
              <w:top w:val="nil"/>
              <w:left w:val="nil"/>
              <w:bottom w:val="nil"/>
              <w:right w:val="nil"/>
            </w:tcBorders>
            <w:shd w:val="clear" w:color="auto" w:fill="auto"/>
            <w:noWrap/>
            <w:vAlign w:val="center"/>
          </w:tcPr>
          <w:p w14:paraId="113CC705" w14:textId="00367BFA" w:rsidR="00372352" w:rsidRPr="00621E04" w:rsidRDefault="00372352" w:rsidP="00372352">
            <w:pPr>
              <w:jc w:val="center"/>
              <w:rPr>
                <w:color w:val="000000"/>
                <w:sz w:val="16"/>
                <w:szCs w:val="16"/>
              </w:rPr>
            </w:pPr>
            <w:r w:rsidRPr="00621E04">
              <w:rPr>
                <w:rFonts w:cs="Calibri"/>
                <w:color w:val="000000"/>
                <w:sz w:val="16"/>
                <w:szCs w:val="16"/>
              </w:rPr>
              <w:t>-</w:t>
            </w:r>
          </w:p>
        </w:tc>
        <w:tc>
          <w:tcPr>
            <w:tcW w:w="471" w:type="dxa"/>
            <w:tcBorders>
              <w:top w:val="nil"/>
              <w:left w:val="nil"/>
              <w:bottom w:val="nil"/>
              <w:right w:val="nil"/>
            </w:tcBorders>
            <w:shd w:val="clear" w:color="auto" w:fill="auto"/>
            <w:noWrap/>
            <w:vAlign w:val="center"/>
          </w:tcPr>
          <w:p w14:paraId="63ABC170" w14:textId="14D8A7C0" w:rsidR="00372352" w:rsidRPr="00621E04" w:rsidRDefault="00372352" w:rsidP="00372352">
            <w:pPr>
              <w:jc w:val="center"/>
              <w:rPr>
                <w:color w:val="000000"/>
                <w:sz w:val="16"/>
                <w:szCs w:val="16"/>
              </w:rPr>
            </w:pPr>
            <w:r w:rsidRPr="00621E04">
              <w:rPr>
                <w:rFonts w:cs="Calibri"/>
                <w:color w:val="000000"/>
                <w:sz w:val="16"/>
                <w:szCs w:val="16"/>
              </w:rPr>
              <w:t>-</w:t>
            </w:r>
          </w:p>
        </w:tc>
        <w:tc>
          <w:tcPr>
            <w:tcW w:w="470" w:type="dxa"/>
            <w:tcBorders>
              <w:top w:val="nil"/>
              <w:left w:val="nil"/>
              <w:bottom w:val="nil"/>
              <w:right w:val="nil"/>
            </w:tcBorders>
            <w:shd w:val="clear" w:color="auto" w:fill="auto"/>
            <w:noWrap/>
            <w:vAlign w:val="center"/>
          </w:tcPr>
          <w:p w14:paraId="4F28CF7C" w14:textId="0F8D6830" w:rsidR="00372352" w:rsidRPr="00446EC5" w:rsidRDefault="00372352" w:rsidP="00372352">
            <w:pPr>
              <w:jc w:val="center"/>
              <w:rPr>
                <w:color w:val="000000"/>
                <w:sz w:val="16"/>
                <w:szCs w:val="16"/>
              </w:rPr>
            </w:pPr>
            <w:r w:rsidRPr="00446EC5">
              <w:rPr>
                <w:rFonts w:cs="Calibri"/>
                <w:color w:val="000000"/>
                <w:sz w:val="16"/>
                <w:szCs w:val="16"/>
              </w:rPr>
              <w:t>-</w:t>
            </w:r>
          </w:p>
        </w:tc>
        <w:tc>
          <w:tcPr>
            <w:tcW w:w="465" w:type="dxa"/>
            <w:tcBorders>
              <w:top w:val="nil"/>
              <w:left w:val="nil"/>
              <w:bottom w:val="nil"/>
              <w:right w:val="nil"/>
            </w:tcBorders>
            <w:vAlign w:val="center"/>
          </w:tcPr>
          <w:p w14:paraId="2BCB0181" w14:textId="1AE209BB"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tcPr>
          <w:p w14:paraId="6BACB42B" w14:textId="15122215" w:rsidR="00372352" w:rsidRPr="00446EC5" w:rsidRDefault="00372352" w:rsidP="00372352">
            <w:pPr>
              <w:jc w:val="center"/>
              <w:rPr>
                <w:color w:val="000000"/>
                <w:sz w:val="16"/>
                <w:szCs w:val="16"/>
              </w:rPr>
            </w:pPr>
            <w:r w:rsidRPr="00446EC5">
              <w:rPr>
                <w:rFonts w:cs="Calibri"/>
                <w:color w:val="000000"/>
                <w:sz w:val="16"/>
                <w:szCs w:val="16"/>
              </w:rPr>
              <w:t>-41</w:t>
            </w:r>
          </w:p>
        </w:tc>
        <w:tc>
          <w:tcPr>
            <w:tcW w:w="467" w:type="dxa"/>
            <w:tcBorders>
              <w:top w:val="nil"/>
              <w:left w:val="nil"/>
              <w:bottom w:val="nil"/>
              <w:right w:val="nil"/>
            </w:tcBorders>
            <w:shd w:val="clear" w:color="auto" w:fill="auto"/>
            <w:noWrap/>
            <w:vAlign w:val="center"/>
          </w:tcPr>
          <w:p w14:paraId="5B88B394" w14:textId="75B76B17" w:rsidR="00372352" w:rsidRPr="00446EC5" w:rsidRDefault="00372352" w:rsidP="00372352">
            <w:pPr>
              <w:jc w:val="center"/>
              <w:rPr>
                <w:color w:val="000000"/>
                <w:sz w:val="16"/>
                <w:szCs w:val="16"/>
              </w:rPr>
            </w:pPr>
            <w:r w:rsidRPr="00446EC5">
              <w:rPr>
                <w:rFonts w:cs="Calibri"/>
                <w:color w:val="000000"/>
                <w:sz w:val="16"/>
                <w:szCs w:val="16"/>
              </w:rPr>
              <w:t>33</w:t>
            </w:r>
          </w:p>
        </w:tc>
        <w:tc>
          <w:tcPr>
            <w:tcW w:w="517" w:type="dxa"/>
            <w:tcBorders>
              <w:top w:val="nil"/>
              <w:left w:val="nil"/>
              <w:bottom w:val="nil"/>
              <w:right w:val="nil"/>
            </w:tcBorders>
            <w:shd w:val="clear" w:color="auto" w:fill="auto"/>
            <w:noWrap/>
            <w:vAlign w:val="center"/>
          </w:tcPr>
          <w:p w14:paraId="265E2C94" w14:textId="0E208014"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tcPr>
          <w:p w14:paraId="05E0EE41" w14:textId="0171E80D"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tcPr>
          <w:p w14:paraId="2120E7D7" w14:textId="6D747B33"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tcPr>
          <w:p w14:paraId="066AEDBD" w14:textId="34D29F56"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tcPr>
          <w:p w14:paraId="4F2F1BD7" w14:textId="5F985308"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70E353BA" w14:textId="77777777" w:rsidTr="00AD12F6">
        <w:trPr>
          <w:trHeight w:val="300"/>
        </w:trPr>
        <w:tc>
          <w:tcPr>
            <w:tcW w:w="3994" w:type="dxa"/>
            <w:tcBorders>
              <w:top w:val="nil"/>
              <w:left w:val="nil"/>
              <w:bottom w:val="nil"/>
              <w:right w:val="nil"/>
            </w:tcBorders>
            <w:shd w:val="clear" w:color="auto" w:fill="auto"/>
            <w:noWrap/>
            <w:vAlign w:val="center"/>
          </w:tcPr>
          <w:p w14:paraId="41D3A32A" w14:textId="41E98DB0" w:rsidR="00372352" w:rsidRPr="00446EC5" w:rsidRDefault="00372352" w:rsidP="00372352">
            <w:pPr>
              <w:ind w:firstLineChars="100" w:firstLine="180"/>
              <w:rPr>
                <w:sz w:val="18"/>
                <w:szCs w:val="18"/>
              </w:rPr>
            </w:pPr>
            <w:r w:rsidRPr="00446EC5">
              <w:rPr>
                <w:sz w:val="18"/>
                <w:szCs w:val="18"/>
              </w:rPr>
              <w:t xml:space="preserve"> - doplatok dôchodkov ozbrojeným zložkám</w:t>
            </w:r>
          </w:p>
        </w:tc>
        <w:tc>
          <w:tcPr>
            <w:tcW w:w="485" w:type="dxa"/>
            <w:tcBorders>
              <w:top w:val="nil"/>
              <w:left w:val="nil"/>
              <w:bottom w:val="nil"/>
              <w:right w:val="nil"/>
            </w:tcBorders>
            <w:shd w:val="clear" w:color="auto" w:fill="auto"/>
            <w:noWrap/>
            <w:vAlign w:val="center"/>
          </w:tcPr>
          <w:p w14:paraId="6F27665C" w14:textId="4BD15451" w:rsidR="00372352" w:rsidRPr="00446EC5" w:rsidRDefault="00372352" w:rsidP="00372352">
            <w:pPr>
              <w:jc w:val="center"/>
              <w:rPr>
                <w:color w:val="000000"/>
                <w:sz w:val="16"/>
                <w:szCs w:val="16"/>
              </w:rPr>
            </w:pPr>
            <w:r w:rsidRPr="00446EC5">
              <w:rPr>
                <w:rFonts w:cs="Calibri"/>
                <w:color w:val="000000"/>
                <w:sz w:val="16"/>
                <w:szCs w:val="16"/>
              </w:rPr>
              <w:t>-8</w:t>
            </w:r>
          </w:p>
        </w:tc>
        <w:tc>
          <w:tcPr>
            <w:tcW w:w="471" w:type="dxa"/>
            <w:tcBorders>
              <w:top w:val="nil"/>
              <w:left w:val="nil"/>
              <w:bottom w:val="nil"/>
              <w:right w:val="nil"/>
            </w:tcBorders>
            <w:shd w:val="clear" w:color="auto" w:fill="auto"/>
            <w:noWrap/>
            <w:vAlign w:val="center"/>
          </w:tcPr>
          <w:p w14:paraId="558ECB09" w14:textId="389C90C7" w:rsidR="00372352" w:rsidRPr="00446EC5" w:rsidRDefault="00372352" w:rsidP="00372352">
            <w:pPr>
              <w:jc w:val="center"/>
              <w:rPr>
                <w:color w:val="000000"/>
                <w:sz w:val="16"/>
                <w:szCs w:val="16"/>
              </w:rPr>
            </w:pPr>
            <w:r w:rsidRPr="00446EC5">
              <w:rPr>
                <w:rFonts w:cs="Calibri"/>
                <w:color w:val="000000"/>
                <w:sz w:val="16"/>
                <w:szCs w:val="16"/>
              </w:rPr>
              <w:t>-58</w:t>
            </w:r>
          </w:p>
        </w:tc>
        <w:tc>
          <w:tcPr>
            <w:tcW w:w="470" w:type="dxa"/>
            <w:tcBorders>
              <w:top w:val="nil"/>
              <w:left w:val="nil"/>
              <w:bottom w:val="nil"/>
              <w:right w:val="nil"/>
            </w:tcBorders>
            <w:shd w:val="clear" w:color="auto" w:fill="auto"/>
            <w:noWrap/>
            <w:vAlign w:val="center"/>
          </w:tcPr>
          <w:p w14:paraId="620FFC99" w14:textId="44D0DEA2" w:rsidR="00372352" w:rsidRPr="00446EC5" w:rsidRDefault="00372352" w:rsidP="00372352">
            <w:pPr>
              <w:jc w:val="center"/>
              <w:rPr>
                <w:color w:val="000000"/>
                <w:sz w:val="16"/>
                <w:szCs w:val="16"/>
              </w:rPr>
            </w:pPr>
            <w:r w:rsidRPr="00446EC5">
              <w:rPr>
                <w:rFonts w:cs="Calibri"/>
                <w:color w:val="000000"/>
                <w:sz w:val="16"/>
                <w:szCs w:val="16"/>
              </w:rPr>
              <w:t>-</w:t>
            </w:r>
          </w:p>
        </w:tc>
        <w:tc>
          <w:tcPr>
            <w:tcW w:w="465" w:type="dxa"/>
            <w:tcBorders>
              <w:top w:val="nil"/>
              <w:left w:val="nil"/>
              <w:bottom w:val="nil"/>
              <w:right w:val="nil"/>
            </w:tcBorders>
            <w:vAlign w:val="center"/>
          </w:tcPr>
          <w:p w14:paraId="6D36CDF2" w14:textId="7C1A2F01"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tcPr>
          <w:p w14:paraId="1A5A5BBE" w14:textId="37C3ED87"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tcPr>
          <w:p w14:paraId="177E398E" w14:textId="1D30545C"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tcPr>
          <w:p w14:paraId="6072B288" w14:textId="2845FC8E"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tcPr>
          <w:p w14:paraId="2B380338" w14:textId="524EA3F6"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tcPr>
          <w:p w14:paraId="1EE03FD5" w14:textId="2C0C4EC4"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tcPr>
          <w:p w14:paraId="1BFD829B" w14:textId="1AEC6CBD"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tcPr>
          <w:p w14:paraId="67883EEF" w14:textId="57505B50"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7FCC0342" w14:textId="77777777" w:rsidTr="00AD12F6">
        <w:trPr>
          <w:trHeight w:val="300"/>
        </w:trPr>
        <w:tc>
          <w:tcPr>
            <w:tcW w:w="3994" w:type="dxa"/>
            <w:tcBorders>
              <w:top w:val="nil"/>
              <w:left w:val="nil"/>
              <w:bottom w:val="nil"/>
              <w:right w:val="nil"/>
            </w:tcBorders>
            <w:shd w:val="clear" w:color="auto" w:fill="auto"/>
            <w:noWrap/>
            <w:vAlign w:val="center"/>
            <w:hideMark/>
          </w:tcPr>
          <w:p w14:paraId="5C0FFEE7" w14:textId="04AB2E8A" w:rsidR="00372352" w:rsidRPr="00446EC5" w:rsidRDefault="00372352" w:rsidP="00372352">
            <w:pPr>
              <w:ind w:firstLineChars="100" w:firstLine="180"/>
              <w:rPr>
                <w:sz w:val="18"/>
                <w:szCs w:val="18"/>
              </w:rPr>
            </w:pPr>
            <w:r w:rsidRPr="00446EC5">
              <w:rPr>
                <w:sz w:val="18"/>
                <w:szCs w:val="18"/>
              </w:rPr>
              <w:t xml:space="preserve"> - pokuta Protimonopolného úradu SR</w:t>
            </w:r>
          </w:p>
        </w:tc>
        <w:tc>
          <w:tcPr>
            <w:tcW w:w="485" w:type="dxa"/>
            <w:tcBorders>
              <w:top w:val="nil"/>
              <w:left w:val="nil"/>
              <w:bottom w:val="nil"/>
              <w:right w:val="nil"/>
            </w:tcBorders>
            <w:shd w:val="clear" w:color="auto" w:fill="auto"/>
            <w:noWrap/>
            <w:vAlign w:val="center"/>
            <w:hideMark/>
          </w:tcPr>
          <w:p w14:paraId="6CB2D954" w14:textId="689EA7D4" w:rsidR="00372352" w:rsidRPr="00446EC5" w:rsidRDefault="00372352" w:rsidP="00372352">
            <w:pPr>
              <w:jc w:val="center"/>
              <w:rPr>
                <w:color w:val="000000"/>
                <w:sz w:val="16"/>
                <w:szCs w:val="16"/>
              </w:rPr>
            </w:pPr>
            <w:r w:rsidRPr="00446EC5">
              <w:rPr>
                <w:rFonts w:cs="Calibri"/>
                <w:color w:val="000000"/>
                <w:sz w:val="16"/>
                <w:szCs w:val="16"/>
              </w:rPr>
              <w:t>-</w:t>
            </w:r>
          </w:p>
        </w:tc>
        <w:tc>
          <w:tcPr>
            <w:tcW w:w="471" w:type="dxa"/>
            <w:tcBorders>
              <w:top w:val="nil"/>
              <w:left w:val="nil"/>
              <w:bottom w:val="nil"/>
              <w:right w:val="nil"/>
            </w:tcBorders>
            <w:shd w:val="clear" w:color="auto" w:fill="auto"/>
            <w:noWrap/>
            <w:vAlign w:val="center"/>
            <w:hideMark/>
          </w:tcPr>
          <w:p w14:paraId="24485D8F" w14:textId="6015AA97" w:rsidR="00372352" w:rsidRPr="00446EC5" w:rsidRDefault="00372352" w:rsidP="00372352">
            <w:pPr>
              <w:jc w:val="center"/>
              <w:rPr>
                <w:color w:val="000000"/>
                <w:sz w:val="16"/>
                <w:szCs w:val="16"/>
              </w:rPr>
            </w:pPr>
            <w:r w:rsidRPr="00446EC5">
              <w:rPr>
                <w:rFonts w:cs="Calibri"/>
                <w:color w:val="000000"/>
                <w:sz w:val="16"/>
                <w:szCs w:val="16"/>
              </w:rPr>
              <w:t>12</w:t>
            </w:r>
          </w:p>
        </w:tc>
        <w:tc>
          <w:tcPr>
            <w:tcW w:w="470" w:type="dxa"/>
            <w:tcBorders>
              <w:top w:val="nil"/>
              <w:left w:val="nil"/>
              <w:bottom w:val="nil"/>
              <w:right w:val="nil"/>
            </w:tcBorders>
            <w:shd w:val="clear" w:color="auto" w:fill="auto"/>
            <w:noWrap/>
            <w:vAlign w:val="center"/>
            <w:hideMark/>
          </w:tcPr>
          <w:p w14:paraId="0739FC1D" w14:textId="326CEB01" w:rsidR="00372352" w:rsidRPr="00446EC5" w:rsidRDefault="00372352" w:rsidP="00372352">
            <w:pPr>
              <w:jc w:val="center"/>
              <w:rPr>
                <w:color w:val="000000"/>
                <w:sz w:val="16"/>
                <w:szCs w:val="16"/>
              </w:rPr>
            </w:pPr>
            <w:r w:rsidRPr="00446EC5">
              <w:rPr>
                <w:rFonts w:cs="Calibri"/>
                <w:color w:val="000000"/>
                <w:sz w:val="16"/>
                <w:szCs w:val="16"/>
              </w:rPr>
              <w:t>-</w:t>
            </w:r>
          </w:p>
        </w:tc>
        <w:tc>
          <w:tcPr>
            <w:tcW w:w="465" w:type="dxa"/>
            <w:tcBorders>
              <w:top w:val="nil"/>
              <w:left w:val="nil"/>
              <w:bottom w:val="nil"/>
              <w:right w:val="nil"/>
            </w:tcBorders>
            <w:vAlign w:val="center"/>
          </w:tcPr>
          <w:p w14:paraId="0117E768" w14:textId="0BF7C86D"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hideMark/>
          </w:tcPr>
          <w:p w14:paraId="56898ABF" w14:textId="51342B6B"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759CB3A6" w14:textId="1845FC09"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17A4E796" w14:textId="431068CD"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2C5517C5" w14:textId="4CF50FBC"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577DB5D5" w14:textId="1BEE27A5"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0CB5A158" w14:textId="6148FFEB"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2EFB7533" w14:textId="28A0EAE4"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0CCAF53C" w14:textId="77777777" w:rsidTr="00AD12F6">
        <w:trPr>
          <w:trHeight w:val="300"/>
        </w:trPr>
        <w:tc>
          <w:tcPr>
            <w:tcW w:w="3994" w:type="dxa"/>
            <w:tcBorders>
              <w:top w:val="nil"/>
              <w:left w:val="nil"/>
              <w:bottom w:val="nil"/>
              <w:right w:val="nil"/>
            </w:tcBorders>
            <w:shd w:val="clear" w:color="auto" w:fill="auto"/>
            <w:noWrap/>
            <w:vAlign w:val="center"/>
            <w:hideMark/>
          </w:tcPr>
          <w:p w14:paraId="50A60418" w14:textId="17F4534A" w:rsidR="00372352" w:rsidRPr="00446EC5" w:rsidRDefault="00372352" w:rsidP="00372352">
            <w:pPr>
              <w:ind w:firstLineChars="100" w:firstLine="180"/>
              <w:rPr>
                <w:sz w:val="18"/>
                <w:szCs w:val="18"/>
              </w:rPr>
            </w:pPr>
            <w:r w:rsidRPr="00446EC5">
              <w:rPr>
                <w:sz w:val="18"/>
                <w:szCs w:val="18"/>
              </w:rPr>
              <w:t xml:space="preserve"> - prepočet odvodu do rozpočtu EÚ</w:t>
            </w:r>
          </w:p>
        </w:tc>
        <w:tc>
          <w:tcPr>
            <w:tcW w:w="485" w:type="dxa"/>
            <w:tcBorders>
              <w:top w:val="nil"/>
              <w:left w:val="nil"/>
              <w:bottom w:val="nil"/>
              <w:right w:val="nil"/>
            </w:tcBorders>
            <w:shd w:val="clear" w:color="auto" w:fill="auto"/>
            <w:noWrap/>
            <w:vAlign w:val="center"/>
            <w:hideMark/>
          </w:tcPr>
          <w:p w14:paraId="0BF7F625" w14:textId="3B8E4697" w:rsidR="00372352" w:rsidRPr="00446EC5" w:rsidRDefault="00372352" w:rsidP="00372352">
            <w:pPr>
              <w:jc w:val="center"/>
              <w:rPr>
                <w:color w:val="000000"/>
                <w:sz w:val="16"/>
                <w:szCs w:val="16"/>
              </w:rPr>
            </w:pPr>
            <w:r w:rsidRPr="00446EC5">
              <w:rPr>
                <w:rFonts w:cs="Calibri"/>
                <w:color w:val="000000"/>
                <w:sz w:val="16"/>
                <w:szCs w:val="16"/>
              </w:rPr>
              <w:t>-</w:t>
            </w:r>
          </w:p>
        </w:tc>
        <w:tc>
          <w:tcPr>
            <w:tcW w:w="471" w:type="dxa"/>
            <w:tcBorders>
              <w:top w:val="nil"/>
              <w:left w:val="nil"/>
              <w:bottom w:val="nil"/>
              <w:right w:val="nil"/>
            </w:tcBorders>
            <w:shd w:val="clear" w:color="auto" w:fill="auto"/>
            <w:noWrap/>
            <w:vAlign w:val="center"/>
            <w:hideMark/>
          </w:tcPr>
          <w:p w14:paraId="42AAB2B9" w14:textId="2F366914" w:rsidR="00372352" w:rsidRPr="00446EC5" w:rsidRDefault="00372352" w:rsidP="00372352">
            <w:pPr>
              <w:jc w:val="center"/>
              <w:rPr>
                <w:color w:val="000000"/>
                <w:sz w:val="16"/>
                <w:szCs w:val="16"/>
              </w:rPr>
            </w:pPr>
            <w:r w:rsidRPr="00446EC5">
              <w:rPr>
                <w:rFonts w:cs="Calibri"/>
                <w:color w:val="000000"/>
                <w:sz w:val="16"/>
                <w:szCs w:val="16"/>
              </w:rPr>
              <w:t>-87</w:t>
            </w:r>
          </w:p>
        </w:tc>
        <w:tc>
          <w:tcPr>
            <w:tcW w:w="470" w:type="dxa"/>
            <w:tcBorders>
              <w:top w:val="nil"/>
              <w:left w:val="nil"/>
              <w:bottom w:val="nil"/>
              <w:right w:val="nil"/>
            </w:tcBorders>
            <w:shd w:val="clear" w:color="auto" w:fill="auto"/>
            <w:noWrap/>
            <w:vAlign w:val="center"/>
            <w:hideMark/>
          </w:tcPr>
          <w:p w14:paraId="29972F69" w14:textId="5B3B2687" w:rsidR="00372352" w:rsidRPr="00446EC5" w:rsidRDefault="00372352" w:rsidP="00372352">
            <w:pPr>
              <w:jc w:val="center"/>
              <w:rPr>
                <w:color w:val="000000"/>
                <w:sz w:val="16"/>
                <w:szCs w:val="16"/>
              </w:rPr>
            </w:pPr>
            <w:r w:rsidRPr="00446EC5">
              <w:rPr>
                <w:rFonts w:cs="Calibri"/>
                <w:color w:val="000000"/>
                <w:sz w:val="16"/>
                <w:szCs w:val="16"/>
              </w:rPr>
              <w:t>-</w:t>
            </w:r>
          </w:p>
        </w:tc>
        <w:tc>
          <w:tcPr>
            <w:tcW w:w="465" w:type="dxa"/>
            <w:tcBorders>
              <w:top w:val="nil"/>
              <w:left w:val="nil"/>
              <w:bottom w:val="nil"/>
              <w:right w:val="nil"/>
            </w:tcBorders>
            <w:vAlign w:val="center"/>
          </w:tcPr>
          <w:p w14:paraId="73794EAE" w14:textId="0600D982"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hideMark/>
          </w:tcPr>
          <w:p w14:paraId="28029E92" w14:textId="77FC7F8C"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078A0F33" w14:textId="5EAF7FF5"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5675C7EE" w14:textId="056365DF"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7F83DC55" w14:textId="4B48DC13"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00A8B825" w14:textId="4CF2A754"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63AD224E" w14:textId="618EF1D3"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0409F364" w14:textId="0841B648"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73B80D0E" w14:textId="77777777" w:rsidTr="00AD12F6">
        <w:trPr>
          <w:trHeight w:val="300"/>
        </w:trPr>
        <w:tc>
          <w:tcPr>
            <w:tcW w:w="3994" w:type="dxa"/>
            <w:tcBorders>
              <w:top w:val="nil"/>
              <w:left w:val="nil"/>
              <w:bottom w:val="nil"/>
              <w:right w:val="nil"/>
            </w:tcBorders>
            <w:shd w:val="clear" w:color="auto" w:fill="auto"/>
            <w:noWrap/>
            <w:vAlign w:val="center"/>
            <w:hideMark/>
          </w:tcPr>
          <w:p w14:paraId="612EB139" w14:textId="7576D167" w:rsidR="00372352" w:rsidRPr="00446EC5" w:rsidRDefault="00372352" w:rsidP="00372352">
            <w:pPr>
              <w:ind w:firstLineChars="100" w:firstLine="180"/>
              <w:rPr>
                <w:sz w:val="18"/>
                <w:szCs w:val="18"/>
              </w:rPr>
            </w:pPr>
            <w:r w:rsidRPr="00446EC5">
              <w:rPr>
                <w:color w:val="000000"/>
                <w:sz w:val="18"/>
                <w:szCs w:val="18"/>
              </w:rPr>
              <w:t xml:space="preserve"> - splátka NFV Vodohospodárska výstavba</w:t>
            </w:r>
          </w:p>
        </w:tc>
        <w:tc>
          <w:tcPr>
            <w:tcW w:w="485" w:type="dxa"/>
            <w:tcBorders>
              <w:top w:val="nil"/>
              <w:left w:val="nil"/>
              <w:bottom w:val="nil"/>
              <w:right w:val="nil"/>
            </w:tcBorders>
            <w:shd w:val="clear" w:color="auto" w:fill="auto"/>
            <w:noWrap/>
            <w:vAlign w:val="center"/>
            <w:hideMark/>
          </w:tcPr>
          <w:p w14:paraId="5751BAE9" w14:textId="6344C891" w:rsidR="00372352" w:rsidRPr="00446EC5" w:rsidRDefault="00372352" w:rsidP="00372352">
            <w:pPr>
              <w:jc w:val="center"/>
              <w:rPr>
                <w:color w:val="000000"/>
                <w:sz w:val="16"/>
                <w:szCs w:val="16"/>
              </w:rPr>
            </w:pPr>
            <w:r w:rsidRPr="00446EC5">
              <w:rPr>
                <w:rFonts w:cs="Calibri"/>
                <w:color w:val="000000"/>
                <w:sz w:val="16"/>
                <w:szCs w:val="16"/>
              </w:rPr>
              <w:t>30</w:t>
            </w:r>
          </w:p>
        </w:tc>
        <w:tc>
          <w:tcPr>
            <w:tcW w:w="471" w:type="dxa"/>
            <w:tcBorders>
              <w:top w:val="nil"/>
              <w:left w:val="nil"/>
              <w:bottom w:val="nil"/>
              <w:right w:val="nil"/>
            </w:tcBorders>
            <w:shd w:val="clear" w:color="auto" w:fill="auto"/>
            <w:noWrap/>
            <w:vAlign w:val="center"/>
            <w:hideMark/>
          </w:tcPr>
          <w:p w14:paraId="757C695D" w14:textId="360893A1" w:rsidR="00372352" w:rsidRPr="00446EC5" w:rsidRDefault="00372352" w:rsidP="00372352">
            <w:pPr>
              <w:jc w:val="center"/>
              <w:rPr>
                <w:color w:val="000000"/>
                <w:sz w:val="16"/>
                <w:szCs w:val="16"/>
              </w:rPr>
            </w:pPr>
            <w:r w:rsidRPr="00446EC5">
              <w:rPr>
                <w:rFonts w:cs="Calibri"/>
                <w:color w:val="000000"/>
                <w:sz w:val="16"/>
                <w:szCs w:val="16"/>
              </w:rPr>
              <w:t>48</w:t>
            </w:r>
          </w:p>
        </w:tc>
        <w:tc>
          <w:tcPr>
            <w:tcW w:w="470" w:type="dxa"/>
            <w:tcBorders>
              <w:top w:val="nil"/>
              <w:left w:val="nil"/>
              <w:bottom w:val="nil"/>
              <w:right w:val="nil"/>
            </w:tcBorders>
            <w:shd w:val="clear" w:color="auto" w:fill="auto"/>
            <w:noWrap/>
            <w:vAlign w:val="center"/>
            <w:hideMark/>
          </w:tcPr>
          <w:p w14:paraId="40E30421" w14:textId="5EF2D2B5" w:rsidR="00372352" w:rsidRPr="00446EC5" w:rsidRDefault="00372352" w:rsidP="00372352">
            <w:pPr>
              <w:jc w:val="center"/>
              <w:rPr>
                <w:color w:val="000000"/>
                <w:sz w:val="16"/>
                <w:szCs w:val="16"/>
              </w:rPr>
            </w:pPr>
            <w:r w:rsidRPr="00446EC5">
              <w:rPr>
                <w:rFonts w:cs="Calibri"/>
                <w:color w:val="000000"/>
                <w:sz w:val="16"/>
                <w:szCs w:val="16"/>
              </w:rPr>
              <w:t>-</w:t>
            </w:r>
          </w:p>
        </w:tc>
        <w:tc>
          <w:tcPr>
            <w:tcW w:w="465" w:type="dxa"/>
            <w:tcBorders>
              <w:top w:val="nil"/>
              <w:left w:val="nil"/>
              <w:bottom w:val="nil"/>
              <w:right w:val="nil"/>
            </w:tcBorders>
            <w:vAlign w:val="center"/>
          </w:tcPr>
          <w:p w14:paraId="369C929F" w14:textId="4031F8EC"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hideMark/>
          </w:tcPr>
          <w:p w14:paraId="60223CD4" w14:textId="7583BED3"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1C847EDD" w14:textId="610C3412"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2203A2B4" w14:textId="3F2EAEA9"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008592A2" w14:textId="07571F9E"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1F571005" w14:textId="15A48664"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6A0E4803" w14:textId="031B0DCD"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40ED8946" w14:textId="05D7E52A"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07396C81" w14:textId="77777777" w:rsidTr="00AD12F6">
        <w:trPr>
          <w:trHeight w:val="300"/>
        </w:trPr>
        <w:tc>
          <w:tcPr>
            <w:tcW w:w="3994" w:type="dxa"/>
            <w:tcBorders>
              <w:top w:val="nil"/>
              <w:left w:val="nil"/>
              <w:bottom w:val="nil"/>
              <w:right w:val="nil"/>
            </w:tcBorders>
            <w:shd w:val="clear" w:color="auto" w:fill="auto"/>
            <w:noWrap/>
            <w:vAlign w:val="center"/>
            <w:hideMark/>
          </w:tcPr>
          <w:p w14:paraId="3693ABA1" w14:textId="76A760BE" w:rsidR="00372352" w:rsidRPr="00446EC5" w:rsidRDefault="00372352" w:rsidP="00372352">
            <w:pPr>
              <w:ind w:firstLineChars="100" w:firstLine="180"/>
              <w:rPr>
                <w:color w:val="000000"/>
                <w:sz w:val="18"/>
                <w:szCs w:val="18"/>
              </w:rPr>
            </w:pPr>
            <w:r w:rsidRPr="00446EC5">
              <w:rPr>
                <w:sz w:val="18"/>
                <w:szCs w:val="18"/>
              </w:rPr>
              <w:t xml:space="preserve"> - vratky domácnostiam za spotrebu plynu</w:t>
            </w:r>
          </w:p>
        </w:tc>
        <w:tc>
          <w:tcPr>
            <w:tcW w:w="485" w:type="dxa"/>
            <w:tcBorders>
              <w:top w:val="nil"/>
              <w:left w:val="nil"/>
              <w:bottom w:val="nil"/>
              <w:right w:val="nil"/>
            </w:tcBorders>
            <w:shd w:val="clear" w:color="auto" w:fill="auto"/>
            <w:noWrap/>
            <w:vAlign w:val="center"/>
            <w:hideMark/>
          </w:tcPr>
          <w:p w14:paraId="5A2C22D8" w14:textId="1984E364" w:rsidR="00372352" w:rsidRPr="00446EC5" w:rsidRDefault="00372352" w:rsidP="00372352">
            <w:pPr>
              <w:jc w:val="center"/>
              <w:rPr>
                <w:color w:val="000000"/>
                <w:sz w:val="16"/>
                <w:szCs w:val="16"/>
              </w:rPr>
            </w:pPr>
            <w:r w:rsidRPr="00446EC5">
              <w:rPr>
                <w:rFonts w:cs="Calibri"/>
                <w:color w:val="000000"/>
                <w:sz w:val="16"/>
                <w:szCs w:val="16"/>
              </w:rPr>
              <w:t>-</w:t>
            </w:r>
          </w:p>
        </w:tc>
        <w:tc>
          <w:tcPr>
            <w:tcW w:w="471" w:type="dxa"/>
            <w:tcBorders>
              <w:top w:val="nil"/>
              <w:left w:val="nil"/>
              <w:bottom w:val="nil"/>
              <w:right w:val="nil"/>
            </w:tcBorders>
            <w:shd w:val="clear" w:color="auto" w:fill="auto"/>
            <w:noWrap/>
            <w:vAlign w:val="center"/>
            <w:hideMark/>
          </w:tcPr>
          <w:p w14:paraId="6A418CC3" w14:textId="1634EF91" w:rsidR="00372352" w:rsidRPr="00446EC5" w:rsidRDefault="00372352" w:rsidP="00372352">
            <w:pPr>
              <w:jc w:val="center"/>
              <w:rPr>
                <w:color w:val="000000"/>
                <w:sz w:val="16"/>
                <w:szCs w:val="16"/>
              </w:rPr>
            </w:pPr>
            <w:r w:rsidRPr="00446EC5">
              <w:rPr>
                <w:rFonts w:cs="Calibri"/>
                <w:color w:val="000000"/>
                <w:sz w:val="16"/>
                <w:szCs w:val="16"/>
              </w:rPr>
              <w:t>-</w:t>
            </w:r>
          </w:p>
        </w:tc>
        <w:tc>
          <w:tcPr>
            <w:tcW w:w="470" w:type="dxa"/>
            <w:tcBorders>
              <w:top w:val="nil"/>
              <w:left w:val="nil"/>
              <w:bottom w:val="nil"/>
              <w:right w:val="nil"/>
            </w:tcBorders>
            <w:shd w:val="clear" w:color="auto" w:fill="auto"/>
            <w:noWrap/>
            <w:vAlign w:val="center"/>
            <w:hideMark/>
          </w:tcPr>
          <w:p w14:paraId="6FC1FBF0" w14:textId="67E2A73A" w:rsidR="00372352" w:rsidRPr="00446EC5" w:rsidRDefault="00372352" w:rsidP="00372352">
            <w:pPr>
              <w:jc w:val="center"/>
              <w:rPr>
                <w:color w:val="000000"/>
                <w:sz w:val="16"/>
                <w:szCs w:val="16"/>
              </w:rPr>
            </w:pPr>
            <w:r w:rsidRPr="00446EC5">
              <w:rPr>
                <w:rFonts w:cs="Calibri"/>
                <w:color w:val="000000"/>
                <w:sz w:val="16"/>
                <w:szCs w:val="16"/>
              </w:rPr>
              <w:t>-</w:t>
            </w:r>
          </w:p>
        </w:tc>
        <w:tc>
          <w:tcPr>
            <w:tcW w:w="465" w:type="dxa"/>
            <w:tcBorders>
              <w:top w:val="nil"/>
              <w:left w:val="nil"/>
              <w:bottom w:val="nil"/>
              <w:right w:val="nil"/>
            </w:tcBorders>
            <w:vAlign w:val="center"/>
          </w:tcPr>
          <w:p w14:paraId="1E21E26C" w14:textId="6BEA91DE" w:rsidR="00372352" w:rsidRPr="00446EC5" w:rsidRDefault="00372352" w:rsidP="00372352">
            <w:pPr>
              <w:jc w:val="center"/>
              <w:rPr>
                <w:color w:val="000000"/>
                <w:sz w:val="16"/>
                <w:szCs w:val="16"/>
              </w:rPr>
            </w:pPr>
            <w:r w:rsidRPr="00446EC5">
              <w:rPr>
                <w:rFonts w:cs="Calibri"/>
                <w:color w:val="000000"/>
                <w:sz w:val="16"/>
                <w:szCs w:val="16"/>
              </w:rPr>
              <w:t>-46</w:t>
            </w:r>
          </w:p>
        </w:tc>
        <w:tc>
          <w:tcPr>
            <w:tcW w:w="477" w:type="dxa"/>
            <w:tcBorders>
              <w:top w:val="nil"/>
              <w:left w:val="nil"/>
              <w:bottom w:val="nil"/>
              <w:right w:val="nil"/>
            </w:tcBorders>
            <w:shd w:val="clear" w:color="auto" w:fill="auto"/>
            <w:noWrap/>
            <w:vAlign w:val="center"/>
            <w:hideMark/>
          </w:tcPr>
          <w:p w14:paraId="7FEB23FD" w14:textId="6EA0BD49"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7AD0A036" w14:textId="6050D809"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309F28D6" w14:textId="06A82A34"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64EE5EE6" w14:textId="32EFABF6"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27BB907F" w14:textId="5E7326B0"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61A3240A" w14:textId="5262576D"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4AAA6D8C" w14:textId="7EA6F664"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5494ED11" w14:textId="77777777" w:rsidTr="00AD12F6">
        <w:trPr>
          <w:trHeight w:val="300"/>
        </w:trPr>
        <w:tc>
          <w:tcPr>
            <w:tcW w:w="3994" w:type="dxa"/>
            <w:tcBorders>
              <w:top w:val="nil"/>
              <w:left w:val="nil"/>
              <w:bottom w:val="nil"/>
              <w:right w:val="nil"/>
            </w:tcBorders>
            <w:shd w:val="clear" w:color="auto" w:fill="auto"/>
            <w:noWrap/>
            <w:vAlign w:val="center"/>
            <w:hideMark/>
          </w:tcPr>
          <w:p w14:paraId="41043FC5" w14:textId="52B71379" w:rsidR="00372352" w:rsidRPr="00446EC5" w:rsidRDefault="00372352" w:rsidP="00372352">
            <w:pPr>
              <w:ind w:firstLineChars="100" w:firstLine="180"/>
              <w:rPr>
                <w:sz w:val="18"/>
                <w:szCs w:val="18"/>
              </w:rPr>
            </w:pPr>
            <w:r w:rsidRPr="00446EC5">
              <w:rPr>
                <w:rFonts w:cs="Calibri"/>
                <w:sz w:val="18"/>
                <w:szCs w:val="18"/>
              </w:rPr>
              <w:t xml:space="preserve"> - zaznamenanie miezd v samostatných účtoch</w:t>
            </w:r>
          </w:p>
        </w:tc>
        <w:tc>
          <w:tcPr>
            <w:tcW w:w="485" w:type="dxa"/>
            <w:tcBorders>
              <w:top w:val="nil"/>
              <w:left w:val="nil"/>
              <w:bottom w:val="nil"/>
              <w:right w:val="nil"/>
            </w:tcBorders>
            <w:shd w:val="clear" w:color="auto" w:fill="auto"/>
            <w:noWrap/>
            <w:vAlign w:val="center"/>
            <w:hideMark/>
          </w:tcPr>
          <w:p w14:paraId="5B0F372A" w14:textId="589FD9A4" w:rsidR="00372352" w:rsidRPr="00446EC5" w:rsidRDefault="00372352" w:rsidP="00372352">
            <w:pPr>
              <w:jc w:val="center"/>
              <w:rPr>
                <w:color w:val="000000"/>
                <w:sz w:val="16"/>
                <w:szCs w:val="16"/>
              </w:rPr>
            </w:pPr>
            <w:r w:rsidRPr="00446EC5">
              <w:rPr>
                <w:rFonts w:cs="Calibri"/>
                <w:color w:val="000000"/>
                <w:sz w:val="16"/>
                <w:szCs w:val="16"/>
              </w:rPr>
              <w:t>-</w:t>
            </w:r>
          </w:p>
        </w:tc>
        <w:tc>
          <w:tcPr>
            <w:tcW w:w="471" w:type="dxa"/>
            <w:tcBorders>
              <w:top w:val="nil"/>
              <w:left w:val="nil"/>
              <w:bottom w:val="nil"/>
              <w:right w:val="nil"/>
            </w:tcBorders>
            <w:shd w:val="clear" w:color="auto" w:fill="auto"/>
            <w:noWrap/>
            <w:vAlign w:val="center"/>
            <w:hideMark/>
          </w:tcPr>
          <w:p w14:paraId="71C434D9" w14:textId="05FE7005" w:rsidR="00372352" w:rsidRPr="00446EC5" w:rsidRDefault="00372352" w:rsidP="00372352">
            <w:pPr>
              <w:jc w:val="center"/>
              <w:rPr>
                <w:color w:val="000000"/>
                <w:sz w:val="16"/>
                <w:szCs w:val="16"/>
              </w:rPr>
            </w:pPr>
            <w:r w:rsidRPr="00446EC5">
              <w:rPr>
                <w:rFonts w:cs="Calibri"/>
                <w:color w:val="000000"/>
                <w:sz w:val="16"/>
                <w:szCs w:val="16"/>
              </w:rPr>
              <w:t>-</w:t>
            </w:r>
          </w:p>
        </w:tc>
        <w:tc>
          <w:tcPr>
            <w:tcW w:w="470" w:type="dxa"/>
            <w:tcBorders>
              <w:top w:val="nil"/>
              <w:left w:val="nil"/>
              <w:bottom w:val="nil"/>
              <w:right w:val="nil"/>
            </w:tcBorders>
            <w:shd w:val="clear" w:color="auto" w:fill="auto"/>
            <w:noWrap/>
            <w:vAlign w:val="center"/>
            <w:hideMark/>
          </w:tcPr>
          <w:p w14:paraId="0F2C6CEF" w14:textId="0CD316CA" w:rsidR="00372352" w:rsidRPr="00446EC5" w:rsidRDefault="00372352" w:rsidP="00372352">
            <w:pPr>
              <w:jc w:val="center"/>
              <w:rPr>
                <w:color w:val="000000"/>
                <w:sz w:val="16"/>
                <w:szCs w:val="16"/>
              </w:rPr>
            </w:pPr>
            <w:r w:rsidRPr="00446EC5">
              <w:rPr>
                <w:rFonts w:cs="Calibri"/>
                <w:color w:val="000000"/>
                <w:sz w:val="16"/>
                <w:szCs w:val="16"/>
              </w:rPr>
              <w:t>-</w:t>
            </w:r>
          </w:p>
        </w:tc>
        <w:tc>
          <w:tcPr>
            <w:tcW w:w="465" w:type="dxa"/>
            <w:tcBorders>
              <w:top w:val="nil"/>
              <w:left w:val="nil"/>
              <w:bottom w:val="nil"/>
              <w:right w:val="nil"/>
            </w:tcBorders>
            <w:vAlign w:val="center"/>
          </w:tcPr>
          <w:p w14:paraId="3D57923C" w14:textId="2FFE2BCA"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hideMark/>
          </w:tcPr>
          <w:p w14:paraId="365BC94B" w14:textId="490A497E"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7A460C1F" w14:textId="12CD3F90"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6C4C0535" w14:textId="1DC5A025" w:rsidR="00372352" w:rsidRPr="00FB4087" w:rsidRDefault="00372352" w:rsidP="00372352">
            <w:pPr>
              <w:jc w:val="center"/>
              <w:rPr>
                <w:color w:val="000000"/>
                <w:sz w:val="16"/>
                <w:szCs w:val="16"/>
              </w:rPr>
            </w:pPr>
            <w:r w:rsidRPr="00FB4087">
              <w:rPr>
                <w:color w:val="000000"/>
                <w:sz w:val="16"/>
                <w:szCs w:val="16"/>
              </w:rPr>
              <w:t>-</w:t>
            </w:r>
          </w:p>
        </w:tc>
        <w:tc>
          <w:tcPr>
            <w:tcW w:w="467" w:type="dxa"/>
            <w:tcBorders>
              <w:top w:val="nil"/>
              <w:left w:val="nil"/>
              <w:bottom w:val="nil"/>
              <w:right w:val="nil"/>
            </w:tcBorders>
            <w:shd w:val="clear" w:color="auto" w:fill="auto"/>
            <w:noWrap/>
            <w:vAlign w:val="center"/>
            <w:hideMark/>
          </w:tcPr>
          <w:p w14:paraId="3B70BD83" w14:textId="165F3850"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6F231CC9" w14:textId="45C4003B"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31142ED3" w14:textId="25CF1458"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6E552C64" w14:textId="4BB12E22"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0FDD0519" w14:textId="77777777" w:rsidTr="00AD12F6">
        <w:trPr>
          <w:trHeight w:val="300"/>
        </w:trPr>
        <w:tc>
          <w:tcPr>
            <w:tcW w:w="3994" w:type="dxa"/>
            <w:tcBorders>
              <w:top w:val="nil"/>
              <w:left w:val="nil"/>
              <w:bottom w:val="nil"/>
              <w:right w:val="nil"/>
            </w:tcBorders>
            <w:shd w:val="clear" w:color="auto" w:fill="auto"/>
            <w:noWrap/>
            <w:vAlign w:val="center"/>
            <w:hideMark/>
          </w:tcPr>
          <w:p w14:paraId="0A139C68" w14:textId="77777777" w:rsidR="00372352" w:rsidRPr="00446EC5" w:rsidRDefault="00372352" w:rsidP="00372352">
            <w:pPr>
              <w:rPr>
                <w:color w:val="000000"/>
                <w:sz w:val="18"/>
                <w:szCs w:val="18"/>
              </w:rPr>
            </w:pPr>
            <w:r w:rsidRPr="00446EC5">
              <w:rPr>
                <w:color w:val="000000"/>
                <w:sz w:val="18"/>
                <w:szCs w:val="18"/>
              </w:rPr>
              <w:t xml:space="preserve">2. Ostatné jednorazové vplyvy </w:t>
            </w:r>
          </w:p>
          <w:p w14:paraId="70577F03" w14:textId="2B05F738" w:rsidR="00372352" w:rsidRPr="00446EC5" w:rsidRDefault="00372352" w:rsidP="00372352">
            <w:pPr>
              <w:rPr>
                <w:color w:val="000000"/>
                <w:sz w:val="18"/>
                <w:szCs w:val="18"/>
              </w:rPr>
            </w:pPr>
            <w:r w:rsidRPr="00446EC5">
              <w:rPr>
                <w:color w:val="000000"/>
                <w:sz w:val="18"/>
                <w:szCs w:val="18"/>
              </w:rPr>
              <w:t xml:space="preserve">    (bez vplyvu na saldo)</w:t>
            </w:r>
          </w:p>
        </w:tc>
        <w:tc>
          <w:tcPr>
            <w:tcW w:w="485" w:type="dxa"/>
            <w:tcBorders>
              <w:top w:val="nil"/>
              <w:left w:val="nil"/>
              <w:bottom w:val="nil"/>
              <w:right w:val="nil"/>
            </w:tcBorders>
            <w:shd w:val="clear" w:color="auto" w:fill="auto"/>
            <w:noWrap/>
            <w:vAlign w:val="center"/>
            <w:hideMark/>
          </w:tcPr>
          <w:p w14:paraId="67B08E1F" w14:textId="616A28BE" w:rsidR="00372352" w:rsidRPr="00446EC5" w:rsidRDefault="00372352" w:rsidP="00372352">
            <w:pPr>
              <w:jc w:val="center"/>
              <w:rPr>
                <w:color w:val="000000"/>
                <w:sz w:val="16"/>
                <w:szCs w:val="16"/>
              </w:rPr>
            </w:pPr>
            <w:r w:rsidRPr="00446EC5">
              <w:rPr>
                <w:rFonts w:cs="Calibri"/>
                <w:color w:val="000000"/>
                <w:sz w:val="16"/>
                <w:szCs w:val="16"/>
              </w:rPr>
              <w:t>554</w:t>
            </w:r>
          </w:p>
        </w:tc>
        <w:tc>
          <w:tcPr>
            <w:tcW w:w="471" w:type="dxa"/>
            <w:tcBorders>
              <w:top w:val="nil"/>
              <w:left w:val="nil"/>
              <w:bottom w:val="nil"/>
              <w:right w:val="nil"/>
            </w:tcBorders>
            <w:shd w:val="clear" w:color="auto" w:fill="auto"/>
            <w:noWrap/>
            <w:vAlign w:val="center"/>
            <w:hideMark/>
          </w:tcPr>
          <w:p w14:paraId="7B493B29" w14:textId="1BB41274" w:rsidR="00372352" w:rsidRPr="00446EC5" w:rsidRDefault="00372352" w:rsidP="00372352">
            <w:pPr>
              <w:jc w:val="center"/>
              <w:rPr>
                <w:color w:val="000000"/>
                <w:sz w:val="16"/>
                <w:szCs w:val="16"/>
              </w:rPr>
            </w:pPr>
            <w:r w:rsidRPr="00446EC5">
              <w:rPr>
                <w:rFonts w:cs="Calibri"/>
                <w:color w:val="000000"/>
                <w:sz w:val="16"/>
                <w:szCs w:val="16"/>
              </w:rPr>
              <w:t>727</w:t>
            </w:r>
          </w:p>
        </w:tc>
        <w:tc>
          <w:tcPr>
            <w:tcW w:w="470" w:type="dxa"/>
            <w:tcBorders>
              <w:top w:val="nil"/>
              <w:left w:val="nil"/>
              <w:bottom w:val="nil"/>
              <w:right w:val="nil"/>
            </w:tcBorders>
            <w:shd w:val="clear" w:color="auto" w:fill="auto"/>
            <w:noWrap/>
            <w:vAlign w:val="center"/>
            <w:hideMark/>
          </w:tcPr>
          <w:p w14:paraId="436F966B" w14:textId="3F677C3A" w:rsidR="00372352" w:rsidRPr="00446EC5" w:rsidRDefault="00372352" w:rsidP="00372352">
            <w:pPr>
              <w:jc w:val="center"/>
              <w:rPr>
                <w:color w:val="000000"/>
                <w:sz w:val="16"/>
                <w:szCs w:val="16"/>
              </w:rPr>
            </w:pPr>
            <w:r w:rsidRPr="00446EC5">
              <w:rPr>
                <w:rFonts w:cs="Calibri"/>
                <w:color w:val="000000"/>
                <w:sz w:val="16"/>
                <w:szCs w:val="16"/>
              </w:rPr>
              <w:t>1890</w:t>
            </w:r>
          </w:p>
        </w:tc>
        <w:tc>
          <w:tcPr>
            <w:tcW w:w="465" w:type="dxa"/>
            <w:tcBorders>
              <w:top w:val="nil"/>
              <w:left w:val="nil"/>
              <w:bottom w:val="nil"/>
              <w:right w:val="nil"/>
            </w:tcBorders>
            <w:vAlign w:val="center"/>
          </w:tcPr>
          <w:p w14:paraId="339259CC" w14:textId="5D25B90C" w:rsidR="00372352" w:rsidRPr="00446EC5" w:rsidRDefault="00372352" w:rsidP="00372352">
            <w:pPr>
              <w:jc w:val="center"/>
              <w:rPr>
                <w:color w:val="000000"/>
                <w:sz w:val="16"/>
                <w:szCs w:val="16"/>
              </w:rPr>
            </w:pPr>
            <w:r w:rsidRPr="00446EC5">
              <w:rPr>
                <w:rFonts w:cs="Calibri"/>
                <w:color w:val="000000"/>
                <w:sz w:val="16"/>
                <w:szCs w:val="16"/>
              </w:rPr>
              <w:t>163</w:t>
            </w:r>
          </w:p>
        </w:tc>
        <w:tc>
          <w:tcPr>
            <w:tcW w:w="477" w:type="dxa"/>
            <w:tcBorders>
              <w:top w:val="nil"/>
              <w:left w:val="nil"/>
              <w:bottom w:val="nil"/>
              <w:right w:val="nil"/>
            </w:tcBorders>
            <w:shd w:val="clear" w:color="auto" w:fill="auto"/>
            <w:noWrap/>
            <w:vAlign w:val="center"/>
            <w:hideMark/>
          </w:tcPr>
          <w:p w14:paraId="2AEA70E5" w14:textId="3487A563" w:rsidR="00372352" w:rsidRPr="00446EC5" w:rsidRDefault="00372352" w:rsidP="00372352">
            <w:pPr>
              <w:jc w:val="center"/>
              <w:rPr>
                <w:color w:val="000000"/>
                <w:sz w:val="16"/>
                <w:szCs w:val="16"/>
              </w:rPr>
            </w:pPr>
            <w:r w:rsidRPr="00446EC5">
              <w:rPr>
                <w:rFonts w:cs="Calibri"/>
                <w:color w:val="000000"/>
                <w:sz w:val="16"/>
                <w:szCs w:val="16"/>
              </w:rPr>
              <w:t>238</w:t>
            </w:r>
          </w:p>
        </w:tc>
        <w:tc>
          <w:tcPr>
            <w:tcW w:w="467" w:type="dxa"/>
            <w:tcBorders>
              <w:top w:val="nil"/>
              <w:left w:val="nil"/>
              <w:bottom w:val="nil"/>
              <w:right w:val="nil"/>
            </w:tcBorders>
            <w:shd w:val="clear" w:color="auto" w:fill="auto"/>
            <w:noWrap/>
            <w:vAlign w:val="center"/>
            <w:hideMark/>
          </w:tcPr>
          <w:p w14:paraId="7EF9DBDA" w14:textId="70593622" w:rsidR="00372352" w:rsidRPr="00446EC5" w:rsidRDefault="00372352" w:rsidP="00372352">
            <w:pPr>
              <w:jc w:val="center"/>
              <w:rPr>
                <w:color w:val="000000"/>
                <w:sz w:val="16"/>
                <w:szCs w:val="16"/>
              </w:rPr>
            </w:pPr>
            <w:r w:rsidRPr="00446EC5">
              <w:rPr>
                <w:rFonts w:cs="Calibri"/>
                <w:color w:val="000000"/>
                <w:sz w:val="16"/>
                <w:szCs w:val="16"/>
              </w:rPr>
              <w:t>58</w:t>
            </w:r>
          </w:p>
        </w:tc>
        <w:tc>
          <w:tcPr>
            <w:tcW w:w="517" w:type="dxa"/>
            <w:tcBorders>
              <w:top w:val="nil"/>
              <w:left w:val="nil"/>
              <w:bottom w:val="nil"/>
              <w:right w:val="nil"/>
            </w:tcBorders>
            <w:shd w:val="clear" w:color="auto" w:fill="auto"/>
            <w:noWrap/>
            <w:vAlign w:val="center"/>
            <w:hideMark/>
          </w:tcPr>
          <w:p w14:paraId="52743228" w14:textId="006FEE3F" w:rsidR="00372352" w:rsidRPr="00B9264D" w:rsidRDefault="00372352" w:rsidP="00372352">
            <w:pPr>
              <w:jc w:val="center"/>
              <w:rPr>
                <w:color w:val="000000"/>
                <w:sz w:val="16"/>
                <w:szCs w:val="16"/>
              </w:rPr>
            </w:pPr>
            <w:r w:rsidRPr="00B9264D">
              <w:rPr>
                <w:rFonts w:cs="Calibri"/>
                <w:color w:val="000000"/>
                <w:sz w:val="16"/>
                <w:szCs w:val="16"/>
              </w:rPr>
              <w:t>2</w:t>
            </w:r>
            <w:r w:rsidR="00B9264D" w:rsidRPr="00B9264D">
              <w:rPr>
                <w:rFonts w:cs="Calibri"/>
                <w:color w:val="000000"/>
                <w:sz w:val="16"/>
                <w:szCs w:val="16"/>
              </w:rPr>
              <w:t>12</w:t>
            </w:r>
          </w:p>
        </w:tc>
        <w:tc>
          <w:tcPr>
            <w:tcW w:w="467" w:type="dxa"/>
            <w:tcBorders>
              <w:top w:val="nil"/>
              <w:left w:val="nil"/>
              <w:bottom w:val="nil"/>
              <w:right w:val="nil"/>
            </w:tcBorders>
            <w:shd w:val="clear" w:color="auto" w:fill="auto"/>
            <w:noWrap/>
            <w:vAlign w:val="center"/>
            <w:hideMark/>
          </w:tcPr>
          <w:p w14:paraId="4EB4FB07" w14:textId="5C68B803" w:rsidR="00372352" w:rsidRPr="00FB4087" w:rsidRDefault="00372352" w:rsidP="00372352">
            <w:pPr>
              <w:jc w:val="center"/>
              <w:rPr>
                <w:color w:val="000000"/>
                <w:sz w:val="16"/>
                <w:szCs w:val="16"/>
              </w:rPr>
            </w:pPr>
            <w:r w:rsidRPr="00FB4087">
              <w:rPr>
                <w:rFonts w:cs="Calibri"/>
                <w:color w:val="000000"/>
                <w:sz w:val="16"/>
                <w:szCs w:val="16"/>
              </w:rPr>
              <w:t>202</w:t>
            </w:r>
          </w:p>
        </w:tc>
        <w:tc>
          <w:tcPr>
            <w:tcW w:w="510" w:type="dxa"/>
            <w:tcBorders>
              <w:top w:val="nil"/>
              <w:left w:val="nil"/>
              <w:bottom w:val="nil"/>
              <w:right w:val="nil"/>
            </w:tcBorders>
            <w:shd w:val="clear" w:color="auto" w:fill="auto"/>
            <w:noWrap/>
            <w:vAlign w:val="center"/>
            <w:hideMark/>
          </w:tcPr>
          <w:p w14:paraId="100F14DC" w14:textId="7C5015AA" w:rsidR="00372352" w:rsidRPr="00FB4087" w:rsidRDefault="00372352" w:rsidP="00372352">
            <w:pPr>
              <w:jc w:val="center"/>
              <w:rPr>
                <w:color w:val="000000"/>
                <w:sz w:val="16"/>
                <w:szCs w:val="16"/>
              </w:rPr>
            </w:pPr>
            <w:r w:rsidRPr="00FB4087">
              <w:rPr>
                <w:rFonts w:cs="Calibri"/>
                <w:color w:val="000000"/>
                <w:sz w:val="16"/>
                <w:szCs w:val="16"/>
              </w:rPr>
              <w:t>154</w:t>
            </w:r>
          </w:p>
        </w:tc>
        <w:tc>
          <w:tcPr>
            <w:tcW w:w="448" w:type="dxa"/>
            <w:tcBorders>
              <w:top w:val="nil"/>
              <w:left w:val="nil"/>
              <w:bottom w:val="nil"/>
              <w:right w:val="nil"/>
            </w:tcBorders>
            <w:shd w:val="clear" w:color="auto" w:fill="auto"/>
            <w:noWrap/>
            <w:vAlign w:val="center"/>
            <w:hideMark/>
          </w:tcPr>
          <w:p w14:paraId="2DA0032E" w14:textId="1CDB352D" w:rsidR="00372352" w:rsidRPr="00FB4087" w:rsidRDefault="00372352" w:rsidP="00372352">
            <w:pPr>
              <w:jc w:val="center"/>
              <w:rPr>
                <w:color w:val="000000"/>
                <w:sz w:val="16"/>
                <w:szCs w:val="16"/>
              </w:rPr>
            </w:pPr>
            <w:r w:rsidRPr="00FB4087">
              <w:rPr>
                <w:rFonts w:cs="Calibri"/>
                <w:color w:val="000000"/>
                <w:sz w:val="16"/>
                <w:szCs w:val="16"/>
              </w:rPr>
              <w:t>119</w:t>
            </w:r>
          </w:p>
        </w:tc>
        <w:tc>
          <w:tcPr>
            <w:tcW w:w="506" w:type="dxa"/>
            <w:tcBorders>
              <w:top w:val="nil"/>
              <w:left w:val="nil"/>
              <w:bottom w:val="nil"/>
              <w:right w:val="nil"/>
            </w:tcBorders>
            <w:shd w:val="clear" w:color="auto" w:fill="auto"/>
            <w:noWrap/>
            <w:vAlign w:val="center"/>
            <w:hideMark/>
          </w:tcPr>
          <w:p w14:paraId="6EA6CB95" w14:textId="0EA58B76" w:rsidR="00372352" w:rsidRPr="00FB4087" w:rsidRDefault="00372352" w:rsidP="00372352">
            <w:pPr>
              <w:jc w:val="center"/>
              <w:rPr>
                <w:color w:val="000000"/>
                <w:sz w:val="16"/>
                <w:szCs w:val="16"/>
              </w:rPr>
            </w:pPr>
            <w:r w:rsidRPr="00FB4087">
              <w:rPr>
                <w:rFonts w:cs="Calibri"/>
                <w:color w:val="000000"/>
                <w:sz w:val="16"/>
                <w:szCs w:val="16"/>
              </w:rPr>
              <w:t>85</w:t>
            </w:r>
          </w:p>
        </w:tc>
      </w:tr>
      <w:tr w:rsidR="00372352" w:rsidRPr="00B81300" w14:paraId="4CDF3F38" w14:textId="77777777" w:rsidTr="00AD12F6">
        <w:trPr>
          <w:trHeight w:val="300"/>
        </w:trPr>
        <w:tc>
          <w:tcPr>
            <w:tcW w:w="3994" w:type="dxa"/>
            <w:tcBorders>
              <w:top w:val="nil"/>
              <w:left w:val="nil"/>
              <w:bottom w:val="nil"/>
              <w:right w:val="nil"/>
            </w:tcBorders>
            <w:shd w:val="clear" w:color="auto" w:fill="auto"/>
            <w:noWrap/>
            <w:vAlign w:val="center"/>
            <w:hideMark/>
          </w:tcPr>
          <w:p w14:paraId="2D194E33" w14:textId="199BEAC8" w:rsidR="00372352" w:rsidRPr="00446EC5" w:rsidRDefault="00372352" w:rsidP="00372352">
            <w:pPr>
              <w:ind w:firstLineChars="100" w:firstLine="180"/>
              <w:rPr>
                <w:color w:val="000000"/>
                <w:sz w:val="18"/>
                <w:szCs w:val="18"/>
              </w:rPr>
            </w:pPr>
            <w:r w:rsidRPr="00446EC5">
              <w:rPr>
                <w:rFonts w:cs="Calibri"/>
                <w:color w:val="000000"/>
                <w:sz w:val="18"/>
                <w:szCs w:val="18"/>
              </w:rPr>
              <w:t xml:space="preserve"> - vplyv otvorenia II. piliera dôch. systému</w:t>
            </w:r>
          </w:p>
        </w:tc>
        <w:tc>
          <w:tcPr>
            <w:tcW w:w="485" w:type="dxa"/>
            <w:tcBorders>
              <w:top w:val="nil"/>
              <w:left w:val="nil"/>
              <w:bottom w:val="nil"/>
              <w:right w:val="nil"/>
            </w:tcBorders>
            <w:shd w:val="clear" w:color="auto" w:fill="auto"/>
            <w:noWrap/>
            <w:vAlign w:val="center"/>
            <w:hideMark/>
          </w:tcPr>
          <w:p w14:paraId="3ED9C442" w14:textId="2C496ECF" w:rsidR="00372352" w:rsidRPr="00446EC5" w:rsidRDefault="00372352" w:rsidP="00372352">
            <w:pPr>
              <w:jc w:val="center"/>
              <w:rPr>
                <w:color w:val="000000"/>
                <w:sz w:val="16"/>
                <w:szCs w:val="16"/>
              </w:rPr>
            </w:pPr>
            <w:r w:rsidRPr="00446EC5">
              <w:rPr>
                <w:rFonts w:cs="Calibri"/>
                <w:color w:val="000000"/>
                <w:sz w:val="16"/>
                <w:szCs w:val="16"/>
              </w:rPr>
              <w:t>240</w:t>
            </w:r>
          </w:p>
        </w:tc>
        <w:tc>
          <w:tcPr>
            <w:tcW w:w="471" w:type="dxa"/>
            <w:tcBorders>
              <w:top w:val="nil"/>
              <w:left w:val="nil"/>
              <w:bottom w:val="nil"/>
              <w:right w:val="nil"/>
            </w:tcBorders>
            <w:shd w:val="clear" w:color="auto" w:fill="auto"/>
            <w:noWrap/>
            <w:vAlign w:val="center"/>
            <w:hideMark/>
          </w:tcPr>
          <w:p w14:paraId="434AE7A0" w14:textId="59788DD7" w:rsidR="00372352" w:rsidRPr="00446EC5" w:rsidRDefault="00372352" w:rsidP="00372352">
            <w:pPr>
              <w:jc w:val="center"/>
              <w:rPr>
                <w:color w:val="000000"/>
                <w:sz w:val="16"/>
                <w:szCs w:val="16"/>
              </w:rPr>
            </w:pPr>
            <w:r w:rsidRPr="00446EC5">
              <w:rPr>
                <w:rFonts w:cs="Calibri"/>
                <w:color w:val="000000"/>
                <w:sz w:val="16"/>
                <w:szCs w:val="16"/>
              </w:rPr>
              <w:t>-</w:t>
            </w:r>
          </w:p>
        </w:tc>
        <w:tc>
          <w:tcPr>
            <w:tcW w:w="470" w:type="dxa"/>
            <w:tcBorders>
              <w:top w:val="nil"/>
              <w:left w:val="nil"/>
              <w:bottom w:val="nil"/>
              <w:right w:val="nil"/>
            </w:tcBorders>
            <w:shd w:val="clear" w:color="auto" w:fill="auto"/>
            <w:noWrap/>
            <w:vAlign w:val="center"/>
            <w:hideMark/>
          </w:tcPr>
          <w:p w14:paraId="2BA4C230" w14:textId="3FA8CB6A" w:rsidR="00372352" w:rsidRPr="00446EC5" w:rsidRDefault="00372352" w:rsidP="00372352">
            <w:pPr>
              <w:jc w:val="center"/>
              <w:rPr>
                <w:color w:val="000000"/>
                <w:sz w:val="16"/>
                <w:szCs w:val="16"/>
              </w:rPr>
            </w:pPr>
            <w:r w:rsidRPr="00446EC5">
              <w:rPr>
                <w:rFonts w:cs="Calibri"/>
                <w:color w:val="000000"/>
                <w:sz w:val="16"/>
                <w:szCs w:val="16"/>
              </w:rPr>
              <w:t>579</w:t>
            </w:r>
          </w:p>
        </w:tc>
        <w:tc>
          <w:tcPr>
            <w:tcW w:w="465" w:type="dxa"/>
            <w:tcBorders>
              <w:top w:val="nil"/>
              <w:left w:val="nil"/>
              <w:bottom w:val="nil"/>
              <w:right w:val="nil"/>
            </w:tcBorders>
            <w:vAlign w:val="center"/>
          </w:tcPr>
          <w:p w14:paraId="3A605911" w14:textId="205D314E"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hideMark/>
          </w:tcPr>
          <w:p w14:paraId="6ABA75D7" w14:textId="6AC09F5E"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0E47A11C" w14:textId="1D264DCA"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6CFC6724" w14:textId="78D2C797"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2A0DC438" w14:textId="31982C7E"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6D2D60CC" w14:textId="495828B7"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00E764C1" w14:textId="760C1AE6"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4810F04B" w14:textId="0ACA7467"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02947264" w14:textId="77777777" w:rsidTr="00AD12F6">
        <w:trPr>
          <w:trHeight w:val="300"/>
        </w:trPr>
        <w:tc>
          <w:tcPr>
            <w:tcW w:w="3994" w:type="dxa"/>
            <w:tcBorders>
              <w:top w:val="nil"/>
              <w:left w:val="nil"/>
              <w:bottom w:val="nil"/>
              <w:right w:val="nil"/>
            </w:tcBorders>
            <w:shd w:val="clear" w:color="auto" w:fill="auto"/>
            <w:noWrap/>
            <w:vAlign w:val="center"/>
            <w:hideMark/>
          </w:tcPr>
          <w:p w14:paraId="2B8921B5" w14:textId="25C21898" w:rsidR="00372352" w:rsidRPr="00446EC5" w:rsidRDefault="00372352" w:rsidP="00372352">
            <w:pPr>
              <w:ind w:firstLineChars="100" w:firstLine="180"/>
              <w:rPr>
                <w:color w:val="000000"/>
                <w:sz w:val="18"/>
                <w:szCs w:val="18"/>
              </w:rPr>
            </w:pPr>
            <w:r w:rsidRPr="00446EC5">
              <w:rPr>
                <w:rFonts w:cs="Calibri"/>
                <w:sz w:val="18"/>
                <w:szCs w:val="18"/>
              </w:rPr>
              <w:t xml:space="preserve"> - dividendy nad rámec zisku z riadnej činnosti</w:t>
            </w:r>
          </w:p>
        </w:tc>
        <w:tc>
          <w:tcPr>
            <w:tcW w:w="485" w:type="dxa"/>
            <w:tcBorders>
              <w:top w:val="nil"/>
              <w:left w:val="nil"/>
              <w:bottom w:val="nil"/>
              <w:right w:val="nil"/>
            </w:tcBorders>
            <w:shd w:val="clear" w:color="auto" w:fill="auto"/>
            <w:noWrap/>
            <w:vAlign w:val="center"/>
            <w:hideMark/>
          </w:tcPr>
          <w:p w14:paraId="46DEF8D7" w14:textId="320F17C0" w:rsidR="00372352" w:rsidRPr="00446EC5" w:rsidRDefault="00372352" w:rsidP="00372352">
            <w:pPr>
              <w:jc w:val="center"/>
              <w:rPr>
                <w:color w:val="000000"/>
                <w:sz w:val="16"/>
                <w:szCs w:val="16"/>
              </w:rPr>
            </w:pPr>
            <w:r w:rsidRPr="00446EC5">
              <w:rPr>
                <w:rFonts w:cs="Calibri"/>
                <w:color w:val="000000"/>
                <w:sz w:val="16"/>
                <w:szCs w:val="16"/>
              </w:rPr>
              <w:t>312</w:t>
            </w:r>
          </w:p>
        </w:tc>
        <w:tc>
          <w:tcPr>
            <w:tcW w:w="471" w:type="dxa"/>
            <w:tcBorders>
              <w:top w:val="nil"/>
              <w:left w:val="nil"/>
              <w:bottom w:val="nil"/>
              <w:right w:val="nil"/>
            </w:tcBorders>
            <w:shd w:val="clear" w:color="auto" w:fill="auto"/>
            <w:noWrap/>
            <w:vAlign w:val="center"/>
            <w:hideMark/>
          </w:tcPr>
          <w:p w14:paraId="72FD3302" w14:textId="4EF86E4C" w:rsidR="00372352" w:rsidRPr="00446EC5" w:rsidRDefault="00372352" w:rsidP="00372352">
            <w:pPr>
              <w:jc w:val="center"/>
              <w:rPr>
                <w:color w:val="000000"/>
                <w:sz w:val="16"/>
                <w:szCs w:val="16"/>
              </w:rPr>
            </w:pPr>
            <w:r w:rsidRPr="00446EC5">
              <w:rPr>
                <w:color w:val="000000"/>
                <w:sz w:val="16"/>
                <w:szCs w:val="16"/>
              </w:rPr>
              <w:t>337</w:t>
            </w:r>
          </w:p>
        </w:tc>
        <w:tc>
          <w:tcPr>
            <w:tcW w:w="470" w:type="dxa"/>
            <w:tcBorders>
              <w:top w:val="nil"/>
              <w:left w:val="nil"/>
              <w:bottom w:val="nil"/>
              <w:right w:val="nil"/>
            </w:tcBorders>
            <w:shd w:val="clear" w:color="auto" w:fill="auto"/>
            <w:noWrap/>
            <w:vAlign w:val="center"/>
            <w:hideMark/>
          </w:tcPr>
          <w:p w14:paraId="769ACAEF" w14:textId="74E3C390" w:rsidR="00372352" w:rsidRPr="00446EC5" w:rsidRDefault="00372352" w:rsidP="00372352">
            <w:pPr>
              <w:jc w:val="center"/>
              <w:rPr>
                <w:color w:val="000000"/>
                <w:sz w:val="16"/>
                <w:szCs w:val="16"/>
              </w:rPr>
            </w:pPr>
            <w:r w:rsidRPr="00446EC5">
              <w:rPr>
                <w:rFonts w:cs="Calibri"/>
                <w:color w:val="000000"/>
                <w:sz w:val="16"/>
                <w:szCs w:val="16"/>
              </w:rPr>
              <w:t>169</w:t>
            </w:r>
          </w:p>
        </w:tc>
        <w:tc>
          <w:tcPr>
            <w:tcW w:w="465" w:type="dxa"/>
            <w:tcBorders>
              <w:top w:val="nil"/>
              <w:left w:val="nil"/>
              <w:bottom w:val="nil"/>
              <w:right w:val="nil"/>
            </w:tcBorders>
            <w:vAlign w:val="center"/>
          </w:tcPr>
          <w:p w14:paraId="1580E169" w14:textId="650FAAF8" w:rsidR="00372352" w:rsidRPr="00446EC5" w:rsidRDefault="00372352" w:rsidP="00372352">
            <w:pPr>
              <w:jc w:val="center"/>
              <w:rPr>
                <w:color w:val="000000"/>
                <w:sz w:val="16"/>
                <w:szCs w:val="16"/>
              </w:rPr>
            </w:pPr>
            <w:r w:rsidRPr="00446EC5">
              <w:rPr>
                <w:rFonts w:cs="Calibri"/>
                <w:color w:val="000000"/>
                <w:sz w:val="16"/>
                <w:szCs w:val="16"/>
              </w:rPr>
              <w:t>207</w:t>
            </w:r>
          </w:p>
        </w:tc>
        <w:tc>
          <w:tcPr>
            <w:tcW w:w="477" w:type="dxa"/>
            <w:tcBorders>
              <w:top w:val="nil"/>
              <w:left w:val="nil"/>
              <w:bottom w:val="nil"/>
              <w:right w:val="nil"/>
            </w:tcBorders>
            <w:shd w:val="clear" w:color="auto" w:fill="auto"/>
            <w:noWrap/>
            <w:vAlign w:val="center"/>
            <w:hideMark/>
          </w:tcPr>
          <w:p w14:paraId="2B6832BA" w14:textId="26AD9202" w:rsidR="00372352" w:rsidRPr="00446EC5" w:rsidRDefault="00372352" w:rsidP="00372352">
            <w:pPr>
              <w:jc w:val="center"/>
              <w:rPr>
                <w:color w:val="000000"/>
                <w:sz w:val="16"/>
                <w:szCs w:val="16"/>
              </w:rPr>
            </w:pPr>
            <w:r w:rsidRPr="00446EC5">
              <w:rPr>
                <w:rFonts w:cs="Calibri"/>
                <w:color w:val="000000"/>
                <w:sz w:val="16"/>
                <w:szCs w:val="16"/>
              </w:rPr>
              <w:t>238</w:t>
            </w:r>
          </w:p>
        </w:tc>
        <w:tc>
          <w:tcPr>
            <w:tcW w:w="467" w:type="dxa"/>
            <w:tcBorders>
              <w:top w:val="nil"/>
              <w:left w:val="nil"/>
              <w:bottom w:val="nil"/>
              <w:right w:val="nil"/>
            </w:tcBorders>
            <w:shd w:val="clear" w:color="auto" w:fill="auto"/>
            <w:noWrap/>
            <w:vAlign w:val="center"/>
            <w:hideMark/>
          </w:tcPr>
          <w:p w14:paraId="576EE5CE" w14:textId="25F039AB" w:rsidR="00372352" w:rsidRPr="00446EC5" w:rsidRDefault="00372352" w:rsidP="00372352">
            <w:pPr>
              <w:jc w:val="center"/>
              <w:rPr>
                <w:color w:val="000000"/>
                <w:sz w:val="16"/>
                <w:szCs w:val="16"/>
              </w:rPr>
            </w:pPr>
            <w:r w:rsidRPr="00446EC5">
              <w:rPr>
                <w:rFonts w:cs="Calibri"/>
                <w:color w:val="000000"/>
                <w:sz w:val="16"/>
                <w:szCs w:val="16"/>
              </w:rPr>
              <w:t>58</w:t>
            </w:r>
          </w:p>
        </w:tc>
        <w:tc>
          <w:tcPr>
            <w:tcW w:w="517" w:type="dxa"/>
            <w:tcBorders>
              <w:top w:val="nil"/>
              <w:left w:val="nil"/>
              <w:bottom w:val="nil"/>
              <w:right w:val="nil"/>
            </w:tcBorders>
            <w:shd w:val="clear" w:color="auto" w:fill="auto"/>
            <w:noWrap/>
            <w:vAlign w:val="center"/>
            <w:hideMark/>
          </w:tcPr>
          <w:p w14:paraId="547300AD" w14:textId="46CB2255" w:rsidR="00372352" w:rsidRPr="00FB4087" w:rsidRDefault="00372352" w:rsidP="00372352">
            <w:pPr>
              <w:jc w:val="center"/>
              <w:rPr>
                <w:color w:val="000000"/>
                <w:sz w:val="16"/>
                <w:szCs w:val="16"/>
              </w:rPr>
            </w:pPr>
            <w:r w:rsidRPr="00FB4087">
              <w:rPr>
                <w:rFonts w:cs="Calibri"/>
                <w:color w:val="000000"/>
                <w:sz w:val="16"/>
                <w:szCs w:val="16"/>
              </w:rPr>
              <w:t>2</w:t>
            </w:r>
            <w:r w:rsidR="00B9264D">
              <w:rPr>
                <w:rFonts w:cs="Calibri"/>
                <w:color w:val="000000"/>
                <w:sz w:val="16"/>
                <w:szCs w:val="16"/>
              </w:rPr>
              <w:t>1</w:t>
            </w:r>
            <w:r>
              <w:rPr>
                <w:rFonts w:cs="Calibri"/>
                <w:color w:val="000000"/>
                <w:sz w:val="16"/>
                <w:szCs w:val="16"/>
              </w:rPr>
              <w:t>2</w:t>
            </w:r>
          </w:p>
        </w:tc>
        <w:tc>
          <w:tcPr>
            <w:tcW w:w="467" w:type="dxa"/>
            <w:tcBorders>
              <w:top w:val="nil"/>
              <w:left w:val="nil"/>
              <w:bottom w:val="nil"/>
              <w:right w:val="nil"/>
            </w:tcBorders>
            <w:shd w:val="clear" w:color="auto" w:fill="auto"/>
            <w:noWrap/>
            <w:vAlign w:val="center"/>
            <w:hideMark/>
          </w:tcPr>
          <w:p w14:paraId="5AEDDBD1" w14:textId="673BAD1E" w:rsidR="00372352" w:rsidRPr="00FB4087" w:rsidRDefault="00372352" w:rsidP="00372352">
            <w:pPr>
              <w:jc w:val="center"/>
              <w:rPr>
                <w:color w:val="000000"/>
                <w:sz w:val="16"/>
                <w:szCs w:val="16"/>
              </w:rPr>
            </w:pPr>
            <w:r w:rsidRPr="00FB4087">
              <w:rPr>
                <w:color w:val="000000"/>
                <w:sz w:val="16"/>
                <w:szCs w:val="16"/>
              </w:rPr>
              <w:t>202</w:t>
            </w:r>
          </w:p>
        </w:tc>
        <w:tc>
          <w:tcPr>
            <w:tcW w:w="510" w:type="dxa"/>
            <w:tcBorders>
              <w:top w:val="nil"/>
              <w:left w:val="nil"/>
              <w:bottom w:val="nil"/>
              <w:right w:val="nil"/>
            </w:tcBorders>
            <w:shd w:val="clear" w:color="auto" w:fill="auto"/>
            <w:noWrap/>
            <w:vAlign w:val="center"/>
            <w:hideMark/>
          </w:tcPr>
          <w:p w14:paraId="7216BB23" w14:textId="248EC911" w:rsidR="00372352" w:rsidRPr="00FB4087" w:rsidRDefault="00372352" w:rsidP="00372352">
            <w:pPr>
              <w:jc w:val="center"/>
              <w:rPr>
                <w:color w:val="000000"/>
                <w:sz w:val="16"/>
                <w:szCs w:val="16"/>
              </w:rPr>
            </w:pPr>
            <w:r w:rsidRPr="00FB4087">
              <w:rPr>
                <w:rFonts w:cs="Calibri"/>
                <w:color w:val="000000"/>
                <w:sz w:val="16"/>
                <w:szCs w:val="16"/>
              </w:rPr>
              <w:t>154</w:t>
            </w:r>
          </w:p>
        </w:tc>
        <w:tc>
          <w:tcPr>
            <w:tcW w:w="448" w:type="dxa"/>
            <w:tcBorders>
              <w:top w:val="nil"/>
              <w:left w:val="nil"/>
              <w:bottom w:val="nil"/>
              <w:right w:val="nil"/>
            </w:tcBorders>
            <w:shd w:val="clear" w:color="auto" w:fill="auto"/>
            <w:noWrap/>
            <w:vAlign w:val="center"/>
            <w:hideMark/>
          </w:tcPr>
          <w:p w14:paraId="6D16223A" w14:textId="712E0133" w:rsidR="00372352" w:rsidRPr="00FB4087" w:rsidRDefault="00372352" w:rsidP="00372352">
            <w:pPr>
              <w:jc w:val="center"/>
              <w:rPr>
                <w:color w:val="000000"/>
                <w:sz w:val="16"/>
                <w:szCs w:val="16"/>
              </w:rPr>
            </w:pPr>
            <w:r w:rsidRPr="00FB4087">
              <w:rPr>
                <w:rFonts w:cs="Calibri"/>
                <w:color w:val="000000"/>
                <w:sz w:val="16"/>
                <w:szCs w:val="16"/>
              </w:rPr>
              <w:t>119</w:t>
            </w:r>
          </w:p>
        </w:tc>
        <w:tc>
          <w:tcPr>
            <w:tcW w:w="506" w:type="dxa"/>
            <w:tcBorders>
              <w:top w:val="nil"/>
              <w:left w:val="nil"/>
              <w:bottom w:val="nil"/>
              <w:right w:val="nil"/>
            </w:tcBorders>
            <w:shd w:val="clear" w:color="auto" w:fill="auto"/>
            <w:noWrap/>
            <w:vAlign w:val="center"/>
            <w:hideMark/>
          </w:tcPr>
          <w:p w14:paraId="052BF64C" w14:textId="434475D2" w:rsidR="00372352" w:rsidRPr="00FB4087" w:rsidRDefault="00372352" w:rsidP="00372352">
            <w:pPr>
              <w:jc w:val="center"/>
              <w:rPr>
                <w:color w:val="000000"/>
                <w:sz w:val="16"/>
                <w:szCs w:val="16"/>
              </w:rPr>
            </w:pPr>
            <w:r w:rsidRPr="00FB4087">
              <w:rPr>
                <w:rFonts w:cs="Calibri"/>
                <w:color w:val="000000"/>
                <w:sz w:val="16"/>
                <w:szCs w:val="16"/>
              </w:rPr>
              <w:t>85</w:t>
            </w:r>
          </w:p>
        </w:tc>
      </w:tr>
      <w:tr w:rsidR="00372352" w:rsidRPr="00B81300" w14:paraId="0141BC27" w14:textId="77777777" w:rsidTr="00AD12F6">
        <w:trPr>
          <w:trHeight w:val="300"/>
        </w:trPr>
        <w:tc>
          <w:tcPr>
            <w:tcW w:w="3994" w:type="dxa"/>
            <w:tcBorders>
              <w:top w:val="nil"/>
              <w:left w:val="nil"/>
              <w:bottom w:val="nil"/>
              <w:right w:val="nil"/>
            </w:tcBorders>
            <w:shd w:val="clear" w:color="auto" w:fill="auto"/>
            <w:noWrap/>
            <w:vAlign w:val="center"/>
          </w:tcPr>
          <w:p w14:paraId="4A79999C" w14:textId="137C30C4" w:rsidR="00372352" w:rsidRPr="00446EC5" w:rsidRDefault="00372352" w:rsidP="00372352">
            <w:pPr>
              <w:ind w:firstLineChars="100" w:firstLine="180"/>
              <w:rPr>
                <w:rFonts w:cs="Calibri"/>
                <w:sz w:val="18"/>
                <w:szCs w:val="18"/>
              </w:rPr>
            </w:pPr>
            <w:r w:rsidRPr="00446EC5">
              <w:rPr>
                <w:color w:val="000000"/>
                <w:sz w:val="18"/>
                <w:szCs w:val="18"/>
              </w:rPr>
              <w:t xml:space="preserve"> - príjmy z predaja telekomunikačných licencií</w:t>
            </w:r>
          </w:p>
        </w:tc>
        <w:tc>
          <w:tcPr>
            <w:tcW w:w="485" w:type="dxa"/>
            <w:tcBorders>
              <w:top w:val="nil"/>
              <w:left w:val="nil"/>
              <w:bottom w:val="nil"/>
              <w:right w:val="nil"/>
            </w:tcBorders>
            <w:shd w:val="clear" w:color="auto" w:fill="auto"/>
            <w:noWrap/>
            <w:vAlign w:val="center"/>
          </w:tcPr>
          <w:p w14:paraId="3606D342" w14:textId="1E67988F" w:rsidR="00372352" w:rsidRPr="00446EC5" w:rsidRDefault="00372352" w:rsidP="00372352">
            <w:pPr>
              <w:jc w:val="center"/>
              <w:rPr>
                <w:rFonts w:cs="Calibri"/>
                <w:color w:val="000000"/>
                <w:sz w:val="16"/>
                <w:szCs w:val="16"/>
              </w:rPr>
            </w:pPr>
            <w:r w:rsidRPr="00446EC5">
              <w:rPr>
                <w:rFonts w:cs="Calibri"/>
                <w:color w:val="000000"/>
                <w:sz w:val="16"/>
                <w:szCs w:val="16"/>
              </w:rPr>
              <w:t>-</w:t>
            </w:r>
          </w:p>
        </w:tc>
        <w:tc>
          <w:tcPr>
            <w:tcW w:w="471" w:type="dxa"/>
            <w:tcBorders>
              <w:top w:val="nil"/>
              <w:left w:val="nil"/>
              <w:bottom w:val="nil"/>
              <w:right w:val="nil"/>
            </w:tcBorders>
            <w:shd w:val="clear" w:color="auto" w:fill="auto"/>
            <w:noWrap/>
            <w:vAlign w:val="center"/>
          </w:tcPr>
          <w:p w14:paraId="3EE35FCC" w14:textId="503DAD44" w:rsidR="00372352" w:rsidRPr="00446EC5" w:rsidRDefault="00372352" w:rsidP="00372352">
            <w:pPr>
              <w:jc w:val="center"/>
              <w:rPr>
                <w:color w:val="000000"/>
                <w:sz w:val="16"/>
                <w:szCs w:val="16"/>
              </w:rPr>
            </w:pPr>
            <w:r>
              <w:rPr>
                <w:rFonts w:cs="Calibri"/>
                <w:color w:val="000000"/>
                <w:sz w:val="16"/>
                <w:szCs w:val="16"/>
              </w:rPr>
              <w:t>164</w:t>
            </w:r>
          </w:p>
        </w:tc>
        <w:tc>
          <w:tcPr>
            <w:tcW w:w="470" w:type="dxa"/>
            <w:tcBorders>
              <w:top w:val="nil"/>
              <w:left w:val="nil"/>
              <w:bottom w:val="nil"/>
              <w:right w:val="nil"/>
            </w:tcBorders>
            <w:shd w:val="clear" w:color="auto" w:fill="auto"/>
            <w:noWrap/>
            <w:vAlign w:val="center"/>
          </w:tcPr>
          <w:p w14:paraId="33DEE043" w14:textId="4EB76590" w:rsidR="00372352" w:rsidRPr="00446EC5" w:rsidRDefault="00372352" w:rsidP="00372352">
            <w:pPr>
              <w:jc w:val="center"/>
              <w:rPr>
                <w:rFonts w:cs="Calibri"/>
                <w:color w:val="000000"/>
                <w:sz w:val="16"/>
                <w:szCs w:val="16"/>
              </w:rPr>
            </w:pPr>
            <w:r w:rsidRPr="00446EC5">
              <w:rPr>
                <w:rFonts w:cs="Calibri"/>
                <w:color w:val="000000"/>
                <w:sz w:val="16"/>
                <w:szCs w:val="16"/>
              </w:rPr>
              <w:t>-</w:t>
            </w:r>
          </w:p>
        </w:tc>
        <w:tc>
          <w:tcPr>
            <w:tcW w:w="465" w:type="dxa"/>
            <w:tcBorders>
              <w:top w:val="nil"/>
              <w:left w:val="nil"/>
              <w:bottom w:val="nil"/>
              <w:right w:val="nil"/>
            </w:tcBorders>
            <w:vAlign w:val="center"/>
          </w:tcPr>
          <w:p w14:paraId="084E4B4D" w14:textId="6CC03434" w:rsidR="00372352" w:rsidRPr="00446EC5" w:rsidRDefault="00372352" w:rsidP="00372352">
            <w:pPr>
              <w:jc w:val="center"/>
              <w:rPr>
                <w:rFonts w:cs="Calibri"/>
                <w:color w:val="000000"/>
                <w:sz w:val="16"/>
                <w:szCs w:val="16"/>
              </w:rPr>
            </w:pPr>
            <w:r w:rsidRPr="00446EC5">
              <w:rPr>
                <w:color w:val="000000"/>
                <w:sz w:val="16"/>
                <w:szCs w:val="16"/>
              </w:rPr>
              <w:t>-</w:t>
            </w:r>
          </w:p>
        </w:tc>
        <w:tc>
          <w:tcPr>
            <w:tcW w:w="477" w:type="dxa"/>
            <w:tcBorders>
              <w:top w:val="nil"/>
              <w:left w:val="nil"/>
              <w:bottom w:val="nil"/>
              <w:right w:val="nil"/>
            </w:tcBorders>
            <w:shd w:val="clear" w:color="auto" w:fill="auto"/>
            <w:noWrap/>
            <w:vAlign w:val="center"/>
          </w:tcPr>
          <w:p w14:paraId="3EAB7E19" w14:textId="249FA880" w:rsidR="00372352" w:rsidRPr="00446EC5" w:rsidRDefault="00372352" w:rsidP="00372352">
            <w:pPr>
              <w:jc w:val="center"/>
              <w:rPr>
                <w:rFonts w:cs="Calibri"/>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tcPr>
          <w:p w14:paraId="5411569A" w14:textId="1C1008D9" w:rsidR="00372352" w:rsidRPr="00446EC5" w:rsidRDefault="00372352" w:rsidP="00372352">
            <w:pPr>
              <w:jc w:val="center"/>
              <w:rPr>
                <w:rFonts w:cs="Calibri"/>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tcPr>
          <w:p w14:paraId="383443C3" w14:textId="2E303836" w:rsidR="00372352" w:rsidRPr="00FB4087" w:rsidRDefault="00372352" w:rsidP="00372352">
            <w:pPr>
              <w:jc w:val="center"/>
              <w:rPr>
                <w:rFonts w:cs="Calibri"/>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tcPr>
          <w:p w14:paraId="4818664F" w14:textId="0AE93F1F"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tcPr>
          <w:p w14:paraId="6B19AFB3" w14:textId="31273106" w:rsidR="00372352" w:rsidRPr="00FB4087" w:rsidRDefault="00372352" w:rsidP="00372352">
            <w:pPr>
              <w:jc w:val="center"/>
              <w:rPr>
                <w:rFonts w:cs="Calibri"/>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tcPr>
          <w:p w14:paraId="53765F69" w14:textId="479085D3" w:rsidR="00372352" w:rsidRPr="00FB4087" w:rsidRDefault="00372352" w:rsidP="00372352">
            <w:pPr>
              <w:jc w:val="center"/>
              <w:rPr>
                <w:rFonts w:cs="Calibri"/>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tcPr>
          <w:p w14:paraId="7F3722DF" w14:textId="0E6AD6E8" w:rsidR="00372352" w:rsidRPr="00FB4087" w:rsidRDefault="00372352" w:rsidP="00372352">
            <w:pPr>
              <w:jc w:val="center"/>
              <w:rPr>
                <w:rFonts w:cs="Calibri"/>
                <w:color w:val="000000"/>
                <w:sz w:val="16"/>
                <w:szCs w:val="16"/>
              </w:rPr>
            </w:pPr>
            <w:r w:rsidRPr="00FB4087">
              <w:rPr>
                <w:rFonts w:cs="Calibri"/>
                <w:color w:val="000000"/>
                <w:sz w:val="16"/>
                <w:szCs w:val="16"/>
              </w:rPr>
              <w:t>-</w:t>
            </w:r>
          </w:p>
        </w:tc>
      </w:tr>
      <w:tr w:rsidR="00372352" w:rsidRPr="00B81300" w14:paraId="61F6C55D" w14:textId="77777777" w:rsidTr="00AD12F6">
        <w:trPr>
          <w:trHeight w:val="300"/>
        </w:trPr>
        <w:tc>
          <w:tcPr>
            <w:tcW w:w="3994" w:type="dxa"/>
            <w:tcBorders>
              <w:top w:val="nil"/>
              <w:left w:val="nil"/>
              <w:bottom w:val="nil"/>
              <w:right w:val="nil"/>
            </w:tcBorders>
            <w:shd w:val="clear" w:color="auto" w:fill="auto"/>
            <w:noWrap/>
            <w:vAlign w:val="center"/>
            <w:hideMark/>
          </w:tcPr>
          <w:p w14:paraId="13F52353" w14:textId="2DAFFC68" w:rsidR="00372352" w:rsidRPr="00446EC5" w:rsidRDefault="00372352" w:rsidP="00372352">
            <w:pPr>
              <w:ind w:firstLineChars="100" w:firstLine="180"/>
              <w:rPr>
                <w:rFonts w:cs="Calibri"/>
                <w:color w:val="000000"/>
                <w:sz w:val="18"/>
                <w:szCs w:val="18"/>
              </w:rPr>
            </w:pPr>
            <w:r w:rsidRPr="00446EC5">
              <w:rPr>
                <w:rFonts w:cs="Calibri"/>
                <w:color w:val="000000"/>
                <w:sz w:val="18"/>
                <w:szCs w:val="18"/>
              </w:rPr>
              <w:t xml:space="preserve"> - privatizácia/odkúpenie podielov</w:t>
            </w:r>
          </w:p>
        </w:tc>
        <w:tc>
          <w:tcPr>
            <w:tcW w:w="485" w:type="dxa"/>
            <w:tcBorders>
              <w:top w:val="nil"/>
              <w:left w:val="nil"/>
              <w:bottom w:val="nil"/>
              <w:right w:val="nil"/>
            </w:tcBorders>
            <w:shd w:val="clear" w:color="auto" w:fill="auto"/>
            <w:noWrap/>
            <w:vAlign w:val="center"/>
            <w:hideMark/>
          </w:tcPr>
          <w:p w14:paraId="3E58D516" w14:textId="600B5D59" w:rsidR="00372352" w:rsidRPr="00446EC5" w:rsidRDefault="00372352" w:rsidP="00372352">
            <w:pPr>
              <w:jc w:val="center"/>
              <w:rPr>
                <w:color w:val="000000"/>
                <w:sz w:val="16"/>
                <w:szCs w:val="16"/>
              </w:rPr>
            </w:pPr>
            <w:r w:rsidRPr="00446EC5">
              <w:rPr>
                <w:rFonts w:cs="Calibri"/>
                <w:color w:val="000000"/>
                <w:sz w:val="16"/>
                <w:szCs w:val="16"/>
              </w:rPr>
              <w:t>-</w:t>
            </w:r>
          </w:p>
        </w:tc>
        <w:tc>
          <w:tcPr>
            <w:tcW w:w="471" w:type="dxa"/>
            <w:tcBorders>
              <w:top w:val="nil"/>
              <w:left w:val="nil"/>
              <w:bottom w:val="nil"/>
              <w:right w:val="nil"/>
            </w:tcBorders>
            <w:shd w:val="clear" w:color="auto" w:fill="auto"/>
            <w:noWrap/>
            <w:vAlign w:val="center"/>
            <w:hideMark/>
          </w:tcPr>
          <w:p w14:paraId="70F384BB" w14:textId="06EA0303" w:rsidR="00372352" w:rsidRPr="00446EC5" w:rsidRDefault="00372352" w:rsidP="00372352">
            <w:pPr>
              <w:jc w:val="center"/>
              <w:rPr>
                <w:color w:val="000000"/>
                <w:sz w:val="16"/>
                <w:szCs w:val="16"/>
              </w:rPr>
            </w:pPr>
            <w:r w:rsidRPr="00446EC5">
              <w:rPr>
                <w:rFonts w:cs="Calibri"/>
                <w:color w:val="000000"/>
                <w:sz w:val="16"/>
                <w:szCs w:val="16"/>
              </w:rPr>
              <w:t>-</w:t>
            </w:r>
          </w:p>
        </w:tc>
        <w:tc>
          <w:tcPr>
            <w:tcW w:w="470" w:type="dxa"/>
            <w:tcBorders>
              <w:top w:val="nil"/>
              <w:left w:val="nil"/>
              <w:bottom w:val="nil"/>
              <w:right w:val="nil"/>
            </w:tcBorders>
            <w:shd w:val="clear" w:color="auto" w:fill="auto"/>
            <w:noWrap/>
            <w:vAlign w:val="center"/>
            <w:hideMark/>
          </w:tcPr>
          <w:p w14:paraId="4937EEAC" w14:textId="33C6B472" w:rsidR="00372352" w:rsidRPr="00446EC5" w:rsidRDefault="00372352" w:rsidP="00372352">
            <w:pPr>
              <w:jc w:val="center"/>
              <w:rPr>
                <w:color w:val="000000"/>
                <w:sz w:val="16"/>
                <w:szCs w:val="16"/>
              </w:rPr>
            </w:pPr>
            <w:r w:rsidRPr="00446EC5">
              <w:rPr>
                <w:rFonts w:cs="Calibri"/>
                <w:color w:val="000000"/>
                <w:sz w:val="16"/>
                <w:szCs w:val="16"/>
              </w:rPr>
              <w:t>800</w:t>
            </w:r>
          </w:p>
        </w:tc>
        <w:tc>
          <w:tcPr>
            <w:tcW w:w="465" w:type="dxa"/>
            <w:tcBorders>
              <w:top w:val="nil"/>
              <w:left w:val="nil"/>
              <w:bottom w:val="nil"/>
              <w:right w:val="nil"/>
            </w:tcBorders>
            <w:vAlign w:val="center"/>
          </w:tcPr>
          <w:p w14:paraId="2B7D9C6C" w14:textId="79325940" w:rsidR="00372352" w:rsidRPr="00446EC5" w:rsidRDefault="00372352" w:rsidP="00372352">
            <w:pPr>
              <w:jc w:val="center"/>
              <w:rPr>
                <w:color w:val="000000"/>
                <w:sz w:val="16"/>
                <w:szCs w:val="16"/>
              </w:rPr>
            </w:pPr>
            <w:r w:rsidRPr="00446EC5">
              <w:rPr>
                <w:color w:val="000000"/>
                <w:sz w:val="16"/>
                <w:szCs w:val="16"/>
              </w:rPr>
              <w:t>-</w:t>
            </w:r>
          </w:p>
        </w:tc>
        <w:tc>
          <w:tcPr>
            <w:tcW w:w="477" w:type="dxa"/>
            <w:tcBorders>
              <w:top w:val="nil"/>
              <w:left w:val="nil"/>
              <w:bottom w:val="nil"/>
              <w:right w:val="nil"/>
            </w:tcBorders>
            <w:shd w:val="clear" w:color="auto" w:fill="auto"/>
            <w:noWrap/>
            <w:vAlign w:val="center"/>
            <w:hideMark/>
          </w:tcPr>
          <w:p w14:paraId="01CC1654" w14:textId="4C56306B"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0D813FD4" w14:textId="1F146461"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327A5B0C" w14:textId="1094C51A"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1B039A3A" w14:textId="3EB8F55E"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744065C1" w14:textId="0BBF9DE1"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658C9047" w14:textId="2FE4CE09"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5C87D4AD" w14:textId="3B622B75" w:rsidR="00372352" w:rsidRPr="00FB4087" w:rsidRDefault="00372352" w:rsidP="00372352">
            <w:pPr>
              <w:jc w:val="center"/>
              <w:rPr>
                <w:rFonts w:cs="Calibri"/>
                <w:color w:val="000000"/>
                <w:sz w:val="16"/>
                <w:szCs w:val="16"/>
              </w:rPr>
            </w:pPr>
            <w:r w:rsidRPr="00FB4087">
              <w:rPr>
                <w:rFonts w:cs="Calibri"/>
                <w:color w:val="000000"/>
                <w:sz w:val="16"/>
                <w:szCs w:val="16"/>
              </w:rPr>
              <w:t>-</w:t>
            </w:r>
          </w:p>
        </w:tc>
      </w:tr>
      <w:tr w:rsidR="00372352" w:rsidRPr="00B81300" w14:paraId="2738A527" w14:textId="77777777" w:rsidTr="00AD12F6">
        <w:trPr>
          <w:trHeight w:val="300"/>
        </w:trPr>
        <w:tc>
          <w:tcPr>
            <w:tcW w:w="3994" w:type="dxa"/>
            <w:tcBorders>
              <w:top w:val="nil"/>
              <w:left w:val="nil"/>
              <w:bottom w:val="nil"/>
              <w:right w:val="nil"/>
            </w:tcBorders>
            <w:shd w:val="clear" w:color="auto" w:fill="auto"/>
            <w:noWrap/>
            <w:vAlign w:val="center"/>
            <w:hideMark/>
          </w:tcPr>
          <w:p w14:paraId="52FE7CCA" w14:textId="19B0AA1C" w:rsidR="00372352" w:rsidRPr="00446EC5" w:rsidRDefault="00372352" w:rsidP="00372352">
            <w:pPr>
              <w:ind w:firstLineChars="100" w:firstLine="180"/>
              <w:rPr>
                <w:color w:val="000000"/>
                <w:sz w:val="18"/>
                <w:szCs w:val="18"/>
              </w:rPr>
            </w:pPr>
            <w:r w:rsidRPr="00446EC5">
              <w:rPr>
                <w:rFonts w:cs="Calibri"/>
                <w:color w:val="000000"/>
                <w:sz w:val="18"/>
                <w:szCs w:val="18"/>
              </w:rPr>
              <w:t xml:space="preserve"> - splátka NFV od Vodohospodárskej výstavby</w:t>
            </w:r>
          </w:p>
        </w:tc>
        <w:tc>
          <w:tcPr>
            <w:tcW w:w="485" w:type="dxa"/>
            <w:tcBorders>
              <w:top w:val="nil"/>
              <w:left w:val="nil"/>
              <w:bottom w:val="nil"/>
              <w:right w:val="nil"/>
            </w:tcBorders>
            <w:shd w:val="clear" w:color="auto" w:fill="auto"/>
            <w:noWrap/>
            <w:vAlign w:val="center"/>
            <w:hideMark/>
          </w:tcPr>
          <w:p w14:paraId="080642D4" w14:textId="293C9F03" w:rsidR="00372352" w:rsidRPr="00446EC5" w:rsidRDefault="00372352" w:rsidP="00372352">
            <w:pPr>
              <w:jc w:val="center"/>
              <w:rPr>
                <w:color w:val="000000"/>
                <w:sz w:val="16"/>
                <w:szCs w:val="16"/>
              </w:rPr>
            </w:pPr>
            <w:r w:rsidRPr="00446EC5">
              <w:rPr>
                <w:rFonts w:cs="Calibri"/>
                <w:color w:val="000000"/>
                <w:sz w:val="16"/>
                <w:szCs w:val="16"/>
              </w:rPr>
              <w:t>-</w:t>
            </w:r>
          </w:p>
        </w:tc>
        <w:tc>
          <w:tcPr>
            <w:tcW w:w="471" w:type="dxa"/>
            <w:tcBorders>
              <w:top w:val="nil"/>
              <w:left w:val="nil"/>
              <w:bottom w:val="nil"/>
              <w:right w:val="nil"/>
            </w:tcBorders>
            <w:shd w:val="clear" w:color="auto" w:fill="auto"/>
            <w:noWrap/>
            <w:vAlign w:val="center"/>
            <w:hideMark/>
          </w:tcPr>
          <w:p w14:paraId="733E72A3" w14:textId="7E0CEC09" w:rsidR="00372352" w:rsidRPr="00446EC5" w:rsidRDefault="00372352" w:rsidP="00372352">
            <w:pPr>
              <w:jc w:val="center"/>
              <w:rPr>
                <w:color w:val="000000"/>
                <w:sz w:val="16"/>
                <w:szCs w:val="16"/>
              </w:rPr>
            </w:pPr>
            <w:r w:rsidRPr="00446EC5">
              <w:rPr>
                <w:color w:val="000000"/>
                <w:sz w:val="16"/>
                <w:szCs w:val="16"/>
              </w:rPr>
              <w:t>158</w:t>
            </w:r>
          </w:p>
        </w:tc>
        <w:tc>
          <w:tcPr>
            <w:tcW w:w="470" w:type="dxa"/>
            <w:tcBorders>
              <w:top w:val="nil"/>
              <w:left w:val="nil"/>
              <w:bottom w:val="nil"/>
              <w:right w:val="nil"/>
            </w:tcBorders>
            <w:shd w:val="clear" w:color="auto" w:fill="auto"/>
            <w:noWrap/>
            <w:vAlign w:val="center"/>
            <w:hideMark/>
          </w:tcPr>
          <w:p w14:paraId="3DC0DD30" w14:textId="54C4EFEE" w:rsidR="00372352" w:rsidRPr="00446EC5" w:rsidRDefault="00372352" w:rsidP="00372352">
            <w:pPr>
              <w:jc w:val="center"/>
              <w:rPr>
                <w:color w:val="000000"/>
                <w:sz w:val="16"/>
                <w:szCs w:val="16"/>
              </w:rPr>
            </w:pPr>
            <w:r w:rsidRPr="00446EC5">
              <w:rPr>
                <w:color w:val="000000"/>
                <w:sz w:val="16"/>
                <w:szCs w:val="16"/>
              </w:rPr>
              <w:t>-</w:t>
            </w:r>
          </w:p>
        </w:tc>
        <w:tc>
          <w:tcPr>
            <w:tcW w:w="465" w:type="dxa"/>
            <w:tcBorders>
              <w:top w:val="nil"/>
              <w:left w:val="nil"/>
              <w:bottom w:val="nil"/>
              <w:right w:val="nil"/>
            </w:tcBorders>
            <w:vAlign w:val="center"/>
          </w:tcPr>
          <w:p w14:paraId="0636F6D6" w14:textId="390E7794"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hideMark/>
          </w:tcPr>
          <w:p w14:paraId="2AF24B96" w14:textId="6BAE1688"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2C4A8878" w14:textId="651C467D"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4262284E" w14:textId="249108C6"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4AB10177" w14:textId="08C06026"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039216DD" w14:textId="32DA9F61"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1683CD97" w14:textId="79B06B17"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5972E143" w14:textId="01092703"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5230462A" w14:textId="77777777" w:rsidTr="00AD12F6">
        <w:trPr>
          <w:trHeight w:val="300"/>
        </w:trPr>
        <w:tc>
          <w:tcPr>
            <w:tcW w:w="3994" w:type="dxa"/>
            <w:tcBorders>
              <w:top w:val="nil"/>
              <w:left w:val="nil"/>
              <w:bottom w:val="nil"/>
              <w:right w:val="nil"/>
            </w:tcBorders>
            <w:shd w:val="clear" w:color="auto" w:fill="auto"/>
            <w:noWrap/>
            <w:vAlign w:val="center"/>
            <w:hideMark/>
          </w:tcPr>
          <w:p w14:paraId="43248C87" w14:textId="2BC00756" w:rsidR="00372352" w:rsidRPr="00446EC5" w:rsidRDefault="00372352" w:rsidP="00372352">
            <w:pPr>
              <w:ind w:firstLineChars="100" w:firstLine="180"/>
              <w:rPr>
                <w:color w:val="000000"/>
                <w:sz w:val="18"/>
                <w:szCs w:val="18"/>
              </w:rPr>
            </w:pPr>
            <w:r w:rsidRPr="00446EC5">
              <w:rPr>
                <w:rFonts w:cs="Calibri"/>
                <w:color w:val="000000"/>
                <w:sz w:val="18"/>
                <w:szCs w:val="18"/>
              </w:rPr>
              <w:t xml:space="preserve"> - splátka NFV od spoločnosti Cargo</w:t>
            </w:r>
          </w:p>
        </w:tc>
        <w:tc>
          <w:tcPr>
            <w:tcW w:w="485" w:type="dxa"/>
            <w:tcBorders>
              <w:top w:val="nil"/>
              <w:left w:val="nil"/>
              <w:bottom w:val="nil"/>
              <w:right w:val="nil"/>
            </w:tcBorders>
            <w:shd w:val="clear" w:color="auto" w:fill="auto"/>
            <w:noWrap/>
            <w:vAlign w:val="center"/>
            <w:hideMark/>
          </w:tcPr>
          <w:p w14:paraId="6C2FFC32" w14:textId="7714AC18" w:rsidR="00372352" w:rsidRPr="00446EC5" w:rsidRDefault="00372352" w:rsidP="00372352">
            <w:pPr>
              <w:jc w:val="center"/>
              <w:rPr>
                <w:color w:val="000000"/>
                <w:sz w:val="16"/>
                <w:szCs w:val="16"/>
              </w:rPr>
            </w:pPr>
            <w:r w:rsidRPr="00446EC5">
              <w:rPr>
                <w:rFonts w:cs="Calibri"/>
                <w:color w:val="000000"/>
                <w:sz w:val="16"/>
                <w:szCs w:val="16"/>
              </w:rPr>
              <w:t>20</w:t>
            </w:r>
          </w:p>
        </w:tc>
        <w:tc>
          <w:tcPr>
            <w:tcW w:w="471" w:type="dxa"/>
            <w:tcBorders>
              <w:top w:val="nil"/>
              <w:left w:val="nil"/>
              <w:bottom w:val="nil"/>
              <w:right w:val="nil"/>
            </w:tcBorders>
            <w:shd w:val="clear" w:color="auto" w:fill="auto"/>
            <w:noWrap/>
            <w:vAlign w:val="center"/>
            <w:hideMark/>
          </w:tcPr>
          <w:p w14:paraId="07EAEC40" w14:textId="74303009" w:rsidR="00372352" w:rsidRPr="00446EC5" w:rsidRDefault="00372352" w:rsidP="00372352">
            <w:pPr>
              <w:jc w:val="center"/>
              <w:rPr>
                <w:color w:val="000000"/>
                <w:sz w:val="16"/>
                <w:szCs w:val="16"/>
              </w:rPr>
            </w:pPr>
            <w:r w:rsidRPr="00446EC5">
              <w:rPr>
                <w:rFonts w:cs="Calibri"/>
                <w:color w:val="000000"/>
                <w:sz w:val="16"/>
                <w:szCs w:val="16"/>
              </w:rPr>
              <w:t>20</w:t>
            </w:r>
          </w:p>
        </w:tc>
        <w:tc>
          <w:tcPr>
            <w:tcW w:w="470" w:type="dxa"/>
            <w:tcBorders>
              <w:top w:val="nil"/>
              <w:left w:val="nil"/>
              <w:bottom w:val="nil"/>
              <w:right w:val="nil"/>
            </w:tcBorders>
            <w:shd w:val="clear" w:color="auto" w:fill="auto"/>
            <w:noWrap/>
            <w:vAlign w:val="center"/>
            <w:hideMark/>
          </w:tcPr>
          <w:p w14:paraId="5A75FDE2" w14:textId="63C12328" w:rsidR="00372352" w:rsidRPr="00446EC5" w:rsidRDefault="00372352" w:rsidP="00372352">
            <w:pPr>
              <w:jc w:val="center"/>
              <w:rPr>
                <w:color w:val="000000"/>
                <w:sz w:val="16"/>
                <w:szCs w:val="16"/>
              </w:rPr>
            </w:pPr>
            <w:r w:rsidRPr="00446EC5">
              <w:rPr>
                <w:color w:val="000000"/>
                <w:sz w:val="16"/>
                <w:szCs w:val="16"/>
              </w:rPr>
              <w:t>117</w:t>
            </w:r>
          </w:p>
        </w:tc>
        <w:tc>
          <w:tcPr>
            <w:tcW w:w="465" w:type="dxa"/>
            <w:tcBorders>
              <w:top w:val="nil"/>
              <w:left w:val="nil"/>
              <w:bottom w:val="nil"/>
              <w:right w:val="nil"/>
            </w:tcBorders>
            <w:vAlign w:val="center"/>
          </w:tcPr>
          <w:p w14:paraId="65E48A7E" w14:textId="5808572A" w:rsidR="00372352" w:rsidRPr="00446EC5" w:rsidRDefault="00372352" w:rsidP="00372352">
            <w:pPr>
              <w:jc w:val="center"/>
              <w:rPr>
                <w:color w:val="000000"/>
                <w:sz w:val="16"/>
                <w:szCs w:val="16"/>
              </w:rPr>
            </w:pPr>
            <w:r w:rsidRPr="00446EC5">
              <w:rPr>
                <w:rFonts w:cs="Calibri"/>
                <w:color w:val="000000"/>
                <w:sz w:val="16"/>
                <w:szCs w:val="16"/>
              </w:rPr>
              <w:t>-</w:t>
            </w:r>
          </w:p>
        </w:tc>
        <w:tc>
          <w:tcPr>
            <w:tcW w:w="477" w:type="dxa"/>
            <w:tcBorders>
              <w:top w:val="nil"/>
              <w:left w:val="nil"/>
              <w:bottom w:val="nil"/>
              <w:right w:val="nil"/>
            </w:tcBorders>
            <w:shd w:val="clear" w:color="auto" w:fill="auto"/>
            <w:noWrap/>
            <w:vAlign w:val="center"/>
            <w:hideMark/>
          </w:tcPr>
          <w:p w14:paraId="7B99AE80" w14:textId="04D81B79" w:rsidR="00372352" w:rsidRPr="00446EC5" w:rsidRDefault="00372352" w:rsidP="00372352">
            <w:pPr>
              <w:jc w:val="center"/>
              <w:rPr>
                <w:color w:val="000000"/>
                <w:sz w:val="16"/>
                <w:szCs w:val="16"/>
              </w:rPr>
            </w:pPr>
            <w:r w:rsidRPr="00446EC5">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51C857D0" w14:textId="061838AF"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0DDDB563" w14:textId="30DC9F7C"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0D843CE2" w14:textId="7BE64D09"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25205A22" w14:textId="51060B69"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652E8E62" w14:textId="7EC3945B"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4619431B" w14:textId="41F12E42"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2B9F5F90" w14:textId="77777777" w:rsidTr="00AD12F6">
        <w:trPr>
          <w:trHeight w:val="300"/>
        </w:trPr>
        <w:tc>
          <w:tcPr>
            <w:tcW w:w="3994" w:type="dxa"/>
            <w:tcBorders>
              <w:top w:val="nil"/>
              <w:left w:val="nil"/>
              <w:bottom w:val="nil"/>
              <w:right w:val="nil"/>
            </w:tcBorders>
            <w:shd w:val="clear" w:color="auto" w:fill="auto"/>
            <w:noWrap/>
            <w:vAlign w:val="center"/>
            <w:hideMark/>
          </w:tcPr>
          <w:p w14:paraId="21008D8E" w14:textId="18CD8E15" w:rsidR="00372352" w:rsidRPr="00446EC5" w:rsidRDefault="00372352" w:rsidP="00372352">
            <w:pPr>
              <w:rPr>
                <w:color w:val="000000"/>
                <w:sz w:val="18"/>
                <w:szCs w:val="18"/>
              </w:rPr>
            </w:pPr>
            <w:r w:rsidRPr="00446EC5">
              <w:rPr>
                <w:rFonts w:cs="Calibri"/>
                <w:color w:val="000000"/>
                <w:sz w:val="18"/>
                <w:szCs w:val="18"/>
              </w:rPr>
              <w:t xml:space="preserve">     - osob. odvod z podnikania v reg. odvetviach</w:t>
            </w:r>
          </w:p>
        </w:tc>
        <w:tc>
          <w:tcPr>
            <w:tcW w:w="485" w:type="dxa"/>
            <w:tcBorders>
              <w:top w:val="nil"/>
              <w:left w:val="nil"/>
              <w:bottom w:val="nil"/>
              <w:right w:val="nil"/>
            </w:tcBorders>
            <w:shd w:val="clear" w:color="auto" w:fill="auto"/>
            <w:noWrap/>
            <w:vAlign w:val="center"/>
            <w:hideMark/>
          </w:tcPr>
          <w:p w14:paraId="2D434153" w14:textId="25F076EF" w:rsidR="00372352" w:rsidRPr="00446EC5" w:rsidRDefault="00372352" w:rsidP="00372352">
            <w:pPr>
              <w:jc w:val="center"/>
              <w:rPr>
                <w:color w:val="000000"/>
                <w:sz w:val="16"/>
                <w:szCs w:val="16"/>
              </w:rPr>
            </w:pPr>
            <w:r w:rsidRPr="00446EC5">
              <w:rPr>
                <w:rFonts w:cs="Calibri"/>
                <w:color w:val="000000"/>
                <w:sz w:val="16"/>
                <w:szCs w:val="16"/>
              </w:rPr>
              <w:t>-17</w:t>
            </w:r>
          </w:p>
        </w:tc>
        <w:tc>
          <w:tcPr>
            <w:tcW w:w="471" w:type="dxa"/>
            <w:tcBorders>
              <w:top w:val="nil"/>
              <w:left w:val="nil"/>
              <w:bottom w:val="nil"/>
              <w:right w:val="nil"/>
            </w:tcBorders>
            <w:shd w:val="clear" w:color="auto" w:fill="auto"/>
            <w:noWrap/>
            <w:vAlign w:val="center"/>
            <w:hideMark/>
          </w:tcPr>
          <w:p w14:paraId="082DE499" w14:textId="0B553E9D" w:rsidR="00372352" w:rsidRPr="00446EC5" w:rsidRDefault="00372352" w:rsidP="00372352">
            <w:pPr>
              <w:jc w:val="center"/>
              <w:rPr>
                <w:color w:val="000000"/>
                <w:sz w:val="16"/>
                <w:szCs w:val="16"/>
              </w:rPr>
            </w:pPr>
            <w:r w:rsidRPr="00446EC5">
              <w:rPr>
                <w:rFonts w:cs="Calibri"/>
                <w:sz w:val="16"/>
                <w:szCs w:val="16"/>
              </w:rPr>
              <w:t>49</w:t>
            </w:r>
          </w:p>
        </w:tc>
        <w:tc>
          <w:tcPr>
            <w:tcW w:w="470" w:type="dxa"/>
            <w:tcBorders>
              <w:top w:val="nil"/>
              <w:left w:val="nil"/>
              <w:bottom w:val="nil"/>
              <w:right w:val="nil"/>
            </w:tcBorders>
            <w:shd w:val="clear" w:color="auto" w:fill="auto"/>
            <w:noWrap/>
            <w:vAlign w:val="center"/>
            <w:hideMark/>
          </w:tcPr>
          <w:p w14:paraId="63A77415" w14:textId="6AFA6E9A" w:rsidR="00372352" w:rsidRPr="00446EC5" w:rsidRDefault="00372352" w:rsidP="00372352">
            <w:pPr>
              <w:jc w:val="center"/>
              <w:rPr>
                <w:color w:val="000000"/>
                <w:sz w:val="16"/>
                <w:szCs w:val="16"/>
              </w:rPr>
            </w:pPr>
            <w:r w:rsidRPr="00446EC5">
              <w:rPr>
                <w:rFonts w:cs="Calibri"/>
                <w:sz w:val="16"/>
                <w:szCs w:val="16"/>
              </w:rPr>
              <w:t>224</w:t>
            </w:r>
          </w:p>
        </w:tc>
        <w:tc>
          <w:tcPr>
            <w:tcW w:w="465" w:type="dxa"/>
            <w:tcBorders>
              <w:top w:val="nil"/>
              <w:left w:val="nil"/>
              <w:bottom w:val="nil"/>
              <w:right w:val="nil"/>
            </w:tcBorders>
            <w:vAlign w:val="center"/>
          </w:tcPr>
          <w:p w14:paraId="2F11A863" w14:textId="7F96D8EC" w:rsidR="00372352" w:rsidRPr="00446EC5" w:rsidRDefault="00372352" w:rsidP="00372352">
            <w:pPr>
              <w:jc w:val="center"/>
              <w:rPr>
                <w:color w:val="000000"/>
                <w:sz w:val="16"/>
                <w:szCs w:val="16"/>
              </w:rPr>
            </w:pPr>
            <w:r w:rsidRPr="00446EC5">
              <w:rPr>
                <w:rFonts w:cs="Calibri"/>
                <w:sz w:val="16"/>
                <w:szCs w:val="16"/>
              </w:rPr>
              <w:t>-45</w:t>
            </w:r>
          </w:p>
        </w:tc>
        <w:tc>
          <w:tcPr>
            <w:tcW w:w="477" w:type="dxa"/>
            <w:tcBorders>
              <w:top w:val="nil"/>
              <w:left w:val="nil"/>
              <w:bottom w:val="nil"/>
              <w:right w:val="nil"/>
            </w:tcBorders>
            <w:shd w:val="clear" w:color="auto" w:fill="auto"/>
            <w:noWrap/>
            <w:vAlign w:val="center"/>
            <w:hideMark/>
          </w:tcPr>
          <w:p w14:paraId="2A1D33CE" w14:textId="5B4777A4" w:rsidR="00372352" w:rsidRPr="00446EC5" w:rsidRDefault="00372352" w:rsidP="00372352">
            <w:pPr>
              <w:jc w:val="center"/>
              <w:rPr>
                <w:color w:val="000000"/>
                <w:sz w:val="16"/>
                <w:szCs w:val="16"/>
              </w:rPr>
            </w:pPr>
            <w:r w:rsidRPr="00446EC5">
              <w:rPr>
                <w:rFonts w:cs="Calibri"/>
                <w:sz w:val="16"/>
                <w:szCs w:val="16"/>
              </w:rPr>
              <w:t>-</w:t>
            </w:r>
          </w:p>
        </w:tc>
        <w:tc>
          <w:tcPr>
            <w:tcW w:w="467" w:type="dxa"/>
            <w:tcBorders>
              <w:top w:val="nil"/>
              <w:left w:val="nil"/>
              <w:bottom w:val="nil"/>
              <w:right w:val="nil"/>
            </w:tcBorders>
            <w:shd w:val="clear" w:color="auto" w:fill="auto"/>
            <w:noWrap/>
            <w:vAlign w:val="center"/>
            <w:hideMark/>
          </w:tcPr>
          <w:p w14:paraId="3D592813" w14:textId="1D468C91" w:rsidR="00372352" w:rsidRPr="00446EC5" w:rsidRDefault="00372352" w:rsidP="00372352">
            <w:pPr>
              <w:jc w:val="center"/>
              <w:rPr>
                <w:color w:val="000000"/>
                <w:sz w:val="16"/>
                <w:szCs w:val="16"/>
              </w:rPr>
            </w:pPr>
            <w:r w:rsidRPr="00446EC5">
              <w:rPr>
                <w:rFonts w:cs="Calibri"/>
                <w:color w:val="000000"/>
                <w:sz w:val="16"/>
                <w:szCs w:val="16"/>
              </w:rPr>
              <w:t>-</w:t>
            </w:r>
          </w:p>
        </w:tc>
        <w:tc>
          <w:tcPr>
            <w:tcW w:w="517" w:type="dxa"/>
            <w:tcBorders>
              <w:top w:val="nil"/>
              <w:left w:val="nil"/>
              <w:bottom w:val="nil"/>
              <w:right w:val="nil"/>
            </w:tcBorders>
            <w:shd w:val="clear" w:color="auto" w:fill="auto"/>
            <w:noWrap/>
            <w:vAlign w:val="center"/>
            <w:hideMark/>
          </w:tcPr>
          <w:p w14:paraId="20632A42" w14:textId="1AB6942D" w:rsidR="00372352" w:rsidRPr="00FB4087" w:rsidRDefault="00372352" w:rsidP="00372352">
            <w:pPr>
              <w:jc w:val="center"/>
              <w:rPr>
                <w:color w:val="000000"/>
                <w:sz w:val="16"/>
                <w:szCs w:val="16"/>
              </w:rPr>
            </w:pPr>
            <w:r w:rsidRPr="00FB4087">
              <w:rPr>
                <w:rFonts w:cs="Calibri"/>
                <w:color w:val="000000"/>
                <w:sz w:val="16"/>
                <w:szCs w:val="16"/>
              </w:rPr>
              <w:t>-</w:t>
            </w:r>
          </w:p>
        </w:tc>
        <w:tc>
          <w:tcPr>
            <w:tcW w:w="467" w:type="dxa"/>
            <w:tcBorders>
              <w:top w:val="nil"/>
              <w:left w:val="nil"/>
              <w:bottom w:val="nil"/>
              <w:right w:val="nil"/>
            </w:tcBorders>
            <w:shd w:val="clear" w:color="auto" w:fill="auto"/>
            <w:noWrap/>
            <w:vAlign w:val="center"/>
            <w:hideMark/>
          </w:tcPr>
          <w:p w14:paraId="1758F926" w14:textId="06867B79" w:rsidR="00372352" w:rsidRPr="00FB4087" w:rsidRDefault="00372352" w:rsidP="00372352">
            <w:pPr>
              <w:jc w:val="center"/>
              <w:rPr>
                <w:color w:val="000000"/>
                <w:sz w:val="16"/>
                <w:szCs w:val="16"/>
              </w:rPr>
            </w:pPr>
            <w:r w:rsidRPr="00FB4087">
              <w:rPr>
                <w:rFonts w:cs="Calibri"/>
                <w:color w:val="000000"/>
                <w:sz w:val="16"/>
                <w:szCs w:val="16"/>
              </w:rPr>
              <w:t>-</w:t>
            </w:r>
          </w:p>
        </w:tc>
        <w:tc>
          <w:tcPr>
            <w:tcW w:w="510" w:type="dxa"/>
            <w:tcBorders>
              <w:top w:val="nil"/>
              <w:left w:val="nil"/>
              <w:bottom w:val="nil"/>
              <w:right w:val="nil"/>
            </w:tcBorders>
            <w:shd w:val="clear" w:color="auto" w:fill="auto"/>
            <w:noWrap/>
            <w:vAlign w:val="center"/>
            <w:hideMark/>
          </w:tcPr>
          <w:p w14:paraId="4B5AF21B" w14:textId="356012FD" w:rsidR="00372352" w:rsidRPr="00FB4087" w:rsidRDefault="00372352" w:rsidP="00372352">
            <w:pPr>
              <w:jc w:val="center"/>
              <w:rPr>
                <w:color w:val="000000"/>
                <w:sz w:val="16"/>
                <w:szCs w:val="16"/>
              </w:rPr>
            </w:pPr>
            <w:r w:rsidRPr="00FB4087">
              <w:rPr>
                <w:rFonts w:cs="Calibri"/>
                <w:color w:val="000000"/>
                <w:sz w:val="16"/>
                <w:szCs w:val="16"/>
              </w:rPr>
              <w:t>-</w:t>
            </w:r>
          </w:p>
        </w:tc>
        <w:tc>
          <w:tcPr>
            <w:tcW w:w="448" w:type="dxa"/>
            <w:tcBorders>
              <w:top w:val="nil"/>
              <w:left w:val="nil"/>
              <w:bottom w:val="nil"/>
              <w:right w:val="nil"/>
            </w:tcBorders>
            <w:shd w:val="clear" w:color="auto" w:fill="auto"/>
            <w:noWrap/>
            <w:vAlign w:val="center"/>
            <w:hideMark/>
          </w:tcPr>
          <w:p w14:paraId="7B06E4B3" w14:textId="49F6C867" w:rsidR="00372352" w:rsidRPr="00FB4087" w:rsidRDefault="00372352" w:rsidP="00372352">
            <w:pPr>
              <w:jc w:val="center"/>
              <w:rPr>
                <w:color w:val="000000"/>
                <w:sz w:val="16"/>
                <w:szCs w:val="16"/>
              </w:rPr>
            </w:pPr>
            <w:r w:rsidRPr="00FB4087">
              <w:rPr>
                <w:rFonts w:cs="Calibri"/>
                <w:color w:val="000000"/>
                <w:sz w:val="16"/>
                <w:szCs w:val="16"/>
              </w:rPr>
              <w:t>-</w:t>
            </w:r>
          </w:p>
        </w:tc>
        <w:tc>
          <w:tcPr>
            <w:tcW w:w="506" w:type="dxa"/>
            <w:tcBorders>
              <w:top w:val="nil"/>
              <w:left w:val="nil"/>
              <w:bottom w:val="nil"/>
              <w:right w:val="nil"/>
            </w:tcBorders>
            <w:shd w:val="clear" w:color="auto" w:fill="auto"/>
            <w:noWrap/>
            <w:vAlign w:val="center"/>
            <w:hideMark/>
          </w:tcPr>
          <w:p w14:paraId="5280A0A3" w14:textId="25812CEC" w:rsidR="00372352" w:rsidRPr="00FB4087" w:rsidRDefault="00372352" w:rsidP="00372352">
            <w:pPr>
              <w:jc w:val="center"/>
              <w:rPr>
                <w:color w:val="000000"/>
                <w:sz w:val="16"/>
                <w:szCs w:val="16"/>
              </w:rPr>
            </w:pPr>
            <w:r w:rsidRPr="00FB4087">
              <w:rPr>
                <w:rFonts w:cs="Calibri"/>
                <w:color w:val="000000"/>
                <w:sz w:val="16"/>
                <w:szCs w:val="16"/>
              </w:rPr>
              <w:t>-</w:t>
            </w:r>
          </w:p>
        </w:tc>
      </w:tr>
      <w:tr w:rsidR="00372352" w:rsidRPr="00B81300" w14:paraId="7CEBD107" w14:textId="77777777" w:rsidTr="00AD12F6">
        <w:trPr>
          <w:trHeight w:val="300"/>
        </w:trPr>
        <w:tc>
          <w:tcPr>
            <w:tcW w:w="3994" w:type="dxa"/>
            <w:tcBorders>
              <w:top w:val="nil"/>
              <w:left w:val="nil"/>
              <w:bottom w:val="nil"/>
              <w:right w:val="nil"/>
            </w:tcBorders>
            <w:shd w:val="clear" w:color="auto" w:fill="auto"/>
            <w:noWrap/>
            <w:vAlign w:val="center"/>
            <w:hideMark/>
          </w:tcPr>
          <w:p w14:paraId="1C21E2B1" w14:textId="77777777" w:rsidR="00372352" w:rsidRPr="00446EC5" w:rsidRDefault="00372352" w:rsidP="00372352">
            <w:pPr>
              <w:rPr>
                <w:color w:val="000000"/>
                <w:sz w:val="18"/>
                <w:szCs w:val="18"/>
              </w:rPr>
            </w:pPr>
            <w:r w:rsidRPr="00446EC5">
              <w:rPr>
                <w:color w:val="000000"/>
                <w:sz w:val="18"/>
                <w:szCs w:val="18"/>
              </w:rPr>
              <w:t>3. Vplyvy čerpania a preplácania EÚ fondov</w:t>
            </w:r>
          </w:p>
        </w:tc>
        <w:tc>
          <w:tcPr>
            <w:tcW w:w="485" w:type="dxa"/>
            <w:tcBorders>
              <w:top w:val="nil"/>
              <w:left w:val="nil"/>
              <w:bottom w:val="nil"/>
              <w:right w:val="nil"/>
            </w:tcBorders>
            <w:shd w:val="clear" w:color="auto" w:fill="auto"/>
            <w:noWrap/>
            <w:vAlign w:val="center"/>
            <w:hideMark/>
          </w:tcPr>
          <w:p w14:paraId="5B026FCC" w14:textId="37CAAF30" w:rsidR="00372352" w:rsidRPr="00446EC5" w:rsidRDefault="00372352" w:rsidP="00372352">
            <w:pPr>
              <w:jc w:val="center"/>
              <w:rPr>
                <w:color w:val="000000"/>
                <w:sz w:val="16"/>
                <w:szCs w:val="16"/>
              </w:rPr>
            </w:pPr>
            <w:r w:rsidRPr="00446EC5">
              <w:rPr>
                <w:color w:val="000000"/>
                <w:sz w:val="16"/>
                <w:szCs w:val="16"/>
              </w:rPr>
              <w:t>68</w:t>
            </w:r>
          </w:p>
        </w:tc>
        <w:tc>
          <w:tcPr>
            <w:tcW w:w="471" w:type="dxa"/>
            <w:tcBorders>
              <w:top w:val="nil"/>
              <w:left w:val="nil"/>
              <w:bottom w:val="nil"/>
              <w:right w:val="nil"/>
            </w:tcBorders>
            <w:shd w:val="clear" w:color="auto" w:fill="auto"/>
            <w:noWrap/>
            <w:vAlign w:val="center"/>
            <w:hideMark/>
          </w:tcPr>
          <w:p w14:paraId="0787DA9A" w14:textId="222DF63A" w:rsidR="00372352" w:rsidRPr="00446EC5" w:rsidRDefault="00372352" w:rsidP="00372352">
            <w:pPr>
              <w:jc w:val="center"/>
              <w:rPr>
                <w:color w:val="000000"/>
                <w:sz w:val="16"/>
                <w:szCs w:val="16"/>
              </w:rPr>
            </w:pPr>
            <w:r w:rsidRPr="00446EC5">
              <w:rPr>
                <w:rFonts w:cs="Calibri"/>
                <w:color w:val="000000"/>
                <w:sz w:val="16"/>
                <w:szCs w:val="18"/>
              </w:rPr>
              <w:t>-423</w:t>
            </w:r>
          </w:p>
        </w:tc>
        <w:tc>
          <w:tcPr>
            <w:tcW w:w="470" w:type="dxa"/>
            <w:tcBorders>
              <w:top w:val="nil"/>
              <w:left w:val="nil"/>
              <w:bottom w:val="nil"/>
              <w:right w:val="nil"/>
            </w:tcBorders>
            <w:shd w:val="clear" w:color="auto" w:fill="auto"/>
            <w:noWrap/>
            <w:vAlign w:val="center"/>
            <w:hideMark/>
          </w:tcPr>
          <w:p w14:paraId="01D9F23B" w14:textId="25835FDD" w:rsidR="00372352" w:rsidRPr="00446EC5" w:rsidRDefault="00372352" w:rsidP="00372352">
            <w:pPr>
              <w:jc w:val="center"/>
              <w:rPr>
                <w:color w:val="000000"/>
                <w:sz w:val="16"/>
                <w:szCs w:val="16"/>
              </w:rPr>
            </w:pPr>
            <w:r w:rsidRPr="00446EC5">
              <w:rPr>
                <w:rFonts w:cs="Calibri"/>
                <w:color w:val="000000"/>
                <w:sz w:val="16"/>
                <w:szCs w:val="18"/>
              </w:rPr>
              <w:t>-188</w:t>
            </w:r>
          </w:p>
        </w:tc>
        <w:tc>
          <w:tcPr>
            <w:tcW w:w="465" w:type="dxa"/>
            <w:tcBorders>
              <w:top w:val="nil"/>
              <w:left w:val="nil"/>
              <w:bottom w:val="nil"/>
              <w:right w:val="nil"/>
            </w:tcBorders>
            <w:vAlign w:val="center"/>
          </w:tcPr>
          <w:p w14:paraId="1150029C" w14:textId="301FCAC6" w:rsidR="00372352" w:rsidRPr="00446EC5" w:rsidRDefault="00372352" w:rsidP="00372352">
            <w:pPr>
              <w:jc w:val="center"/>
              <w:rPr>
                <w:color w:val="000000"/>
                <w:sz w:val="16"/>
                <w:szCs w:val="16"/>
              </w:rPr>
            </w:pPr>
            <w:r w:rsidRPr="00446EC5">
              <w:rPr>
                <w:rFonts w:cs="Calibri"/>
                <w:color w:val="000000"/>
                <w:sz w:val="16"/>
                <w:szCs w:val="18"/>
              </w:rPr>
              <w:t>1010</w:t>
            </w:r>
          </w:p>
        </w:tc>
        <w:tc>
          <w:tcPr>
            <w:tcW w:w="477" w:type="dxa"/>
            <w:tcBorders>
              <w:top w:val="nil"/>
              <w:left w:val="nil"/>
              <w:bottom w:val="nil"/>
              <w:right w:val="nil"/>
            </w:tcBorders>
            <w:shd w:val="clear" w:color="auto" w:fill="auto"/>
            <w:noWrap/>
            <w:vAlign w:val="center"/>
            <w:hideMark/>
          </w:tcPr>
          <w:p w14:paraId="212E8253" w14:textId="4777F9BF" w:rsidR="00372352" w:rsidRPr="00446EC5" w:rsidRDefault="00372352" w:rsidP="00372352">
            <w:pPr>
              <w:jc w:val="center"/>
              <w:rPr>
                <w:color w:val="000000"/>
                <w:sz w:val="16"/>
                <w:szCs w:val="16"/>
              </w:rPr>
            </w:pPr>
            <w:r w:rsidRPr="00446EC5">
              <w:rPr>
                <w:rFonts w:cs="Calibri"/>
                <w:color w:val="000000"/>
                <w:sz w:val="16"/>
                <w:szCs w:val="18"/>
              </w:rPr>
              <w:t>-53</w:t>
            </w:r>
          </w:p>
        </w:tc>
        <w:tc>
          <w:tcPr>
            <w:tcW w:w="467" w:type="dxa"/>
            <w:tcBorders>
              <w:top w:val="nil"/>
              <w:left w:val="nil"/>
              <w:bottom w:val="nil"/>
              <w:right w:val="nil"/>
            </w:tcBorders>
            <w:shd w:val="clear" w:color="auto" w:fill="auto"/>
            <w:noWrap/>
            <w:vAlign w:val="center"/>
            <w:hideMark/>
          </w:tcPr>
          <w:p w14:paraId="104A692C" w14:textId="31C387A0" w:rsidR="00372352" w:rsidRPr="00446EC5" w:rsidRDefault="00372352" w:rsidP="00372352">
            <w:pPr>
              <w:jc w:val="center"/>
              <w:rPr>
                <w:color w:val="000000"/>
                <w:sz w:val="16"/>
                <w:szCs w:val="16"/>
              </w:rPr>
            </w:pPr>
            <w:r w:rsidRPr="00446EC5">
              <w:rPr>
                <w:rFonts w:cs="Calibri"/>
                <w:color w:val="000000"/>
                <w:sz w:val="16"/>
                <w:szCs w:val="18"/>
              </w:rPr>
              <w:t>-93</w:t>
            </w:r>
          </w:p>
        </w:tc>
        <w:tc>
          <w:tcPr>
            <w:tcW w:w="517" w:type="dxa"/>
            <w:tcBorders>
              <w:top w:val="nil"/>
              <w:left w:val="nil"/>
              <w:bottom w:val="nil"/>
              <w:right w:val="nil"/>
            </w:tcBorders>
            <w:shd w:val="clear" w:color="auto" w:fill="auto"/>
            <w:noWrap/>
            <w:vAlign w:val="center"/>
            <w:hideMark/>
          </w:tcPr>
          <w:p w14:paraId="11B17E40" w14:textId="76B4C29F" w:rsidR="00372352" w:rsidRPr="00256A75" w:rsidRDefault="00372352" w:rsidP="00372352">
            <w:pPr>
              <w:jc w:val="center"/>
              <w:rPr>
                <w:color w:val="000000"/>
                <w:sz w:val="16"/>
                <w:szCs w:val="16"/>
              </w:rPr>
            </w:pPr>
            <w:r w:rsidRPr="00256A75">
              <w:rPr>
                <w:rFonts w:cs="Calibri"/>
                <w:color w:val="000000"/>
                <w:sz w:val="16"/>
                <w:szCs w:val="18"/>
              </w:rPr>
              <w:t>-233</w:t>
            </w:r>
          </w:p>
        </w:tc>
        <w:tc>
          <w:tcPr>
            <w:tcW w:w="467" w:type="dxa"/>
            <w:tcBorders>
              <w:top w:val="nil"/>
              <w:left w:val="nil"/>
              <w:bottom w:val="nil"/>
              <w:right w:val="nil"/>
            </w:tcBorders>
            <w:shd w:val="clear" w:color="auto" w:fill="auto"/>
            <w:noWrap/>
            <w:vAlign w:val="center"/>
            <w:hideMark/>
          </w:tcPr>
          <w:p w14:paraId="614518BE" w14:textId="11887CF6" w:rsidR="00372352" w:rsidRPr="00256A75" w:rsidRDefault="00372352" w:rsidP="00372352">
            <w:pPr>
              <w:jc w:val="center"/>
              <w:rPr>
                <w:color w:val="000000"/>
                <w:sz w:val="16"/>
                <w:szCs w:val="16"/>
              </w:rPr>
            </w:pPr>
            <w:r w:rsidRPr="00256A75">
              <w:rPr>
                <w:rFonts w:cs="Calibri"/>
                <w:color w:val="000000"/>
                <w:sz w:val="16"/>
                <w:szCs w:val="18"/>
              </w:rPr>
              <w:t>0</w:t>
            </w:r>
          </w:p>
        </w:tc>
        <w:tc>
          <w:tcPr>
            <w:tcW w:w="510" w:type="dxa"/>
            <w:tcBorders>
              <w:top w:val="nil"/>
              <w:left w:val="nil"/>
              <w:bottom w:val="nil"/>
              <w:right w:val="nil"/>
            </w:tcBorders>
            <w:shd w:val="clear" w:color="auto" w:fill="auto"/>
            <w:noWrap/>
            <w:vAlign w:val="center"/>
            <w:hideMark/>
          </w:tcPr>
          <w:p w14:paraId="32D31368" w14:textId="629D23A4" w:rsidR="00372352" w:rsidRPr="00256A75" w:rsidRDefault="00372352" w:rsidP="00372352">
            <w:pPr>
              <w:jc w:val="center"/>
              <w:rPr>
                <w:color w:val="000000"/>
                <w:sz w:val="16"/>
                <w:szCs w:val="16"/>
              </w:rPr>
            </w:pPr>
            <w:r w:rsidRPr="00256A75">
              <w:rPr>
                <w:rFonts w:cs="Calibri"/>
                <w:color w:val="000000"/>
                <w:sz w:val="16"/>
                <w:szCs w:val="18"/>
              </w:rPr>
              <w:t>0</w:t>
            </w:r>
          </w:p>
        </w:tc>
        <w:tc>
          <w:tcPr>
            <w:tcW w:w="448" w:type="dxa"/>
            <w:tcBorders>
              <w:top w:val="nil"/>
              <w:left w:val="nil"/>
              <w:bottom w:val="nil"/>
              <w:right w:val="nil"/>
            </w:tcBorders>
            <w:shd w:val="clear" w:color="auto" w:fill="auto"/>
            <w:noWrap/>
            <w:vAlign w:val="center"/>
            <w:hideMark/>
          </w:tcPr>
          <w:p w14:paraId="669C4336" w14:textId="145CE010" w:rsidR="00372352" w:rsidRPr="00256A75" w:rsidRDefault="00372352" w:rsidP="00372352">
            <w:pPr>
              <w:jc w:val="center"/>
              <w:rPr>
                <w:color w:val="000000"/>
                <w:sz w:val="16"/>
                <w:szCs w:val="16"/>
              </w:rPr>
            </w:pPr>
            <w:r w:rsidRPr="00256A75">
              <w:rPr>
                <w:rFonts w:cs="Calibri"/>
                <w:color w:val="000000"/>
                <w:sz w:val="16"/>
                <w:szCs w:val="18"/>
              </w:rPr>
              <w:t>0</w:t>
            </w:r>
          </w:p>
        </w:tc>
        <w:tc>
          <w:tcPr>
            <w:tcW w:w="506" w:type="dxa"/>
            <w:tcBorders>
              <w:top w:val="nil"/>
              <w:left w:val="nil"/>
              <w:bottom w:val="nil"/>
              <w:right w:val="nil"/>
            </w:tcBorders>
            <w:shd w:val="clear" w:color="auto" w:fill="auto"/>
            <w:noWrap/>
            <w:vAlign w:val="center"/>
            <w:hideMark/>
          </w:tcPr>
          <w:p w14:paraId="13CB64EF" w14:textId="5B56A066" w:rsidR="00372352" w:rsidRPr="00256A75" w:rsidRDefault="00372352" w:rsidP="00372352">
            <w:pPr>
              <w:jc w:val="center"/>
              <w:rPr>
                <w:color w:val="000000"/>
                <w:sz w:val="16"/>
                <w:szCs w:val="16"/>
              </w:rPr>
            </w:pPr>
            <w:r w:rsidRPr="00256A75">
              <w:rPr>
                <w:rFonts w:cs="Calibri"/>
                <w:color w:val="000000"/>
                <w:sz w:val="16"/>
                <w:szCs w:val="18"/>
              </w:rPr>
              <w:t>0</w:t>
            </w:r>
          </w:p>
        </w:tc>
      </w:tr>
      <w:tr w:rsidR="00372352" w:rsidRPr="00B81300" w14:paraId="274E1FCD" w14:textId="77777777" w:rsidTr="00AD12F6">
        <w:trPr>
          <w:trHeight w:val="300"/>
        </w:trPr>
        <w:tc>
          <w:tcPr>
            <w:tcW w:w="3994" w:type="dxa"/>
            <w:tcBorders>
              <w:top w:val="nil"/>
              <w:left w:val="nil"/>
              <w:bottom w:val="nil"/>
              <w:right w:val="nil"/>
            </w:tcBorders>
            <w:shd w:val="clear" w:color="auto" w:fill="auto"/>
            <w:noWrap/>
            <w:vAlign w:val="center"/>
            <w:hideMark/>
          </w:tcPr>
          <w:p w14:paraId="7DBF0030" w14:textId="77777777" w:rsidR="00372352" w:rsidRPr="00446EC5" w:rsidRDefault="00372352" w:rsidP="00372352">
            <w:pPr>
              <w:ind w:firstLineChars="100" w:firstLine="180"/>
              <w:rPr>
                <w:color w:val="000000"/>
                <w:sz w:val="18"/>
                <w:szCs w:val="18"/>
              </w:rPr>
            </w:pPr>
            <w:r w:rsidRPr="00446EC5">
              <w:rPr>
                <w:color w:val="000000"/>
                <w:sz w:val="18"/>
                <w:szCs w:val="18"/>
              </w:rPr>
              <w:t xml:space="preserve"> - zahrnuté v rozpočte</w:t>
            </w:r>
          </w:p>
        </w:tc>
        <w:tc>
          <w:tcPr>
            <w:tcW w:w="485" w:type="dxa"/>
            <w:tcBorders>
              <w:top w:val="nil"/>
              <w:left w:val="nil"/>
              <w:bottom w:val="nil"/>
              <w:right w:val="nil"/>
            </w:tcBorders>
            <w:shd w:val="clear" w:color="auto" w:fill="auto"/>
            <w:noWrap/>
            <w:vAlign w:val="center"/>
            <w:hideMark/>
          </w:tcPr>
          <w:p w14:paraId="23771B03" w14:textId="75E1B233" w:rsidR="00372352" w:rsidRPr="00446EC5" w:rsidRDefault="00372352" w:rsidP="00372352">
            <w:pPr>
              <w:jc w:val="center"/>
              <w:rPr>
                <w:color w:val="000000"/>
                <w:sz w:val="16"/>
                <w:szCs w:val="16"/>
              </w:rPr>
            </w:pPr>
            <w:r w:rsidRPr="00446EC5">
              <w:rPr>
                <w:color w:val="000000"/>
                <w:sz w:val="16"/>
                <w:szCs w:val="16"/>
              </w:rPr>
              <w:t>148</w:t>
            </w:r>
          </w:p>
        </w:tc>
        <w:tc>
          <w:tcPr>
            <w:tcW w:w="471" w:type="dxa"/>
            <w:tcBorders>
              <w:top w:val="nil"/>
              <w:left w:val="nil"/>
              <w:bottom w:val="nil"/>
              <w:right w:val="nil"/>
            </w:tcBorders>
            <w:shd w:val="clear" w:color="auto" w:fill="auto"/>
            <w:noWrap/>
            <w:vAlign w:val="center"/>
            <w:hideMark/>
          </w:tcPr>
          <w:p w14:paraId="2B541962" w14:textId="3FA2E23C" w:rsidR="00372352" w:rsidRPr="00446EC5" w:rsidRDefault="00372352" w:rsidP="00372352">
            <w:pPr>
              <w:jc w:val="center"/>
              <w:rPr>
                <w:color w:val="000000"/>
                <w:sz w:val="16"/>
                <w:szCs w:val="16"/>
              </w:rPr>
            </w:pPr>
            <w:r w:rsidRPr="00446EC5">
              <w:rPr>
                <w:rFonts w:cs="Calibri"/>
                <w:color w:val="000000"/>
                <w:sz w:val="16"/>
                <w:szCs w:val="18"/>
              </w:rPr>
              <w:t>-756</w:t>
            </w:r>
          </w:p>
        </w:tc>
        <w:tc>
          <w:tcPr>
            <w:tcW w:w="470" w:type="dxa"/>
            <w:tcBorders>
              <w:top w:val="nil"/>
              <w:left w:val="nil"/>
              <w:bottom w:val="nil"/>
              <w:right w:val="nil"/>
            </w:tcBorders>
            <w:shd w:val="clear" w:color="auto" w:fill="auto"/>
            <w:noWrap/>
            <w:vAlign w:val="center"/>
            <w:hideMark/>
          </w:tcPr>
          <w:p w14:paraId="545E8F87" w14:textId="1CDCBD30" w:rsidR="00372352" w:rsidRPr="00446EC5" w:rsidRDefault="00372352" w:rsidP="00372352">
            <w:pPr>
              <w:jc w:val="center"/>
              <w:rPr>
                <w:color w:val="000000"/>
                <w:sz w:val="16"/>
                <w:szCs w:val="16"/>
              </w:rPr>
            </w:pPr>
            <w:r w:rsidRPr="00446EC5">
              <w:rPr>
                <w:rFonts w:cs="Calibri"/>
                <w:color w:val="000000"/>
                <w:sz w:val="16"/>
                <w:szCs w:val="18"/>
              </w:rPr>
              <w:t>-23</w:t>
            </w:r>
          </w:p>
        </w:tc>
        <w:tc>
          <w:tcPr>
            <w:tcW w:w="465" w:type="dxa"/>
            <w:tcBorders>
              <w:top w:val="nil"/>
              <w:left w:val="nil"/>
              <w:bottom w:val="nil"/>
              <w:right w:val="nil"/>
            </w:tcBorders>
            <w:vAlign w:val="center"/>
          </w:tcPr>
          <w:p w14:paraId="417A7687" w14:textId="267DAA51" w:rsidR="00372352" w:rsidRPr="00446EC5" w:rsidRDefault="00372352" w:rsidP="00372352">
            <w:pPr>
              <w:jc w:val="center"/>
              <w:rPr>
                <w:color w:val="000000"/>
                <w:sz w:val="16"/>
                <w:szCs w:val="16"/>
              </w:rPr>
            </w:pPr>
            <w:r w:rsidRPr="00446EC5">
              <w:rPr>
                <w:rFonts w:cs="Calibri"/>
                <w:color w:val="000000"/>
                <w:sz w:val="16"/>
                <w:szCs w:val="18"/>
              </w:rPr>
              <w:t>210</w:t>
            </w:r>
          </w:p>
        </w:tc>
        <w:tc>
          <w:tcPr>
            <w:tcW w:w="477" w:type="dxa"/>
            <w:tcBorders>
              <w:top w:val="nil"/>
              <w:left w:val="nil"/>
              <w:bottom w:val="nil"/>
              <w:right w:val="nil"/>
            </w:tcBorders>
            <w:shd w:val="clear" w:color="auto" w:fill="auto"/>
            <w:noWrap/>
            <w:vAlign w:val="center"/>
            <w:hideMark/>
          </w:tcPr>
          <w:p w14:paraId="4AB52075" w14:textId="12AADE93" w:rsidR="00372352" w:rsidRPr="00446EC5" w:rsidRDefault="00372352" w:rsidP="00372352">
            <w:pPr>
              <w:jc w:val="center"/>
              <w:rPr>
                <w:color w:val="000000"/>
                <w:sz w:val="16"/>
                <w:szCs w:val="16"/>
              </w:rPr>
            </w:pPr>
            <w:r w:rsidRPr="00446EC5">
              <w:rPr>
                <w:rFonts w:cs="Calibri"/>
                <w:color w:val="000000"/>
                <w:sz w:val="16"/>
                <w:szCs w:val="18"/>
              </w:rPr>
              <w:t>-8</w:t>
            </w:r>
          </w:p>
        </w:tc>
        <w:tc>
          <w:tcPr>
            <w:tcW w:w="467" w:type="dxa"/>
            <w:tcBorders>
              <w:top w:val="nil"/>
              <w:left w:val="nil"/>
              <w:bottom w:val="nil"/>
              <w:right w:val="nil"/>
            </w:tcBorders>
            <w:shd w:val="clear" w:color="auto" w:fill="auto"/>
            <w:noWrap/>
            <w:vAlign w:val="center"/>
            <w:hideMark/>
          </w:tcPr>
          <w:p w14:paraId="21AB105B" w14:textId="67BDD2F5" w:rsidR="00372352" w:rsidRPr="00446EC5" w:rsidRDefault="00372352" w:rsidP="00372352">
            <w:pPr>
              <w:jc w:val="center"/>
              <w:rPr>
                <w:color w:val="000000"/>
                <w:sz w:val="16"/>
                <w:szCs w:val="16"/>
              </w:rPr>
            </w:pPr>
            <w:r w:rsidRPr="00446EC5">
              <w:rPr>
                <w:rFonts w:cs="Calibri"/>
                <w:color w:val="000000"/>
                <w:sz w:val="16"/>
                <w:szCs w:val="18"/>
              </w:rPr>
              <w:t>93</w:t>
            </w:r>
          </w:p>
        </w:tc>
        <w:tc>
          <w:tcPr>
            <w:tcW w:w="517" w:type="dxa"/>
            <w:tcBorders>
              <w:top w:val="nil"/>
              <w:left w:val="nil"/>
              <w:bottom w:val="nil"/>
              <w:right w:val="nil"/>
            </w:tcBorders>
            <w:shd w:val="clear" w:color="auto" w:fill="auto"/>
            <w:noWrap/>
            <w:vAlign w:val="center"/>
            <w:hideMark/>
          </w:tcPr>
          <w:p w14:paraId="3A9F4375" w14:textId="34A155D7" w:rsidR="00372352" w:rsidRPr="00256A75" w:rsidRDefault="00372352" w:rsidP="00372352">
            <w:pPr>
              <w:jc w:val="center"/>
              <w:rPr>
                <w:color w:val="000000"/>
                <w:sz w:val="16"/>
                <w:szCs w:val="16"/>
              </w:rPr>
            </w:pPr>
            <w:r w:rsidRPr="00256A75">
              <w:rPr>
                <w:rFonts w:cs="Calibri"/>
                <w:color w:val="000000"/>
                <w:sz w:val="16"/>
                <w:szCs w:val="18"/>
              </w:rPr>
              <w:t>-40</w:t>
            </w:r>
          </w:p>
        </w:tc>
        <w:tc>
          <w:tcPr>
            <w:tcW w:w="467" w:type="dxa"/>
            <w:tcBorders>
              <w:top w:val="nil"/>
              <w:left w:val="nil"/>
              <w:bottom w:val="nil"/>
              <w:right w:val="nil"/>
            </w:tcBorders>
            <w:shd w:val="clear" w:color="auto" w:fill="auto"/>
            <w:noWrap/>
            <w:vAlign w:val="center"/>
            <w:hideMark/>
          </w:tcPr>
          <w:p w14:paraId="0AEBB586" w14:textId="581EBB7A" w:rsidR="00372352" w:rsidRPr="00256A75" w:rsidRDefault="00372352" w:rsidP="00372352">
            <w:pPr>
              <w:jc w:val="center"/>
              <w:rPr>
                <w:color w:val="000000"/>
                <w:sz w:val="16"/>
                <w:szCs w:val="16"/>
              </w:rPr>
            </w:pPr>
            <w:r w:rsidRPr="00256A75">
              <w:rPr>
                <w:rFonts w:cs="Calibri"/>
                <w:color w:val="000000"/>
                <w:sz w:val="16"/>
                <w:szCs w:val="18"/>
              </w:rPr>
              <w:t>0</w:t>
            </w:r>
          </w:p>
        </w:tc>
        <w:tc>
          <w:tcPr>
            <w:tcW w:w="510" w:type="dxa"/>
            <w:tcBorders>
              <w:top w:val="nil"/>
              <w:left w:val="nil"/>
              <w:bottom w:val="nil"/>
              <w:right w:val="nil"/>
            </w:tcBorders>
            <w:shd w:val="clear" w:color="auto" w:fill="auto"/>
            <w:noWrap/>
            <w:vAlign w:val="center"/>
            <w:hideMark/>
          </w:tcPr>
          <w:p w14:paraId="0F9F9D3D" w14:textId="7CCB9EF7" w:rsidR="00372352" w:rsidRPr="00256A75" w:rsidRDefault="00372352" w:rsidP="00372352">
            <w:pPr>
              <w:jc w:val="center"/>
              <w:rPr>
                <w:color w:val="000000"/>
                <w:sz w:val="16"/>
                <w:szCs w:val="16"/>
              </w:rPr>
            </w:pPr>
            <w:r w:rsidRPr="00256A75">
              <w:rPr>
                <w:rFonts w:cs="Calibri"/>
                <w:color w:val="000000"/>
                <w:sz w:val="16"/>
                <w:szCs w:val="18"/>
              </w:rPr>
              <w:t>0</w:t>
            </w:r>
          </w:p>
        </w:tc>
        <w:tc>
          <w:tcPr>
            <w:tcW w:w="448" w:type="dxa"/>
            <w:tcBorders>
              <w:top w:val="nil"/>
              <w:left w:val="nil"/>
              <w:bottom w:val="nil"/>
              <w:right w:val="nil"/>
            </w:tcBorders>
            <w:shd w:val="clear" w:color="auto" w:fill="auto"/>
            <w:noWrap/>
            <w:vAlign w:val="center"/>
            <w:hideMark/>
          </w:tcPr>
          <w:p w14:paraId="795FF28A" w14:textId="17F442C9" w:rsidR="00372352" w:rsidRPr="00256A75" w:rsidRDefault="00372352" w:rsidP="00372352">
            <w:pPr>
              <w:jc w:val="center"/>
              <w:rPr>
                <w:color w:val="000000"/>
                <w:sz w:val="16"/>
                <w:szCs w:val="16"/>
              </w:rPr>
            </w:pPr>
            <w:r w:rsidRPr="00256A75">
              <w:rPr>
                <w:rFonts w:cs="Calibri"/>
                <w:color w:val="000000"/>
                <w:sz w:val="16"/>
                <w:szCs w:val="18"/>
              </w:rPr>
              <w:t>0</w:t>
            </w:r>
          </w:p>
        </w:tc>
        <w:tc>
          <w:tcPr>
            <w:tcW w:w="506" w:type="dxa"/>
            <w:tcBorders>
              <w:top w:val="nil"/>
              <w:left w:val="nil"/>
              <w:bottom w:val="nil"/>
              <w:right w:val="nil"/>
            </w:tcBorders>
            <w:shd w:val="clear" w:color="auto" w:fill="auto"/>
            <w:noWrap/>
            <w:vAlign w:val="center"/>
            <w:hideMark/>
          </w:tcPr>
          <w:p w14:paraId="70E89FFA" w14:textId="3A1EEA7C" w:rsidR="00372352" w:rsidRPr="00256A75" w:rsidRDefault="00372352" w:rsidP="00372352">
            <w:pPr>
              <w:jc w:val="center"/>
              <w:rPr>
                <w:color w:val="000000"/>
                <w:sz w:val="16"/>
                <w:szCs w:val="16"/>
              </w:rPr>
            </w:pPr>
            <w:r w:rsidRPr="00256A75">
              <w:rPr>
                <w:rFonts w:cs="Calibri"/>
                <w:color w:val="000000"/>
                <w:sz w:val="16"/>
                <w:szCs w:val="18"/>
              </w:rPr>
              <w:t>0</w:t>
            </w:r>
          </w:p>
        </w:tc>
      </w:tr>
      <w:tr w:rsidR="00372352" w:rsidRPr="00B81300" w14:paraId="0AC37299" w14:textId="77777777" w:rsidTr="00AD12F6">
        <w:trPr>
          <w:trHeight w:val="300"/>
        </w:trPr>
        <w:tc>
          <w:tcPr>
            <w:tcW w:w="3994" w:type="dxa"/>
            <w:tcBorders>
              <w:top w:val="nil"/>
              <w:left w:val="nil"/>
              <w:bottom w:val="nil"/>
              <w:right w:val="nil"/>
            </w:tcBorders>
            <w:shd w:val="clear" w:color="auto" w:fill="auto"/>
            <w:noWrap/>
            <w:vAlign w:val="center"/>
            <w:hideMark/>
          </w:tcPr>
          <w:p w14:paraId="7B26B730" w14:textId="77777777" w:rsidR="00372352" w:rsidRPr="00446EC5" w:rsidRDefault="00372352" w:rsidP="00372352">
            <w:pPr>
              <w:ind w:firstLineChars="100" w:firstLine="180"/>
              <w:rPr>
                <w:color w:val="000000"/>
                <w:sz w:val="18"/>
                <w:szCs w:val="18"/>
              </w:rPr>
            </w:pPr>
            <w:r w:rsidRPr="00446EC5">
              <w:rPr>
                <w:color w:val="000000"/>
                <w:sz w:val="18"/>
                <w:szCs w:val="18"/>
              </w:rPr>
              <w:t xml:space="preserve"> - korekcie k EÚ fondom</w:t>
            </w:r>
          </w:p>
        </w:tc>
        <w:tc>
          <w:tcPr>
            <w:tcW w:w="485" w:type="dxa"/>
            <w:tcBorders>
              <w:top w:val="nil"/>
              <w:left w:val="nil"/>
              <w:bottom w:val="nil"/>
              <w:right w:val="nil"/>
            </w:tcBorders>
            <w:shd w:val="clear" w:color="auto" w:fill="auto"/>
            <w:noWrap/>
            <w:vAlign w:val="center"/>
            <w:hideMark/>
          </w:tcPr>
          <w:p w14:paraId="174EA3BA" w14:textId="3130DB40" w:rsidR="00372352" w:rsidRPr="00446EC5" w:rsidRDefault="00372352" w:rsidP="00372352">
            <w:pPr>
              <w:jc w:val="center"/>
              <w:rPr>
                <w:color w:val="000000"/>
                <w:sz w:val="16"/>
                <w:szCs w:val="16"/>
              </w:rPr>
            </w:pPr>
            <w:r w:rsidRPr="00446EC5">
              <w:rPr>
                <w:rFonts w:cs="Calibri"/>
                <w:color w:val="000000"/>
                <w:sz w:val="16"/>
                <w:szCs w:val="18"/>
              </w:rPr>
              <w:t>125</w:t>
            </w:r>
          </w:p>
        </w:tc>
        <w:tc>
          <w:tcPr>
            <w:tcW w:w="471" w:type="dxa"/>
            <w:tcBorders>
              <w:top w:val="nil"/>
              <w:left w:val="nil"/>
              <w:bottom w:val="nil"/>
              <w:right w:val="nil"/>
            </w:tcBorders>
            <w:shd w:val="clear" w:color="auto" w:fill="auto"/>
            <w:noWrap/>
            <w:vAlign w:val="center"/>
            <w:hideMark/>
          </w:tcPr>
          <w:p w14:paraId="3EEBD0A4" w14:textId="1DB5802E" w:rsidR="00372352" w:rsidRPr="00446EC5" w:rsidRDefault="00372352" w:rsidP="00372352">
            <w:pPr>
              <w:jc w:val="center"/>
              <w:rPr>
                <w:color w:val="000000"/>
                <w:sz w:val="16"/>
                <w:szCs w:val="16"/>
              </w:rPr>
            </w:pPr>
            <w:r w:rsidRPr="00446EC5">
              <w:rPr>
                <w:rFonts w:cs="Calibri"/>
                <w:color w:val="000000"/>
                <w:sz w:val="16"/>
                <w:szCs w:val="18"/>
              </w:rPr>
              <w:t>111</w:t>
            </w:r>
          </w:p>
        </w:tc>
        <w:tc>
          <w:tcPr>
            <w:tcW w:w="470" w:type="dxa"/>
            <w:tcBorders>
              <w:top w:val="nil"/>
              <w:left w:val="nil"/>
              <w:bottom w:val="nil"/>
              <w:right w:val="nil"/>
            </w:tcBorders>
            <w:shd w:val="clear" w:color="auto" w:fill="auto"/>
            <w:noWrap/>
            <w:vAlign w:val="center"/>
            <w:hideMark/>
          </w:tcPr>
          <w:p w14:paraId="77AFF4A6" w14:textId="49AF15D4" w:rsidR="00372352" w:rsidRPr="00446EC5" w:rsidRDefault="00372352" w:rsidP="00372352">
            <w:pPr>
              <w:jc w:val="center"/>
              <w:rPr>
                <w:color w:val="000000"/>
                <w:sz w:val="16"/>
                <w:szCs w:val="16"/>
              </w:rPr>
            </w:pPr>
            <w:r w:rsidRPr="00446EC5">
              <w:rPr>
                <w:rFonts w:cs="Calibri"/>
                <w:color w:val="000000"/>
                <w:sz w:val="16"/>
                <w:szCs w:val="18"/>
              </w:rPr>
              <w:t>119</w:t>
            </w:r>
          </w:p>
        </w:tc>
        <w:tc>
          <w:tcPr>
            <w:tcW w:w="465" w:type="dxa"/>
            <w:tcBorders>
              <w:top w:val="nil"/>
              <w:left w:val="nil"/>
              <w:bottom w:val="nil"/>
              <w:right w:val="nil"/>
            </w:tcBorders>
            <w:vAlign w:val="center"/>
          </w:tcPr>
          <w:p w14:paraId="36C3A4CC" w14:textId="235F7A96" w:rsidR="00372352" w:rsidRPr="00446EC5" w:rsidRDefault="00372352" w:rsidP="00372352">
            <w:pPr>
              <w:jc w:val="center"/>
              <w:rPr>
                <w:color w:val="000000"/>
                <w:sz w:val="16"/>
                <w:szCs w:val="16"/>
              </w:rPr>
            </w:pPr>
            <w:r w:rsidRPr="00446EC5">
              <w:rPr>
                <w:rFonts w:cs="Calibri"/>
                <w:color w:val="000000"/>
                <w:sz w:val="16"/>
                <w:szCs w:val="18"/>
              </w:rPr>
              <w:t>149</w:t>
            </w:r>
          </w:p>
        </w:tc>
        <w:tc>
          <w:tcPr>
            <w:tcW w:w="477" w:type="dxa"/>
            <w:tcBorders>
              <w:top w:val="nil"/>
              <w:left w:val="nil"/>
              <w:bottom w:val="nil"/>
              <w:right w:val="nil"/>
            </w:tcBorders>
            <w:shd w:val="clear" w:color="auto" w:fill="auto"/>
            <w:noWrap/>
            <w:vAlign w:val="center"/>
            <w:hideMark/>
          </w:tcPr>
          <w:p w14:paraId="344972AD" w14:textId="57DB317A" w:rsidR="00372352" w:rsidRPr="00446EC5" w:rsidRDefault="00372352" w:rsidP="00372352">
            <w:pPr>
              <w:jc w:val="center"/>
              <w:rPr>
                <w:color w:val="000000"/>
                <w:sz w:val="16"/>
                <w:szCs w:val="16"/>
              </w:rPr>
            </w:pPr>
            <w:r w:rsidRPr="00446EC5">
              <w:rPr>
                <w:rFonts w:cs="Calibri"/>
                <w:sz w:val="16"/>
                <w:szCs w:val="18"/>
              </w:rPr>
              <w:t>-3</w:t>
            </w:r>
          </w:p>
        </w:tc>
        <w:tc>
          <w:tcPr>
            <w:tcW w:w="467" w:type="dxa"/>
            <w:tcBorders>
              <w:top w:val="nil"/>
              <w:left w:val="nil"/>
              <w:bottom w:val="nil"/>
              <w:right w:val="nil"/>
            </w:tcBorders>
            <w:shd w:val="clear" w:color="auto" w:fill="auto"/>
            <w:noWrap/>
            <w:vAlign w:val="center"/>
            <w:hideMark/>
          </w:tcPr>
          <w:p w14:paraId="00C11FC2" w14:textId="3DD0268E" w:rsidR="00372352" w:rsidRPr="00446EC5" w:rsidRDefault="00372352" w:rsidP="00372352">
            <w:pPr>
              <w:jc w:val="center"/>
              <w:rPr>
                <w:color w:val="000000"/>
                <w:sz w:val="16"/>
                <w:szCs w:val="16"/>
              </w:rPr>
            </w:pPr>
            <w:r w:rsidRPr="00446EC5">
              <w:rPr>
                <w:rFonts w:cs="Calibri"/>
                <w:color w:val="000000"/>
                <w:sz w:val="16"/>
                <w:szCs w:val="18"/>
              </w:rPr>
              <w:t>-89</w:t>
            </w:r>
          </w:p>
        </w:tc>
        <w:tc>
          <w:tcPr>
            <w:tcW w:w="517" w:type="dxa"/>
            <w:tcBorders>
              <w:top w:val="nil"/>
              <w:left w:val="nil"/>
              <w:bottom w:val="nil"/>
              <w:right w:val="nil"/>
            </w:tcBorders>
            <w:shd w:val="clear" w:color="auto" w:fill="auto"/>
            <w:noWrap/>
            <w:vAlign w:val="center"/>
            <w:hideMark/>
          </w:tcPr>
          <w:p w14:paraId="0BEBFED7" w14:textId="2FAC7165" w:rsidR="00372352" w:rsidRPr="00256A75" w:rsidRDefault="00372352" w:rsidP="00372352">
            <w:pPr>
              <w:jc w:val="center"/>
              <w:rPr>
                <w:color w:val="000000"/>
                <w:sz w:val="16"/>
                <w:szCs w:val="16"/>
              </w:rPr>
            </w:pPr>
            <w:r w:rsidRPr="00256A75">
              <w:rPr>
                <w:rFonts w:cs="Calibri"/>
                <w:color w:val="000000"/>
                <w:sz w:val="16"/>
                <w:szCs w:val="18"/>
              </w:rPr>
              <w:t>-37</w:t>
            </w:r>
          </w:p>
        </w:tc>
        <w:tc>
          <w:tcPr>
            <w:tcW w:w="467" w:type="dxa"/>
            <w:tcBorders>
              <w:top w:val="nil"/>
              <w:left w:val="nil"/>
              <w:bottom w:val="nil"/>
              <w:right w:val="nil"/>
            </w:tcBorders>
            <w:shd w:val="clear" w:color="auto" w:fill="auto"/>
            <w:noWrap/>
            <w:vAlign w:val="center"/>
            <w:hideMark/>
          </w:tcPr>
          <w:p w14:paraId="779C3BC5" w14:textId="59196897" w:rsidR="00372352" w:rsidRPr="00256A75" w:rsidRDefault="00372352" w:rsidP="00372352">
            <w:pPr>
              <w:jc w:val="center"/>
              <w:rPr>
                <w:color w:val="000000"/>
                <w:sz w:val="16"/>
                <w:szCs w:val="16"/>
              </w:rPr>
            </w:pPr>
            <w:r w:rsidRPr="00256A75">
              <w:rPr>
                <w:rFonts w:cs="Calibri"/>
                <w:color w:val="000000"/>
                <w:sz w:val="16"/>
                <w:szCs w:val="18"/>
              </w:rPr>
              <w:t>-</w:t>
            </w:r>
          </w:p>
        </w:tc>
        <w:tc>
          <w:tcPr>
            <w:tcW w:w="510" w:type="dxa"/>
            <w:tcBorders>
              <w:top w:val="nil"/>
              <w:left w:val="nil"/>
              <w:bottom w:val="nil"/>
              <w:right w:val="nil"/>
            </w:tcBorders>
            <w:shd w:val="clear" w:color="auto" w:fill="auto"/>
            <w:noWrap/>
            <w:vAlign w:val="center"/>
            <w:hideMark/>
          </w:tcPr>
          <w:p w14:paraId="3FADECB7" w14:textId="09B09A8A" w:rsidR="00372352" w:rsidRPr="00256A75" w:rsidRDefault="00372352" w:rsidP="00372352">
            <w:pPr>
              <w:jc w:val="center"/>
              <w:rPr>
                <w:color w:val="000000"/>
                <w:sz w:val="16"/>
                <w:szCs w:val="16"/>
              </w:rPr>
            </w:pPr>
            <w:r w:rsidRPr="00256A75">
              <w:rPr>
                <w:rFonts w:cs="Calibri"/>
                <w:color w:val="000000"/>
                <w:sz w:val="16"/>
                <w:szCs w:val="18"/>
              </w:rPr>
              <w:t>-</w:t>
            </w:r>
          </w:p>
        </w:tc>
        <w:tc>
          <w:tcPr>
            <w:tcW w:w="448" w:type="dxa"/>
            <w:tcBorders>
              <w:top w:val="nil"/>
              <w:left w:val="nil"/>
              <w:bottom w:val="nil"/>
              <w:right w:val="nil"/>
            </w:tcBorders>
            <w:shd w:val="clear" w:color="auto" w:fill="auto"/>
            <w:noWrap/>
            <w:vAlign w:val="center"/>
            <w:hideMark/>
          </w:tcPr>
          <w:p w14:paraId="0E5EF92E" w14:textId="4CF445A1" w:rsidR="00372352" w:rsidRPr="00256A75" w:rsidRDefault="00372352" w:rsidP="00372352">
            <w:pPr>
              <w:jc w:val="center"/>
              <w:rPr>
                <w:color w:val="000000"/>
                <w:sz w:val="16"/>
                <w:szCs w:val="16"/>
              </w:rPr>
            </w:pPr>
            <w:r w:rsidRPr="00256A75">
              <w:rPr>
                <w:rFonts w:cs="Calibri"/>
                <w:color w:val="000000"/>
                <w:sz w:val="16"/>
                <w:szCs w:val="18"/>
              </w:rPr>
              <w:t>-</w:t>
            </w:r>
          </w:p>
        </w:tc>
        <w:tc>
          <w:tcPr>
            <w:tcW w:w="506" w:type="dxa"/>
            <w:tcBorders>
              <w:top w:val="nil"/>
              <w:left w:val="nil"/>
              <w:bottom w:val="nil"/>
              <w:right w:val="nil"/>
            </w:tcBorders>
            <w:shd w:val="clear" w:color="auto" w:fill="auto"/>
            <w:noWrap/>
            <w:vAlign w:val="center"/>
            <w:hideMark/>
          </w:tcPr>
          <w:p w14:paraId="6C8A253C" w14:textId="337BFA63" w:rsidR="00372352" w:rsidRPr="00256A75" w:rsidRDefault="00372352" w:rsidP="00372352">
            <w:pPr>
              <w:jc w:val="center"/>
              <w:rPr>
                <w:color w:val="000000"/>
                <w:sz w:val="16"/>
                <w:szCs w:val="16"/>
              </w:rPr>
            </w:pPr>
            <w:r w:rsidRPr="00256A75">
              <w:rPr>
                <w:rFonts w:cs="Calibri"/>
                <w:color w:val="000000"/>
                <w:sz w:val="16"/>
                <w:szCs w:val="18"/>
              </w:rPr>
              <w:t>-</w:t>
            </w:r>
          </w:p>
        </w:tc>
      </w:tr>
      <w:tr w:rsidR="00372352" w:rsidRPr="00B81300" w14:paraId="30633002" w14:textId="77777777" w:rsidTr="00AD12F6">
        <w:trPr>
          <w:trHeight w:val="300"/>
        </w:trPr>
        <w:tc>
          <w:tcPr>
            <w:tcW w:w="3994" w:type="dxa"/>
            <w:tcBorders>
              <w:top w:val="nil"/>
              <w:left w:val="nil"/>
              <w:bottom w:val="nil"/>
              <w:right w:val="nil"/>
            </w:tcBorders>
            <w:shd w:val="clear" w:color="auto" w:fill="auto"/>
            <w:noWrap/>
            <w:vAlign w:val="center"/>
            <w:hideMark/>
          </w:tcPr>
          <w:p w14:paraId="07101E8B" w14:textId="77777777" w:rsidR="00372352" w:rsidRPr="00446EC5" w:rsidRDefault="00372352" w:rsidP="00372352">
            <w:pPr>
              <w:ind w:firstLineChars="100" w:firstLine="180"/>
              <w:rPr>
                <w:color w:val="000000"/>
                <w:sz w:val="18"/>
                <w:szCs w:val="18"/>
              </w:rPr>
            </w:pPr>
            <w:r w:rsidRPr="00446EC5">
              <w:rPr>
                <w:color w:val="000000"/>
                <w:sz w:val="18"/>
                <w:szCs w:val="18"/>
              </w:rPr>
              <w:t xml:space="preserve"> - nezahrnuté v rozpočte (preddavky)</w:t>
            </w:r>
          </w:p>
        </w:tc>
        <w:tc>
          <w:tcPr>
            <w:tcW w:w="485" w:type="dxa"/>
            <w:tcBorders>
              <w:top w:val="nil"/>
              <w:left w:val="nil"/>
              <w:bottom w:val="nil"/>
              <w:right w:val="nil"/>
            </w:tcBorders>
            <w:shd w:val="clear" w:color="auto" w:fill="auto"/>
            <w:noWrap/>
            <w:vAlign w:val="center"/>
            <w:hideMark/>
          </w:tcPr>
          <w:p w14:paraId="10706E80" w14:textId="38705EC8" w:rsidR="00372352" w:rsidRPr="00446EC5" w:rsidRDefault="00372352" w:rsidP="00372352">
            <w:pPr>
              <w:jc w:val="center"/>
              <w:rPr>
                <w:color w:val="000000"/>
                <w:sz w:val="16"/>
                <w:szCs w:val="16"/>
              </w:rPr>
            </w:pPr>
            <w:r w:rsidRPr="00446EC5">
              <w:rPr>
                <w:rFonts w:cs="Calibri"/>
                <w:color w:val="000000"/>
                <w:sz w:val="16"/>
                <w:szCs w:val="18"/>
              </w:rPr>
              <w:t>-205</w:t>
            </w:r>
          </w:p>
        </w:tc>
        <w:tc>
          <w:tcPr>
            <w:tcW w:w="471" w:type="dxa"/>
            <w:tcBorders>
              <w:top w:val="nil"/>
              <w:left w:val="nil"/>
              <w:bottom w:val="nil"/>
              <w:right w:val="nil"/>
            </w:tcBorders>
            <w:shd w:val="clear" w:color="auto" w:fill="auto"/>
            <w:noWrap/>
            <w:vAlign w:val="center"/>
            <w:hideMark/>
          </w:tcPr>
          <w:p w14:paraId="444BDA39" w14:textId="1D399B0B" w:rsidR="00372352" w:rsidRPr="00446EC5" w:rsidRDefault="00372352" w:rsidP="00372352">
            <w:pPr>
              <w:jc w:val="center"/>
              <w:rPr>
                <w:color w:val="000000"/>
                <w:sz w:val="16"/>
                <w:szCs w:val="16"/>
              </w:rPr>
            </w:pPr>
            <w:r w:rsidRPr="00446EC5">
              <w:rPr>
                <w:rFonts w:cs="Calibri"/>
                <w:color w:val="000000"/>
                <w:sz w:val="16"/>
                <w:szCs w:val="18"/>
              </w:rPr>
              <w:t>222</w:t>
            </w:r>
          </w:p>
        </w:tc>
        <w:tc>
          <w:tcPr>
            <w:tcW w:w="470" w:type="dxa"/>
            <w:tcBorders>
              <w:top w:val="nil"/>
              <w:left w:val="nil"/>
              <w:bottom w:val="nil"/>
              <w:right w:val="nil"/>
            </w:tcBorders>
            <w:shd w:val="clear" w:color="auto" w:fill="auto"/>
            <w:noWrap/>
            <w:vAlign w:val="center"/>
            <w:hideMark/>
          </w:tcPr>
          <w:p w14:paraId="2CFF9F9D" w14:textId="65846FE5" w:rsidR="00372352" w:rsidRPr="00446EC5" w:rsidRDefault="00372352" w:rsidP="00372352">
            <w:pPr>
              <w:jc w:val="center"/>
              <w:rPr>
                <w:color w:val="000000"/>
                <w:sz w:val="16"/>
                <w:szCs w:val="16"/>
              </w:rPr>
            </w:pPr>
            <w:r w:rsidRPr="00446EC5">
              <w:rPr>
                <w:rFonts w:cs="Calibri"/>
                <w:color w:val="000000"/>
                <w:sz w:val="16"/>
                <w:szCs w:val="18"/>
              </w:rPr>
              <w:t>-284</w:t>
            </w:r>
          </w:p>
        </w:tc>
        <w:tc>
          <w:tcPr>
            <w:tcW w:w="465" w:type="dxa"/>
            <w:tcBorders>
              <w:top w:val="nil"/>
              <w:left w:val="nil"/>
              <w:bottom w:val="nil"/>
              <w:right w:val="nil"/>
            </w:tcBorders>
            <w:vAlign w:val="center"/>
          </w:tcPr>
          <w:p w14:paraId="51985EB8" w14:textId="683E769F" w:rsidR="00372352" w:rsidRPr="00446EC5" w:rsidRDefault="00372352" w:rsidP="00372352">
            <w:pPr>
              <w:jc w:val="center"/>
              <w:rPr>
                <w:color w:val="000000"/>
                <w:sz w:val="16"/>
                <w:szCs w:val="16"/>
              </w:rPr>
            </w:pPr>
            <w:r w:rsidRPr="00446EC5">
              <w:rPr>
                <w:rFonts w:cs="Calibri"/>
                <w:color w:val="000000"/>
                <w:sz w:val="16"/>
                <w:szCs w:val="18"/>
              </w:rPr>
              <w:t>651</w:t>
            </w:r>
          </w:p>
        </w:tc>
        <w:tc>
          <w:tcPr>
            <w:tcW w:w="477" w:type="dxa"/>
            <w:tcBorders>
              <w:top w:val="nil"/>
              <w:left w:val="nil"/>
              <w:bottom w:val="nil"/>
              <w:right w:val="nil"/>
            </w:tcBorders>
            <w:shd w:val="clear" w:color="auto" w:fill="auto"/>
            <w:noWrap/>
            <w:vAlign w:val="center"/>
            <w:hideMark/>
          </w:tcPr>
          <w:p w14:paraId="659B1AE1" w14:textId="2580324B" w:rsidR="00372352" w:rsidRPr="00446EC5" w:rsidRDefault="00372352" w:rsidP="00372352">
            <w:pPr>
              <w:jc w:val="center"/>
              <w:rPr>
                <w:color w:val="000000"/>
                <w:sz w:val="16"/>
                <w:szCs w:val="16"/>
              </w:rPr>
            </w:pPr>
            <w:r w:rsidRPr="00446EC5">
              <w:rPr>
                <w:rFonts w:cs="Calibri"/>
                <w:color w:val="000000"/>
                <w:sz w:val="16"/>
                <w:szCs w:val="18"/>
              </w:rPr>
              <w:t>-43</w:t>
            </w:r>
          </w:p>
        </w:tc>
        <w:tc>
          <w:tcPr>
            <w:tcW w:w="467" w:type="dxa"/>
            <w:tcBorders>
              <w:top w:val="nil"/>
              <w:left w:val="nil"/>
              <w:bottom w:val="nil"/>
              <w:right w:val="nil"/>
            </w:tcBorders>
            <w:shd w:val="clear" w:color="auto" w:fill="auto"/>
            <w:noWrap/>
            <w:vAlign w:val="center"/>
            <w:hideMark/>
          </w:tcPr>
          <w:p w14:paraId="0A632992" w14:textId="2D76997E" w:rsidR="00372352" w:rsidRPr="00446EC5" w:rsidRDefault="00372352" w:rsidP="00372352">
            <w:pPr>
              <w:jc w:val="center"/>
              <w:rPr>
                <w:color w:val="000000"/>
                <w:sz w:val="16"/>
                <w:szCs w:val="16"/>
              </w:rPr>
            </w:pPr>
            <w:r w:rsidRPr="00446EC5">
              <w:rPr>
                <w:rFonts w:cs="Calibri"/>
                <w:color w:val="000000"/>
                <w:sz w:val="16"/>
                <w:szCs w:val="18"/>
              </w:rPr>
              <w:t>-96</w:t>
            </w:r>
          </w:p>
        </w:tc>
        <w:tc>
          <w:tcPr>
            <w:tcW w:w="517" w:type="dxa"/>
            <w:tcBorders>
              <w:top w:val="nil"/>
              <w:left w:val="nil"/>
              <w:bottom w:val="nil"/>
              <w:right w:val="nil"/>
            </w:tcBorders>
            <w:shd w:val="clear" w:color="auto" w:fill="auto"/>
            <w:noWrap/>
            <w:vAlign w:val="center"/>
            <w:hideMark/>
          </w:tcPr>
          <w:p w14:paraId="193E74DF" w14:textId="00D738B0" w:rsidR="00372352" w:rsidRPr="00256A75" w:rsidRDefault="00372352" w:rsidP="00372352">
            <w:pPr>
              <w:jc w:val="center"/>
              <w:rPr>
                <w:color w:val="000000"/>
                <w:sz w:val="16"/>
                <w:szCs w:val="16"/>
              </w:rPr>
            </w:pPr>
            <w:r w:rsidRPr="00256A75">
              <w:rPr>
                <w:rFonts w:cs="Calibri"/>
                <w:color w:val="000000"/>
                <w:sz w:val="16"/>
                <w:szCs w:val="18"/>
              </w:rPr>
              <w:t>-157</w:t>
            </w:r>
          </w:p>
        </w:tc>
        <w:tc>
          <w:tcPr>
            <w:tcW w:w="467" w:type="dxa"/>
            <w:tcBorders>
              <w:top w:val="nil"/>
              <w:left w:val="nil"/>
              <w:bottom w:val="nil"/>
              <w:right w:val="nil"/>
            </w:tcBorders>
            <w:shd w:val="clear" w:color="auto" w:fill="auto"/>
            <w:noWrap/>
            <w:vAlign w:val="center"/>
            <w:hideMark/>
          </w:tcPr>
          <w:p w14:paraId="0C1656A6" w14:textId="452955CC" w:rsidR="00372352" w:rsidRPr="00256A75" w:rsidRDefault="00372352" w:rsidP="00372352">
            <w:pPr>
              <w:jc w:val="center"/>
              <w:rPr>
                <w:color w:val="000000"/>
                <w:sz w:val="16"/>
                <w:szCs w:val="16"/>
              </w:rPr>
            </w:pPr>
            <w:r w:rsidRPr="00256A75">
              <w:rPr>
                <w:rFonts w:cs="Calibri"/>
                <w:color w:val="000000"/>
                <w:sz w:val="16"/>
                <w:szCs w:val="18"/>
              </w:rPr>
              <w:t>-</w:t>
            </w:r>
          </w:p>
        </w:tc>
        <w:tc>
          <w:tcPr>
            <w:tcW w:w="510" w:type="dxa"/>
            <w:tcBorders>
              <w:top w:val="nil"/>
              <w:left w:val="nil"/>
              <w:bottom w:val="nil"/>
              <w:right w:val="nil"/>
            </w:tcBorders>
            <w:shd w:val="clear" w:color="auto" w:fill="auto"/>
            <w:noWrap/>
            <w:vAlign w:val="center"/>
            <w:hideMark/>
          </w:tcPr>
          <w:p w14:paraId="5006C44B" w14:textId="2A04E152" w:rsidR="00372352" w:rsidRPr="00256A75" w:rsidRDefault="00372352" w:rsidP="00372352">
            <w:pPr>
              <w:jc w:val="center"/>
              <w:rPr>
                <w:color w:val="000000"/>
                <w:sz w:val="16"/>
                <w:szCs w:val="16"/>
              </w:rPr>
            </w:pPr>
            <w:r w:rsidRPr="00256A75">
              <w:rPr>
                <w:rFonts w:cs="Calibri"/>
                <w:color w:val="000000"/>
                <w:sz w:val="16"/>
                <w:szCs w:val="18"/>
              </w:rPr>
              <w:t>-</w:t>
            </w:r>
          </w:p>
        </w:tc>
        <w:tc>
          <w:tcPr>
            <w:tcW w:w="448" w:type="dxa"/>
            <w:tcBorders>
              <w:top w:val="nil"/>
              <w:left w:val="nil"/>
              <w:bottom w:val="nil"/>
              <w:right w:val="nil"/>
            </w:tcBorders>
            <w:shd w:val="clear" w:color="auto" w:fill="auto"/>
            <w:noWrap/>
            <w:vAlign w:val="center"/>
            <w:hideMark/>
          </w:tcPr>
          <w:p w14:paraId="2EA54E9C" w14:textId="20C167D5" w:rsidR="00372352" w:rsidRPr="00256A75" w:rsidRDefault="00372352" w:rsidP="00372352">
            <w:pPr>
              <w:jc w:val="center"/>
              <w:rPr>
                <w:color w:val="000000"/>
                <w:sz w:val="16"/>
                <w:szCs w:val="16"/>
              </w:rPr>
            </w:pPr>
            <w:r w:rsidRPr="00256A75">
              <w:rPr>
                <w:rFonts w:cs="Calibri"/>
                <w:color w:val="000000"/>
                <w:sz w:val="16"/>
                <w:szCs w:val="18"/>
              </w:rPr>
              <w:t>-</w:t>
            </w:r>
          </w:p>
        </w:tc>
        <w:tc>
          <w:tcPr>
            <w:tcW w:w="506" w:type="dxa"/>
            <w:tcBorders>
              <w:top w:val="nil"/>
              <w:left w:val="nil"/>
              <w:bottom w:val="nil"/>
              <w:right w:val="nil"/>
            </w:tcBorders>
            <w:shd w:val="clear" w:color="auto" w:fill="auto"/>
            <w:noWrap/>
            <w:vAlign w:val="center"/>
            <w:hideMark/>
          </w:tcPr>
          <w:p w14:paraId="16C57697" w14:textId="77006298" w:rsidR="00372352" w:rsidRPr="00256A75" w:rsidRDefault="00372352" w:rsidP="00372352">
            <w:pPr>
              <w:jc w:val="center"/>
              <w:rPr>
                <w:color w:val="000000"/>
                <w:sz w:val="16"/>
                <w:szCs w:val="16"/>
              </w:rPr>
            </w:pPr>
            <w:r w:rsidRPr="00256A75">
              <w:rPr>
                <w:rFonts w:cs="Calibri"/>
                <w:color w:val="000000"/>
                <w:sz w:val="16"/>
                <w:szCs w:val="18"/>
              </w:rPr>
              <w:t>-</w:t>
            </w:r>
          </w:p>
        </w:tc>
      </w:tr>
      <w:tr w:rsidR="00372352" w:rsidRPr="00B81300" w14:paraId="10522AA1" w14:textId="77777777" w:rsidTr="00AD12F6">
        <w:trPr>
          <w:trHeight w:val="300"/>
        </w:trPr>
        <w:tc>
          <w:tcPr>
            <w:tcW w:w="3994" w:type="dxa"/>
            <w:tcBorders>
              <w:top w:val="nil"/>
              <w:left w:val="nil"/>
              <w:bottom w:val="nil"/>
              <w:right w:val="nil"/>
            </w:tcBorders>
            <w:shd w:val="clear" w:color="auto" w:fill="auto"/>
            <w:noWrap/>
            <w:vAlign w:val="center"/>
            <w:hideMark/>
          </w:tcPr>
          <w:p w14:paraId="6BC40000" w14:textId="20121204" w:rsidR="00372352" w:rsidRPr="00446EC5" w:rsidRDefault="00372352" w:rsidP="00671634">
            <w:pPr>
              <w:rPr>
                <w:b/>
                <w:color w:val="000000"/>
                <w:sz w:val="18"/>
                <w:szCs w:val="18"/>
              </w:rPr>
            </w:pPr>
            <w:r w:rsidRPr="00446EC5">
              <w:rPr>
                <w:b/>
                <w:color w:val="000000"/>
                <w:sz w:val="18"/>
                <w:szCs w:val="18"/>
              </w:rPr>
              <w:t xml:space="preserve">4. </w:t>
            </w:r>
            <w:r w:rsidR="00671634">
              <w:rPr>
                <w:b/>
                <w:color w:val="000000"/>
                <w:sz w:val="18"/>
                <w:szCs w:val="18"/>
              </w:rPr>
              <w:t>Jednorazové vplyvy na dlh*</w:t>
            </w:r>
            <w:r w:rsidRPr="00446EC5">
              <w:rPr>
                <w:b/>
                <w:color w:val="000000"/>
                <w:sz w:val="18"/>
                <w:szCs w:val="18"/>
              </w:rPr>
              <w:t xml:space="preserve"> (1+2+3)</w:t>
            </w:r>
          </w:p>
        </w:tc>
        <w:tc>
          <w:tcPr>
            <w:tcW w:w="485" w:type="dxa"/>
            <w:tcBorders>
              <w:top w:val="nil"/>
              <w:left w:val="nil"/>
              <w:bottom w:val="nil"/>
              <w:right w:val="nil"/>
            </w:tcBorders>
            <w:shd w:val="clear" w:color="auto" w:fill="auto"/>
            <w:noWrap/>
            <w:vAlign w:val="center"/>
            <w:hideMark/>
          </w:tcPr>
          <w:p w14:paraId="5940E8F9" w14:textId="739038C9" w:rsidR="00372352" w:rsidRPr="00446EC5" w:rsidRDefault="00372352" w:rsidP="00372352">
            <w:pPr>
              <w:jc w:val="center"/>
              <w:rPr>
                <w:b/>
                <w:color w:val="000000"/>
                <w:sz w:val="16"/>
                <w:szCs w:val="16"/>
              </w:rPr>
            </w:pPr>
            <w:r w:rsidRPr="00446EC5">
              <w:rPr>
                <w:b/>
                <w:color w:val="000000"/>
                <w:sz w:val="16"/>
                <w:szCs w:val="16"/>
              </w:rPr>
              <w:t>644</w:t>
            </w:r>
          </w:p>
        </w:tc>
        <w:tc>
          <w:tcPr>
            <w:tcW w:w="471" w:type="dxa"/>
            <w:tcBorders>
              <w:top w:val="nil"/>
              <w:left w:val="nil"/>
              <w:bottom w:val="nil"/>
              <w:right w:val="nil"/>
            </w:tcBorders>
            <w:shd w:val="clear" w:color="auto" w:fill="auto"/>
            <w:noWrap/>
            <w:vAlign w:val="center"/>
            <w:hideMark/>
          </w:tcPr>
          <w:p w14:paraId="2A3684BB" w14:textId="62578EBF" w:rsidR="00372352" w:rsidRPr="00446EC5" w:rsidRDefault="00372352" w:rsidP="00372352">
            <w:pPr>
              <w:jc w:val="center"/>
              <w:rPr>
                <w:b/>
                <w:color w:val="000000"/>
                <w:sz w:val="16"/>
                <w:szCs w:val="16"/>
              </w:rPr>
            </w:pPr>
            <w:r w:rsidRPr="00446EC5">
              <w:rPr>
                <w:rFonts w:cs="Calibri"/>
                <w:b/>
                <w:bCs/>
                <w:color w:val="000000"/>
                <w:sz w:val="16"/>
                <w:szCs w:val="18"/>
              </w:rPr>
              <w:t>219</w:t>
            </w:r>
          </w:p>
        </w:tc>
        <w:tc>
          <w:tcPr>
            <w:tcW w:w="470" w:type="dxa"/>
            <w:tcBorders>
              <w:top w:val="nil"/>
              <w:left w:val="nil"/>
              <w:bottom w:val="nil"/>
              <w:right w:val="nil"/>
            </w:tcBorders>
            <w:shd w:val="clear" w:color="auto" w:fill="auto"/>
            <w:noWrap/>
            <w:vAlign w:val="center"/>
            <w:hideMark/>
          </w:tcPr>
          <w:p w14:paraId="088EBF79" w14:textId="5B5F496F" w:rsidR="00372352" w:rsidRPr="00446EC5" w:rsidRDefault="00372352" w:rsidP="00372352">
            <w:pPr>
              <w:jc w:val="center"/>
              <w:rPr>
                <w:b/>
                <w:color w:val="000000"/>
                <w:sz w:val="16"/>
                <w:szCs w:val="16"/>
              </w:rPr>
            </w:pPr>
            <w:r w:rsidRPr="00446EC5">
              <w:rPr>
                <w:rFonts w:cs="Calibri"/>
                <w:b/>
                <w:bCs/>
                <w:color w:val="000000"/>
                <w:sz w:val="16"/>
                <w:szCs w:val="18"/>
              </w:rPr>
              <w:t>1702</w:t>
            </w:r>
          </w:p>
        </w:tc>
        <w:tc>
          <w:tcPr>
            <w:tcW w:w="465" w:type="dxa"/>
            <w:tcBorders>
              <w:top w:val="nil"/>
              <w:left w:val="nil"/>
              <w:bottom w:val="nil"/>
              <w:right w:val="nil"/>
            </w:tcBorders>
            <w:vAlign w:val="center"/>
          </w:tcPr>
          <w:p w14:paraId="7BFE59F4" w14:textId="0B3671C5" w:rsidR="00372352" w:rsidRPr="00446EC5" w:rsidRDefault="00372352" w:rsidP="00372352">
            <w:pPr>
              <w:jc w:val="center"/>
              <w:rPr>
                <w:b/>
                <w:color w:val="000000"/>
                <w:sz w:val="16"/>
                <w:szCs w:val="16"/>
              </w:rPr>
            </w:pPr>
            <w:r w:rsidRPr="00446EC5">
              <w:rPr>
                <w:rFonts w:cs="Calibri"/>
                <w:b/>
                <w:bCs/>
                <w:color w:val="000000"/>
                <w:sz w:val="16"/>
                <w:szCs w:val="18"/>
              </w:rPr>
              <w:t>1127</w:t>
            </w:r>
          </w:p>
        </w:tc>
        <w:tc>
          <w:tcPr>
            <w:tcW w:w="477" w:type="dxa"/>
            <w:tcBorders>
              <w:top w:val="nil"/>
              <w:left w:val="nil"/>
              <w:bottom w:val="nil"/>
              <w:right w:val="nil"/>
            </w:tcBorders>
            <w:shd w:val="clear" w:color="auto" w:fill="auto"/>
            <w:noWrap/>
            <w:vAlign w:val="center"/>
            <w:hideMark/>
          </w:tcPr>
          <w:p w14:paraId="675427A6" w14:textId="1AA5F610" w:rsidR="00372352" w:rsidRPr="00446EC5" w:rsidRDefault="00372352" w:rsidP="00372352">
            <w:pPr>
              <w:jc w:val="center"/>
              <w:rPr>
                <w:b/>
                <w:color w:val="000000"/>
                <w:sz w:val="16"/>
                <w:szCs w:val="16"/>
              </w:rPr>
            </w:pPr>
            <w:r w:rsidRPr="00446EC5">
              <w:rPr>
                <w:rFonts w:cs="Calibri"/>
                <w:b/>
                <w:bCs/>
                <w:color w:val="000000"/>
                <w:sz w:val="16"/>
                <w:szCs w:val="18"/>
              </w:rPr>
              <w:t>144</w:t>
            </w:r>
          </w:p>
        </w:tc>
        <w:tc>
          <w:tcPr>
            <w:tcW w:w="467" w:type="dxa"/>
            <w:tcBorders>
              <w:top w:val="nil"/>
              <w:left w:val="nil"/>
              <w:bottom w:val="nil"/>
              <w:right w:val="nil"/>
            </w:tcBorders>
            <w:shd w:val="clear" w:color="auto" w:fill="auto"/>
            <w:noWrap/>
            <w:vAlign w:val="center"/>
            <w:hideMark/>
          </w:tcPr>
          <w:p w14:paraId="2281E8F8" w14:textId="0D962717" w:rsidR="00372352" w:rsidRPr="00446EC5" w:rsidRDefault="00372352" w:rsidP="00372352">
            <w:pPr>
              <w:jc w:val="center"/>
              <w:rPr>
                <w:b/>
                <w:color w:val="000000"/>
                <w:sz w:val="16"/>
                <w:szCs w:val="16"/>
              </w:rPr>
            </w:pPr>
            <w:r w:rsidRPr="00446EC5">
              <w:rPr>
                <w:rFonts w:cs="Calibri"/>
                <w:b/>
                <w:bCs/>
                <w:color w:val="000000"/>
                <w:sz w:val="16"/>
                <w:szCs w:val="18"/>
              </w:rPr>
              <w:t>-2</w:t>
            </w:r>
          </w:p>
        </w:tc>
        <w:tc>
          <w:tcPr>
            <w:tcW w:w="517" w:type="dxa"/>
            <w:tcBorders>
              <w:top w:val="nil"/>
              <w:left w:val="nil"/>
              <w:bottom w:val="nil"/>
              <w:right w:val="nil"/>
            </w:tcBorders>
            <w:shd w:val="clear" w:color="auto" w:fill="auto"/>
            <w:noWrap/>
            <w:vAlign w:val="center"/>
            <w:hideMark/>
          </w:tcPr>
          <w:p w14:paraId="6CD32784" w14:textId="4776F2C0" w:rsidR="00372352" w:rsidRPr="001A50C9" w:rsidRDefault="00CC4B03" w:rsidP="00372352">
            <w:pPr>
              <w:jc w:val="center"/>
              <w:rPr>
                <w:b/>
                <w:color w:val="000000"/>
                <w:sz w:val="16"/>
                <w:szCs w:val="16"/>
              </w:rPr>
            </w:pPr>
            <w:r>
              <w:rPr>
                <w:rFonts w:cs="Calibri"/>
                <w:b/>
                <w:bCs/>
                <w:color w:val="000000"/>
                <w:sz w:val="16"/>
                <w:szCs w:val="18"/>
              </w:rPr>
              <w:t>-22</w:t>
            </w:r>
          </w:p>
        </w:tc>
        <w:tc>
          <w:tcPr>
            <w:tcW w:w="467" w:type="dxa"/>
            <w:tcBorders>
              <w:top w:val="nil"/>
              <w:left w:val="nil"/>
              <w:bottom w:val="nil"/>
              <w:right w:val="nil"/>
            </w:tcBorders>
            <w:shd w:val="clear" w:color="auto" w:fill="auto"/>
            <w:noWrap/>
            <w:vAlign w:val="center"/>
            <w:hideMark/>
          </w:tcPr>
          <w:p w14:paraId="7B9FE058" w14:textId="36B065A5" w:rsidR="00372352" w:rsidRPr="001A50C9" w:rsidRDefault="00031C88" w:rsidP="00372352">
            <w:pPr>
              <w:jc w:val="center"/>
              <w:rPr>
                <w:b/>
                <w:color w:val="000000"/>
                <w:sz w:val="16"/>
                <w:szCs w:val="16"/>
              </w:rPr>
            </w:pPr>
            <w:r>
              <w:rPr>
                <w:rFonts w:cs="Calibri"/>
                <w:b/>
                <w:bCs/>
                <w:color w:val="000000"/>
                <w:sz w:val="16"/>
                <w:szCs w:val="18"/>
              </w:rPr>
              <w:t>-595</w:t>
            </w:r>
          </w:p>
        </w:tc>
        <w:tc>
          <w:tcPr>
            <w:tcW w:w="510" w:type="dxa"/>
            <w:tcBorders>
              <w:top w:val="nil"/>
              <w:left w:val="nil"/>
              <w:bottom w:val="nil"/>
              <w:right w:val="nil"/>
            </w:tcBorders>
            <w:shd w:val="clear" w:color="auto" w:fill="auto"/>
            <w:noWrap/>
            <w:vAlign w:val="center"/>
            <w:hideMark/>
          </w:tcPr>
          <w:p w14:paraId="3F6E97AA" w14:textId="24031EB2" w:rsidR="00372352" w:rsidRPr="001A50C9" w:rsidRDefault="00372352" w:rsidP="00372352">
            <w:pPr>
              <w:jc w:val="center"/>
              <w:rPr>
                <w:b/>
                <w:color w:val="000000"/>
                <w:sz w:val="16"/>
                <w:szCs w:val="16"/>
              </w:rPr>
            </w:pPr>
            <w:r w:rsidRPr="001A50C9">
              <w:rPr>
                <w:rFonts w:cs="Calibri"/>
                <w:b/>
                <w:bCs/>
                <w:color w:val="000000"/>
                <w:sz w:val="16"/>
                <w:szCs w:val="18"/>
              </w:rPr>
              <w:t>154</w:t>
            </w:r>
          </w:p>
        </w:tc>
        <w:tc>
          <w:tcPr>
            <w:tcW w:w="448" w:type="dxa"/>
            <w:tcBorders>
              <w:top w:val="nil"/>
              <w:left w:val="nil"/>
              <w:bottom w:val="nil"/>
              <w:right w:val="nil"/>
            </w:tcBorders>
            <w:shd w:val="clear" w:color="auto" w:fill="auto"/>
            <w:noWrap/>
            <w:vAlign w:val="center"/>
            <w:hideMark/>
          </w:tcPr>
          <w:p w14:paraId="10BD2CCD" w14:textId="4FD92F06" w:rsidR="00372352" w:rsidRPr="001A50C9" w:rsidRDefault="00372352" w:rsidP="00372352">
            <w:pPr>
              <w:jc w:val="center"/>
              <w:rPr>
                <w:b/>
                <w:color w:val="000000"/>
                <w:sz w:val="16"/>
                <w:szCs w:val="16"/>
              </w:rPr>
            </w:pPr>
            <w:r w:rsidRPr="001A50C9">
              <w:rPr>
                <w:rFonts w:cs="Calibri"/>
                <w:b/>
                <w:bCs/>
                <w:color w:val="000000"/>
                <w:sz w:val="16"/>
                <w:szCs w:val="18"/>
              </w:rPr>
              <w:t>119</w:t>
            </w:r>
          </w:p>
        </w:tc>
        <w:tc>
          <w:tcPr>
            <w:tcW w:w="506" w:type="dxa"/>
            <w:tcBorders>
              <w:top w:val="nil"/>
              <w:left w:val="nil"/>
              <w:bottom w:val="nil"/>
              <w:right w:val="nil"/>
            </w:tcBorders>
            <w:shd w:val="clear" w:color="auto" w:fill="auto"/>
            <w:noWrap/>
            <w:vAlign w:val="center"/>
            <w:hideMark/>
          </w:tcPr>
          <w:p w14:paraId="446C785C" w14:textId="5F1349EB" w:rsidR="00372352" w:rsidRPr="001A50C9" w:rsidRDefault="00372352" w:rsidP="00372352">
            <w:pPr>
              <w:jc w:val="center"/>
              <w:rPr>
                <w:b/>
                <w:color w:val="000000"/>
                <w:sz w:val="16"/>
                <w:szCs w:val="16"/>
              </w:rPr>
            </w:pPr>
            <w:r w:rsidRPr="001A50C9">
              <w:rPr>
                <w:rFonts w:cs="Calibri"/>
                <w:b/>
                <w:bCs/>
                <w:color w:val="000000"/>
                <w:sz w:val="16"/>
                <w:szCs w:val="18"/>
              </w:rPr>
              <w:t>85</w:t>
            </w:r>
          </w:p>
        </w:tc>
      </w:tr>
      <w:tr w:rsidR="00372352" w:rsidRPr="00B81300" w14:paraId="65FF6D3E" w14:textId="77777777" w:rsidTr="00AD12F6">
        <w:trPr>
          <w:trHeight w:val="300"/>
        </w:trPr>
        <w:tc>
          <w:tcPr>
            <w:tcW w:w="3994" w:type="dxa"/>
            <w:tcBorders>
              <w:top w:val="nil"/>
              <w:left w:val="nil"/>
              <w:bottom w:val="single" w:sz="4" w:space="0" w:color="13B5EA"/>
              <w:right w:val="nil"/>
            </w:tcBorders>
            <w:shd w:val="clear" w:color="auto" w:fill="auto"/>
            <w:noWrap/>
            <w:vAlign w:val="center"/>
            <w:hideMark/>
          </w:tcPr>
          <w:p w14:paraId="3B3A27B9" w14:textId="77777777" w:rsidR="00372352" w:rsidRPr="00B81300" w:rsidRDefault="00372352" w:rsidP="00372352">
            <w:pPr>
              <w:ind w:firstLineChars="100" w:firstLine="181"/>
              <w:rPr>
                <w:b/>
                <w:color w:val="000000"/>
                <w:sz w:val="18"/>
                <w:szCs w:val="18"/>
                <w:highlight w:val="yellow"/>
              </w:rPr>
            </w:pPr>
            <w:r w:rsidRPr="001A50C9">
              <w:rPr>
                <w:b/>
                <w:color w:val="000000"/>
                <w:sz w:val="18"/>
                <w:szCs w:val="18"/>
              </w:rPr>
              <w:t xml:space="preserve"> - v % HDP</w:t>
            </w:r>
          </w:p>
        </w:tc>
        <w:tc>
          <w:tcPr>
            <w:tcW w:w="485" w:type="dxa"/>
            <w:tcBorders>
              <w:top w:val="nil"/>
              <w:left w:val="nil"/>
              <w:bottom w:val="single" w:sz="4" w:space="0" w:color="13B5EA"/>
              <w:right w:val="nil"/>
            </w:tcBorders>
            <w:shd w:val="clear" w:color="auto" w:fill="auto"/>
            <w:noWrap/>
            <w:vAlign w:val="center"/>
            <w:hideMark/>
          </w:tcPr>
          <w:p w14:paraId="4112B7C1" w14:textId="2776909A" w:rsidR="00372352" w:rsidRPr="00031C88" w:rsidRDefault="00372352" w:rsidP="00372352">
            <w:pPr>
              <w:jc w:val="center"/>
              <w:rPr>
                <w:b/>
                <w:color w:val="000000"/>
                <w:sz w:val="16"/>
                <w:szCs w:val="16"/>
              </w:rPr>
            </w:pPr>
            <w:r w:rsidRPr="00031C88">
              <w:rPr>
                <w:rFonts w:cs="Calibri"/>
                <w:b/>
                <w:bCs/>
                <w:color w:val="000000"/>
                <w:sz w:val="16"/>
                <w:szCs w:val="18"/>
              </w:rPr>
              <w:t>0,9</w:t>
            </w:r>
          </w:p>
        </w:tc>
        <w:tc>
          <w:tcPr>
            <w:tcW w:w="471" w:type="dxa"/>
            <w:tcBorders>
              <w:top w:val="nil"/>
              <w:left w:val="nil"/>
              <w:bottom w:val="single" w:sz="4" w:space="0" w:color="13B5EA"/>
              <w:right w:val="nil"/>
            </w:tcBorders>
            <w:shd w:val="clear" w:color="auto" w:fill="auto"/>
            <w:noWrap/>
            <w:vAlign w:val="center"/>
            <w:hideMark/>
          </w:tcPr>
          <w:p w14:paraId="06202EE6" w14:textId="26FEAA40" w:rsidR="00372352" w:rsidRPr="00031C88" w:rsidRDefault="00372352" w:rsidP="00372352">
            <w:pPr>
              <w:jc w:val="center"/>
              <w:rPr>
                <w:b/>
                <w:color w:val="000000"/>
                <w:sz w:val="16"/>
                <w:szCs w:val="16"/>
              </w:rPr>
            </w:pPr>
            <w:r w:rsidRPr="00031C88">
              <w:rPr>
                <w:rFonts w:cs="Calibri"/>
                <w:b/>
                <w:bCs/>
                <w:color w:val="000000"/>
                <w:sz w:val="16"/>
                <w:szCs w:val="18"/>
              </w:rPr>
              <w:t>0,3</w:t>
            </w:r>
          </w:p>
        </w:tc>
        <w:tc>
          <w:tcPr>
            <w:tcW w:w="470" w:type="dxa"/>
            <w:tcBorders>
              <w:top w:val="nil"/>
              <w:left w:val="nil"/>
              <w:bottom w:val="single" w:sz="4" w:space="0" w:color="13B5EA"/>
              <w:right w:val="nil"/>
            </w:tcBorders>
            <w:shd w:val="clear" w:color="auto" w:fill="auto"/>
            <w:noWrap/>
            <w:vAlign w:val="center"/>
            <w:hideMark/>
          </w:tcPr>
          <w:p w14:paraId="1BB3E17C" w14:textId="310450F4" w:rsidR="00372352" w:rsidRPr="00031C88" w:rsidRDefault="00372352" w:rsidP="00372352">
            <w:pPr>
              <w:jc w:val="center"/>
              <w:rPr>
                <w:b/>
                <w:color w:val="000000"/>
                <w:sz w:val="16"/>
                <w:szCs w:val="16"/>
              </w:rPr>
            </w:pPr>
            <w:r w:rsidRPr="00031C88">
              <w:rPr>
                <w:rFonts w:cs="Calibri"/>
                <w:b/>
                <w:bCs/>
                <w:color w:val="000000"/>
                <w:sz w:val="16"/>
                <w:szCs w:val="18"/>
              </w:rPr>
              <w:t>2,1</w:t>
            </w:r>
          </w:p>
        </w:tc>
        <w:tc>
          <w:tcPr>
            <w:tcW w:w="465" w:type="dxa"/>
            <w:tcBorders>
              <w:top w:val="nil"/>
              <w:left w:val="nil"/>
              <w:bottom w:val="single" w:sz="4" w:space="0" w:color="13B5EA"/>
              <w:right w:val="nil"/>
            </w:tcBorders>
            <w:vAlign w:val="center"/>
          </w:tcPr>
          <w:p w14:paraId="67832015" w14:textId="36455794" w:rsidR="00372352" w:rsidRPr="00031C88" w:rsidRDefault="00372352" w:rsidP="00372352">
            <w:pPr>
              <w:jc w:val="center"/>
              <w:rPr>
                <w:b/>
                <w:color w:val="000000"/>
                <w:sz w:val="16"/>
                <w:szCs w:val="16"/>
              </w:rPr>
            </w:pPr>
            <w:r w:rsidRPr="00031C88">
              <w:rPr>
                <w:rFonts w:cs="Calibri"/>
                <w:b/>
                <w:bCs/>
                <w:color w:val="000000"/>
                <w:sz w:val="16"/>
                <w:szCs w:val="18"/>
              </w:rPr>
              <w:t>1,4</w:t>
            </w:r>
          </w:p>
        </w:tc>
        <w:tc>
          <w:tcPr>
            <w:tcW w:w="477" w:type="dxa"/>
            <w:tcBorders>
              <w:top w:val="nil"/>
              <w:left w:val="nil"/>
              <w:bottom w:val="single" w:sz="4" w:space="0" w:color="13B5EA"/>
              <w:right w:val="nil"/>
            </w:tcBorders>
            <w:shd w:val="clear" w:color="auto" w:fill="auto"/>
            <w:noWrap/>
            <w:vAlign w:val="center"/>
            <w:hideMark/>
          </w:tcPr>
          <w:p w14:paraId="5EDE00CD" w14:textId="4C9A77B9" w:rsidR="00372352" w:rsidRPr="00031C88" w:rsidRDefault="00372352" w:rsidP="00372352">
            <w:pPr>
              <w:jc w:val="center"/>
              <w:rPr>
                <w:b/>
                <w:color w:val="000000"/>
                <w:sz w:val="16"/>
                <w:szCs w:val="16"/>
              </w:rPr>
            </w:pPr>
            <w:r w:rsidRPr="00031C88">
              <w:rPr>
                <w:rFonts w:cs="Calibri"/>
                <w:b/>
                <w:bCs/>
                <w:color w:val="000000"/>
                <w:sz w:val="16"/>
                <w:szCs w:val="18"/>
              </w:rPr>
              <w:t>0,2</w:t>
            </w:r>
          </w:p>
        </w:tc>
        <w:tc>
          <w:tcPr>
            <w:tcW w:w="467" w:type="dxa"/>
            <w:tcBorders>
              <w:top w:val="nil"/>
              <w:left w:val="nil"/>
              <w:bottom w:val="single" w:sz="4" w:space="0" w:color="13B5EA"/>
              <w:right w:val="nil"/>
            </w:tcBorders>
            <w:shd w:val="clear" w:color="auto" w:fill="auto"/>
            <w:noWrap/>
            <w:vAlign w:val="center"/>
            <w:hideMark/>
          </w:tcPr>
          <w:p w14:paraId="05D19F81" w14:textId="28D0FD6E" w:rsidR="00372352" w:rsidRPr="00031C88" w:rsidRDefault="00372352" w:rsidP="00372352">
            <w:pPr>
              <w:jc w:val="center"/>
              <w:rPr>
                <w:b/>
                <w:color w:val="000000"/>
                <w:sz w:val="16"/>
                <w:szCs w:val="16"/>
              </w:rPr>
            </w:pPr>
            <w:r w:rsidRPr="00031C88">
              <w:rPr>
                <w:rFonts w:cs="Calibri"/>
                <w:b/>
                <w:bCs/>
                <w:color w:val="000000"/>
                <w:sz w:val="16"/>
                <w:szCs w:val="18"/>
              </w:rPr>
              <w:t>0,0</w:t>
            </w:r>
          </w:p>
        </w:tc>
        <w:tc>
          <w:tcPr>
            <w:tcW w:w="517" w:type="dxa"/>
            <w:tcBorders>
              <w:top w:val="nil"/>
              <w:left w:val="nil"/>
              <w:bottom w:val="single" w:sz="4" w:space="0" w:color="13B5EA"/>
              <w:right w:val="nil"/>
            </w:tcBorders>
            <w:shd w:val="clear" w:color="auto" w:fill="auto"/>
            <w:noWrap/>
            <w:vAlign w:val="center"/>
            <w:hideMark/>
          </w:tcPr>
          <w:p w14:paraId="55E0C1F9" w14:textId="79AE12CC" w:rsidR="00372352" w:rsidRPr="00031C88" w:rsidRDefault="00372352" w:rsidP="00372352">
            <w:pPr>
              <w:jc w:val="center"/>
              <w:rPr>
                <w:b/>
                <w:color w:val="000000"/>
                <w:sz w:val="16"/>
                <w:szCs w:val="16"/>
              </w:rPr>
            </w:pPr>
            <w:r w:rsidRPr="00031C88">
              <w:rPr>
                <w:rFonts w:cs="Calibri"/>
                <w:b/>
                <w:bCs/>
                <w:color w:val="000000"/>
                <w:sz w:val="16"/>
                <w:szCs w:val="18"/>
              </w:rPr>
              <w:t>0,0</w:t>
            </w:r>
          </w:p>
        </w:tc>
        <w:tc>
          <w:tcPr>
            <w:tcW w:w="467" w:type="dxa"/>
            <w:tcBorders>
              <w:top w:val="nil"/>
              <w:left w:val="nil"/>
              <w:bottom w:val="single" w:sz="4" w:space="0" w:color="13B5EA"/>
              <w:right w:val="nil"/>
            </w:tcBorders>
            <w:shd w:val="clear" w:color="auto" w:fill="auto"/>
            <w:noWrap/>
            <w:vAlign w:val="center"/>
            <w:hideMark/>
          </w:tcPr>
          <w:p w14:paraId="2A7E4A72" w14:textId="0B97D416" w:rsidR="00372352" w:rsidRPr="00031C88" w:rsidRDefault="00A72CDE" w:rsidP="00372352">
            <w:pPr>
              <w:jc w:val="center"/>
              <w:rPr>
                <w:b/>
                <w:color w:val="000000"/>
                <w:sz w:val="16"/>
                <w:szCs w:val="16"/>
              </w:rPr>
            </w:pPr>
            <w:r>
              <w:rPr>
                <w:rFonts w:cs="Calibri"/>
                <w:b/>
                <w:bCs/>
                <w:color w:val="000000"/>
                <w:sz w:val="16"/>
                <w:szCs w:val="18"/>
              </w:rPr>
              <w:t>-</w:t>
            </w:r>
            <w:r w:rsidR="00372352" w:rsidRPr="00031C88">
              <w:rPr>
                <w:rFonts w:cs="Calibri"/>
                <w:b/>
                <w:bCs/>
                <w:color w:val="000000"/>
                <w:sz w:val="16"/>
                <w:szCs w:val="18"/>
              </w:rPr>
              <w:t>0,</w:t>
            </w:r>
            <w:r w:rsidR="00031C88" w:rsidRPr="00031C88">
              <w:rPr>
                <w:rFonts w:cs="Calibri"/>
                <w:b/>
                <w:bCs/>
                <w:color w:val="000000"/>
                <w:sz w:val="16"/>
                <w:szCs w:val="18"/>
              </w:rPr>
              <w:t>7</w:t>
            </w:r>
          </w:p>
        </w:tc>
        <w:tc>
          <w:tcPr>
            <w:tcW w:w="510" w:type="dxa"/>
            <w:tcBorders>
              <w:top w:val="nil"/>
              <w:left w:val="nil"/>
              <w:bottom w:val="single" w:sz="4" w:space="0" w:color="13B5EA"/>
              <w:right w:val="nil"/>
            </w:tcBorders>
            <w:shd w:val="clear" w:color="auto" w:fill="auto"/>
            <w:noWrap/>
            <w:vAlign w:val="center"/>
            <w:hideMark/>
          </w:tcPr>
          <w:p w14:paraId="49FABAD9" w14:textId="0D128213" w:rsidR="00372352" w:rsidRPr="00031C88" w:rsidRDefault="00372352" w:rsidP="00372352">
            <w:pPr>
              <w:jc w:val="center"/>
              <w:rPr>
                <w:b/>
                <w:color w:val="000000"/>
                <w:sz w:val="16"/>
                <w:szCs w:val="16"/>
              </w:rPr>
            </w:pPr>
            <w:r w:rsidRPr="00031C88">
              <w:rPr>
                <w:rFonts w:cs="Calibri"/>
                <w:b/>
                <w:bCs/>
                <w:color w:val="000000"/>
                <w:sz w:val="16"/>
                <w:szCs w:val="18"/>
              </w:rPr>
              <w:t>0,</w:t>
            </w:r>
            <w:r w:rsidR="00031C88" w:rsidRPr="00031C88">
              <w:rPr>
                <w:rFonts w:cs="Calibri"/>
                <w:b/>
                <w:bCs/>
                <w:color w:val="000000"/>
                <w:sz w:val="16"/>
                <w:szCs w:val="18"/>
              </w:rPr>
              <w:t>2</w:t>
            </w:r>
          </w:p>
        </w:tc>
        <w:tc>
          <w:tcPr>
            <w:tcW w:w="448" w:type="dxa"/>
            <w:tcBorders>
              <w:top w:val="nil"/>
              <w:left w:val="nil"/>
              <w:bottom w:val="single" w:sz="4" w:space="0" w:color="13B5EA"/>
              <w:right w:val="nil"/>
            </w:tcBorders>
            <w:shd w:val="clear" w:color="auto" w:fill="auto"/>
            <w:noWrap/>
            <w:vAlign w:val="center"/>
            <w:hideMark/>
          </w:tcPr>
          <w:p w14:paraId="32DF02F4" w14:textId="4519749E" w:rsidR="00372352" w:rsidRPr="00031C88" w:rsidRDefault="00372352" w:rsidP="00372352">
            <w:pPr>
              <w:jc w:val="center"/>
              <w:rPr>
                <w:b/>
                <w:color w:val="000000"/>
                <w:sz w:val="16"/>
                <w:szCs w:val="16"/>
              </w:rPr>
            </w:pPr>
            <w:r w:rsidRPr="00031C88">
              <w:rPr>
                <w:rFonts w:cs="Calibri"/>
                <w:b/>
                <w:bCs/>
                <w:color w:val="000000"/>
                <w:sz w:val="16"/>
                <w:szCs w:val="18"/>
              </w:rPr>
              <w:t>0,1</w:t>
            </w:r>
          </w:p>
        </w:tc>
        <w:tc>
          <w:tcPr>
            <w:tcW w:w="506" w:type="dxa"/>
            <w:tcBorders>
              <w:top w:val="nil"/>
              <w:left w:val="nil"/>
              <w:bottom w:val="single" w:sz="4" w:space="0" w:color="13B5EA"/>
              <w:right w:val="nil"/>
            </w:tcBorders>
            <w:shd w:val="clear" w:color="auto" w:fill="auto"/>
            <w:noWrap/>
            <w:vAlign w:val="center"/>
            <w:hideMark/>
          </w:tcPr>
          <w:p w14:paraId="3081289A" w14:textId="7CE7FF1A" w:rsidR="00372352" w:rsidRPr="00031C88" w:rsidRDefault="00372352" w:rsidP="00372352">
            <w:pPr>
              <w:jc w:val="center"/>
              <w:rPr>
                <w:b/>
                <w:color w:val="000000"/>
                <w:sz w:val="16"/>
                <w:szCs w:val="16"/>
              </w:rPr>
            </w:pPr>
            <w:r w:rsidRPr="00031C88">
              <w:rPr>
                <w:rFonts w:cs="Calibri"/>
                <w:b/>
                <w:bCs/>
                <w:color w:val="000000"/>
                <w:sz w:val="16"/>
                <w:szCs w:val="18"/>
              </w:rPr>
              <w:t>0,1</w:t>
            </w:r>
          </w:p>
        </w:tc>
      </w:tr>
      <w:tr w:rsidR="00671634" w:rsidRPr="00B81300" w14:paraId="3F6FD0D4" w14:textId="77777777" w:rsidTr="00671634">
        <w:trPr>
          <w:trHeight w:val="300"/>
        </w:trPr>
        <w:tc>
          <w:tcPr>
            <w:tcW w:w="7346" w:type="dxa"/>
            <w:gridSpan w:val="8"/>
            <w:tcBorders>
              <w:top w:val="nil"/>
              <w:left w:val="nil"/>
              <w:bottom w:val="nil"/>
              <w:right w:val="nil"/>
            </w:tcBorders>
          </w:tcPr>
          <w:p w14:paraId="37C8DB85" w14:textId="6F2DFC2C" w:rsidR="00671634" w:rsidRDefault="00671634" w:rsidP="00372352">
            <w:pPr>
              <w:rPr>
                <w:i/>
                <w:color w:val="13B5EA"/>
                <w:sz w:val="16"/>
                <w:szCs w:val="16"/>
              </w:rPr>
            </w:pPr>
            <w:r>
              <w:rPr>
                <w:i/>
                <w:color w:val="13B5EA"/>
                <w:sz w:val="16"/>
                <w:szCs w:val="16"/>
              </w:rPr>
              <w:t>* Ide o zmeny v hotovosti na účtoch štátu, ktoré majú nulový alebo dočasný vplyv na čisté bohatstvo.</w:t>
            </w:r>
          </w:p>
          <w:p w14:paraId="70DED968" w14:textId="0EA1C596" w:rsidR="00671634" w:rsidRPr="00621E04" w:rsidRDefault="00671634" w:rsidP="00372352">
            <w:pPr>
              <w:rPr>
                <w:rFonts w:ascii="Times New Roman" w:hAnsi="Times New Roman"/>
                <w:sz w:val="20"/>
              </w:rPr>
            </w:pPr>
            <w:r w:rsidRPr="00621E04">
              <w:rPr>
                <w:i/>
                <w:color w:val="13B5EA"/>
                <w:sz w:val="16"/>
                <w:szCs w:val="16"/>
              </w:rPr>
              <w:t>Pozn.: (+) zvyšuje a (-) znižuje hotovosť na účtoch verejnej správy</w:t>
            </w:r>
          </w:p>
        </w:tc>
        <w:tc>
          <w:tcPr>
            <w:tcW w:w="1931" w:type="dxa"/>
            <w:gridSpan w:val="4"/>
            <w:tcBorders>
              <w:top w:val="single" w:sz="4" w:space="0" w:color="13B5EA"/>
              <w:left w:val="nil"/>
              <w:bottom w:val="nil"/>
              <w:right w:val="nil"/>
            </w:tcBorders>
            <w:shd w:val="clear" w:color="auto" w:fill="auto"/>
            <w:noWrap/>
            <w:vAlign w:val="center"/>
            <w:hideMark/>
          </w:tcPr>
          <w:p w14:paraId="30476EBB" w14:textId="77777777" w:rsidR="00671634" w:rsidRPr="00621E04" w:rsidRDefault="00671634" w:rsidP="00372352">
            <w:pPr>
              <w:jc w:val="right"/>
              <w:rPr>
                <w:i/>
                <w:color w:val="13B5EA"/>
                <w:sz w:val="16"/>
                <w:szCs w:val="16"/>
              </w:rPr>
            </w:pPr>
            <w:r w:rsidRPr="00621E04">
              <w:rPr>
                <w:i/>
                <w:color w:val="13B5EA"/>
                <w:sz w:val="16"/>
                <w:szCs w:val="16"/>
              </w:rPr>
              <w:t>Zdroj: RRZ, MF SR, ŠÚ SR</w:t>
            </w:r>
          </w:p>
        </w:tc>
      </w:tr>
    </w:tbl>
    <w:p w14:paraId="3FAB2723" w14:textId="77777777" w:rsidR="0053375A" w:rsidRPr="00B81300" w:rsidRDefault="0053375A" w:rsidP="0053375A">
      <w:pPr>
        <w:jc w:val="both"/>
        <w:rPr>
          <w:highlight w:val="yellow"/>
        </w:rPr>
      </w:pPr>
    </w:p>
    <w:p w14:paraId="5B1B11F5" w14:textId="0C7ABD4D" w:rsidR="00B426C8" w:rsidRPr="00FC6785" w:rsidRDefault="00B426C8" w:rsidP="00B426C8">
      <w:pPr>
        <w:jc w:val="both"/>
      </w:pPr>
      <w:r w:rsidRPr="00E01EEC">
        <w:rPr>
          <w:b/>
        </w:rPr>
        <w:t xml:space="preserve">Podiel hrubého dlhu verejnej správy na HDP </w:t>
      </w:r>
      <w:r w:rsidR="00E01EEC" w:rsidRPr="00E01EEC">
        <w:rPr>
          <w:b/>
          <w:bCs/>
        </w:rPr>
        <w:t>klesol</w:t>
      </w:r>
      <w:r w:rsidRPr="00E01EEC">
        <w:rPr>
          <w:b/>
          <w:bCs/>
        </w:rPr>
        <w:t xml:space="preserve"> </w:t>
      </w:r>
      <w:r w:rsidR="00E01EEC" w:rsidRPr="00E01EEC">
        <w:rPr>
          <w:b/>
          <w:bCs/>
        </w:rPr>
        <w:t>v</w:t>
      </w:r>
      <w:r w:rsidRPr="00FC6785">
        <w:rPr>
          <w:b/>
        </w:rPr>
        <w:t> období rokov 2014 až 201</w:t>
      </w:r>
      <w:r w:rsidR="005F0471" w:rsidRPr="00FC6785">
        <w:rPr>
          <w:b/>
        </w:rPr>
        <w:t>9</w:t>
      </w:r>
      <w:r w:rsidRPr="00FC6785">
        <w:rPr>
          <w:b/>
        </w:rPr>
        <w:t xml:space="preserve"> celkovo o</w:t>
      </w:r>
      <w:r w:rsidR="00AB4DC9" w:rsidRPr="00FC6785">
        <w:rPr>
          <w:b/>
        </w:rPr>
        <w:t> </w:t>
      </w:r>
      <w:r w:rsidR="005F0471" w:rsidRPr="00FC6785">
        <w:rPr>
          <w:b/>
        </w:rPr>
        <w:t>6</w:t>
      </w:r>
      <w:r w:rsidR="00AB4DC9" w:rsidRPr="00FC6785">
        <w:rPr>
          <w:b/>
        </w:rPr>
        <w:t>,</w:t>
      </w:r>
      <w:r w:rsidR="005F0471" w:rsidRPr="00FC6785">
        <w:rPr>
          <w:b/>
        </w:rPr>
        <w:t>7</w:t>
      </w:r>
      <w:r w:rsidRPr="00FC6785">
        <w:rPr>
          <w:b/>
        </w:rPr>
        <w:t xml:space="preserve"> perc</w:t>
      </w:r>
      <w:r w:rsidR="00B641F1">
        <w:rPr>
          <w:b/>
        </w:rPr>
        <w:t>entuálnych</w:t>
      </w:r>
      <w:r w:rsidRPr="00FC6785">
        <w:rPr>
          <w:b/>
        </w:rPr>
        <w:t xml:space="preserve"> bodov (z 54,7 % HDP na konci roku 2013 na </w:t>
      </w:r>
      <w:r w:rsidR="00AB4DC9" w:rsidRPr="00FC6785">
        <w:rPr>
          <w:b/>
        </w:rPr>
        <w:t>48,</w:t>
      </w:r>
      <w:r w:rsidR="00257C56" w:rsidRPr="00FC6785">
        <w:rPr>
          <w:b/>
        </w:rPr>
        <w:t>0</w:t>
      </w:r>
      <w:r w:rsidRPr="00FC6785">
        <w:rPr>
          <w:b/>
        </w:rPr>
        <w:t xml:space="preserve"> % HDP na konci roku 201</w:t>
      </w:r>
      <w:r w:rsidR="00257C56" w:rsidRPr="00FC6785">
        <w:rPr>
          <w:b/>
        </w:rPr>
        <w:t>9</w:t>
      </w:r>
      <w:r w:rsidRPr="00FC6785">
        <w:rPr>
          <w:b/>
        </w:rPr>
        <w:t>).</w:t>
      </w:r>
      <w:r w:rsidRPr="00FC6785">
        <w:t xml:space="preserve"> </w:t>
      </w:r>
      <w:r w:rsidR="008B5807" w:rsidRPr="00FC6785">
        <w:t>Jednorazové faktory (napríklad príjmy z privatizácie Slovak Telekom, jednorazový príjem z otvorenia II. piliera dôchodkového systému, príjmy z dividend nad rámec riadnej činnosti štátnych podnikov, vplyv čerpania EÚ fondov) prispeli k</w:t>
      </w:r>
      <w:r w:rsidR="00227485">
        <w:t> </w:t>
      </w:r>
      <w:r w:rsidR="008B5807" w:rsidRPr="00227485">
        <w:t>poklesu</w:t>
      </w:r>
      <w:r w:rsidR="00227485">
        <w:t xml:space="preserve"> </w:t>
      </w:r>
      <w:r w:rsidR="008B5807" w:rsidRPr="00227485">
        <w:t>3</w:t>
      </w:r>
      <w:r w:rsidR="00227485" w:rsidRPr="00227485">
        <w:t>,9</w:t>
      </w:r>
      <w:r w:rsidR="008B5807" w:rsidRPr="00227485">
        <w:t xml:space="preserve"> p.</w:t>
      </w:r>
      <w:r w:rsidR="00B641F1">
        <w:t>b.</w:t>
      </w:r>
      <w:r w:rsidR="008B5807" w:rsidRPr="00227485">
        <w:t xml:space="preserve"> </w:t>
      </w:r>
      <w:r w:rsidR="008B5807" w:rsidRPr="00FA3C6E">
        <w:t xml:space="preserve">a zmeny v hotovostnej rezerve prispeli </w:t>
      </w:r>
      <w:r w:rsidR="002B03D6" w:rsidRPr="00FA3C6E">
        <w:t>2</w:t>
      </w:r>
      <w:r w:rsidR="008B5807" w:rsidRPr="00FA3C6E">
        <w:t>,</w:t>
      </w:r>
      <w:r w:rsidR="002B03D6" w:rsidRPr="00FA3C6E">
        <w:t>1</w:t>
      </w:r>
      <w:r w:rsidR="008B5807" w:rsidRPr="00FA3C6E">
        <w:t xml:space="preserve"> p.b. </w:t>
      </w:r>
      <w:r w:rsidR="00F120C1" w:rsidRPr="00FC6785">
        <w:t>Ide o faktory, ktoré nezlepšovali čisté bohatstvo verejného sektora</w:t>
      </w:r>
      <w:r w:rsidR="00F120C1" w:rsidRPr="00FC6785">
        <w:rPr>
          <w:rStyle w:val="FootnoteReference"/>
        </w:rPr>
        <w:footnoteReference w:id="105"/>
      </w:r>
      <w:r w:rsidR="00F120C1" w:rsidRPr="00FC6785">
        <w:t xml:space="preserve">, keďže pokles hrubého dlhu bol financovaný poklesom aktív a bol sprevádzaný nárastom implicitných záväzkov verejného sektora. </w:t>
      </w:r>
      <w:r w:rsidR="008B5807" w:rsidRPr="00FC6785">
        <w:rPr>
          <w:b/>
        </w:rPr>
        <w:t>Bez jednorazových faktorov a zmien v hotovostnej rezerve by podiel dlhu na HDP</w:t>
      </w:r>
      <w:r w:rsidRPr="00FC6785">
        <w:rPr>
          <w:b/>
        </w:rPr>
        <w:t xml:space="preserve"> </w:t>
      </w:r>
      <w:r w:rsidR="008B5807" w:rsidRPr="00FC6785">
        <w:rPr>
          <w:b/>
        </w:rPr>
        <w:t>klesol medzi rokmi 2013 až 201</w:t>
      </w:r>
      <w:r w:rsidR="00E01EEC">
        <w:rPr>
          <w:b/>
        </w:rPr>
        <w:t>9</w:t>
      </w:r>
      <w:r w:rsidRPr="00FC6785">
        <w:rPr>
          <w:b/>
        </w:rPr>
        <w:t xml:space="preserve"> o</w:t>
      </w:r>
      <w:r w:rsidR="00AB4DC9" w:rsidRPr="00FC6785">
        <w:rPr>
          <w:b/>
        </w:rPr>
        <w:t> </w:t>
      </w:r>
      <w:r w:rsidR="00AB4DC9" w:rsidRPr="001B7F1A">
        <w:rPr>
          <w:b/>
        </w:rPr>
        <w:t>0,</w:t>
      </w:r>
      <w:r w:rsidR="00A063E3" w:rsidRPr="00846337">
        <w:rPr>
          <w:b/>
        </w:rPr>
        <w:t>7</w:t>
      </w:r>
      <w:r w:rsidR="00B64328">
        <w:rPr>
          <w:b/>
        </w:rPr>
        <w:t> </w:t>
      </w:r>
      <w:r w:rsidRPr="00FC6785">
        <w:rPr>
          <w:b/>
        </w:rPr>
        <w:t>perc</w:t>
      </w:r>
      <w:r w:rsidR="00B64328">
        <w:rPr>
          <w:b/>
        </w:rPr>
        <w:t>entuálneho</w:t>
      </w:r>
      <w:r w:rsidRPr="00FC6785">
        <w:rPr>
          <w:b/>
        </w:rPr>
        <w:t xml:space="preserve"> bod</w:t>
      </w:r>
      <w:r w:rsidR="00B64328">
        <w:rPr>
          <w:b/>
        </w:rPr>
        <w:t>u</w:t>
      </w:r>
      <w:r w:rsidRPr="00FC6785">
        <w:rPr>
          <w:b/>
        </w:rPr>
        <w:t>.</w:t>
      </w:r>
    </w:p>
    <w:p w14:paraId="6EC66EB9" w14:textId="4D92AD9C" w:rsidR="003F1E0B" w:rsidRPr="00B81300" w:rsidRDefault="003F1E0B" w:rsidP="0053375A">
      <w:pPr>
        <w:jc w:val="both"/>
        <w:rPr>
          <w:highlight w:val="yellow"/>
        </w:rPr>
      </w:pPr>
    </w:p>
    <w:p w14:paraId="0F1B2400" w14:textId="0D9A33DC" w:rsidR="003F1E0B" w:rsidRPr="006A2A3F" w:rsidRDefault="003F1E0B" w:rsidP="0053375A">
      <w:pPr>
        <w:jc w:val="both"/>
      </w:pPr>
      <w:r w:rsidRPr="006F38F6">
        <w:lastRenderedPageBreak/>
        <w:t>V roku 2014 k poklesu podielu dlhu na HDP prispelo najmä jednorazové zníženie úrovne hotovostnej rezervy štátu</w:t>
      </w:r>
      <w:r w:rsidRPr="006F38F6">
        <w:rPr>
          <w:rStyle w:val="FootnoteReference"/>
        </w:rPr>
        <w:footnoteReference w:id="106"/>
      </w:r>
      <w:r w:rsidRPr="006F38F6">
        <w:t xml:space="preserve"> (čistý dlh</w:t>
      </w:r>
      <w:r w:rsidRPr="006F38F6">
        <w:rPr>
          <w:rStyle w:val="FootnoteReference"/>
        </w:rPr>
        <w:footnoteReference w:id="107"/>
      </w:r>
      <w:r w:rsidRPr="006F38F6">
        <w:t xml:space="preserve"> vzrástol).</w:t>
      </w:r>
      <w:r w:rsidRPr="006F38F6">
        <w:rPr>
          <w:b/>
        </w:rPr>
        <w:t xml:space="preserve"> </w:t>
      </w:r>
      <w:r w:rsidRPr="006F38F6">
        <w:t>V rokoch 2015 a 2016 došlo k poklesu hrubého aj čistého dlhu, pričom ich vývoj bol v prevažnej miere ovplyvnený jednorazovými príjmami (v</w:t>
      </w:r>
      <w:r w:rsidR="00A12AD8" w:rsidRPr="006F38F6">
        <w:t> </w:t>
      </w:r>
      <w:r w:rsidRPr="006F38F6">
        <w:t xml:space="preserve">roku 2015 išlo o príjmy z privatizácie, príjmy zo súkromných dôchodkových fondov, dividendy zo štátnych podnikov nad rámec riadneho zisku; v roku 2016 išlo o preddavky k čerpaniu fondov EÚ a dividendy zo štátnych podnikov nad rámec riadneho zisku – </w:t>
      </w:r>
      <w:r w:rsidR="00B426C8" w:rsidRPr="006F38F6">
        <w:t xml:space="preserve">tabuľka </w:t>
      </w:r>
      <w:r w:rsidR="00291FF1" w:rsidRPr="006F38F6">
        <w:t>8</w:t>
      </w:r>
      <w:r w:rsidRPr="008433D6">
        <w:t>).</w:t>
      </w:r>
      <w:r w:rsidR="00B426C8" w:rsidRPr="008433D6">
        <w:t xml:space="preserve"> </w:t>
      </w:r>
      <w:r w:rsidR="00092EFE" w:rsidRPr="008433D6">
        <w:rPr>
          <w:b/>
        </w:rPr>
        <w:t>V</w:t>
      </w:r>
      <w:r w:rsidR="00E01EEC">
        <w:rPr>
          <w:b/>
        </w:rPr>
        <w:t> </w:t>
      </w:r>
      <w:r w:rsidR="00092EFE" w:rsidRPr="008433D6">
        <w:rPr>
          <w:b/>
        </w:rPr>
        <w:t>rok</w:t>
      </w:r>
      <w:r w:rsidR="006B45B8" w:rsidRPr="008433D6">
        <w:rPr>
          <w:b/>
        </w:rPr>
        <w:t>oc</w:t>
      </w:r>
      <w:r w:rsidR="00364D58" w:rsidRPr="008433D6">
        <w:rPr>
          <w:b/>
        </w:rPr>
        <w:t>h</w:t>
      </w:r>
      <w:r w:rsidR="00092EFE" w:rsidRPr="008433D6">
        <w:rPr>
          <w:b/>
        </w:rPr>
        <w:t xml:space="preserve"> 2017</w:t>
      </w:r>
      <w:r w:rsidR="00E01EEC">
        <w:rPr>
          <w:b/>
        </w:rPr>
        <w:t xml:space="preserve"> až 2019</w:t>
      </w:r>
      <w:r w:rsidR="00092EFE" w:rsidRPr="008433D6">
        <w:rPr>
          <w:b/>
        </w:rPr>
        <w:t xml:space="preserve"> </w:t>
      </w:r>
      <w:r w:rsidR="00364D58" w:rsidRPr="008433D6">
        <w:rPr>
          <w:b/>
        </w:rPr>
        <w:t xml:space="preserve">došlo </w:t>
      </w:r>
      <w:r w:rsidR="00092EFE" w:rsidRPr="008433D6">
        <w:rPr>
          <w:b/>
        </w:rPr>
        <w:t>k poklesu dlhu aj po zohľadnení jednorazových opatrení vlády a iných dočasných vplyvov.</w:t>
      </w:r>
      <w:r w:rsidR="00B426C8" w:rsidRPr="008433D6">
        <w:t xml:space="preserve"> Bez zmien v hotovosti na účtoch štátu a jednorazových vplyvov by dlh v roku 201</w:t>
      </w:r>
      <w:r w:rsidR="008433D6" w:rsidRPr="008433D6">
        <w:t>9</w:t>
      </w:r>
      <w:r w:rsidR="00B426C8" w:rsidRPr="008433D6">
        <w:t xml:space="preserve"> klesol o</w:t>
      </w:r>
      <w:r w:rsidR="00092EFE" w:rsidRPr="008433D6">
        <w:t> </w:t>
      </w:r>
      <w:r w:rsidR="008433D6" w:rsidRPr="008433D6">
        <w:t>0</w:t>
      </w:r>
      <w:r w:rsidR="00092EFE" w:rsidRPr="008433D6">
        <w:t>,</w:t>
      </w:r>
      <w:r w:rsidR="005151B9">
        <w:t>3</w:t>
      </w:r>
      <w:r w:rsidR="00B426C8" w:rsidRPr="008433D6">
        <w:t xml:space="preserve"> p.b. (tabuľka </w:t>
      </w:r>
      <w:r w:rsidR="00210990" w:rsidRPr="008433D6">
        <w:t>8</w:t>
      </w:r>
      <w:r w:rsidR="00B426C8" w:rsidRPr="008433D6">
        <w:t xml:space="preserve">). </w:t>
      </w:r>
      <w:r w:rsidR="00352B03">
        <w:t>Dlh bude rásť</w:t>
      </w:r>
      <w:r w:rsidR="00F005A1">
        <w:t xml:space="preserve"> na celom horizonte strednodobej prognózy, k skokovému navýšeni</w:t>
      </w:r>
      <w:r w:rsidR="006541A4">
        <w:t xml:space="preserve">u </w:t>
      </w:r>
      <w:r w:rsidR="004C1DB5">
        <w:t>dlhu</w:t>
      </w:r>
      <w:r w:rsidR="006541A4">
        <w:t xml:space="preserve"> dôjde v roku 2020 a to </w:t>
      </w:r>
      <w:r w:rsidR="004C1DB5">
        <w:t xml:space="preserve">najmä </w:t>
      </w:r>
      <w:r w:rsidR="006541A4">
        <w:t xml:space="preserve">vplyvom </w:t>
      </w:r>
      <w:r w:rsidR="00C60DD8">
        <w:t xml:space="preserve">pandémie </w:t>
      </w:r>
      <w:r w:rsidR="006541A4">
        <w:t>korona</w:t>
      </w:r>
      <w:r w:rsidR="00C60DD8">
        <w:t>vírusu</w:t>
      </w:r>
      <w:r w:rsidR="004C1DB5">
        <w:t xml:space="preserve">. </w:t>
      </w:r>
      <w:r w:rsidR="004B3286">
        <w:t xml:space="preserve">Dôvodmi rastu dlhu </w:t>
      </w:r>
      <w:r w:rsidR="00100B68">
        <w:t>sú</w:t>
      </w:r>
      <w:r w:rsidR="001143B8">
        <w:t xml:space="preserve"> mimoriadn</w:t>
      </w:r>
      <w:r w:rsidR="00EA6E1F">
        <w:t>y pokles</w:t>
      </w:r>
      <w:r w:rsidR="005065C5" w:rsidRPr="00C873F3">
        <w:t xml:space="preserve"> ekonomiky a</w:t>
      </w:r>
      <w:r w:rsidR="006A2A3F" w:rsidRPr="00C873F3">
        <w:t> </w:t>
      </w:r>
      <w:r w:rsidR="005065C5" w:rsidRPr="00C873F3">
        <w:t>výpadk</w:t>
      </w:r>
      <w:r w:rsidR="00494541">
        <w:t>y</w:t>
      </w:r>
      <w:r w:rsidR="006A2A3F" w:rsidRPr="00C873F3">
        <w:t xml:space="preserve"> daňovo odvodových výnosov</w:t>
      </w:r>
      <w:r w:rsidR="00A063E3">
        <w:t>,</w:t>
      </w:r>
      <w:r w:rsidR="006A2A3F" w:rsidRPr="00C873F3">
        <w:t xml:space="preserve"> ako aj výdavky priamo spojené so zmierňovaním dopadov krízy. </w:t>
      </w:r>
      <w:r w:rsidR="00B426C8" w:rsidRPr="006A2A3F">
        <w:t>Vývoj úrovne hrubého a čistého dlhu bez jednorazových vplyvov ilustruje box </w:t>
      </w:r>
      <w:r w:rsidR="00163A0C">
        <w:t>9</w:t>
      </w:r>
      <w:r w:rsidR="00B426C8" w:rsidRPr="006A2A3F">
        <w:t>.</w:t>
      </w:r>
    </w:p>
    <w:p w14:paraId="500A3BB9" w14:textId="77777777" w:rsidR="0053375A" w:rsidRPr="00B81300" w:rsidRDefault="0053375A" w:rsidP="0053375A">
      <w:pPr>
        <w:jc w:val="both"/>
        <w:rPr>
          <w:sz w:val="18"/>
          <w:highlight w:val="yellow"/>
        </w:rPr>
      </w:pPr>
    </w:p>
    <w:tbl>
      <w:tblPr>
        <w:tblW w:w="9072" w:type="dxa"/>
        <w:tblLayout w:type="fixed"/>
        <w:tblCellMar>
          <w:left w:w="70" w:type="dxa"/>
          <w:right w:w="70" w:type="dxa"/>
        </w:tblCellMar>
        <w:tblLook w:val="04A0" w:firstRow="1" w:lastRow="0" w:firstColumn="1" w:lastColumn="0" w:noHBand="0" w:noVBand="1"/>
      </w:tblPr>
      <w:tblGrid>
        <w:gridCol w:w="2923"/>
        <w:gridCol w:w="559"/>
        <w:gridCol w:w="559"/>
        <w:gridCol w:w="559"/>
        <w:gridCol w:w="559"/>
        <w:gridCol w:w="372"/>
        <w:gridCol w:w="187"/>
        <w:gridCol w:w="357"/>
        <w:gridCol w:w="202"/>
        <w:gridCol w:w="342"/>
        <w:gridCol w:w="217"/>
        <w:gridCol w:w="559"/>
        <w:gridCol w:w="559"/>
        <w:gridCol w:w="559"/>
        <w:gridCol w:w="559"/>
      </w:tblGrid>
      <w:tr w:rsidR="00D773FB" w:rsidRPr="00B81300" w14:paraId="69FE8EFA" w14:textId="6FEE9899" w:rsidTr="00B556BC">
        <w:trPr>
          <w:trHeight w:hRule="exact" w:val="266"/>
        </w:trPr>
        <w:tc>
          <w:tcPr>
            <w:tcW w:w="9072" w:type="dxa"/>
            <w:gridSpan w:val="15"/>
            <w:tcBorders>
              <w:top w:val="nil"/>
              <w:left w:val="nil"/>
              <w:bottom w:val="nil"/>
              <w:right w:val="nil"/>
            </w:tcBorders>
          </w:tcPr>
          <w:p w14:paraId="02F044CE" w14:textId="6874B5D2" w:rsidR="00E62971" w:rsidRPr="00F034C7" w:rsidRDefault="00E01EEC" w:rsidP="00D1024E">
            <w:pPr>
              <w:rPr>
                <w:rStyle w:val="tabChar"/>
                <w:sz w:val="20"/>
              </w:rPr>
            </w:pPr>
            <w:bookmarkStart w:id="911" w:name="_Toc459275422"/>
            <w:bookmarkStart w:id="912" w:name="_Toc489954224"/>
            <w:bookmarkStart w:id="913" w:name="_Toc490143840"/>
            <w:bookmarkStart w:id="914" w:name="_Toc490642143"/>
            <w:bookmarkStart w:id="915" w:name="_Toc522105527"/>
            <w:bookmarkStart w:id="916" w:name="_Toc522200679"/>
            <w:bookmarkStart w:id="917" w:name="_Toc523390265"/>
            <w:bookmarkStart w:id="918" w:name="_Toc523392870"/>
            <w:bookmarkStart w:id="919" w:name="_Toc49506907"/>
            <w:r w:rsidRPr="00852881">
              <w:rPr>
                <w:rStyle w:val="tabChar"/>
                <w:sz w:val="20"/>
                <w:szCs w:val="20"/>
              </w:rPr>
              <w:t>Tab 8: Prehľad vývoja dlhu do roku 202</w:t>
            </w:r>
            <w:r w:rsidR="00351B17" w:rsidRPr="00852881">
              <w:rPr>
                <w:rStyle w:val="tabChar"/>
                <w:sz w:val="20"/>
                <w:szCs w:val="20"/>
              </w:rPr>
              <w:t>3</w:t>
            </w:r>
            <w:bookmarkEnd w:id="911"/>
            <w:bookmarkEnd w:id="912"/>
            <w:bookmarkEnd w:id="913"/>
            <w:bookmarkEnd w:id="914"/>
            <w:bookmarkEnd w:id="915"/>
            <w:bookmarkEnd w:id="916"/>
            <w:bookmarkEnd w:id="917"/>
            <w:bookmarkEnd w:id="918"/>
            <w:bookmarkEnd w:id="919"/>
            <w:r w:rsidRPr="00C47F47">
              <w:rPr>
                <w:b/>
                <w:color w:val="13B5EA"/>
                <w:sz w:val="16"/>
                <w:szCs w:val="18"/>
              </w:rPr>
              <w:t xml:space="preserve"> </w:t>
            </w:r>
            <w:r w:rsidRPr="00F034C7">
              <w:rPr>
                <w:b/>
                <w:color w:val="13B5EA"/>
                <w:sz w:val="20"/>
              </w:rPr>
              <w:t>(medziročné zmeny, % HDP)</w:t>
            </w:r>
          </w:p>
        </w:tc>
      </w:tr>
      <w:tr w:rsidR="00E25A7F" w:rsidRPr="00B81300" w14:paraId="43C6C2A1" w14:textId="2E220AD3" w:rsidTr="00B556BC">
        <w:trPr>
          <w:trHeight w:hRule="exact" w:val="266"/>
        </w:trPr>
        <w:tc>
          <w:tcPr>
            <w:tcW w:w="2923" w:type="dxa"/>
            <w:tcBorders>
              <w:top w:val="nil"/>
              <w:left w:val="nil"/>
              <w:bottom w:val="nil"/>
              <w:right w:val="nil"/>
            </w:tcBorders>
            <w:shd w:val="clear" w:color="000000" w:fill="13B5EA"/>
            <w:noWrap/>
            <w:vAlign w:val="bottom"/>
            <w:hideMark/>
          </w:tcPr>
          <w:p w14:paraId="65BFF8A4" w14:textId="77777777" w:rsidR="00AD12F6" w:rsidRPr="00F034C7" w:rsidRDefault="00AD12F6" w:rsidP="00AD12F6">
            <w:pPr>
              <w:rPr>
                <w:b/>
                <w:color w:val="FFFFFF"/>
                <w:sz w:val="18"/>
                <w:szCs w:val="18"/>
              </w:rPr>
            </w:pPr>
          </w:p>
        </w:tc>
        <w:tc>
          <w:tcPr>
            <w:tcW w:w="559" w:type="dxa"/>
            <w:tcBorders>
              <w:top w:val="nil"/>
              <w:left w:val="nil"/>
              <w:bottom w:val="nil"/>
              <w:right w:val="nil"/>
            </w:tcBorders>
            <w:shd w:val="clear" w:color="000000" w:fill="13B5EA"/>
            <w:noWrap/>
            <w:vAlign w:val="center"/>
            <w:hideMark/>
          </w:tcPr>
          <w:p w14:paraId="10B29408" w14:textId="3B7E1573" w:rsidR="00AD12F6" w:rsidRPr="00F034C7" w:rsidRDefault="00AD12F6" w:rsidP="00B556BC">
            <w:pPr>
              <w:jc w:val="center"/>
              <w:rPr>
                <w:b/>
                <w:color w:val="FFFFFF"/>
                <w:sz w:val="18"/>
                <w:szCs w:val="18"/>
              </w:rPr>
            </w:pPr>
            <w:r w:rsidRPr="00F034C7">
              <w:rPr>
                <w:b/>
                <w:bCs/>
                <w:color w:val="FFFFFF"/>
                <w:sz w:val="18"/>
                <w:szCs w:val="18"/>
              </w:rPr>
              <w:t>2013</w:t>
            </w:r>
          </w:p>
        </w:tc>
        <w:tc>
          <w:tcPr>
            <w:tcW w:w="559" w:type="dxa"/>
            <w:tcBorders>
              <w:top w:val="nil"/>
              <w:left w:val="nil"/>
              <w:bottom w:val="nil"/>
              <w:right w:val="nil"/>
            </w:tcBorders>
            <w:shd w:val="clear" w:color="000000" w:fill="13B5EA"/>
            <w:noWrap/>
            <w:vAlign w:val="center"/>
            <w:hideMark/>
          </w:tcPr>
          <w:p w14:paraId="2DE5B253" w14:textId="60C13350" w:rsidR="00AD12F6" w:rsidRPr="00F034C7" w:rsidRDefault="00AD12F6" w:rsidP="00B556BC">
            <w:pPr>
              <w:jc w:val="center"/>
              <w:rPr>
                <w:b/>
                <w:color w:val="FFFFFF"/>
                <w:sz w:val="18"/>
                <w:szCs w:val="18"/>
              </w:rPr>
            </w:pPr>
            <w:r w:rsidRPr="00F034C7">
              <w:rPr>
                <w:b/>
                <w:bCs/>
                <w:color w:val="FFFFFF"/>
                <w:sz w:val="18"/>
                <w:szCs w:val="18"/>
              </w:rPr>
              <w:t>2014</w:t>
            </w:r>
          </w:p>
        </w:tc>
        <w:tc>
          <w:tcPr>
            <w:tcW w:w="559" w:type="dxa"/>
            <w:tcBorders>
              <w:top w:val="nil"/>
              <w:left w:val="nil"/>
              <w:bottom w:val="nil"/>
              <w:right w:val="nil"/>
            </w:tcBorders>
            <w:shd w:val="clear" w:color="000000" w:fill="13B5EA"/>
            <w:vAlign w:val="center"/>
          </w:tcPr>
          <w:p w14:paraId="62CCE6B5" w14:textId="4D03198D" w:rsidR="00AD12F6" w:rsidRPr="00F034C7" w:rsidRDefault="00AD12F6" w:rsidP="00AD12F6">
            <w:pPr>
              <w:jc w:val="center"/>
              <w:rPr>
                <w:b/>
                <w:color w:val="FFFFFF"/>
                <w:sz w:val="18"/>
                <w:szCs w:val="18"/>
              </w:rPr>
            </w:pPr>
            <w:r w:rsidRPr="00F034C7">
              <w:rPr>
                <w:b/>
                <w:bCs/>
                <w:color w:val="FFFFFF"/>
                <w:sz w:val="18"/>
                <w:szCs w:val="18"/>
              </w:rPr>
              <w:t>2015</w:t>
            </w:r>
          </w:p>
        </w:tc>
        <w:tc>
          <w:tcPr>
            <w:tcW w:w="559" w:type="dxa"/>
            <w:tcBorders>
              <w:top w:val="nil"/>
              <w:left w:val="nil"/>
              <w:bottom w:val="nil"/>
              <w:right w:val="nil"/>
            </w:tcBorders>
            <w:shd w:val="clear" w:color="000000" w:fill="13B5EA"/>
            <w:noWrap/>
            <w:vAlign w:val="center"/>
            <w:hideMark/>
          </w:tcPr>
          <w:p w14:paraId="5FF6F590" w14:textId="6AC37984" w:rsidR="00AD12F6" w:rsidRPr="00F034C7" w:rsidRDefault="00AD12F6" w:rsidP="00B556BC">
            <w:pPr>
              <w:jc w:val="center"/>
              <w:rPr>
                <w:b/>
                <w:color w:val="FFFFFF"/>
                <w:sz w:val="18"/>
                <w:szCs w:val="18"/>
              </w:rPr>
            </w:pPr>
            <w:r w:rsidRPr="00F034C7">
              <w:rPr>
                <w:b/>
                <w:bCs/>
                <w:color w:val="FFFFFF"/>
                <w:sz w:val="18"/>
                <w:szCs w:val="18"/>
              </w:rPr>
              <w:t>2016</w:t>
            </w:r>
          </w:p>
        </w:tc>
        <w:tc>
          <w:tcPr>
            <w:tcW w:w="559" w:type="dxa"/>
            <w:gridSpan w:val="2"/>
            <w:tcBorders>
              <w:top w:val="nil"/>
              <w:left w:val="nil"/>
              <w:bottom w:val="nil"/>
              <w:right w:val="nil"/>
            </w:tcBorders>
            <w:shd w:val="clear" w:color="000000" w:fill="13B5EA"/>
            <w:noWrap/>
            <w:vAlign w:val="center"/>
            <w:hideMark/>
          </w:tcPr>
          <w:p w14:paraId="2037863B" w14:textId="3AF3E1D0" w:rsidR="00AD12F6" w:rsidRPr="00F034C7" w:rsidRDefault="00AD12F6" w:rsidP="00B556BC">
            <w:pPr>
              <w:jc w:val="center"/>
              <w:rPr>
                <w:b/>
                <w:color w:val="FFFFFF"/>
                <w:sz w:val="18"/>
                <w:szCs w:val="18"/>
              </w:rPr>
            </w:pPr>
            <w:r w:rsidRPr="00F034C7">
              <w:rPr>
                <w:b/>
                <w:bCs/>
                <w:color w:val="FFFFFF"/>
                <w:sz w:val="18"/>
                <w:szCs w:val="18"/>
              </w:rPr>
              <w:t>2017</w:t>
            </w:r>
          </w:p>
        </w:tc>
        <w:tc>
          <w:tcPr>
            <w:tcW w:w="559" w:type="dxa"/>
            <w:gridSpan w:val="2"/>
            <w:tcBorders>
              <w:top w:val="nil"/>
              <w:left w:val="nil"/>
              <w:bottom w:val="nil"/>
              <w:right w:val="nil"/>
            </w:tcBorders>
            <w:shd w:val="clear" w:color="000000" w:fill="13B5EA"/>
            <w:noWrap/>
            <w:vAlign w:val="center"/>
            <w:hideMark/>
          </w:tcPr>
          <w:p w14:paraId="0D255503" w14:textId="36D2CDB7" w:rsidR="00AD12F6" w:rsidRPr="00F034C7" w:rsidRDefault="00AD12F6" w:rsidP="00B556BC">
            <w:pPr>
              <w:jc w:val="center"/>
              <w:rPr>
                <w:b/>
                <w:color w:val="FFFFFF"/>
                <w:sz w:val="18"/>
                <w:szCs w:val="18"/>
              </w:rPr>
            </w:pPr>
            <w:r w:rsidRPr="00F034C7">
              <w:rPr>
                <w:b/>
                <w:bCs/>
                <w:color w:val="FFFFFF"/>
                <w:sz w:val="18"/>
                <w:szCs w:val="18"/>
              </w:rPr>
              <w:t>2018</w:t>
            </w:r>
          </w:p>
        </w:tc>
        <w:tc>
          <w:tcPr>
            <w:tcW w:w="559" w:type="dxa"/>
            <w:gridSpan w:val="2"/>
            <w:tcBorders>
              <w:top w:val="nil"/>
              <w:left w:val="nil"/>
              <w:bottom w:val="nil"/>
              <w:right w:val="nil"/>
            </w:tcBorders>
            <w:shd w:val="clear" w:color="000000" w:fill="13B5EA"/>
            <w:noWrap/>
            <w:vAlign w:val="center"/>
            <w:hideMark/>
          </w:tcPr>
          <w:p w14:paraId="6C3B03D1" w14:textId="0FDB626B" w:rsidR="00AD12F6" w:rsidRPr="00F034C7" w:rsidRDefault="00AD12F6" w:rsidP="00B556BC">
            <w:pPr>
              <w:jc w:val="center"/>
              <w:rPr>
                <w:b/>
                <w:color w:val="FFFFFF"/>
                <w:sz w:val="18"/>
                <w:szCs w:val="18"/>
              </w:rPr>
            </w:pPr>
            <w:r w:rsidRPr="00F034C7">
              <w:rPr>
                <w:b/>
                <w:bCs/>
                <w:color w:val="FFFFFF"/>
                <w:sz w:val="18"/>
                <w:szCs w:val="18"/>
              </w:rPr>
              <w:t>2019</w:t>
            </w:r>
          </w:p>
        </w:tc>
        <w:tc>
          <w:tcPr>
            <w:tcW w:w="559" w:type="dxa"/>
            <w:tcBorders>
              <w:top w:val="nil"/>
              <w:left w:val="nil"/>
              <w:bottom w:val="nil"/>
              <w:right w:val="nil"/>
            </w:tcBorders>
            <w:shd w:val="clear" w:color="000000" w:fill="13B5EA"/>
            <w:noWrap/>
            <w:vAlign w:val="center"/>
            <w:hideMark/>
          </w:tcPr>
          <w:p w14:paraId="2F0E5DD1" w14:textId="4031EFD5" w:rsidR="00AD12F6" w:rsidRPr="00F034C7" w:rsidRDefault="00AD12F6" w:rsidP="00B556BC">
            <w:pPr>
              <w:jc w:val="center"/>
              <w:rPr>
                <w:b/>
                <w:color w:val="FFFFFF"/>
                <w:sz w:val="18"/>
                <w:szCs w:val="18"/>
              </w:rPr>
            </w:pPr>
            <w:r w:rsidRPr="00F034C7">
              <w:rPr>
                <w:b/>
                <w:bCs/>
                <w:color w:val="FFFFFF"/>
                <w:sz w:val="18"/>
                <w:szCs w:val="18"/>
              </w:rPr>
              <w:t>2020</w:t>
            </w:r>
          </w:p>
        </w:tc>
        <w:tc>
          <w:tcPr>
            <w:tcW w:w="559" w:type="dxa"/>
            <w:tcBorders>
              <w:top w:val="nil"/>
              <w:left w:val="nil"/>
              <w:bottom w:val="nil"/>
              <w:right w:val="nil"/>
            </w:tcBorders>
            <w:shd w:val="clear" w:color="000000" w:fill="13B5EA"/>
            <w:noWrap/>
            <w:vAlign w:val="center"/>
            <w:hideMark/>
          </w:tcPr>
          <w:p w14:paraId="5531DC30" w14:textId="362463AC" w:rsidR="00AD12F6" w:rsidRPr="00F034C7" w:rsidRDefault="00AD12F6" w:rsidP="00B556BC">
            <w:pPr>
              <w:jc w:val="center"/>
              <w:rPr>
                <w:b/>
                <w:color w:val="FFFFFF"/>
                <w:sz w:val="18"/>
                <w:szCs w:val="18"/>
              </w:rPr>
            </w:pPr>
            <w:r w:rsidRPr="00F034C7">
              <w:rPr>
                <w:b/>
                <w:bCs/>
                <w:color w:val="FFFFFF"/>
                <w:sz w:val="18"/>
                <w:szCs w:val="18"/>
              </w:rPr>
              <w:t>2021</w:t>
            </w:r>
          </w:p>
        </w:tc>
        <w:tc>
          <w:tcPr>
            <w:tcW w:w="559" w:type="dxa"/>
            <w:tcBorders>
              <w:top w:val="nil"/>
              <w:left w:val="nil"/>
              <w:right w:val="nil"/>
            </w:tcBorders>
            <w:shd w:val="clear" w:color="000000" w:fill="13B5EA"/>
            <w:noWrap/>
            <w:vAlign w:val="center"/>
            <w:hideMark/>
          </w:tcPr>
          <w:p w14:paraId="74D8FF4A" w14:textId="6B4F3926" w:rsidR="00AD12F6" w:rsidRPr="00F034C7" w:rsidRDefault="00AD12F6" w:rsidP="00B556BC">
            <w:pPr>
              <w:jc w:val="center"/>
              <w:rPr>
                <w:b/>
                <w:color w:val="FFFFFF"/>
                <w:sz w:val="18"/>
                <w:szCs w:val="18"/>
              </w:rPr>
            </w:pPr>
            <w:r w:rsidRPr="00F034C7">
              <w:rPr>
                <w:b/>
                <w:bCs/>
                <w:color w:val="FFFFFF"/>
                <w:sz w:val="18"/>
                <w:szCs w:val="18"/>
              </w:rPr>
              <w:t>2022</w:t>
            </w:r>
          </w:p>
        </w:tc>
        <w:tc>
          <w:tcPr>
            <w:tcW w:w="559" w:type="dxa"/>
            <w:tcBorders>
              <w:top w:val="nil"/>
              <w:left w:val="nil"/>
              <w:right w:val="nil"/>
            </w:tcBorders>
            <w:shd w:val="clear" w:color="000000" w:fill="13B5EA"/>
            <w:vAlign w:val="center"/>
          </w:tcPr>
          <w:p w14:paraId="6799CC32" w14:textId="50AB3DE8" w:rsidR="00EC6E56" w:rsidRPr="00F034C7" w:rsidRDefault="00EC6E56" w:rsidP="00B556BC">
            <w:pPr>
              <w:jc w:val="center"/>
              <w:rPr>
                <w:b/>
                <w:bCs/>
                <w:color w:val="FFFFFF"/>
                <w:sz w:val="18"/>
                <w:szCs w:val="18"/>
              </w:rPr>
            </w:pPr>
            <w:r w:rsidRPr="00F034C7">
              <w:rPr>
                <w:b/>
                <w:bCs/>
                <w:color w:val="FFFFFF"/>
                <w:sz w:val="18"/>
                <w:szCs w:val="18"/>
              </w:rPr>
              <w:t>2023</w:t>
            </w:r>
          </w:p>
        </w:tc>
      </w:tr>
      <w:tr w:rsidR="008B5807" w:rsidRPr="00B81300" w14:paraId="488C09B4" w14:textId="40AAE9DD" w:rsidTr="00B556BC">
        <w:trPr>
          <w:trHeight w:hRule="exact" w:val="266"/>
        </w:trPr>
        <w:tc>
          <w:tcPr>
            <w:tcW w:w="2923" w:type="dxa"/>
            <w:tcBorders>
              <w:top w:val="nil"/>
              <w:left w:val="nil"/>
              <w:bottom w:val="nil"/>
              <w:right w:val="nil"/>
            </w:tcBorders>
            <w:shd w:val="clear" w:color="auto" w:fill="auto"/>
            <w:noWrap/>
            <w:vAlign w:val="center"/>
            <w:hideMark/>
          </w:tcPr>
          <w:p w14:paraId="3B2560FF" w14:textId="77777777" w:rsidR="008B5807" w:rsidRPr="00F034C7" w:rsidRDefault="008B5807" w:rsidP="008B5807">
            <w:pPr>
              <w:rPr>
                <w:b/>
                <w:color w:val="000000"/>
                <w:sz w:val="18"/>
                <w:szCs w:val="18"/>
              </w:rPr>
            </w:pPr>
            <w:r w:rsidRPr="00F034C7">
              <w:rPr>
                <w:b/>
                <w:color w:val="000000"/>
                <w:sz w:val="18"/>
                <w:szCs w:val="18"/>
              </w:rPr>
              <w:t>1. Hrubý dlh</w:t>
            </w:r>
          </w:p>
        </w:tc>
        <w:tc>
          <w:tcPr>
            <w:tcW w:w="559" w:type="dxa"/>
            <w:tcBorders>
              <w:top w:val="nil"/>
              <w:left w:val="nil"/>
              <w:bottom w:val="nil"/>
              <w:right w:val="nil"/>
            </w:tcBorders>
            <w:shd w:val="clear" w:color="auto" w:fill="auto"/>
            <w:noWrap/>
            <w:vAlign w:val="center"/>
            <w:hideMark/>
          </w:tcPr>
          <w:p w14:paraId="2406ED8E" w14:textId="5A741EF1" w:rsidR="008B5807" w:rsidRPr="00F034C7" w:rsidRDefault="00534B65" w:rsidP="008B5807">
            <w:pPr>
              <w:jc w:val="center"/>
              <w:rPr>
                <w:b/>
                <w:color w:val="000000"/>
                <w:sz w:val="18"/>
                <w:szCs w:val="18"/>
              </w:rPr>
            </w:pPr>
            <w:r w:rsidRPr="00F034C7">
              <w:rPr>
                <w:rFonts w:cs="Calibri"/>
                <w:b/>
                <w:bCs/>
                <w:color w:val="000000"/>
                <w:sz w:val="18"/>
                <w:szCs w:val="18"/>
              </w:rPr>
              <w:t>3,0</w:t>
            </w:r>
          </w:p>
        </w:tc>
        <w:tc>
          <w:tcPr>
            <w:tcW w:w="559" w:type="dxa"/>
            <w:tcBorders>
              <w:top w:val="nil"/>
              <w:left w:val="nil"/>
              <w:bottom w:val="nil"/>
              <w:right w:val="nil"/>
            </w:tcBorders>
            <w:shd w:val="clear" w:color="auto" w:fill="auto"/>
            <w:noWrap/>
            <w:vAlign w:val="center"/>
            <w:hideMark/>
          </w:tcPr>
          <w:p w14:paraId="38D42F09" w14:textId="3BD99DAA" w:rsidR="008B5807" w:rsidRPr="00F034C7" w:rsidRDefault="008B5807" w:rsidP="008B5807">
            <w:pPr>
              <w:jc w:val="center"/>
              <w:rPr>
                <w:b/>
                <w:color w:val="000000"/>
                <w:sz w:val="18"/>
                <w:szCs w:val="18"/>
              </w:rPr>
            </w:pPr>
            <w:r w:rsidRPr="00F034C7">
              <w:rPr>
                <w:rFonts w:cs="Calibri"/>
                <w:b/>
                <w:bCs/>
                <w:color w:val="000000"/>
                <w:sz w:val="18"/>
                <w:szCs w:val="18"/>
              </w:rPr>
              <w:t>-1,2</w:t>
            </w:r>
          </w:p>
        </w:tc>
        <w:tc>
          <w:tcPr>
            <w:tcW w:w="559" w:type="dxa"/>
            <w:tcBorders>
              <w:top w:val="nil"/>
              <w:left w:val="nil"/>
              <w:bottom w:val="nil"/>
              <w:right w:val="nil"/>
            </w:tcBorders>
            <w:vAlign w:val="center"/>
          </w:tcPr>
          <w:p w14:paraId="0AA193EA" w14:textId="33D3EB41" w:rsidR="008B5807" w:rsidRPr="00F034C7" w:rsidRDefault="008B5807" w:rsidP="008B5807">
            <w:pPr>
              <w:jc w:val="center"/>
              <w:rPr>
                <w:b/>
                <w:color w:val="000000"/>
                <w:sz w:val="18"/>
                <w:szCs w:val="18"/>
              </w:rPr>
            </w:pPr>
            <w:r w:rsidRPr="00F034C7">
              <w:rPr>
                <w:rFonts w:cs="Calibri"/>
                <w:b/>
                <w:bCs/>
                <w:color w:val="000000"/>
                <w:sz w:val="18"/>
                <w:szCs w:val="18"/>
              </w:rPr>
              <w:t>-1,</w:t>
            </w:r>
            <w:r w:rsidR="001F58B3" w:rsidRPr="00F034C7">
              <w:rPr>
                <w:rFonts w:cs="Calibri"/>
                <w:b/>
                <w:bCs/>
                <w:color w:val="000000"/>
                <w:sz w:val="18"/>
                <w:szCs w:val="18"/>
              </w:rPr>
              <w:t>6</w:t>
            </w:r>
          </w:p>
        </w:tc>
        <w:tc>
          <w:tcPr>
            <w:tcW w:w="559" w:type="dxa"/>
            <w:tcBorders>
              <w:top w:val="nil"/>
              <w:left w:val="nil"/>
              <w:bottom w:val="nil"/>
              <w:right w:val="nil"/>
            </w:tcBorders>
            <w:shd w:val="clear" w:color="auto" w:fill="auto"/>
            <w:noWrap/>
            <w:vAlign w:val="center"/>
            <w:hideMark/>
          </w:tcPr>
          <w:p w14:paraId="3F1D4CED" w14:textId="63F4DF13" w:rsidR="008B5807" w:rsidRPr="00F034C7" w:rsidRDefault="008B5807" w:rsidP="008B5807">
            <w:pPr>
              <w:jc w:val="center"/>
              <w:rPr>
                <w:b/>
                <w:color w:val="000000"/>
                <w:sz w:val="18"/>
                <w:szCs w:val="18"/>
              </w:rPr>
            </w:pPr>
            <w:r w:rsidRPr="00F034C7">
              <w:rPr>
                <w:rFonts w:cs="Calibri"/>
                <w:b/>
                <w:bCs/>
                <w:color w:val="000000"/>
                <w:sz w:val="18"/>
                <w:szCs w:val="18"/>
              </w:rPr>
              <w:t>0,</w:t>
            </w:r>
            <w:r w:rsidR="001F58B3" w:rsidRPr="00F034C7">
              <w:rPr>
                <w:rFonts w:cs="Calibri"/>
                <w:b/>
                <w:bCs/>
                <w:color w:val="000000"/>
                <w:sz w:val="18"/>
                <w:szCs w:val="18"/>
              </w:rPr>
              <w:t>1</w:t>
            </w:r>
          </w:p>
        </w:tc>
        <w:tc>
          <w:tcPr>
            <w:tcW w:w="559" w:type="dxa"/>
            <w:gridSpan w:val="2"/>
            <w:tcBorders>
              <w:top w:val="nil"/>
              <w:left w:val="nil"/>
              <w:bottom w:val="nil"/>
              <w:right w:val="nil"/>
            </w:tcBorders>
            <w:shd w:val="clear" w:color="auto" w:fill="auto"/>
            <w:noWrap/>
            <w:vAlign w:val="center"/>
            <w:hideMark/>
          </w:tcPr>
          <w:p w14:paraId="621D0613" w14:textId="441EBA2A" w:rsidR="008B5807" w:rsidRPr="00F034C7" w:rsidRDefault="008B5807" w:rsidP="008B5807">
            <w:pPr>
              <w:jc w:val="center"/>
              <w:rPr>
                <w:b/>
                <w:color w:val="000000"/>
                <w:sz w:val="18"/>
                <w:szCs w:val="18"/>
              </w:rPr>
            </w:pPr>
            <w:r w:rsidRPr="00F034C7">
              <w:rPr>
                <w:rFonts w:cs="Calibri"/>
                <w:b/>
                <w:bCs/>
                <w:color w:val="000000"/>
                <w:sz w:val="18"/>
                <w:szCs w:val="18"/>
              </w:rPr>
              <w:t>-0,</w:t>
            </w:r>
            <w:r w:rsidR="001F58B3" w:rsidRPr="00F034C7">
              <w:rPr>
                <w:rFonts w:cs="Calibri"/>
                <w:b/>
                <w:bCs/>
                <w:color w:val="000000"/>
                <w:sz w:val="18"/>
                <w:szCs w:val="18"/>
              </w:rPr>
              <w:t>7</w:t>
            </w:r>
          </w:p>
        </w:tc>
        <w:tc>
          <w:tcPr>
            <w:tcW w:w="559" w:type="dxa"/>
            <w:gridSpan w:val="2"/>
            <w:tcBorders>
              <w:top w:val="nil"/>
              <w:left w:val="nil"/>
              <w:bottom w:val="nil"/>
              <w:right w:val="nil"/>
            </w:tcBorders>
            <w:shd w:val="clear" w:color="auto" w:fill="auto"/>
            <w:noWrap/>
            <w:vAlign w:val="center"/>
            <w:hideMark/>
          </w:tcPr>
          <w:p w14:paraId="0E7EE8E9" w14:textId="60703A3D" w:rsidR="008B5807" w:rsidRPr="00F034C7" w:rsidRDefault="008B5807" w:rsidP="008B5807">
            <w:pPr>
              <w:jc w:val="center"/>
              <w:rPr>
                <w:b/>
                <w:color w:val="000000"/>
                <w:sz w:val="18"/>
                <w:szCs w:val="18"/>
              </w:rPr>
            </w:pPr>
            <w:r w:rsidRPr="00F034C7">
              <w:rPr>
                <w:rFonts w:cs="Calibri"/>
                <w:b/>
                <w:bCs/>
                <w:color w:val="000000"/>
                <w:sz w:val="18"/>
                <w:szCs w:val="18"/>
              </w:rPr>
              <w:t>-</w:t>
            </w:r>
            <w:r w:rsidR="00A9399D" w:rsidRPr="00F034C7">
              <w:rPr>
                <w:rFonts w:cs="Calibri"/>
                <w:b/>
                <w:bCs/>
                <w:color w:val="000000"/>
                <w:sz w:val="18"/>
                <w:szCs w:val="18"/>
              </w:rPr>
              <w:t>1,</w:t>
            </w:r>
            <w:r w:rsidR="002F49BE">
              <w:rPr>
                <w:rFonts w:cs="Calibri"/>
                <w:b/>
                <w:bCs/>
                <w:color w:val="000000"/>
                <w:sz w:val="18"/>
                <w:szCs w:val="18"/>
              </w:rPr>
              <w:t>8</w:t>
            </w:r>
          </w:p>
        </w:tc>
        <w:tc>
          <w:tcPr>
            <w:tcW w:w="559" w:type="dxa"/>
            <w:gridSpan w:val="2"/>
            <w:tcBorders>
              <w:top w:val="nil"/>
              <w:left w:val="nil"/>
              <w:bottom w:val="nil"/>
              <w:right w:val="nil"/>
            </w:tcBorders>
            <w:shd w:val="clear" w:color="auto" w:fill="auto"/>
            <w:noWrap/>
            <w:vAlign w:val="center"/>
            <w:hideMark/>
          </w:tcPr>
          <w:p w14:paraId="35B9FC9A" w14:textId="77FB70E9" w:rsidR="008B5807" w:rsidRPr="00F034C7" w:rsidRDefault="008B5807" w:rsidP="008B5807">
            <w:pPr>
              <w:jc w:val="center"/>
              <w:rPr>
                <w:b/>
                <w:color w:val="000000"/>
                <w:sz w:val="18"/>
                <w:szCs w:val="18"/>
              </w:rPr>
            </w:pPr>
            <w:r w:rsidRPr="00F034C7">
              <w:rPr>
                <w:rFonts w:cs="Calibri"/>
                <w:b/>
                <w:bCs/>
                <w:color w:val="000000"/>
                <w:sz w:val="18"/>
                <w:szCs w:val="18"/>
              </w:rPr>
              <w:t>-1,</w:t>
            </w:r>
            <w:r w:rsidR="00534B65" w:rsidRPr="00F034C7">
              <w:rPr>
                <w:rFonts w:cs="Calibri"/>
                <w:b/>
                <w:bCs/>
                <w:color w:val="000000"/>
                <w:sz w:val="18"/>
                <w:szCs w:val="18"/>
              </w:rPr>
              <w:t>5</w:t>
            </w:r>
          </w:p>
        </w:tc>
        <w:tc>
          <w:tcPr>
            <w:tcW w:w="559" w:type="dxa"/>
            <w:tcBorders>
              <w:top w:val="nil"/>
              <w:left w:val="nil"/>
              <w:bottom w:val="nil"/>
              <w:right w:val="nil"/>
            </w:tcBorders>
            <w:shd w:val="clear" w:color="auto" w:fill="auto"/>
            <w:noWrap/>
            <w:vAlign w:val="center"/>
            <w:hideMark/>
          </w:tcPr>
          <w:p w14:paraId="3B1C5E23" w14:textId="5C5AE25E" w:rsidR="008B5807" w:rsidRPr="00F034C7" w:rsidRDefault="00A9399D" w:rsidP="008B5807">
            <w:pPr>
              <w:jc w:val="center"/>
              <w:rPr>
                <w:b/>
                <w:color w:val="000000"/>
                <w:sz w:val="18"/>
                <w:szCs w:val="18"/>
              </w:rPr>
            </w:pPr>
            <w:r w:rsidRPr="00F034C7">
              <w:rPr>
                <w:rFonts w:cs="Calibri"/>
                <w:b/>
                <w:bCs/>
                <w:color w:val="000000"/>
                <w:sz w:val="18"/>
                <w:szCs w:val="18"/>
              </w:rPr>
              <w:t>14,</w:t>
            </w:r>
            <w:r w:rsidR="00534B65" w:rsidRPr="00F034C7">
              <w:rPr>
                <w:rFonts w:cs="Calibri"/>
                <w:b/>
                <w:bCs/>
                <w:color w:val="000000"/>
                <w:sz w:val="18"/>
                <w:szCs w:val="18"/>
              </w:rPr>
              <w:t>5</w:t>
            </w:r>
          </w:p>
        </w:tc>
        <w:tc>
          <w:tcPr>
            <w:tcW w:w="559" w:type="dxa"/>
            <w:tcBorders>
              <w:top w:val="nil"/>
              <w:left w:val="nil"/>
              <w:bottom w:val="nil"/>
              <w:right w:val="nil"/>
            </w:tcBorders>
            <w:shd w:val="clear" w:color="auto" w:fill="auto"/>
            <w:noWrap/>
            <w:vAlign w:val="center"/>
            <w:hideMark/>
          </w:tcPr>
          <w:p w14:paraId="4A54356A" w14:textId="5AAC1187" w:rsidR="008B5807" w:rsidRPr="00F034C7" w:rsidRDefault="008B5807" w:rsidP="008B5807">
            <w:pPr>
              <w:jc w:val="center"/>
              <w:rPr>
                <w:b/>
                <w:color w:val="000000"/>
                <w:sz w:val="18"/>
                <w:szCs w:val="18"/>
              </w:rPr>
            </w:pPr>
            <w:r w:rsidRPr="00F034C7">
              <w:rPr>
                <w:rFonts w:cs="Calibri"/>
                <w:b/>
                <w:bCs/>
                <w:color w:val="000000"/>
                <w:sz w:val="18"/>
                <w:szCs w:val="18"/>
              </w:rPr>
              <w:t>0</w:t>
            </w:r>
            <w:r w:rsidR="00A9399D" w:rsidRPr="00F034C7">
              <w:rPr>
                <w:rFonts w:cs="Calibri"/>
                <w:b/>
                <w:bCs/>
                <w:color w:val="000000"/>
                <w:sz w:val="18"/>
                <w:szCs w:val="18"/>
              </w:rPr>
              <w:t>,</w:t>
            </w:r>
            <w:r w:rsidR="00534B65" w:rsidRPr="00F034C7">
              <w:rPr>
                <w:rFonts w:cs="Calibri"/>
                <w:b/>
                <w:bCs/>
                <w:color w:val="000000"/>
                <w:sz w:val="18"/>
                <w:szCs w:val="18"/>
              </w:rPr>
              <w:t>8</w:t>
            </w:r>
          </w:p>
        </w:tc>
        <w:tc>
          <w:tcPr>
            <w:tcW w:w="559" w:type="dxa"/>
            <w:tcBorders>
              <w:top w:val="nil"/>
              <w:left w:val="nil"/>
              <w:bottom w:val="nil"/>
            </w:tcBorders>
            <w:shd w:val="clear" w:color="auto" w:fill="auto"/>
            <w:noWrap/>
            <w:vAlign w:val="center"/>
            <w:hideMark/>
          </w:tcPr>
          <w:p w14:paraId="1B91EF0A" w14:textId="16294974" w:rsidR="008B5807" w:rsidRPr="00F034C7" w:rsidRDefault="00A9399D" w:rsidP="008B5807">
            <w:pPr>
              <w:jc w:val="center"/>
              <w:rPr>
                <w:b/>
                <w:color w:val="000000"/>
                <w:sz w:val="18"/>
                <w:szCs w:val="18"/>
              </w:rPr>
            </w:pPr>
            <w:r w:rsidRPr="00F034C7">
              <w:rPr>
                <w:rFonts w:cs="Calibri"/>
                <w:b/>
                <w:bCs/>
                <w:color w:val="000000"/>
                <w:sz w:val="18"/>
                <w:szCs w:val="18"/>
              </w:rPr>
              <w:t>3,2</w:t>
            </w:r>
          </w:p>
        </w:tc>
        <w:tc>
          <w:tcPr>
            <w:tcW w:w="559" w:type="dxa"/>
            <w:tcBorders>
              <w:top w:val="nil"/>
              <w:left w:val="nil"/>
              <w:bottom w:val="nil"/>
            </w:tcBorders>
            <w:vAlign w:val="center"/>
          </w:tcPr>
          <w:p w14:paraId="508B9711" w14:textId="32D5B97F" w:rsidR="00A9399D" w:rsidRPr="00F034C7" w:rsidRDefault="00A9399D" w:rsidP="00A11D2F">
            <w:pPr>
              <w:jc w:val="center"/>
              <w:rPr>
                <w:rFonts w:cs="Calibri"/>
                <w:b/>
                <w:bCs/>
                <w:color w:val="000000"/>
                <w:sz w:val="18"/>
                <w:szCs w:val="18"/>
              </w:rPr>
            </w:pPr>
            <w:r w:rsidRPr="00F034C7">
              <w:rPr>
                <w:rFonts w:cs="Calibri"/>
                <w:b/>
                <w:bCs/>
                <w:color w:val="000000"/>
                <w:sz w:val="18"/>
                <w:szCs w:val="18"/>
              </w:rPr>
              <w:t>2,</w:t>
            </w:r>
            <w:r w:rsidR="00534B65" w:rsidRPr="00F034C7">
              <w:rPr>
                <w:rFonts w:cs="Calibri"/>
                <w:b/>
                <w:bCs/>
                <w:color w:val="000000"/>
                <w:sz w:val="18"/>
                <w:szCs w:val="18"/>
              </w:rPr>
              <w:t>7</w:t>
            </w:r>
          </w:p>
        </w:tc>
      </w:tr>
      <w:tr w:rsidR="008B5807" w:rsidRPr="00B81300" w14:paraId="70CD48A0" w14:textId="639D09D5" w:rsidTr="00B556BC">
        <w:trPr>
          <w:trHeight w:hRule="exact" w:val="266"/>
        </w:trPr>
        <w:tc>
          <w:tcPr>
            <w:tcW w:w="2923" w:type="dxa"/>
            <w:tcBorders>
              <w:top w:val="nil"/>
              <w:left w:val="nil"/>
              <w:bottom w:val="nil"/>
              <w:right w:val="nil"/>
            </w:tcBorders>
            <w:shd w:val="clear" w:color="auto" w:fill="auto"/>
            <w:noWrap/>
            <w:vAlign w:val="center"/>
            <w:hideMark/>
          </w:tcPr>
          <w:p w14:paraId="3F5D2BA3" w14:textId="77777777" w:rsidR="008B5807" w:rsidRPr="00F034C7" w:rsidRDefault="008B5807" w:rsidP="008B5807">
            <w:pPr>
              <w:rPr>
                <w:color w:val="000000"/>
                <w:sz w:val="18"/>
                <w:szCs w:val="18"/>
              </w:rPr>
            </w:pPr>
            <w:r w:rsidRPr="00F034C7">
              <w:rPr>
                <w:color w:val="000000"/>
                <w:sz w:val="18"/>
                <w:szCs w:val="18"/>
              </w:rPr>
              <w:t>2. Likvidné finančné aktíva</w:t>
            </w:r>
          </w:p>
        </w:tc>
        <w:tc>
          <w:tcPr>
            <w:tcW w:w="559" w:type="dxa"/>
            <w:tcBorders>
              <w:top w:val="nil"/>
              <w:left w:val="nil"/>
              <w:bottom w:val="nil"/>
              <w:right w:val="nil"/>
            </w:tcBorders>
            <w:shd w:val="clear" w:color="auto" w:fill="auto"/>
            <w:noWrap/>
            <w:vAlign w:val="center"/>
            <w:hideMark/>
          </w:tcPr>
          <w:p w14:paraId="745FDF9B" w14:textId="6760F114" w:rsidR="008B5807" w:rsidRPr="00F034C7" w:rsidRDefault="008B5807" w:rsidP="008B5807">
            <w:pPr>
              <w:jc w:val="center"/>
              <w:rPr>
                <w:color w:val="000000"/>
                <w:sz w:val="18"/>
                <w:szCs w:val="18"/>
              </w:rPr>
            </w:pPr>
            <w:r w:rsidRPr="00F034C7">
              <w:rPr>
                <w:rFonts w:cs="Calibri"/>
                <w:color w:val="000000"/>
                <w:sz w:val="18"/>
                <w:szCs w:val="18"/>
              </w:rPr>
              <w:t>0,</w:t>
            </w:r>
            <w:r w:rsidR="00E510D4" w:rsidRPr="00F034C7">
              <w:rPr>
                <w:rFonts w:cs="Calibri"/>
                <w:color w:val="000000"/>
                <w:sz w:val="18"/>
                <w:szCs w:val="18"/>
              </w:rPr>
              <w:t>2</w:t>
            </w:r>
          </w:p>
        </w:tc>
        <w:tc>
          <w:tcPr>
            <w:tcW w:w="559" w:type="dxa"/>
            <w:tcBorders>
              <w:top w:val="nil"/>
              <w:left w:val="nil"/>
              <w:bottom w:val="nil"/>
              <w:right w:val="nil"/>
            </w:tcBorders>
            <w:shd w:val="clear" w:color="auto" w:fill="auto"/>
            <w:noWrap/>
            <w:vAlign w:val="center"/>
            <w:hideMark/>
          </w:tcPr>
          <w:p w14:paraId="1D1243E2" w14:textId="7BFED2BE" w:rsidR="008B5807" w:rsidRPr="00F034C7" w:rsidRDefault="008B5807" w:rsidP="008B5807">
            <w:pPr>
              <w:jc w:val="center"/>
              <w:rPr>
                <w:color w:val="000000"/>
                <w:sz w:val="18"/>
                <w:szCs w:val="18"/>
              </w:rPr>
            </w:pPr>
            <w:r w:rsidRPr="00F034C7">
              <w:rPr>
                <w:rFonts w:cs="Calibri"/>
                <w:color w:val="000000"/>
                <w:sz w:val="18"/>
                <w:szCs w:val="18"/>
              </w:rPr>
              <w:t>-2,9</w:t>
            </w:r>
          </w:p>
        </w:tc>
        <w:tc>
          <w:tcPr>
            <w:tcW w:w="559" w:type="dxa"/>
            <w:tcBorders>
              <w:top w:val="nil"/>
              <w:left w:val="nil"/>
              <w:bottom w:val="nil"/>
              <w:right w:val="nil"/>
            </w:tcBorders>
            <w:vAlign w:val="center"/>
          </w:tcPr>
          <w:p w14:paraId="3DDFB073" w14:textId="29424374" w:rsidR="008B5807" w:rsidRPr="00F034C7" w:rsidRDefault="008B5807" w:rsidP="008B5807">
            <w:pPr>
              <w:jc w:val="center"/>
              <w:rPr>
                <w:color w:val="000000"/>
                <w:sz w:val="18"/>
                <w:szCs w:val="18"/>
              </w:rPr>
            </w:pPr>
            <w:r w:rsidRPr="00F034C7">
              <w:rPr>
                <w:rFonts w:cs="Calibri"/>
                <w:color w:val="000000"/>
                <w:sz w:val="18"/>
                <w:szCs w:val="18"/>
              </w:rPr>
              <w:t>0,</w:t>
            </w:r>
            <w:r w:rsidR="00F14745" w:rsidRPr="00F034C7">
              <w:rPr>
                <w:rFonts w:cs="Calibri"/>
                <w:color w:val="000000"/>
                <w:sz w:val="18"/>
                <w:szCs w:val="18"/>
              </w:rPr>
              <w:t>4</w:t>
            </w:r>
          </w:p>
        </w:tc>
        <w:tc>
          <w:tcPr>
            <w:tcW w:w="559" w:type="dxa"/>
            <w:tcBorders>
              <w:top w:val="nil"/>
              <w:left w:val="nil"/>
              <w:bottom w:val="nil"/>
              <w:right w:val="nil"/>
            </w:tcBorders>
            <w:shd w:val="clear" w:color="auto" w:fill="auto"/>
            <w:noWrap/>
            <w:vAlign w:val="center"/>
            <w:hideMark/>
          </w:tcPr>
          <w:p w14:paraId="60C2F144" w14:textId="2BA5224A" w:rsidR="008B5807" w:rsidRPr="00F034C7" w:rsidRDefault="008B5807" w:rsidP="008B5807">
            <w:pPr>
              <w:jc w:val="center"/>
              <w:rPr>
                <w:color w:val="000000"/>
                <w:sz w:val="18"/>
                <w:szCs w:val="18"/>
              </w:rPr>
            </w:pPr>
            <w:r w:rsidRPr="00F034C7">
              <w:rPr>
                <w:rFonts w:cs="Calibri"/>
                <w:color w:val="000000"/>
                <w:sz w:val="18"/>
                <w:szCs w:val="18"/>
              </w:rPr>
              <w:t>0,7</w:t>
            </w:r>
          </w:p>
        </w:tc>
        <w:tc>
          <w:tcPr>
            <w:tcW w:w="559" w:type="dxa"/>
            <w:gridSpan w:val="2"/>
            <w:tcBorders>
              <w:top w:val="nil"/>
              <w:left w:val="nil"/>
              <w:bottom w:val="nil"/>
              <w:right w:val="nil"/>
            </w:tcBorders>
            <w:shd w:val="clear" w:color="auto" w:fill="auto"/>
            <w:noWrap/>
            <w:vAlign w:val="center"/>
            <w:hideMark/>
          </w:tcPr>
          <w:p w14:paraId="31AEB870" w14:textId="0A5C8DFD" w:rsidR="008B5807" w:rsidRPr="00F034C7" w:rsidRDefault="008B5807" w:rsidP="008B5807">
            <w:pPr>
              <w:jc w:val="center"/>
              <w:rPr>
                <w:color w:val="000000"/>
                <w:sz w:val="18"/>
                <w:szCs w:val="18"/>
              </w:rPr>
            </w:pPr>
            <w:r w:rsidRPr="00F034C7">
              <w:rPr>
                <w:rFonts w:cs="Calibri"/>
                <w:color w:val="000000"/>
                <w:sz w:val="18"/>
                <w:szCs w:val="18"/>
              </w:rPr>
              <w:t>0,5</w:t>
            </w:r>
          </w:p>
        </w:tc>
        <w:tc>
          <w:tcPr>
            <w:tcW w:w="559" w:type="dxa"/>
            <w:gridSpan w:val="2"/>
            <w:tcBorders>
              <w:top w:val="nil"/>
              <w:left w:val="nil"/>
              <w:bottom w:val="nil"/>
              <w:right w:val="nil"/>
            </w:tcBorders>
            <w:shd w:val="clear" w:color="auto" w:fill="auto"/>
            <w:noWrap/>
            <w:vAlign w:val="center"/>
            <w:hideMark/>
          </w:tcPr>
          <w:p w14:paraId="16E66866" w14:textId="2C64C50C" w:rsidR="008B5807" w:rsidRPr="00F034C7" w:rsidRDefault="008B5807" w:rsidP="008B5807">
            <w:pPr>
              <w:jc w:val="center"/>
              <w:rPr>
                <w:color w:val="000000"/>
                <w:sz w:val="18"/>
                <w:szCs w:val="18"/>
              </w:rPr>
            </w:pPr>
            <w:r w:rsidRPr="00F034C7">
              <w:rPr>
                <w:rFonts w:cs="Calibri"/>
                <w:color w:val="000000"/>
                <w:sz w:val="18"/>
                <w:szCs w:val="18"/>
              </w:rPr>
              <w:t>0,3</w:t>
            </w:r>
          </w:p>
        </w:tc>
        <w:tc>
          <w:tcPr>
            <w:tcW w:w="559" w:type="dxa"/>
            <w:gridSpan w:val="2"/>
            <w:tcBorders>
              <w:top w:val="nil"/>
              <w:left w:val="nil"/>
              <w:bottom w:val="nil"/>
              <w:right w:val="nil"/>
            </w:tcBorders>
            <w:shd w:val="clear" w:color="auto" w:fill="auto"/>
            <w:noWrap/>
            <w:vAlign w:val="center"/>
            <w:hideMark/>
          </w:tcPr>
          <w:p w14:paraId="203FBE04" w14:textId="6CD94CB7" w:rsidR="008B5807" w:rsidRPr="00F034C7" w:rsidRDefault="00F14745" w:rsidP="008B5807">
            <w:pPr>
              <w:jc w:val="center"/>
              <w:rPr>
                <w:color w:val="000000"/>
                <w:sz w:val="18"/>
                <w:szCs w:val="18"/>
              </w:rPr>
            </w:pPr>
            <w:r w:rsidRPr="00F034C7">
              <w:rPr>
                <w:rFonts w:cs="Calibri"/>
                <w:color w:val="000000"/>
                <w:sz w:val="18"/>
                <w:szCs w:val="18"/>
              </w:rPr>
              <w:t>-1,2</w:t>
            </w:r>
          </w:p>
        </w:tc>
        <w:tc>
          <w:tcPr>
            <w:tcW w:w="559" w:type="dxa"/>
            <w:tcBorders>
              <w:top w:val="nil"/>
              <w:left w:val="nil"/>
              <w:bottom w:val="nil"/>
              <w:right w:val="nil"/>
            </w:tcBorders>
            <w:shd w:val="clear" w:color="auto" w:fill="auto"/>
            <w:noWrap/>
            <w:vAlign w:val="center"/>
            <w:hideMark/>
          </w:tcPr>
          <w:p w14:paraId="48695254" w14:textId="14F51F0E" w:rsidR="008B5807" w:rsidRPr="00F034C7" w:rsidRDefault="00630C41" w:rsidP="008B5807">
            <w:pPr>
              <w:jc w:val="center"/>
              <w:rPr>
                <w:color w:val="000000"/>
                <w:sz w:val="18"/>
                <w:szCs w:val="18"/>
              </w:rPr>
            </w:pPr>
            <w:r w:rsidRPr="00F034C7">
              <w:rPr>
                <w:rFonts w:cs="Calibri"/>
                <w:color w:val="000000"/>
                <w:sz w:val="18"/>
                <w:szCs w:val="18"/>
              </w:rPr>
              <w:t>2,3</w:t>
            </w:r>
          </w:p>
        </w:tc>
        <w:tc>
          <w:tcPr>
            <w:tcW w:w="559" w:type="dxa"/>
            <w:tcBorders>
              <w:top w:val="nil"/>
              <w:left w:val="nil"/>
              <w:bottom w:val="nil"/>
              <w:right w:val="nil"/>
            </w:tcBorders>
            <w:shd w:val="clear" w:color="auto" w:fill="auto"/>
            <w:noWrap/>
            <w:vAlign w:val="center"/>
            <w:hideMark/>
          </w:tcPr>
          <w:p w14:paraId="0B88472C" w14:textId="0EFD091E" w:rsidR="008B5807" w:rsidRPr="00F034C7" w:rsidRDefault="00630C41" w:rsidP="008B5807">
            <w:pPr>
              <w:jc w:val="center"/>
              <w:rPr>
                <w:color w:val="000000"/>
                <w:sz w:val="18"/>
                <w:szCs w:val="18"/>
              </w:rPr>
            </w:pPr>
            <w:r w:rsidRPr="00F034C7">
              <w:rPr>
                <w:rFonts w:cs="Calibri"/>
                <w:color w:val="000000"/>
                <w:sz w:val="18"/>
                <w:szCs w:val="18"/>
              </w:rPr>
              <w:t>-1,9</w:t>
            </w:r>
          </w:p>
        </w:tc>
        <w:tc>
          <w:tcPr>
            <w:tcW w:w="559" w:type="dxa"/>
            <w:tcBorders>
              <w:top w:val="nil"/>
              <w:left w:val="nil"/>
              <w:bottom w:val="nil"/>
            </w:tcBorders>
            <w:shd w:val="clear" w:color="auto" w:fill="auto"/>
            <w:noWrap/>
            <w:vAlign w:val="center"/>
            <w:hideMark/>
          </w:tcPr>
          <w:p w14:paraId="061F109F" w14:textId="040DB7AD" w:rsidR="008B5807" w:rsidRPr="00F034C7" w:rsidRDefault="00630C41" w:rsidP="008B5807">
            <w:pPr>
              <w:jc w:val="center"/>
              <w:rPr>
                <w:color w:val="000000"/>
                <w:sz w:val="18"/>
                <w:szCs w:val="18"/>
              </w:rPr>
            </w:pPr>
            <w:r w:rsidRPr="00F034C7">
              <w:rPr>
                <w:rFonts w:cs="Calibri"/>
                <w:color w:val="000000"/>
                <w:sz w:val="18"/>
                <w:szCs w:val="18"/>
              </w:rPr>
              <w:t>-1,2</w:t>
            </w:r>
          </w:p>
        </w:tc>
        <w:tc>
          <w:tcPr>
            <w:tcW w:w="559" w:type="dxa"/>
            <w:tcBorders>
              <w:top w:val="nil"/>
              <w:left w:val="nil"/>
              <w:bottom w:val="nil"/>
            </w:tcBorders>
            <w:vAlign w:val="center"/>
          </w:tcPr>
          <w:p w14:paraId="7771107E" w14:textId="76636FA1" w:rsidR="00630C41" w:rsidRPr="00F034C7" w:rsidRDefault="00630C41" w:rsidP="00A11D2F">
            <w:pPr>
              <w:jc w:val="center"/>
              <w:rPr>
                <w:rFonts w:cs="Calibri"/>
                <w:color w:val="000000"/>
                <w:sz w:val="18"/>
                <w:szCs w:val="18"/>
              </w:rPr>
            </w:pPr>
            <w:r w:rsidRPr="00F034C7">
              <w:rPr>
                <w:rFonts w:cs="Calibri"/>
                <w:color w:val="000000"/>
                <w:sz w:val="18"/>
                <w:szCs w:val="18"/>
              </w:rPr>
              <w:t>-1,2</w:t>
            </w:r>
          </w:p>
        </w:tc>
      </w:tr>
      <w:tr w:rsidR="008B5807" w:rsidRPr="00B81300" w14:paraId="00F4ABAC" w14:textId="5BC37A0B" w:rsidTr="00B556BC">
        <w:trPr>
          <w:trHeight w:hRule="exact" w:val="266"/>
        </w:trPr>
        <w:tc>
          <w:tcPr>
            <w:tcW w:w="2923" w:type="dxa"/>
            <w:tcBorders>
              <w:top w:val="nil"/>
              <w:left w:val="nil"/>
              <w:bottom w:val="nil"/>
              <w:right w:val="nil"/>
            </w:tcBorders>
            <w:shd w:val="clear" w:color="auto" w:fill="auto"/>
            <w:noWrap/>
            <w:vAlign w:val="center"/>
            <w:hideMark/>
          </w:tcPr>
          <w:p w14:paraId="0E680A0E" w14:textId="77777777" w:rsidR="008B5807" w:rsidRPr="00F034C7" w:rsidRDefault="008B5807" w:rsidP="008B5807">
            <w:pPr>
              <w:rPr>
                <w:b/>
                <w:color w:val="000000"/>
                <w:sz w:val="18"/>
                <w:szCs w:val="18"/>
              </w:rPr>
            </w:pPr>
            <w:r w:rsidRPr="00F034C7">
              <w:rPr>
                <w:b/>
                <w:color w:val="000000"/>
                <w:sz w:val="18"/>
                <w:szCs w:val="18"/>
              </w:rPr>
              <w:t>3. Čistý dlh (1-2)</w:t>
            </w:r>
          </w:p>
        </w:tc>
        <w:tc>
          <w:tcPr>
            <w:tcW w:w="559" w:type="dxa"/>
            <w:tcBorders>
              <w:top w:val="nil"/>
              <w:left w:val="nil"/>
              <w:bottom w:val="nil"/>
              <w:right w:val="nil"/>
            </w:tcBorders>
            <w:shd w:val="clear" w:color="auto" w:fill="auto"/>
            <w:noWrap/>
            <w:vAlign w:val="center"/>
            <w:hideMark/>
          </w:tcPr>
          <w:p w14:paraId="48566C2A" w14:textId="4C772727" w:rsidR="008B5807" w:rsidRPr="00F034C7" w:rsidRDefault="008B5807" w:rsidP="008B5807">
            <w:pPr>
              <w:jc w:val="center"/>
              <w:rPr>
                <w:b/>
                <w:color w:val="000000"/>
                <w:sz w:val="18"/>
                <w:szCs w:val="18"/>
              </w:rPr>
            </w:pPr>
            <w:r w:rsidRPr="00F034C7">
              <w:rPr>
                <w:rFonts w:cs="Calibri"/>
                <w:b/>
                <w:bCs/>
                <w:color w:val="000000"/>
                <w:sz w:val="18"/>
                <w:szCs w:val="18"/>
              </w:rPr>
              <w:t>2,</w:t>
            </w:r>
            <w:r w:rsidR="002F49BE">
              <w:rPr>
                <w:rFonts w:cs="Calibri"/>
                <w:b/>
                <w:bCs/>
                <w:color w:val="000000"/>
                <w:sz w:val="18"/>
                <w:szCs w:val="18"/>
              </w:rPr>
              <w:t>7</w:t>
            </w:r>
          </w:p>
        </w:tc>
        <w:tc>
          <w:tcPr>
            <w:tcW w:w="559" w:type="dxa"/>
            <w:tcBorders>
              <w:top w:val="nil"/>
              <w:left w:val="nil"/>
              <w:bottom w:val="nil"/>
              <w:right w:val="nil"/>
            </w:tcBorders>
            <w:shd w:val="clear" w:color="auto" w:fill="auto"/>
            <w:noWrap/>
            <w:vAlign w:val="center"/>
            <w:hideMark/>
          </w:tcPr>
          <w:p w14:paraId="36806020" w14:textId="2F15D929" w:rsidR="008B5807" w:rsidRPr="00F034C7" w:rsidRDefault="008B5807" w:rsidP="008B5807">
            <w:pPr>
              <w:jc w:val="center"/>
              <w:rPr>
                <w:b/>
                <w:color w:val="000000"/>
                <w:sz w:val="18"/>
                <w:szCs w:val="18"/>
              </w:rPr>
            </w:pPr>
            <w:r w:rsidRPr="00F034C7">
              <w:rPr>
                <w:rFonts w:cs="Calibri"/>
                <w:b/>
                <w:bCs/>
                <w:color w:val="000000"/>
                <w:sz w:val="18"/>
                <w:szCs w:val="18"/>
              </w:rPr>
              <w:t>1,7</w:t>
            </w:r>
          </w:p>
        </w:tc>
        <w:tc>
          <w:tcPr>
            <w:tcW w:w="559" w:type="dxa"/>
            <w:tcBorders>
              <w:top w:val="nil"/>
              <w:left w:val="nil"/>
              <w:bottom w:val="nil"/>
              <w:right w:val="nil"/>
            </w:tcBorders>
            <w:vAlign w:val="center"/>
          </w:tcPr>
          <w:p w14:paraId="0A06C62E" w14:textId="3FB5CC49" w:rsidR="008B5807" w:rsidRPr="00F034C7" w:rsidRDefault="008B5807" w:rsidP="008B5807">
            <w:pPr>
              <w:jc w:val="center"/>
              <w:rPr>
                <w:b/>
                <w:color w:val="000000"/>
                <w:sz w:val="18"/>
                <w:szCs w:val="18"/>
              </w:rPr>
            </w:pPr>
            <w:r w:rsidRPr="00F034C7">
              <w:rPr>
                <w:rFonts w:cs="Calibri"/>
                <w:b/>
                <w:bCs/>
                <w:color w:val="000000"/>
                <w:sz w:val="18"/>
                <w:szCs w:val="18"/>
              </w:rPr>
              <w:t>-2,0</w:t>
            </w:r>
          </w:p>
        </w:tc>
        <w:tc>
          <w:tcPr>
            <w:tcW w:w="559" w:type="dxa"/>
            <w:tcBorders>
              <w:top w:val="nil"/>
              <w:left w:val="nil"/>
              <w:bottom w:val="nil"/>
              <w:right w:val="nil"/>
            </w:tcBorders>
            <w:shd w:val="clear" w:color="auto" w:fill="auto"/>
            <w:noWrap/>
            <w:vAlign w:val="center"/>
            <w:hideMark/>
          </w:tcPr>
          <w:p w14:paraId="75F46F6F" w14:textId="19A44043" w:rsidR="008B5807" w:rsidRPr="00F034C7" w:rsidRDefault="008B5807" w:rsidP="008B5807">
            <w:pPr>
              <w:jc w:val="center"/>
              <w:rPr>
                <w:b/>
                <w:color w:val="000000"/>
                <w:sz w:val="18"/>
                <w:szCs w:val="18"/>
              </w:rPr>
            </w:pPr>
            <w:r w:rsidRPr="00F034C7">
              <w:rPr>
                <w:rFonts w:cs="Calibri"/>
                <w:b/>
                <w:bCs/>
                <w:color w:val="000000"/>
                <w:sz w:val="18"/>
                <w:szCs w:val="18"/>
              </w:rPr>
              <w:t>-</w:t>
            </w:r>
            <w:r w:rsidR="00280AC0" w:rsidRPr="00F034C7">
              <w:rPr>
                <w:rFonts w:cs="Calibri"/>
                <w:b/>
                <w:bCs/>
                <w:color w:val="000000"/>
                <w:sz w:val="18"/>
                <w:szCs w:val="18"/>
              </w:rPr>
              <w:t>0,6</w:t>
            </w:r>
          </w:p>
        </w:tc>
        <w:tc>
          <w:tcPr>
            <w:tcW w:w="559" w:type="dxa"/>
            <w:gridSpan w:val="2"/>
            <w:tcBorders>
              <w:top w:val="nil"/>
              <w:left w:val="nil"/>
              <w:bottom w:val="nil"/>
              <w:right w:val="nil"/>
            </w:tcBorders>
            <w:shd w:val="clear" w:color="auto" w:fill="auto"/>
            <w:noWrap/>
            <w:vAlign w:val="center"/>
            <w:hideMark/>
          </w:tcPr>
          <w:p w14:paraId="3D63DDED" w14:textId="1900A413" w:rsidR="008B5807" w:rsidRPr="00F034C7" w:rsidRDefault="008B5807" w:rsidP="008B5807">
            <w:pPr>
              <w:jc w:val="center"/>
              <w:rPr>
                <w:b/>
                <w:color w:val="000000"/>
                <w:sz w:val="18"/>
                <w:szCs w:val="18"/>
              </w:rPr>
            </w:pPr>
            <w:r w:rsidRPr="00F034C7">
              <w:rPr>
                <w:rFonts w:cs="Calibri"/>
                <w:b/>
                <w:bCs/>
                <w:color w:val="000000"/>
                <w:sz w:val="18"/>
                <w:szCs w:val="18"/>
              </w:rPr>
              <w:t>-1,</w:t>
            </w:r>
            <w:r w:rsidR="000A042E" w:rsidRPr="00F034C7">
              <w:rPr>
                <w:rFonts w:cs="Calibri"/>
                <w:b/>
                <w:bCs/>
                <w:color w:val="000000"/>
                <w:sz w:val="18"/>
                <w:szCs w:val="18"/>
              </w:rPr>
              <w:t>2</w:t>
            </w:r>
          </w:p>
        </w:tc>
        <w:tc>
          <w:tcPr>
            <w:tcW w:w="559" w:type="dxa"/>
            <w:gridSpan w:val="2"/>
            <w:tcBorders>
              <w:top w:val="nil"/>
              <w:left w:val="nil"/>
              <w:bottom w:val="nil"/>
              <w:right w:val="nil"/>
            </w:tcBorders>
            <w:shd w:val="clear" w:color="auto" w:fill="auto"/>
            <w:noWrap/>
            <w:vAlign w:val="center"/>
            <w:hideMark/>
          </w:tcPr>
          <w:p w14:paraId="3B459674" w14:textId="79591A24" w:rsidR="008B5807" w:rsidRPr="00F034C7" w:rsidRDefault="008B5807" w:rsidP="008B5807">
            <w:pPr>
              <w:jc w:val="center"/>
              <w:rPr>
                <w:b/>
                <w:color w:val="000000"/>
                <w:sz w:val="18"/>
                <w:szCs w:val="18"/>
              </w:rPr>
            </w:pPr>
            <w:r w:rsidRPr="00F034C7">
              <w:rPr>
                <w:rFonts w:cs="Calibri"/>
                <w:b/>
                <w:bCs/>
                <w:color w:val="000000"/>
                <w:sz w:val="18"/>
                <w:szCs w:val="18"/>
              </w:rPr>
              <w:t>-2,</w:t>
            </w:r>
            <w:r w:rsidR="00197456" w:rsidRPr="00F034C7">
              <w:rPr>
                <w:rFonts w:cs="Calibri"/>
                <w:b/>
                <w:bCs/>
                <w:color w:val="000000"/>
                <w:sz w:val="18"/>
                <w:szCs w:val="18"/>
              </w:rPr>
              <w:t>2</w:t>
            </w:r>
          </w:p>
        </w:tc>
        <w:tc>
          <w:tcPr>
            <w:tcW w:w="559" w:type="dxa"/>
            <w:gridSpan w:val="2"/>
            <w:tcBorders>
              <w:top w:val="nil"/>
              <w:left w:val="nil"/>
              <w:bottom w:val="nil"/>
              <w:right w:val="nil"/>
            </w:tcBorders>
            <w:shd w:val="clear" w:color="auto" w:fill="auto"/>
            <w:noWrap/>
            <w:vAlign w:val="center"/>
            <w:hideMark/>
          </w:tcPr>
          <w:p w14:paraId="77A9B34F" w14:textId="4C39FE79" w:rsidR="008B5807" w:rsidRPr="00F034C7" w:rsidRDefault="008B5807" w:rsidP="008B5807">
            <w:pPr>
              <w:jc w:val="center"/>
              <w:rPr>
                <w:b/>
                <w:color w:val="000000"/>
                <w:sz w:val="18"/>
                <w:szCs w:val="18"/>
              </w:rPr>
            </w:pPr>
            <w:r w:rsidRPr="00F034C7">
              <w:rPr>
                <w:rFonts w:cs="Calibri"/>
                <w:b/>
                <w:bCs/>
                <w:color w:val="000000"/>
                <w:sz w:val="18"/>
                <w:szCs w:val="18"/>
              </w:rPr>
              <w:t>-</w:t>
            </w:r>
            <w:r w:rsidR="00534B65" w:rsidRPr="00F034C7">
              <w:rPr>
                <w:rFonts w:cs="Calibri"/>
                <w:b/>
                <w:bCs/>
                <w:color w:val="000000"/>
                <w:sz w:val="18"/>
                <w:szCs w:val="18"/>
              </w:rPr>
              <w:t>0,3</w:t>
            </w:r>
          </w:p>
        </w:tc>
        <w:tc>
          <w:tcPr>
            <w:tcW w:w="559" w:type="dxa"/>
            <w:tcBorders>
              <w:top w:val="nil"/>
              <w:left w:val="nil"/>
              <w:bottom w:val="nil"/>
              <w:right w:val="nil"/>
            </w:tcBorders>
            <w:shd w:val="clear" w:color="auto" w:fill="auto"/>
            <w:noWrap/>
            <w:vAlign w:val="center"/>
            <w:hideMark/>
          </w:tcPr>
          <w:p w14:paraId="4450CF5E" w14:textId="321D2B7E" w:rsidR="008B5807" w:rsidRPr="00F034C7" w:rsidRDefault="001B0C20" w:rsidP="008B5807">
            <w:pPr>
              <w:jc w:val="center"/>
              <w:rPr>
                <w:b/>
                <w:color w:val="000000"/>
                <w:sz w:val="18"/>
                <w:szCs w:val="18"/>
              </w:rPr>
            </w:pPr>
            <w:r w:rsidRPr="00F034C7">
              <w:rPr>
                <w:rFonts w:cs="Calibri"/>
                <w:b/>
                <w:bCs/>
                <w:color w:val="000000"/>
                <w:sz w:val="18"/>
                <w:szCs w:val="18"/>
              </w:rPr>
              <w:t>12,2</w:t>
            </w:r>
          </w:p>
        </w:tc>
        <w:tc>
          <w:tcPr>
            <w:tcW w:w="559" w:type="dxa"/>
            <w:tcBorders>
              <w:top w:val="nil"/>
              <w:left w:val="nil"/>
              <w:bottom w:val="nil"/>
              <w:right w:val="nil"/>
            </w:tcBorders>
            <w:shd w:val="clear" w:color="auto" w:fill="auto"/>
            <w:noWrap/>
            <w:vAlign w:val="center"/>
            <w:hideMark/>
          </w:tcPr>
          <w:p w14:paraId="6B3011C0" w14:textId="6B179D46" w:rsidR="008B5807" w:rsidRPr="00F034C7" w:rsidRDefault="008B5807" w:rsidP="008B5807">
            <w:pPr>
              <w:jc w:val="center"/>
              <w:rPr>
                <w:b/>
                <w:color w:val="000000"/>
                <w:sz w:val="18"/>
                <w:szCs w:val="18"/>
              </w:rPr>
            </w:pPr>
            <w:r w:rsidRPr="00F034C7">
              <w:rPr>
                <w:rFonts w:cs="Calibri"/>
                <w:b/>
                <w:bCs/>
                <w:color w:val="000000"/>
                <w:sz w:val="18"/>
                <w:szCs w:val="18"/>
              </w:rPr>
              <w:t>2</w:t>
            </w:r>
            <w:r w:rsidR="001B0C20" w:rsidRPr="00F034C7">
              <w:rPr>
                <w:rFonts w:cs="Calibri"/>
                <w:b/>
                <w:bCs/>
                <w:color w:val="000000"/>
                <w:sz w:val="18"/>
                <w:szCs w:val="18"/>
              </w:rPr>
              <w:t>,7</w:t>
            </w:r>
          </w:p>
        </w:tc>
        <w:tc>
          <w:tcPr>
            <w:tcW w:w="559" w:type="dxa"/>
            <w:tcBorders>
              <w:top w:val="nil"/>
              <w:left w:val="nil"/>
              <w:bottom w:val="nil"/>
            </w:tcBorders>
            <w:shd w:val="clear" w:color="auto" w:fill="auto"/>
            <w:noWrap/>
            <w:vAlign w:val="center"/>
            <w:hideMark/>
          </w:tcPr>
          <w:p w14:paraId="2E25F354" w14:textId="14BBEBA2" w:rsidR="008B5807" w:rsidRPr="00F034C7" w:rsidRDefault="001B0C20" w:rsidP="008B5807">
            <w:pPr>
              <w:jc w:val="center"/>
              <w:rPr>
                <w:b/>
                <w:color w:val="000000"/>
                <w:sz w:val="18"/>
                <w:szCs w:val="18"/>
              </w:rPr>
            </w:pPr>
            <w:r w:rsidRPr="00F034C7">
              <w:rPr>
                <w:rFonts w:cs="Calibri"/>
                <w:b/>
                <w:bCs/>
                <w:color w:val="000000"/>
                <w:sz w:val="18"/>
                <w:szCs w:val="18"/>
              </w:rPr>
              <w:t>4,4</w:t>
            </w:r>
          </w:p>
        </w:tc>
        <w:tc>
          <w:tcPr>
            <w:tcW w:w="559" w:type="dxa"/>
            <w:tcBorders>
              <w:top w:val="nil"/>
              <w:left w:val="nil"/>
              <w:bottom w:val="nil"/>
            </w:tcBorders>
            <w:vAlign w:val="center"/>
          </w:tcPr>
          <w:p w14:paraId="33EDD8A1" w14:textId="3B2757D3" w:rsidR="001B0C20" w:rsidRPr="00F034C7" w:rsidRDefault="001B0C20" w:rsidP="00A11D2F">
            <w:pPr>
              <w:jc w:val="center"/>
              <w:rPr>
                <w:rFonts w:cs="Calibri"/>
                <w:b/>
                <w:bCs/>
                <w:color w:val="000000"/>
                <w:sz w:val="18"/>
                <w:szCs w:val="18"/>
              </w:rPr>
            </w:pPr>
            <w:r w:rsidRPr="00F034C7">
              <w:rPr>
                <w:rFonts w:cs="Calibri"/>
                <w:b/>
                <w:bCs/>
                <w:color w:val="000000"/>
                <w:sz w:val="18"/>
                <w:szCs w:val="18"/>
              </w:rPr>
              <w:t>3,9</w:t>
            </w:r>
          </w:p>
        </w:tc>
      </w:tr>
      <w:tr w:rsidR="008B5807" w:rsidRPr="00B81300" w14:paraId="645A1C22" w14:textId="7CDBD488" w:rsidTr="00B556BC">
        <w:trPr>
          <w:trHeight w:hRule="exact" w:val="470"/>
        </w:trPr>
        <w:tc>
          <w:tcPr>
            <w:tcW w:w="2923" w:type="dxa"/>
            <w:tcBorders>
              <w:top w:val="nil"/>
              <w:left w:val="nil"/>
              <w:bottom w:val="nil"/>
              <w:right w:val="nil"/>
            </w:tcBorders>
            <w:shd w:val="clear" w:color="auto" w:fill="auto"/>
            <w:noWrap/>
            <w:vAlign w:val="center"/>
            <w:hideMark/>
          </w:tcPr>
          <w:p w14:paraId="456A83E8" w14:textId="77777777" w:rsidR="008B5807" w:rsidRPr="00F034C7" w:rsidRDefault="008B5807" w:rsidP="008B5807">
            <w:pPr>
              <w:rPr>
                <w:color w:val="000000"/>
                <w:sz w:val="18"/>
                <w:szCs w:val="18"/>
              </w:rPr>
            </w:pPr>
            <w:r w:rsidRPr="00F034C7">
              <w:rPr>
                <w:color w:val="000000"/>
                <w:sz w:val="18"/>
                <w:szCs w:val="18"/>
              </w:rPr>
              <w:t>4. Hotovosť neovplyvňujúca čisté bohatstvo</w:t>
            </w:r>
          </w:p>
        </w:tc>
        <w:tc>
          <w:tcPr>
            <w:tcW w:w="559" w:type="dxa"/>
            <w:tcBorders>
              <w:top w:val="nil"/>
              <w:left w:val="nil"/>
              <w:bottom w:val="nil"/>
              <w:right w:val="nil"/>
            </w:tcBorders>
            <w:shd w:val="clear" w:color="auto" w:fill="auto"/>
            <w:noWrap/>
            <w:vAlign w:val="center"/>
            <w:hideMark/>
          </w:tcPr>
          <w:p w14:paraId="22532B62" w14:textId="1F8CC57D" w:rsidR="008B5807" w:rsidRPr="00F034C7" w:rsidRDefault="008B5807" w:rsidP="008B5807">
            <w:pPr>
              <w:jc w:val="center"/>
              <w:rPr>
                <w:color w:val="000000"/>
                <w:sz w:val="18"/>
                <w:szCs w:val="18"/>
              </w:rPr>
            </w:pPr>
            <w:r w:rsidRPr="00F034C7">
              <w:rPr>
                <w:rFonts w:cs="Calibri"/>
                <w:color w:val="000000"/>
                <w:sz w:val="18"/>
                <w:szCs w:val="18"/>
              </w:rPr>
              <w:t>-0,9</w:t>
            </w:r>
          </w:p>
        </w:tc>
        <w:tc>
          <w:tcPr>
            <w:tcW w:w="559" w:type="dxa"/>
            <w:tcBorders>
              <w:top w:val="nil"/>
              <w:left w:val="nil"/>
              <w:bottom w:val="nil"/>
              <w:right w:val="nil"/>
            </w:tcBorders>
            <w:shd w:val="clear" w:color="auto" w:fill="auto"/>
            <w:noWrap/>
            <w:vAlign w:val="center"/>
            <w:hideMark/>
          </w:tcPr>
          <w:p w14:paraId="6BB41435" w14:textId="4DBA5B13" w:rsidR="008B5807" w:rsidRPr="00F034C7" w:rsidRDefault="008B5807" w:rsidP="008B5807">
            <w:pPr>
              <w:jc w:val="center"/>
              <w:rPr>
                <w:color w:val="000000"/>
                <w:sz w:val="18"/>
                <w:szCs w:val="18"/>
              </w:rPr>
            </w:pPr>
            <w:r w:rsidRPr="00F034C7">
              <w:rPr>
                <w:rFonts w:cs="Calibri"/>
                <w:color w:val="000000"/>
                <w:sz w:val="18"/>
                <w:szCs w:val="18"/>
              </w:rPr>
              <w:t>-0,3</w:t>
            </w:r>
          </w:p>
        </w:tc>
        <w:tc>
          <w:tcPr>
            <w:tcW w:w="559" w:type="dxa"/>
            <w:tcBorders>
              <w:top w:val="nil"/>
              <w:left w:val="nil"/>
              <w:bottom w:val="nil"/>
              <w:right w:val="nil"/>
            </w:tcBorders>
            <w:vAlign w:val="center"/>
          </w:tcPr>
          <w:p w14:paraId="51118F33" w14:textId="41E23550" w:rsidR="008B5807" w:rsidRPr="00F034C7" w:rsidRDefault="008B5807" w:rsidP="008B5807">
            <w:pPr>
              <w:jc w:val="center"/>
              <w:rPr>
                <w:color w:val="000000"/>
                <w:sz w:val="18"/>
                <w:szCs w:val="18"/>
              </w:rPr>
            </w:pPr>
            <w:r w:rsidRPr="00F034C7">
              <w:rPr>
                <w:rFonts w:cs="Calibri"/>
                <w:color w:val="000000"/>
                <w:sz w:val="18"/>
                <w:szCs w:val="18"/>
              </w:rPr>
              <w:t>-2,</w:t>
            </w:r>
            <w:r w:rsidR="00847BC7" w:rsidRPr="00F034C7">
              <w:rPr>
                <w:rFonts w:cs="Calibri"/>
                <w:color w:val="000000"/>
                <w:sz w:val="18"/>
                <w:szCs w:val="18"/>
              </w:rPr>
              <w:t>1</w:t>
            </w:r>
          </w:p>
        </w:tc>
        <w:tc>
          <w:tcPr>
            <w:tcW w:w="559" w:type="dxa"/>
            <w:tcBorders>
              <w:top w:val="nil"/>
              <w:left w:val="nil"/>
              <w:bottom w:val="nil"/>
              <w:right w:val="nil"/>
            </w:tcBorders>
            <w:shd w:val="clear" w:color="auto" w:fill="auto"/>
            <w:noWrap/>
            <w:vAlign w:val="center"/>
            <w:hideMark/>
          </w:tcPr>
          <w:p w14:paraId="76782BA3" w14:textId="234BFE3B" w:rsidR="008B5807" w:rsidRPr="00F034C7" w:rsidRDefault="008B5807" w:rsidP="008B5807">
            <w:pPr>
              <w:jc w:val="center"/>
              <w:rPr>
                <w:color w:val="000000"/>
                <w:sz w:val="18"/>
                <w:szCs w:val="18"/>
              </w:rPr>
            </w:pPr>
            <w:r w:rsidRPr="00F034C7">
              <w:rPr>
                <w:rFonts w:cs="Calibri"/>
                <w:color w:val="000000"/>
                <w:sz w:val="18"/>
                <w:szCs w:val="18"/>
              </w:rPr>
              <w:t>-1,4</w:t>
            </w:r>
          </w:p>
        </w:tc>
        <w:tc>
          <w:tcPr>
            <w:tcW w:w="559" w:type="dxa"/>
            <w:gridSpan w:val="2"/>
            <w:tcBorders>
              <w:top w:val="nil"/>
              <w:left w:val="nil"/>
              <w:bottom w:val="nil"/>
              <w:right w:val="nil"/>
            </w:tcBorders>
            <w:shd w:val="clear" w:color="auto" w:fill="auto"/>
            <w:noWrap/>
            <w:vAlign w:val="center"/>
            <w:hideMark/>
          </w:tcPr>
          <w:p w14:paraId="7B2F0C1D" w14:textId="788CA25B" w:rsidR="008B5807" w:rsidRPr="00F034C7" w:rsidRDefault="008B5807" w:rsidP="008B5807">
            <w:pPr>
              <w:jc w:val="center"/>
              <w:rPr>
                <w:color w:val="000000"/>
                <w:sz w:val="18"/>
                <w:szCs w:val="18"/>
              </w:rPr>
            </w:pPr>
            <w:r w:rsidRPr="00F034C7">
              <w:rPr>
                <w:rFonts w:cs="Calibri"/>
                <w:color w:val="000000"/>
                <w:sz w:val="18"/>
                <w:szCs w:val="18"/>
              </w:rPr>
              <w:t>-0,2</w:t>
            </w:r>
          </w:p>
        </w:tc>
        <w:tc>
          <w:tcPr>
            <w:tcW w:w="559" w:type="dxa"/>
            <w:gridSpan w:val="2"/>
            <w:tcBorders>
              <w:top w:val="nil"/>
              <w:left w:val="nil"/>
              <w:bottom w:val="nil"/>
              <w:right w:val="nil"/>
            </w:tcBorders>
            <w:shd w:val="clear" w:color="auto" w:fill="auto"/>
            <w:noWrap/>
            <w:vAlign w:val="center"/>
            <w:hideMark/>
          </w:tcPr>
          <w:p w14:paraId="56F0B722" w14:textId="4F30F3A7" w:rsidR="008B5807" w:rsidRPr="00F034C7" w:rsidRDefault="008B5807" w:rsidP="008B5807">
            <w:pPr>
              <w:jc w:val="center"/>
              <w:rPr>
                <w:color w:val="000000"/>
                <w:sz w:val="18"/>
                <w:szCs w:val="18"/>
              </w:rPr>
            </w:pPr>
            <w:r w:rsidRPr="00F034C7">
              <w:rPr>
                <w:rFonts w:cs="Calibri"/>
                <w:color w:val="000000"/>
                <w:sz w:val="18"/>
                <w:szCs w:val="18"/>
              </w:rPr>
              <w:t>0,</w:t>
            </w:r>
            <w:r w:rsidR="005F0EC6" w:rsidRPr="00F034C7">
              <w:rPr>
                <w:rFonts w:cs="Calibri"/>
                <w:color w:val="000000"/>
                <w:sz w:val="18"/>
                <w:szCs w:val="18"/>
              </w:rPr>
              <w:t>0</w:t>
            </w:r>
          </w:p>
        </w:tc>
        <w:tc>
          <w:tcPr>
            <w:tcW w:w="559" w:type="dxa"/>
            <w:gridSpan w:val="2"/>
            <w:tcBorders>
              <w:top w:val="nil"/>
              <w:left w:val="nil"/>
              <w:bottom w:val="nil"/>
              <w:right w:val="nil"/>
            </w:tcBorders>
            <w:shd w:val="clear" w:color="auto" w:fill="auto"/>
            <w:noWrap/>
            <w:vAlign w:val="center"/>
            <w:hideMark/>
          </w:tcPr>
          <w:p w14:paraId="6BAE8444" w14:textId="335786A7" w:rsidR="008B5807" w:rsidRPr="00F034C7" w:rsidRDefault="008B5807" w:rsidP="008B5807">
            <w:pPr>
              <w:jc w:val="center"/>
              <w:rPr>
                <w:color w:val="000000"/>
                <w:sz w:val="18"/>
                <w:szCs w:val="18"/>
              </w:rPr>
            </w:pPr>
            <w:r w:rsidRPr="00F034C7">
              <w:rPr>
                <w:rFonts w:cs="Calibri"/>
                <w:color w:val="000000"/>
                <w:sz w:val="18"/>
                <w:szCs w:val="18"/>
              </w:rPr>
              <w:t>0,</w:t>
            </w:r>
            <w:r w:rsidR="005F0EC6" w:rsidRPr="00F034C7">
              <w:rPr>
                <w:rFonts w:cs="Calibri"/>
                <w:color w:val="000000"/>
                <w:sz w:val="18"/>
                <w:szCs w:val="18"/>
              </w:rPr>
              <w:t>0</w:t>
            </w:r>
          </w:p>
        </w:tc>
        <w:tc>
          <w:tcPr>
            <w:tcW w:w="559" w:type="dxa"/>
            <w:tcBorders>
              <w:top w:val="nil"/>
              <w:left w:val="nil"/>
              <w:bottom w:val="nil"/>
              <w:right w:val="nil"/>
            </w:tcBorders>
            <w:shd w:val="clear" w:color="auto" w:fill="auto"/>
            <w:noWrap/>
            <w:vAlign w:val="center"/>
            <w:hideMark/>
          </w:tcPr>
          <w:p w14:paraId="21151AA4" w14:textId="2EC4D020" w:rsidR="008B5807" w:rsidRPr="00F034C7" w:rsidRDefault="008B5807" w:rsidP="008B5807">
            <w:pPr>
              <w:jc w:val="center"/>
              <w:rPr>
                <w:color w:val="000000"/>
                <w:sz w:val="18"/>
                <w:szCs w:val="18"/>
              </w:rPr>
            </w:pPr>
            <w:r w:rsidRPr="00F034C7">
              <w:rPr>
                <w:rFonts w:cs="Calibri"/>
                <w:color w:val="000000"/>
                <w:sz w:val="18"/>
                <w:szCs w:val="18"/>
              </w:rPr>
              <w:t>0,</w:t>
            </w:r>
            <w:r w:rsidR="005F0EC6" w:rsidRPr="00F034C7">
              <w:rPr>
                <w:rFonts w:cs="Calibri"/>
                <w:color w:val="000000"/>
                <w:sz w:val="18"/>
                <w:szCs w:val="18"/>
              </w:rPr>
              <w:t>7</w:t>
            </w:r>
          </w:p>
        </w:tc>
        <w:tc>
          <w:tcPr>
            <w:tcW w:w="559" w:type="dxa"/>
            <w:tcBorders>
              <w:top w:val="nil"/>
              <w:left w:val="nil"/>
              <w:bottom w:val="nil"/>
              <w:right w:val="nil"/>
            </w:tcBorders>
            <w:shd w:val="clear" w:color="auto" w:fill="auto"/>
            <w:noWrap/>
            <w:vAlign w:val="center"/>
            <w:hideMark/>
          </w:tcPr>
          <w:p w14:paraId="41ABDBD2" w14:textId="1225D9B7" w:rsidR="008B5807" w:rsidRPr="00F034C7" w:rsidRDefault="008B5807" w:rsidP="008B5807">
            <w:pPr>
              <w:jc w:val="center"/>
              <w:rPr>
                <w:color w:val="000000"/>
                <w:sz w:val="18"/>
                <w:szCs w:val="18"/>
              </w:rPr>
            </w:pPr>
            <w:r w:rsidRPr="00F034C7">
              <w:rPr>
                <w:rFonts w:cs="Calibri"/>
                <w:color w:val="000000"/>
                <w:sz w:val="18"/>
                <w:szCs w:val="18"/>
              </w:rPr>
              <w:t>-0,</w:t>
            </w:r>
            <w:r w:rsidR="008B3162">
              <w:rPr>
                <w:rFonts w:cs="Calibri"/>
                <w:color w:val="000000"/>
                <w:sz w:val="18"/>
                <w:szCs w:val="18"/>
              </w:rPr>
              <w:t>2</w:t>
            </w:r>
          </w:p>
        </w:tc>
        <w:tc>
          <w:tcPr>
            <w:tcW w:w="559" w:type="dxa"/>
            <w:tcBorders>
              <w:top w:val="nil"/>
              <w:left w:val="nil"/>
              <w:bottom w:val="nil"/>
            </w:tcBorders>
            <w:shd w:val="clear" w:color="auto" w:fill="auto"/>
            <w:noWrap/>
            <w:vAlign w:val="center"/>
            <w:hideMark/>
          </w:tcPr>
          <w:p w14:paraId="791CE3BF" w14:textId="511DED17" w:rsidR="008B5807" w:rsidRPr="00F034C7" w:rsidRDefault="008B5807" w:rsidP="008B5807">
            <w:pPr>
              <w:jc w:val="center"/>
              <w:rPr>
                <w:color w:val="000000"/>
                <w:sz w:val="18"/>
                <w:szCs w:val="18"/>
              </w:rPr>
            </w:pPr>
            <w:r w:rsidRPr="00F034C7">
              <w:rPr>
                <w:rFonts w:cs="Calibri"/>
                <w:color w:val="000000"/>
                <w:sz w:val="18"/>
                <w:szCs w:val="18"/>
              </w:rPr>
              <w:t>-0,</w:t>
            </w:r>
            <w:r w:rsidR="008B3162">
              <w:rPr>
                <w:rFonts w:cs="Calibri"/>
                <w:color w:val="000000"/>
                <w:sz w:val="18"/>
                <w:szCs w:val="18"/>
              </w:rPr>
              <w:t>1</w:t>
            </w:r>
          </w:p>
        </w:tc>
        <w:tc>
          <w:tcPr>
            <w:tcW w:w="559" w:type="dxa"/>
            <w:tcBorders>
              <w:top w:val="nil"/>
              <w:left w:val="nil"/>
              <w:bottom w:val="nil"/>
            </w:tcBorders>
            <w:vAlign w:val="center"/>
          </w:tcPr>
          <w:p w14:paraId="55714BD4" w14:textId="414D1EFD" w:rsidR="007F1798" w:rsidRPr="00F034C7" w:rsidRDefault="008B3162" w:rsidP="00A11D2F">
            <w:pPr>
              <w:jc w:val="center"/>
              <w:rPr>
                <w:rFonts w:cs="Calibri"/>
                <w:color w:val="000000"/>
                <w:sz w:val="18"/>
                <w:szCs w:val="18"/>
              </w:rPr>
            </w:pPr>
            <w:r>
              <w:rPr>
                <w:rFonts w:cs="Calibri"/>
                <w:color w:val="000000"/>
                <w:sz w:val="18"/>
                <w:szCs w:val="18"/>
              </w:rPr>
              <w:t>-</w:t>
            </w:r>
            <w:r w:rsidR="007F1798" w:rsidRPr="00F034C7">
              <w:rPr>
                <w:rFonts w:cs="Calibri"/>
                <w:color w:val="000000"/>
                <w:sz w:val="18"/>
                <w:szCs w:val="18"/>
              </w:rPr>
              <w:t>0,1</w:t>
            </w:r>
          </w:p>
        </w:tc>
      </w:tr>
      <w:tr w:rsidR="008B5807" w:rsidRPr="00B81300" w14:paraId="667259C3" w14:textId="14638E23" w:rsidTr="00B556BC">
        <w:trPr>
          <w:trHeight w:hRule="exact" w:val="266"/>
        </w:trPr>
        <w:tc>
          <w:tcPr>
            <w:tcW w:w="2923" w:type="dxa"/>
            <w:tcBorders>
              <w:top w:val="nil"/>
              <w:left w:val="nil"/>
              <w:bottom w:val="nil"/>
              <w:right w:val="nil"/>
            </w:tcBorders>
            <w:shd w:val="clear" w:color="auto" w:fill="auto"/>
            <w:noWrap/>
            <w:vAlign w:val="center"/>
            <w:hideMark/>
          </w:tcPr>
          <w:p w14:paraId="6FF62708" w14:textId="25ED6120" w:rsidR="008B5807" w:rsidRPr="00F034C7" w:rsidRDefault="008B5807" w:rsidP="008B5807">
            <w:pPr>
              <w:rPr>
                <w:b/>
                <w:color w:val="13B5EA"/>
                <w:sz w:val="18"/>
                <w:szCs w:val="18"/>
              </w:rPr>
            </w:pPr>
            <w:r w:rsidRPr="00F034C7">
              <w:rPr>
                <w:b/>
                <w:color w:val="13B5EA"/>
                <w:sz w:val="18"/>
                <w:szCs w:val="18"/>
              </w:rPr>
              <w:t>5. Dlh bez jednor</w:t>
            </w:r>
            <w:r w:rsidR="00E01EEC">
              <w:rPr>
                <w:b/>
                <w:color w:val="13B5EA"/>
                <w:sz w:val="18"/>
                <w:szCs w:val="18"/>
              </w:rPr>
              <w:t>.</w:t>
            </w:r>
            <w:r w:rsidRPr="00F034C7">
              <w:rPr>
                <w:b/>
                <w:color w:val="13B5EA"/>
                <w:sz w:val="18"/>
                <w:szCs w:val="18"/>
              </w:rPr>
              <w:t xml:space="preserve"> vplyvov (3-4)</w:t>
            </w:r>
          </w:p>
        </w:tc>
        <w:tc>
          <w:tcPr>
            <w:tcW w:w="559" w:type="dxa"/>
            <w:tcBorders>
              <w:top w:val="nil"/>
              <w:left w:val="nil"/>
              <w:bottom w:val="nil"/>
              <w:right w:val="nil"/>
            </w:tcBorders>
            <w:shd w:val="clear" w:color="auto" w:fill="auto"/>
            <w:noWrap/>
            <w:vAlign w:val="center"/>
            <w:hideMark/>
          </w:tcPr>
          <w:p w14:paraId="51444036" w14:textId="6B60849B" w:rsidR="008B5807" w:rsidRPr="00F034C7" w:rsidRDefault="008B5807" w:rsidP="008B5807">
            <w:pPr>
              <w:jc w:val="center"/>
              <w:rPr>
                <w:b/>
                <w:color w:val="13B5EA"/>
                <w:sz w:val="18"/>
                <w:szCs w:val="18"/>
              </w:rPr>
            </w:pPr>
            <w:r w:rsidRPr="00F034C7">
              <w:rPr>
                <w:rFonts w:cs="Calibri"/>
                <w:b/>
                <w:bCs/>
                <w:color w:val="13B5EA"/>
                <w:sz w:val="18"/>
                <w:szCs w:val="18"/>
              </w:rPr>
              <w:t>3,</w:t>
            </w:r>
            <w:r w:rsidR="00A11D2F" w:rsidRPr="00F034C7">
              <w:rPr>
                <w:rFonts w:cs="Calibri"/>
                <w:b/>
                <w:bCs/>
                <w:color w:val="13B5EA"/>
                <w:sz w:val="18"/>
                <w:szCs w:val="18"/>
              </w:rPr>
              <w:t>6</w:t>
            </w:r>
          </w:p>
        </w:tc>
        <w:tc>
          <w:tcPr>
            <w:tcW w:w="559" w:type="dxa"/>
            <w:tcBorders>
              <w:top w:val="nil"/>
              <w:left w:val="nil"/>
              <w:bottom w:val="nil"/>
              <w:right w:val="nil"/>
            </w:tcBorders>
            <w:shd w:val="clear" w:color="auto" w:fill="auto"/>
            <w:noWrap/>
            <w:vAlign w:val="center"/>
            <w:hideMark/>
          </w:tcPr>
          <w:p w14:paraId="42603D72" w14:textId="688D262D" w:rsidR="008B5807" w:rsidRPr="00F034C7" w:rsidRDefault="008B5807" w:rsidP="008B5807">
            <w:pPr>
              <w:jc w:val="center"/>
              <w:rPr>
                <w:b/>
                <w:color w:val="13B5EA"/>
                <w:sz w:val="18"/>
                <w:szCs w:val="18"/>
              </w:rPr>
            </w:pPr>
            <w:r w:rsidRPr="00F034C7">
              <w:rPr>
                <w:rFonts w:cs="Calibri"/>
                <w:b/>
                <w:bCs/>
                <w:color w:val="13B5EA"/>
                <w:sz w:val="18"/>
                <w:szCs w:val="18"/>
              </w:rPr>
              <w:t>2,0</w:t>
            </w:r>
          </w:p>
        </w:tc>
        <w:tc>
          <w:tcPr>
            <w:tcW w:w="559" w:type="dxa"/>
            <w:tcBorders>
              <w:top w:val="nil"/>
              <w:left w:val="nil"/>
              <w:bottom w:val="nil"/>
              <w:right w:val="nil"/>
            </w:tcBorders>
            <w:vAlign w:val="center"/>
          </w:tcPr>
          <w:p w14:paraId="003D8894" w14:textId="0299EEF9" w:rsidR="008B5807" w:rsidRPr="00F034C7" w:rsidRDefault="008B5807" w:rsidP="008B5807">
            <w:pPr>
              <w:jc w:val="center"/>
              <w:rPr>
                <w:b/>
                <w:color w:val="13B5EA"/>
                <w:sz w:val="18"/>
                <w:szCs w:val="18"/>
              </w:rPr>
            </w:pPr>
            <w:r w:rsidRPr="00F034C7">
              <w:rPr>
                <w:rFonts w:cs="Calibri"/>
                <w:b/>
                <w:bCs/>
                <w:color w:val="13B5EA"/>
                <w:sz w:val="18"/>
                <w:szCs w:val="18"/>
              </w:rPr>
              <w:t>0,1</w:t>
            </w:r>
          </w:p>
        </w:tc>
        <w:tc>
          <w:tcPr>
            <w:tcW w:w="559" w:type="dxa"/>
            <w:tcBorders>
              <w:top w:val="nil"/>
              <w:left w:val="nil"/>
              <w:bottom w:val="nil"/>
              <w:right w:val="nil"/>
            </w:tcBorders>
            <w:shd w:val="clear" w:color="auto" w:fill="auto"/>
            <w:noWrap/>
            <w:vAlign w:val="center"/>
            <w:hideMark/>
          </w:tcPr>
          <w:p w14:paraId="0122127D" w14:textId="2B6BBDBE" w:rsidR="008B5807" w:rsidRPr="00F034C7" w:rsidRDefault="008B5807" w:rsidP="008B5807">
            <w:pPr>
              <w:jc w:val="center"/>
              <w:rPr>
                <w:b/>
                <w:color w:val="13B5EA"/>
                <w:sz w:val="18"/>
                <w:szCs w:val="18"/>
              </w:rPr>
            </w:pPr>
            <w:r w:rsidRPr="00F034C7">
              <w:rPr>
                <w:rFonts w:cs="Calibri"/>
                <w:b/>
                <w:bCs/>
                <w:color w:val="13B5EA"/>
                <w:sz w:val="18"/>
                <w:szCs w:val="18"/>
              </w:rPr>
              <w:t>0,</w:t>
            </w:r>
            <w:r w:rsidR="00AA1219" w:rsidRPr="00F034C7">
              <w:rPr>
                <w:rFonts w:cs="Calibri"/>
                <w:b/>
                <w:bCs/>
                <w:color w:val="13B5EA"/>
                <w:sz w:val="18"/>
                <w:szCs w:val="18"/>
              </w:rPr>
              <w:t>8</w:t>
            </w:r>
          </w:p>
        </w:tc>
        <w:tc>
          <w:tcPr>
            <w:tcW w:w="559" w:type="dxa"/>
            <w:gridSpan w:val="2"/>
            <w:tcBorders>
              <w:top w:val="nil"/>
              <w:left w:val="nil"/>
              <w:bottom w:val="nil"/>
              <w:right w:val="nil"/>
            </w:tcBorders>
            <w:shd w:val="clear" w:color="auto" w:fill="auto"/>
            <w:noWrap/>
            <w:vAlign w:val="center"/>
            <w:hideMark/>
          </w:tcPr>
          <w:p w14:paraId="132BF13F" w14:textId="67CBC1F0" w:rsidR="008B5807" w:rsidRPr="00F034C7" w:rsidRDefault="008B5807" w:rsidP="008B5807">
            <w:pPr>
              <w:jc w:val="center"/>
              <w:rPr>
                <w:b/>
                <w:color w:val="13B5EA"/>
                <w:sz w:val="18"/>
                <w:szCs w:val="18"/>
              </w:rPr>
            </w:pPr>
            <w:r w:rsidRPr="00F034C7">
              <w:rPr>
                <w:rFonts w:cs="Calibri"/>
                <w:b/>
                <w:bCs/>
                <w:color w:val="13B5EA"/>
                <w:sz w:val="18"/>
                <w:szCs w:val="18"/>
              </w:rPr>
              <w:t>-1,</w:t>
            </w:r>
            <w:r w:rsidR="00AA1219" w:rsidRPr="00F034C7">
              <w:rPr>
                <w:rFonts w:cs="Calibri"/>
                <w:b/>
                <w:bCs/>
                <w:color w:val="13B5EA"/>
                <w:sz w:val="18"/>
                <w:szCs w:val="18"/>
              </w:rPr>
              <w:t>0</w:t>
            </w:r>
          </w:p>
        </w:tc>
        <w:tc>
          <w:tcPr>
            <w:tcW w:w="559" w:type="dxa"/>
            <w:gridSpan w:val="2"/>
            <w:tcBorders>
              <w:top w:val="nil"/>
              <w:left w:val="nil"/>
              <w:bottom w:val="nil"/>
              <w:right w:val="nil"/>
            </w:tcBorders>
            <w:shd w:val="clear" w:color="auto" w:fill="auto"/>
            <w:noWrap/>
            <w:vAlign w:val="center"/>
            <w:hideMark/>
          </w:tcPr>
          <w:p w14:paraId="17D2BB55" w14:textId="2932B298" w:rsidR="008B5807" w:rsidRPr="00F034C7" w:rsidRDefault="008B5807" w:rsidP="008B5807">
            <w:pPr>
              <w:jc w:val="center"/>
              <w:rPr>
                <w:b/>
                <w:color w:val="13B5EA"/>
                <w:sz w:val="18"/>
                <w:szCs w:val="18"/>
              </w:rPr>
            </w:pPr>
            <w:r w:rsidRPr="00F034C7">
              <w:rPr>
                <w:rFonts w:cs="Calibri"/>
                <w:b/>
                <w:bCs/>
                <w:color w:val="13B5EA"/>
                <w:sz w:val="18"/>
                <w:szCs w:val="18"/>
              </w:rPr>
              <w:t>-2,</w:t>
            </w:r>
            <w:r w:rsidR="00AA1219" w:rsidRPr="00F034C7">
              <w:rPr>
                <w:rFonts w:cs="Calibri"/>
                <w:b/>
                <w:bCs/>
                <w:color w:val="13B5EA"/>
                <w:sz w:val="18"/>
                <w:szCs w:val="18"/>
              </w:rPr>
              <w:t>2</w:t>
            </w:r>
          </w:p>
        </w:tc>
        <w:tc>
          <w:tcPr>
            <w:tcW w:w="559" w:type="dxa"/>
            <w:gridSpan w:val="2"/>
            <w:tcBorders>
              <w:top w:val="nil"/>
              <w:left w:val="nil"/>
              <w:bottom w:val="nil"/>
              <w:right w:val="nil"/>
            </w:tcBorders>
            <w:shd w:val="clear" w:color="auto" w:fill="auto"/>
            <w:noWrap/>
            <w:vAlign w:val="center"/>
            <w:hideMark/>
          </w:tcPr>
          <w:p w14:paraId="0A6968C3" w14:textId="041D5A42" w:rsidR="008B5807" w:rsidRPr="00F034C7" w:rsidRDefault="008B5807" w:rsidP="008B5807">
            <w:pPr>
              <w:jc w:val="center"/>
              <w:rPr>
                <w:b/>
                <w:color w:val="13B5EA"/>
                <w:sz w:val="18"/>
                <w:szCs w:val="18"/>
              </w:rPr>
            </w:pPr>
            <w:r w:rsidRPr="00F034C7">
              <w:rPr>
                <w:rFonts w:cs="Calibri"/>
                <w:b/>
                <w:bCs/>
                <w:color w:val="13B5EA"/>
                <w:sz w:val="18"/>
                <w:szCs w:val="18"/>
              </w:rPr>
              <w:t>-</w:t>
            </w:r>
            <w:r w:rsidR="009040E8" w:rsidRPr="00F034C7">
              <w:rPr>
                <w:rFonts w:cs="Calibri"/>
                <w:b/>
                <w:bCs/>
                <w:color w:val="13B5EA"/>
                <w:sz w:val="18"/>
                <w:szCs w:val="18"/>
              </w:rPr>
              <w:t>0,</w:t>
            </w:r>
            <w:r w:rsidR="00464380">
              <w:rPr>
                <w:rFonts w:cs="Calibri"/>
                <w:b/>
                <w:bCs/>
                <w:color w:val="13B5EA"/>
                <w:sz w:val="18"/>
                <w:szCs w:val="18"/>
              </w:rPr>
              <w:t>3</w:t>
            </w:r>
          </w:p>
        </w:tc>
        <w:tc>
          <w:tcPr>
            <w:tcW w:w="559" w:type="dxa"/>
            <w:tcBorders>
              <w:top w:val="nil"/>
              <w:left w:val="nil"/>
              <w:bottom w:val="nil"/>
              <w:right w:val="nil"/>
            </w:tcBorders>
            <w:shd w:val="clear" w:color="auto" w:fill="auto"/>
            <w:noWrap/>
            <w:vAlign w:val="center"/>
            <w:hideMark/>
          </w:tcPr>
          <w:p w14:paraId="08E4B781" w14:textId="071CD3F4" w:rsidR="008B5807" w:rsidRPr="00F034C7" w:rsidRDefault="009040E8" w:rsidP="008B5807">
            <w:pPr>
              <w:jc w:val="center"/>
              <w:rPr>
                <w:b/>
                <w:color w:val="13B5EA"/>
                <w:sz w:val="18"/>
                <w:szCs w:val="18"/>
              </w:rPr>
            </w:pPr>
            <w:r w:rsidRPr="00F034C7">
              <w:rPr>
                <w:rFonts w:cs="Calibri"/>
                <w:b/>
                <w:bCs/>
                <w:color w:val="13B5EA"/>
                <w:sz w:val="18"/>
                <w:szCs w:val="18"/>
              </w:rPr>
              <w:t>11,5</w:t>
            </w:r>
          </w:p>
        </w:tc>
        <w:tc>
          <w:tcPr>
            <w:tcW w:w="559" w:type="dxa"/>
            <w:tcBorders>
              <w:top w:val="nil"/>
              <w:left w:val="nil"/>
              <w:bottom w:val="nil"/>
              <w:right w:val="nil"/>
            </w:tcBorders>
            <w:shd w:val="clear" w:color="auto" w:fill="auto"/>
            <w:noWrap/>
            <w:vAlign w:val="center"/>
            <w:hideMark/>
          </w:tcPr>
          <w:p w14:paraId="4960839A" w14:textId="751C53B7" w:rsidR="008B5807" w:rsidRPr="00F034C7" w:rsidRDefault="00B55488" w:rsidP="008B5807">
            <w:pPr>
              <w:jc w:val="center"/>
              <w:rPr>
                <w:b/>
                <w:color w:val="13B5EA"/>
                <w:sz w:val="18"/>
                <w:szCs w:val="18"/>
              </w:rPr>
            </w:pPr>
            <w:r>
              <w:rPr>
                <w:rFonts w:cs="Calibri"/>
                <w:b/>
                <w:bCs/>
                <w:color w:val="13B5EA"/>
                <w:sz w:val="18"/>
                <w:szCs w:val="18"/>
              </w:rPr>
              <w:t>2,9</w:t>
            </w:r>
          </w:p>
        </w:tc>
        <w:tc>
          <w:tcPr>
            <w:tcW w:w="559" w:type="dxa"/>
            <w:tcBorders>
              <w:top w:val="nil"/>
              <w:left w:val="nil"/>
              <w:bottom w:val="nil"/>
            </w:tcBorders>
            <w:shd w:val="clear" w:color="auto" w:fill="auto"/>
            <w:noWrap/>
            <w:vAlign w:val="center"/>
            <w:hideMark/>
          </w:tcPr>
          <w:p w14:paraId="16A581D4" w14:textId="5AC48718" w:rsidR="008B5807" w:rsidRPr="00F034C7" w:rsidRDefault="008B5807" w:rsidP="008B5807">
            <w:pPr>
              <w:jc w:val="center"/>
              <w:rPr>
                <w:b/>
                <w:color w:val="13B5EA"/>
                <w:sz w:val="18"/>
                <w:szCs w:val="18"/>
              </w:rPr>
            </w:pPr>
            <w:r w:rsidRPr="00F034C7">
              <w:rPr>
                <w:rFonts w:cs="Calibri"/>
                <w:b/>
                <w:bCs/>
                <w:color w:val="13B5EA"/>
                <w:sz w:val="18"/>
                <w:szCs w:val="18"/>
              </w:rPr>
              <w:t>4</w:t>
            </w:r>
            <w:r w:rsidR="009040E8" w:rsidRPr="00F034C7">
              <w:rPr>
                <w:rFonts w:cs="Calibri"/>
                <w:b/>
                <w:bCs/>
                <w:color w:val="13B5EA"/>
                <w:sz w:val="18"/>
                <w:szCs w:val="18"/>
              </w:rPr>
              <w:t>,</w:t>
            </w:r>
            <w:r w:rsidR="00B55488">
              <w:rPr>
                <w:rFonts w:cs="Calibri"/>
                <w:b/>
                <w:bCs/>
                <w:color w:val="13B5EA"/>
                <w:sz w:val="18"/>
                <w:szCs w:val="18"/>
              </w:rPr>
              <w:t>5</w:t>
            </w:r>
          </w:p>
        </w:tc>
        <w:tc>
          <w:tcPr>
            <w:tcW w:w="559" w:type="dxa"/>
            <w:tcBorders>
              <w:top w:val="nil"/>
              <w:left w:val="nil"/>
              <w:bottom w:val="nil"/>
            </w:tcBorders>
            <w:vAlign w:val="center"/>
          </w:tcPr>
          <w:p w14:paraId="093798D8" w14:textId="407F880C" w:rsidR="009040E8" w:rsidRPr="00F034C7" w:rsidRDefault="00B55488" w:rsidP="00A11D2F">
            <w:pPr>
              <w:jc w:val="center"/>
              <w:rPr>
                <w:rFonts w:cs="Calibri"/>
                <w:b/>
                <w:bCs/>
                <w:color w:val="13B5EA"/>
                <w:sz w:val="18"/>
                <w:szCs w:val="18"/>
              </w:rPr>
            </w:pPr>
            <w:r>
              <w:rPr>
                <w:rFonts w:cs="Calibri"/>
                <w:b/>
                <w:bCs/>
                <w:color w:val="13B5EA"/>
                <w:sz w:val="18"/>
                <w:szCs w:val="18"/>
              </w:rPr>
              <w:t>4,0</w:t>
            </w:r>
          </w:p>
        </w:tc>
      </w:tr>
      <w:tr w:rsidR="008B5807" w:rsidRPr="00B81300" w14:paraId="4302B092" w14:textId="314C0B5C" w:rsidTr="00B556BC">
        <w:trPr>
          <w:trHeight w:hRule="exact" w:val="266"/>
        </w:trPr>
        <w:tc>
          <w:tcPr>
            <w:tcW w:w="2923" w:type="dxa"/>
            <w:tcBorders>
              <w:top w:val="nil"/>
              <w:left w:val="nil"/>
              <w:bottom w:val="nil"/>
              <w:right w:val="nil"/>
            </w:tcBorders>
            <w:shd w:val="clear" w:color="auto" w:fill="auto"/>
            <w:noWrap/>
            <w:vAlign w:val="center"/>
            <w:hideMark/>
          </w:tcPr>
          <w:p w14:paraId="4BEA6D13" w14:textId="77777777" w:rsidR="008B5807" w:rsidRPr="00F034C7" w:rsidRDefault="008B5807" w:rsidP="008B5807">
            <w:pPr>
              <w:ind w:firstLineChars="200" w:firstLine="360"/>
              <w:rPr>
                <w:color w:val="000000"/>
                <w:sz w:val="18"/>
                <w:szCs w:val="18"/>
              </w:rPr>
            </w:pPr>
            <w:r w:rsidRPr="00F034C7">
              <w:rPr>
                <w:color w:val="000000"/>
                <w:sz w:val="18"/>
                <w:szCs w:val="18"/>
              </w:rPr>
              <w:t xml:space="preserve"> - vplyv EFSF</w:t>
            </w:r>
          </w:p>
        </w:tc>
        <w:tc>
          <w:tcPr>
            <w:tcW w:w="559" w:type="dxa"/>
            <w:tcBorders>
              <w:top w:val="nil"/>
              <w:left w:val="nil"/>
              <w:bottom w:val="nil"/>
              <w:right w:val="nil"/>
            </w:tcBorders>
            <w:shd w:val="clear" w:color="auto" w:fill="auto"/>
            <w:noWrap/>
            <w:vAlign w:val="center"/>
            <w:hideMark/>
          </w:tcPr>
          <w:p w14:paraId="7B674691" w14:textId="4AF437B3" w:rsidR="008B5807" w:rsidRPr="00F034C7" w:rsidRDefault="008B5807" w:rsidP="008B5807">
            <w:pPr>
              <w:jc w:val="center"/>
              <w:rPr>
                <w:color w:val="000000"/>
                <w:sz w:val="18"/>
                <w:szCs w:val="18"/>
              </w:rPr>
            </w:pPr>
            <w:r w:rsidRPr="00F034C7">
              <w:rPr>
                <w:rFonts w:cs="Calibri"/>
                <w:color w:val="000000"/>
                <w:sz w:val="18"/>
                <w:szCs w:val="18"/>
              </w:rPr>
              <w:t>0,5</w:t>
            </w:r>
          </w:p>
        </w:tc>
        <w:tc>
          <w:tcPr>
            <w:tcW w:w="559" w:type="dxa"/>
            <w:tcBorders>
              <w:top w:val="nil"/>
              <w:left w:val="nil"/>
              <w:bottom w:val="nil"/>
              <w:right w:val="nil"/>
            </w:tcBorders>
            <w:shd w:val="clear" w:color="auto" w:fill="auto"/>
            <w:noWrap/>
            <w:vAlign w:val="center"/>
            <w:hideMark/>
          </w:tcPr>
          <w:p w14:paraId="440B329E" w14:textId="0BC75DD5" w:rsidR="008B5807" w:rsidRPr="00F034C7" w:rsidRDefault="008B5807" w:rsidP="008B5807">
            <w:pPr>
              <w:jc w:val="center"/>
              <w:rPr>
                <w:color w:val="000000"/>
                <w:sz w:val="18"/>
                <w:szCs w:val="18"/>
              </w:rPr>
            </w:pPr>
            <w:r w:rsidRPr="00F034C7">
              <w:rPr>
                <w:rFonts w:cs="Calibri"/>
                <w:color w:val="000000"/>
                <w:sz w:val="18"/>
                <w:szCs w:val="18"/>
              </w:rPr>
              <w:t>0,1</w:t>
            </w:r>
          </w:p>
        </w:tc>
        <w:tc>
          <w:tcPr>
            <w:tcW w:w="559" w:type="dxa"/>
            <w:tcBorders>
              <w:top w:val="nil"/>
              <w:left w:val="nil"/>
              <w:bottom w:val="nil"/>
              <w:right w:val="nil"/>
            </w:tcBorders>
            <w:vAlign w:val="center"/>
          </w:tcPr>
          <w:p w14:paraId="71D1BDC1" w14:textId="6C896869" w:rsidR="008B5807" w:rsidRPr="00F034C7" w:rsidRDefault="008B5807" w:rsidP="008B5807">
            <w:pPr>
              <w:jc w:val="center"/>
              <w:rPr>
                <w:color w:val="000000"/>
                <w:sz w:val="18"/>
                <w:szCs w:val="18"/>
              </w:rPr>
            </w:pPr>
            <w:r w:rsidRPr="00F034C7">
              <w:rPr>
                <w:rFonts w:cs="Calibri"/>
                <w:color w:val="000000"/>
                <w:sz w:val="18"/>
                <w:szCs w:val="18"/>
              </w:rPr>
              <w:t>-0,1</w:t>
            </w:r>
          </w:p>
        </w:tc>
        <w:tc>
          <w:tcPr>
            <w:tcW w:w="559" w:type="dxa"/>
            <w:tcBorders>
              <w:top w:val="nil"/>
              <w:left w:val="nil"/>
              <w:bottom w:val="nil"/>
              <w:right w:val="nil"/>
            </w:tcBorders>
            <w:shd w:val="clear" w:color="auto" w:fill="auto"/>
            <w:noWrap/>
            <w:vAlign w:val="center"/>
            <w:hideMark/>
          </w:tcPr>
          <w:p w14:paraId="7CA1C0AB" w14:textId="754353F2" w:rsidR="008B5807" w:rsidRPr="00F034C7" w:rsidRDefault="008B5807" w:rsidP="008B5807">
            <w:pPr>
              <w:jc w:val="center"/>
              <w:rPr>
                <w:color w:val="000000"/>
                <w:sz w:val="18"/>
                <w:szCs w:val="18"/>
              </w:rPr>
            </w:pPr>
            <w:r w:rsidRPr="00F034C7">
              <w:rPr>
                <w:rFonts w:cs="Calibri"/>
                <w:color w:val="000000"/>
                <w:sz w:val="18"/>
                <w:szCs w:val="18"/>
              </w:rPr>
              <w:t>0,0</w:t>
            </w:r>
          </w:p>
        </w:tc>
        <w:tc>
          <w:tcPr>
            <w:tcW w:w="559" w:type="dxa"/>
            <w:gridSpan w:val="2"/>
            <w:tcBorders>
              <w:top w:val="nil"/>
              <w:left w:val="nil"/>
              <w:bottom w:val="nil"/>
              <w:right w:val="nil"/>
            </w:tcBorders>
            <w:shd w:val="clear" w:color="auto" w:fill="auto"/>
            <w:noWrap/>
            <w:vAlign w:val="center"/>
            <w:hideMark/>
          </w:tcPr>
          <w:p w14:paraId="64696830" w14:textId="6E5C1842" w:rsidR="008B5807" w:rsidRPr="00F034C7" w:rsidRDefault="008B5807" w:rsidP="008B5807">
            <w:pPr>
              <w:jc w:val="center"/>
              <w:rPr>
                <w:color w:val="000000"/>
                <w:sz w:val="18"/>
                <w:szCs w:val="18"/>
              </w:rPr>
            </w:pPr>
            <w:r w:rsidRPr="00F034C7">
              <w:rPr>
                <w:rFonts w:cs="Calibri"/>
                <w:color w:val="000000"/>
                <w:sz w:val="18"/>
                <w:szCs w:val="18"/>
              </w:rPr>
              <w:t>0,0</w:t>
            </w:r>
          </w:p>
        </w:tc>
        <w:tc>
          <w:tcPr>
            <w:tcW w:w="559" w:type="dxa"/>
            <w:gridSpan w:val="2"/>
            <w:tcBorders>
              <w:top w:val="nil"/>
              <w:left w:val="nil"/>
              <w:bottom w:val="nil"/>
              <w:right w:val="nil"/>
            </w:tcBorders>
            <w:shd w:val="clear" w:color="auto" w:fill="auto"/>
            <w:noWrap/>
            <w:vAlign w:val="center"/>
            <w:hideMark/>
          </w:tcPr>
          <w:p w14:paraId="3ACEF43F" w14:textId="63380E8F" w:rsidR="008B5807" w:rsidRPr="00F034C7" w:rsidRDefault="008B5807" w:rsidP="008B5807">
            <w:pPr>
              <w:jc w:val="center"/>
              <w:rPr>
                <w:color w:val="000000"/>
                <w:sz w:val="18"/>
                <w:szCs w:val="18"/>
              </w:rPr>
            </w:pPr>
            <w:r w:rsidRPr="00F034C7">
              <w:rPr>
                <w:rFonts w:cs="Calibri"/>
                <w:color w:val="000000"/>
                <w:sz w:val="18"/>
                <w:szCs w:val="18"/>
              </w:rPr>
              <w:t>0,0</w:t>
            </w:r>
          </w:p>
        </w:tc>
        <w:tc>
          <w:tcPr>
            <w:tcW w:w="559" w:type="dxa"/>
            <w:gridSpan w:val="2"/>
            <w:tcBorders>
              <w:top w:val="nil"/>
              <w:left w:val="nil"/>
              <w:bottom w:val="nil"/>
              <w:right w:val="nil"/>
            </w:tcBorders>
            <w:shd w:val="clear" w:color="auto" w:fill="auto"/>
            <w:noWrap/>
            <w:vAlign w:val="center"/>
            <w:hideMark/>
          </w:tcPr>
          <w:p w14:paraId="307CE390" w14:textId="4A78E96C" w:rsidR="008B5807" w:rsidRPr="00F034C7" w:rsidRDefault="008B5807" w:rsidP="008B5807">
            <w:pPr>
              <w:jc w:val="center"/>
              <w:rPr>
                <w:color w:val="000000"/>
                <w:sz w:val="18"/>
                <w:szCs w:val="18"/>
              </w:rPr>
            </w:pPr>
            <w:r w:rsidRPr="00F034C7">
              <w:rPr>
                <w:rFonts w:cs="Calibri"/>
                <w:color w:val="000000"/>
                <w:sz w:val="18"/>
                <w:szCs w:val="18"/>
              </w:rPr>
              <w:t>0,0</w:t>
            </w:r>
          </w:p>
        </w:tc>
        <w:tc>
          <w:tcPr>
            <w:tcW w:w="559" w:type="dxa"/>
            <w:tcBorders>
              <w:top w:val="nil"/>
              <w:left w:val="nil"/>
              <w:bottom w:val="nil"/>
              <w:right w:val="nil"/>
            </w:tcBorders>
            <w:shd w:val="clear" w:color="auto" w:fill="auto"/>
            <w:noWrap/>
            <w:vAlign w:val="center"/>
            <w:hideMark/>
          </w:tcPr>
          <w:p w14:paraId="4232DA83" w14:textId="58FF93E6" w:rsidR="008B5807" w:rsidRPr="00F034C7" w:rsidRDefault="008B5807" w:rsidP="008B5807">
            <w:pPr>
              <w:jc w:val="center"/>
              <w:rPr>
                <w:color w:val="000000"/>
                <w:sz w:val="18"/>
                <w:szCs w:val="18"/>
              </w:rPr>
            </w:pPr>
            <w:r w:rsidRPr="00F034C7">
              <w:rPr>
                <w:rFonts w:cs="Calibri"/>
                <w:color w:val="000000"/>
                <w:sz w:val="18"/>
                <w:szCs w:val="18"/>
              </w:rPr>
              <w:t>0,0</w:t>
            </w:r>
          </w:p>
        </w:tc>
        <w:tc>
          <w:tcPr>
            <w:tcW w:w="559" w:type="dxa"/>
            <w:tcBorders>
              <w:top w:val="nil"/>
              <w:left w:val="nil"/>
              <w:bottom w:val="nil"/>
              <w:right w:val="nil"/>
            </w:tcBorders>
            <w:shd w:val="clear" w:color="auto" w:fill="auto"/>
            <w:noWrap/>
            <w:vAlign w:val="center"/>
            <w:hideMark/>
          </w:tcPr>
          <w:p w14:paraId="33F5AD35" w14:textId="412A2DD8" w:rsidR="008B5807" w:rsidRPr="00F034C7" w:rsidRDefault="008B5807" w:rsidP="008B5807">
            <w:pPr>
              <w:jc w:val="center"/>
              <w:rPr>
                <w:color w:val="000000"/>
                <w:sz w:val="18"/>
                <w:szCs w:val="18"/>
              </w:rPr>
            </w:pPr>
            <w:r w:rsidRPr="00F034C7">
              <w:rPr>
                <w:rFonts w:cs="Calibri"/>
                <w:color w:val="000000"/>
                <w:sz w:val="18"/>
                <w:szCs w:val="18"/>
              </w:rPr>
              <w:t>0,0</w:t>
            </w:r>
          </w:p>
        </w:tc>
        <w:tc>
          <w:tcPr>
            <w:tcW w:w="559" w:type="dxa"/>
            <w:tcBorders>
              <w:top w:val="nil"/>
              <w:left w:val="nil"/>
              <w:bottom w:val="nil"/>
            </w:tcBorders>
            <w:shd w:val="clear" w:color="auto" w:fill="auto"/>
            <w:noWrap/>
            <w:vAlign w:val="center"/>
            <w:hideMark/>
          </w:tcPr>
          <w:p w14:paraId="73028705" w14:textId="0F15AD6E" w:rsidR="008B5807" w:rsidRPr="00F034C7" w:rsidRDefault="008B5807" w:rsidP="008B5807">
            <w:pPr>
              <w:jc w:val="center"/>
              <w:rPr>
                <w:color w:val="000000"/>
                <w:sz w:val="18"/>
                <w:szCs w:val="18"/>
              </w:rPr>
            </w:pPr>
            <w:r w:rsidRPr="00F034C7">
              <w:rPr>
                <w:rFonts w:cs="Calibri"/>
                <w:color w:val="000000"/>
                <w:sz w:val="18"/>
                <w:szCs w:val="18"/>
              </w:rPr>
              <w:t>0,0</w:t>
            </w:r>
          </w:p>
        </w:tc>
        <w:tc>
          <w:tcPr>
            <w:tcW w:w="559" w:type="dxa"/>
            <w:tcBorders>
              <w:top w:val="nil"/>
              <w:left w:val="nil"/>
              <w:bottom w:val="nil"/>
            </w:tcBorders>
            <w:vAlign w:val="center"/>
          </w:tcPr>
          <w:p w14:paraId="567260FA" w14:textId="72B693CB" w:rsidR="00617401" w:rsidRPr="00F034C7" w:rsidRDefault="00617401" w:rsidP="00A11D2F">
            <w:pPr>
              <w:jc w:val="center"/>
              <w:rPr>
                <w:rFonts w:cs="Calibri"/>
                <w:color w:val="000000"/>
                <w:sz w:val="18"/>
                <w:szCs w:val="18"/>
              </w:rPr>
            </w:pPr>
            <w:r w:rsidRPr="00F034C7">
              <w:rPr>
                <w:rFonts w:cs="Calibri"/>
                <w:color w:val="000000"/>
                <w:sz w:val="18"/>
                <w:szCs w:val="18"/>
              </w:rPr>
              <w:t>0,0</w:t>
            </w:r>
          </w:p>
        </w:tc>
      </w:tr>
      <w:tr w:rsidR="008B5807" w:rsidRPr="00B81300" w14:paraId="096D0D9D" w14:textId="00997374" w:rsidTr="00B556BC">
        <w:trPr>
          <w:trHeight w:hRule="exact" w:val="266"/>
        </w:trPr>
        <w:tc>
          <w:tcPr>
            <w:tcW w:w="2923" w:type="dxa"/>
            <w:tcBorders>
              <w:top w:val="nil"/>
              <w:left w:val="nil"/>
              <w:bottom w:val="single" w:sz="4" w:space="0" w:color="13B5EA"/>
              <w:right w:val="nil"/>
            </w:tcBorders>
            <w:shd w:val="clear" w:color="auto" w:fill="auto"/>
            <w:noWrap/>
            <w:vAlign w:val="center"/>
            <w:hideMark/>
          </w:tcPr>
          <w:p w14:paraId="593C9E4A" w14:textId="77777777" w:rsidR="008B5807" w:rsidRPr="00F034C7" w:rsidRDefault="008B5807" w:rsidP="008B5807">
            <w:pPr>
              <w:ind w:firstLineChars="200" w:firstLine="360"/>
              <w:rPr>
                <w:color w:val="000000"/>
                <w:sz w:val="18"/>
                <w:szCs w:val="18"/>
              </w:rPr>
            </w:pPr>
            <w:r w:rsidRPr="00F034C7">
              <w:rPr>
                <w:color w:val="000000"/>
                <w:sz w:val="18"/>
                <w:szCs w:val="18"/>
              </w:rPr>
              <w:t xml:space="preserve"> - ostatné vplyvy</w:t>
            </w:r>
          </w:p>
        </w:tc>
        <w:tc>
          <w:tcPr>
            <w:tcW w:w="559" w:type="dxa"/>
            <w:tcBorders>
              <w:top w:val="nil"/>
              <w:left w:val="nil"/>
              <w:bottom w:val="single" w:sz="4" w:space="0" w:color="13B5EA"/>
              <w:right w:val="nil"/>
            </w:tcBorders>
            <w:shd w:val="clear" w:color="auto" w:fill="auto"/>
            <w:noWrap/>
            <w:vAlign w:val="center"/>
            <w:hideMark/>
          </w:tcPr>
          <w:p w14:paraId="05916124" w14:textId="3F7A463D" w:rsidR="008B5807" w:rsidRPr="00F034C7" w:rsidRDefault="00AB1524" w:rsidP="008B5807">
            <w:pPr>
              <w:jc w:val="center"/>
              <w:rPr>
                <w:color w:val="000000"/>
                <w:sz w:val="18"/>
                <w:szCs w:val="18"/>
              </w:rPr>
            </w:pPr>
            <w:r>
              <w:rPr>
                <w:rFonts w:cs="Calibri"/>
                <w:color w:val="000000"/>
                <w:sz w:val="18"/>
                <w:szCs w:val="18"/>
              </w:rPr>
              <w:t>3</w:t>
            </w:r>
            <w:r w:rsidR="008B5807" w:rsidRPr="00F034C7">
              <w:rPr>
                <w:rFonts w:cs="Calibri"/>
                <w:color w:val="000000"/>
                <w:sz w:val="18"/>
                <w:szCs w:val="18"/>
              </w:rPr>
              <w:t>,</w:t>
            </w:r>
            <w:r>
              <w:rPr>
                <w:rFonts w:cs="Calibri"/>
                <w:color w:val="000000"/>
                <w:sz w:val="18"/>
                <w:szCs w:val="18"/>
              </w:rPr>
              <w:t>1</w:t>
            </w:r>
          </w:p>
        </w:tc>
        <w:tc>
          <w:tcPr>
            <w:tcW w:w="559" w:type="dxa"/>
            <w:tcBorders>
              <w:top w:val="nil"/>
              <w:left w:val="nil"/>
              <w:bottom w:val="single" w:sz="4" w:space="0" w:color="13B5EA"/>
              <w:right w:val="nil"/>
            </w:tcBorders>
            <w:shd w:val="clear" w:color="auto" w:fill="auto"/>
            <w:noWrap/>
            <w:vAlign w:val="center"/>
            <w:hideMark/>
          </w:tcPr>
          <w:p w14:paraId="354856E7" w14:textId="77931683" w:rsidR="008B5807" w:rsidRPr="00F034C7" w:rsidRDefault="008B5807" w:rsidP="008B5807">
            <w:pPr>
              <w:jc w:val="center"/>
              <w:rPr>
                <w:color w:val="000000"/>
                <w:sz w:val="18"/>
                <w:szCs w:val="18"/>
              </w:rPr>
            </w:pPr>
            <w:r w:rsidRPr="00F034C7">
              <w:rPr>
                <w:rFonts w:cs="Calibri"/>
                <w:color w:val="000000"/>
                <w:sz w:val="18"/>
                <w:szCs w:val="18"/>
              </w:rPr>
              <w:t>1,</w:t>
            </w:r>
            <w:r w:rsidR="0057160F">
              <w:rPr>
                <w:rFonts w:cs="Calibri"/>
                <w:color w:val="000000"/>
                <w:sz w:val="18"/>
                <w:szCs w:val="18"/>
              </w:rPr>
              <w:t>8</w:t>
            </w:r>
          </w:p>
        </w:tc>
        <w:tc>
          <w:tcPr>
            <w:tcW w:w="559" w:type="dxa"/>
            <w:tcBorders>
              <w:top w:val="nil"/>
              <w:left w:val="nil"/>
              <w:bottom w:val="single" w:sz="4" w:space="0" w:color="13B5EA"/>
              <w:right w:val="nil"/>
            </w:tcBorders>
            <w:vAlign w:val="center"/>
          </w:tcPr>
          <w:p w14:paraId="74E1C7C6" w14:textId="60D39DD8" w:rsidR="008B5807" w:rsidRPr="00EF5631" w:rsidRDefault="008B5807" w:rsidP="008B5807">
            <w:pPr>
              <w:jc w:val="center"/>
              <w:rPr>
                <w:color w:val="000000"/>
                <w:sz w:val="18"/>
                <w:szCs w:val="18"/>
              </w:rPr>
            </w:pPr>
            <w:r w:rsidRPr="00EF5631">
              <w:rPr>
                <w:rFonts w:cs="Calibri"/>
                <w:color w:val="000000"/>
                <w:sz w:val="18"/>
                <w:szCs w:val="18"/>
              </w:rPr>
              <w:t>0,</w:t>
            </w:r>
            <w:r w:rsidR="00AF3DF9">
              <w:rPr>
                <w:rFonts w:cs="Calibri"/>
                <w:color w:val="000000"/>
                <w:sz w:val="18"/>
                <w:szCs w:val="18"/>
              </w:rPr>
              <w:t>2</w:t>
            </w:r>
          </w:p>
        </w:tc>
        <w:tc>
          <w:tcPr>
            <w:tcW w:w="559" w:type="dxa"/>
            <w:tcBorders>
              <w:top w:val="nil"/>
              <w:left w:val="nil"/>
              <w:bottom w:val="single" w:sz="4" w:space="0" w:color="13B5EA"/>
              <w:right w:val="nil"/>
            </w:tcBorders>
            <w:shd w:val="clear" w:color="auto" w:fill="auto"/>
            <w:noWrap/>
            <w:vAlign w:val="center"/>
            <w:hideMark/>
          </w:tcPr>
          <w:p w14:paraId="333AB7EE" w14:textId="60FA6299" w:rsidR="008B5807" w:rsidRPr="00EF5631" w:rsidRDefault="008B5807" w:rsidP="008B5807">
            <w:pPr>
              <w:jc w:val="center"/>
              <w:rPr>
                <w:color w:val="000000"/>
                <w:sz w:val="18"/>
                <w:szCs w:val="18"/>
              </w:rPr>
            </w:pPr>
            <w:r w:rsidRPr="00EF5631">
              <w:rPr>
                <w:rFonts w:cs="Calibri"/>
                <w:color w:val="000000"/>
                <w:sz w:val="18"/>
                <w:szCs w:val="18"/>
              </w:rPr>
              <w:t>0,</w:t>
            </w:r>
            <w:r w:rsidR="009D6A2B" w:rsidRPr="00EF5631">
              <w:rPr>
                <w:rFonts w:cs="Calibri"/>
                <w:color w:val="000000"/>
                <w:sz w:val="18"/>
                <w:szCs w:val="18"/>
              </w:rPr>
              <w:t>8</w:t>
            </w:r>
          </w:p>
        </w:tc>
        <w:tc>
          <w:tcPr>
            <w:tcW w:w="559" w:type="dxa"/>
            <w:gridSpan w:val="2"/>
            <w:tcBorders>
              <w:top w:val="nil"/>
              <w:left w:val="nil"/>
              <w:bottom w:val="single" w:sz="4" w:space="0" w:color="13B5EA"/>
              <w:right w:val="nil"/>
            </w:tcBorders>
            <w:shd w:val="clear" w:color="auto" w:fill="auto"/>
            <w:noWrap/>
            <w:vAlign w:val="center"/>
            <w:hideMark/>
          </w:tcPr>
          <w:p w14:paraId="6EAF0165" w14:textId="71145C56" w:rsidR="008B5807" w:rsidRPr="00F034C7" w:rsidRDefault="008B5807" w:rsidP="008B5807">
            <w:pPr>
              <w:jc w:val="center"/>
              <w:rPr>
                <w:color w:val="000000"/>
                <w:sz w:val="18"/>
                <w:szCs w:val="18"/>
              </w:rPr>
            </w:pPr>
            <w:r w:rsidRPr="00F034C7">
              <w:rPr>
                <w:rFonts w:cs="Calibri"/>
                <w:color w:val="000000"/>
                <w:sz w:val="18"/>
                <w:szCs w:val="18"/>
              </w:rPr>
              <w:t>-1,</w:t>
            </w:r>
            <w:r w:rsidR="00287920" w:rsidRPr="00F034C7">
              <w:rPr>
                <w:rFonts w:cs="Calibri"/>
                <w:color w:val="000000"/>
                <w:sz w:val="18"/>
                <w:szCs w:val="18"/>
              </w:rPr>
              <w:t>0</w:t>
            </w:r>
          </w:p>
        </w:tc>
        <w:tc>
          <w:tcPr>
            <w:tcW w:w="559" w:type="dxa"/>
            <w:gridSpan w:val="2"/>
            <w:tcBorders>
              <w:top w:val="nil"/>
              <w:left w:val="nil"/>
              <w:bottom w:val="single" w:sz="4" w:space="0" w:color="13B5EA"/>
              <w:right w:val="nil"/>
            </w:tcBorders>
            <w:shd w:val="clear" w:color="auto" w:fill="auto"/>
            <w:noWrap/>
            <w:vAlign w:val="center"/>
            <w:hideMark/>
          </w:tcPr>
          <w:p w14:paraId="4AD57B06" w14:textId="3A3A0EF9" w:rsidR="008B5807" w:rsidRPr="00F034C7" w:rsidRDefault="008B5807" w:rsidP="008B5807">
            <w:pPr>
              <w:jc w:val="center"/>
              <w:rPr>
                <w:color w:val="000000"/>
                <w:sz w:val="18"/>
                <w:szCs w:val="18"/>
              </w:rPr>
            </w:pPr>
            <w:r w:rsidRPr="00F034C7">
              <w:rPr>
                <w:rFonts w:cs="Calibri"/>
                <w:color w:val="000000"/>
                <w:sz w:val="18"/>
                <w:szCs w:val="18"/>
              </w:rPr>
              <w:t>-2,</w:t>
            </w:r>
            <w:r w:rsidR="00287920" w:rsidRPr="00F034C7">
              <w:rPr>
                <w:rFonts w:cs="Calibri"/>
                <w:color w:val="000000"/>
                <w:sz w:val="18"/>
                <w:szCs w:val="18"/>
              </w:rPr>
              <w:t>2</w:t>
            </w:r>
          </w:p>
        </w:tc>
        <w:tc>
          <w:tcPr>
            <w:tcW w:w="559" w:type="dxa"/>
            <w:gridSpan w:val="2"/>
            <w:tcBorders>
              <w:top w:val="nil"/>
              <w:left w:val="nil"/>
              <w:bottom w:val="single" w:sz="4" w:space="0" w:color="13B5EA"/>
              <w:right w:val="nil"/>
            </w:tcBorders>
            <w:shd w:val="clear" w:color="auto" w:fill="auto"/>
            <w:noWrap/>
            <w:vAlign w:val="center"/>
            <w:hideMark/>
          </w:tcPr>
          <w:p w14:paraId="7ADD6E6B" w14:textId="315B43DB" w:rsidR="008B5807" w:rsidRPr="00F034C7" w:rsidRDefault="006B30B3" w:rsidP="008B5807">
            <w:pPr>
              <w:jc w:val="center"/>
              <w:rPr>
                <w:color w:val="000000"/>
                <w:sz w:val="18"/>
                <w:szCs w:val="18"/>
              </w:rPr>
            </w:pPr>
            <w:r w:rsidRPr="00F034C7">
              <w:rPr>
                <w:rFonts w:cs="Calibri"/>
                <w:color w:val="000000"/>
                <w:sz w:val="18"/>
                <w:szCs w:val="18"/>
              </w:rPr>
              <w:t>-</w:t>
            </w:r>
            <w:r w:rsidR="00CD3C5E" w:rsidRPr="00F034C7">
              <w:rPr>
                <w:rFonts w:cs="Calibri"/>
                <w:color w:val="000000"/>
                <w:sz w:val="18"/>
                <w:szCs w:val="18"/>
              </w:rPr>
              <w:t>0</w:t>
            </w:r>
            <w:r w:rsidR="00E62971" w:rsidRPr="00F034C7">
              <w:rPr>
                <w:rFonts w:cs="Calibri"/>
                <w:color w:val="000000"/>
                <w:sz w:val="18"/>
                <w:szCs w:val="18"/>
              </w:rPr>
              <w:t>,</w:t>
            </w:r>
            <w:r w:rsidR="00464380">
              <w:rPr>
                <w:rFonts w:cs="Calibri"/>
                <w:color w:val="000000"/>
                <w:sz w:val="18"/>
                <w:szCs w:val="18"/>
              </w:rPr>
              <w:t>3</w:t>
            </w:r>
          </w:p>
        </w:tc>
        <w:tc>
          <w:tcPr>
            <w:tcW w:w="559" w:type="dxa"/>
            <w:tcBorders>
              <w:top w:val="nil"/>
              <w:left w:val="nil"/>
              <w:bottom w:val="single" w:sz="4" w:space="0" w:color="13B5EA"/>
              <w:right w:val="nil"/>
            </w:tcBorders>
            <w:shd w:val="clear" w:color="auto" w:fill="auto"/>
            <w:noWrap/>
            <w:vAlign w:val="center"/>
            <w:hideMark/>
          </w:tcPr>
          <w:p w14:paraId="1BE1E587" w14:textId="00ACD9CD" w:rsidR="008B5807" w:rsidRPr="00F034C7" w:rsidRDefault="00CD3C5E" w:rsidP="008B5807">
            <w:pPr>
              <w:jc w:val="center"/>
              <w:rPr>
                <w:color w:val="000000"/>
                <w:sz w:val="18"/>
                <w:szCs w:val="18"/>
              </w:rPr>
            </w:pPr>
            <w:r w:rsidRPr="00F034C7">
              <w:rPr>
                <w:rFonts w:cs="Calibri"/>
                <w:color w:val="000000"/>
                <w:sz w:val="18"/>
                <w:szCs w:val="18"/>
              </w:rPr>
              <w:t>1</w:t>
            </w:r>
            <w:r w:rsidR="00E62971" w:rsidRPr="00F034C7">
              <w:rPr>
                <w:rFonts w:cs="Calibri"/>
                <w:color w:val="000000"/>
                <w:sz w:val="18"/>
                <w:szCs w:val="18"/>
              </w:rPr>
              <w:t>1,</w:t>
            </w:r>
            <w:r w:rsidRPr="00F034C7">
              <w:rPr>
                <w:rFonts w:cs="Calibri"/>
                <w:color w:val="000000"/>
                <w:sz w:val="18"/>
                <w:szCs w:val="18"/>
              </w:rPr>
              <w:t>5</w:t>
            </w:r>
          </w:p>
        </w:tc>
        <w:tc>
          <w:tcPr>
            <w:tcW w:w="559" w:type="dxa"/>
            <w:tcBorders>
              <w:top w:val="nil"/>
              <w:left w:val="nil"/>
              <w:bottom w:val="single" w:sz="4" w:space="0" w:color="13B5EA"/>
              <w:right w:val="nil"/>
            </w:tcBorders>
            <w:shd w:val="clear" w:color="auto" w:fill="auto"/>
            <w:noWrap/>
            <w:vAlign w:val="center"/>
            <w:hideMark/>
          </w:tcPr>
          <w:p w14:paraId="442F19D3" w14:textId="154700FA" w:rsidR="008B5807" w:rsidRPr="00F034C7" w:rsidRDefault="00B55488" w:rsidP="008B5807">
            <w:pPr>
              <w:jc w:val="center"/>
              <w:rPr>
                <w:color w:val="000000"/>
                <w:sz w:val="18"/>
                <w:szCs w:val="18"/>
              </w:rPr>
            </w:pPr>
            <w:r>
              <w:rPr>
                <w:color w:val="000000"/>
                <w:sz w:val="18"/>
                <w:szCs w:val="18"/>
              </w:rPr>
              <w:t>2,9</w:t>
            </w:r>
          </w:p>
        </w:tc>
        <w:tc>
          <w:tcPr>
            <w:tcW w:w="559" w:type="dxa"/>
            <w:tcBorders>
              <w:top w:val="nil"/>
              <w:left w:val="nil"/>
            </w:tcBorders>
            <w:shd w:val="clear" w:color="auto" w:fill="auto"/>
            <w:noWrap/>
            <w:vAlign w:val="center"/>
            <w:hideMark/>
          </w:tcPr>
          <w:p w14:paraId="5DFE8CD1" w14:textId="5FFD372F" w:rsidR="008B5807" w:rsidRPr="00F034C7" w:rsidRDefault="008B5807" w:rsidP="008B5807">
            <w:pPr>
              <w:jc w:val="center"/>
              <w:rPr>
                <w:color w:val="000000"/>
                <w:sz w:val="18"/>
                <w:szCs w:val="18"/>
              </w:rPr>
            </w:pPr>
            <w:r w:rsidRPr="00F034C7">
              <w:rPr>
                <w:rFonts w:cs="Calibri"/>
                <w:color w:val="000000"/>
                <w:sz w:val="18"/>
                <w:szCs w:val="18"/>
              </w:rPr>
              <w:t>4</w:t>
            </w:r>
            <w:r w:rsidR="007941C1" w:rsidRPr="00F034C7">
              <w:rPr>
                <w:rFonts w:cs="Calibri"/>
                <w:color w:val="000000"/>
                <w:sz w:val="18"/>
                <w:szCs w:val="18"/>
              </w:rPr>
              <w:t>,</w:t>
            </w:r>
            <w:r w:rsidR="00B55488">
              <w:rPr>
                <w:rFonts w:cs="Calibri"/>
                <w:color w:val="000000"/>
                <w:sz w:val="18"/>
                <w:szCs w:val="18"/>
              </w:rPr>
              <w:t>5</w:t>
            </w:r>
          </w:p>
        </w:tc>
        <w:tc>
          <w:tcPr>
            <w:tcW w:w="559" w:type="dxa"/>
            <w:tcBorders>
              <w:top w:val="nil"/>
              <w:left w:val="nil"/>
            </w:tcBorders>
            <w:vAlign w:val="center"/>
          </w:tcPr>
          <w:p w14:paraId="0B7D14E0" w14:textId="103AE10A" w:rsidR="007941C1" w:rsidRPr="00F034C7" w:rsidRDefault="00B55488" w:rsidP="00A11D2F">
            <w:pPr>
              <w:jc w:val="center"/>
              <w:rPr>
                <w:rFonts w:cs="Calibri"/>
                <w:color w:val="000000"/>
                <w:sz w:val="18"/>
                <w:szCs w:val="18"/>
              </w:rPr>
            </w:pPr>
            <w:r>
              <w:rPr>
                <w:rFonts w:cs="Calibri"/>
                <w:color w:val="000000"/>
                <w:sz w:val="18"/>
                <w:szCs w:val="18"/>
              </w:rPr>
              <w:t>4,0</w:t>
            </w:r>
          </w:p>
        </w:tc>
      </w:tr>
      <w:tr w:rsidR="00D773FB" w:rsidRPr="00B81300" w14:paraId="1F6A8D71" w14:textId="5661C8CA" w:rsidTr="00B556BC">
        <w:trPr>
          <w:trHeight w:hRule="exact" w:val="266"/>
        </w:trPr>
        <w:tc>
          <w:tcPr>
            <w:tcW w:w="2923" w:type="dxa"/>
            <w:tcBorders>
              <w:top w:val="nil"/>
              <w:left w:val="nil"/>
              <w:bottom w:val="nil"/>
              <w:right w:val="nil"/>
            </w:tcBorders>
            <w:shd w:val="clear" w:color="auto" w:fill="auto"/>
            <w:noWrap/>
            <w:vAlign w:val="bottom"/>
            <w:hideMark/>
          </w:tcPr>
          <w:p w14:paraId="37AFF1CA" w14:textId="77777777" w:rsidR="00D773FB" w:rsidRPr="00F034C7" w:rsidRDefault="00D773FB" w:rsidP="00EA0905">
            <w:pPr>
              <w:jc w:val="center"/>
              <w:rPr>
                <w:color w:val="000000"/>
                <w:sz w:val="18"/>
                <w:szCs w:val="18"/>
              </w:rPr>
            </w:pPr>
          </w:p>
        </w:tc>
        <w:tc>
          <w:tcPr>
            <w:tcW w:w="559" w:type="dxa"/>
            <w:tcBorders>
              <w:top w:val="nil"/>
              <w:left w:val="nil"/>
              <w:bottom w:val="nil"/>
              <w:right w:val="nil"/>
            </w:tcBorders>
            <w:shd w:val="clear" w:color="auto" w:fill="auto"/>
            <w:noWrap/>
            <w:vAlign w:val="bottom"/>
            <w:hideMark/>
          </w:tcPr>
          <w:p w14:paraId="73DB9D3C" w14:textId="77777777" w:rsidR="00D773FB" w:rsidRPr="00F034C7" w:rsidRDefault="00D773FB" w:rsidP="00EA0905">
            <w:pPr>
              <w:rPr>
                <w:rFonts w:ascii="Times New Roman" w:hAnsi="Times New Roman"/>
                <w:sz w:val="20"/>
              </w:rPr>
            </w:pPr>
          </w:p>
        </w:tc>
        <w:tc>
          <w:tcPr>
            <w:tcW w:w="559" w:type="dxa"/>
            <w:tcBorders>
              <w:top w:val="nil"/>
              <w:left w:val="nil"/>
              <w:bottom w:val="nil"/>
              <w:right w:val="nil"/>
            </w:tcBorders>
            <w:shd w:val="clear" w:color="auto" w:fill="auto"/>
            <w:noWrap/>
            <w:vAlign w:val="bottom"/>
            <w:hideMark/>
          </w:tcPr>
          <w:p w14:paraId="4B2BF23E" w14:textId="77777777" w:rsidR="00D773FB" w:rsidRPr="00F034C7" w:rsidRDefault="00D773FB" w:rsidP="00EA0905">
            <w:pPr>
              <w:rPr>
                <w:rFonts w:ascii="Times New Roman" w:hAnsi="Times New Roman"/>
                <w:sz w:val="20"/>
              </w:rPr>
            </w:pPr>
          </w:p>
        </w:tc>
        <w:tc>
          <w:tcPr>
            <w:tcW w:w="559" w:type="dxa"/>
            <w:tcBorders>
              <w:top w:val="nil"/>
              <w:left w:val="nil"/>
              <w:bottom w:val="nil"/>
              <w:right w:val="nil"/>
            </w:tcBorders>
          </w:tcPr>
          <w:p w14:paraId="4602AEA8" w14:textId="77777777" w:rsidR="00D773FB" w:rsidRPr="00F034C7" w:rsidRDefault="00D773FB" w:rsidP="00EA0905">
            <w:pPr>
              <w:rPr>
                <w:rFonts w:ascii="Times New Roman" w:hAnsi="Times New Roman"/>
                <w:sz w:val="20"/>
              </w:rPr>
            </w:pPr>
          </w:p>
        </w:tc>
        <w:tc>
          <w:tcPr>
            <w:tcW w:w="931" w:type="dxa"/>
            <w:gridSpan w:val="2"/>
            <w:tcBorders>
              <w:top w:val="nil"/>
              <w:left w:val="nil"/>
              <w:bottom w:val="nil"/>
              <w:right w:val="nil"/>
            </w:tcBorders>
            <w:shd w:val="clear" w:color="auto" w:fill="auto"/>
            <w:noWrap/>
            <w:vAlign w:val="bottom"/>
            <w:hideMark/>
          </w:tcPr>
          <w:p w14:paraId="6FF920A4" w14:textId="28D672E6" w:rsidR="00D773FB" w:rsidRPr="00F034C7" w:rsidRDefault="00D773FB" w:rsidP="00EA0905">
            <w:pPr>
              <w:rPr>
                <w:rFonts w:ascii="Times New Roman" w:hAnsi="Times New Roman"/>
                <w:sz w:val="20"/>
              </w:rPr>
            </w:pPr>
          </w:p>
        </w:tc>
        <w:tc>
          <w:tcPr>
            <w:tcW w:w="544" w:type="dxa"/>
            <w:gridSpan w:val="2"/>
            <w:tcBorders>
              <w:top w:val="nil"/>
              <w:left w:val="nil"/>
              <w:bottom w:val="nil"/>
              <w:right w:val="nil"/>
            </w:tcBorders>
            <w:shd w:val="clear" w:color="auto" w:fill="auto"/>
            <w:noWrap/>
            <w:vAlign w:val="bottom"/>
            <w:hideMark/>
          </w:tcPr>
          <w:p w14:paraId="436637E7" w14:textId="77777777" w:rsidR="00D773FB" w:rsidRPr="00F034C7" w:rsidRDefault="00D773FB" w:rsidP="00EA0905">
            <w:pPr>
              <w:rPr>
                <w:rFonts w:ascii="Times New Roman" w:hAnsi="Times New Roman"/>
                <w:sz w:val="20"/>
              </w:rPr>
            </w:pPr>
          </w:p>
        </w:tc>
        <w:tc>
          <w:tcPr>
            <w:tcW w:w="544" w:type="dxa"/>
            <w:gridSpan w:val="2"/>
            <w:tcBorders>
              <w:top w:val="nil"/>
              <w:left w:val="nil"/>
              <w:bottom w:val="nil"/>
              <w:right w:val="nil"/>
            </w:tcBorders>
            <w:shd w:val="clear" w:color="auto" w:fill="auto"/>
            <w:noWrap/>
            <w:vAlign w:val="bottom"/>
            <w:hideMark/>
          </w:tcPr>
          <w:p w14:paraId="437B6A5D" w14:textId="77777777" w:rsidR="00D773FB" w:rsidRPr="00F034C7" w:rsidRDefault="00D773FB" w:rsidP="00EA0905">
            <w:pPr>
              <w:rPr>
                <w:rFonts w:ascii="Times New Roman" w:hAnsi="Times New Roman"/>
                <w:sz w:val="20"/>
              </w:rPr>
            </w:pPr>
          </w:p>
        </w:tc>
        <w:tc>
          <w:tcPr>
            <w:tcW w:w="2453" w:type="dxa"/>
            <w:gridSpan w:val="5"/>
            <w:tcBorders>
              <w:top w:val="single" w:sz="4" w:space="0" w:color="13B5EA"/>
              <w:left w:val="nil"/>
              <w:bottom w:val="nil"/>
              <w:right w:val="nil"/>
            </w:tcBorders>
            <w:shd w:val="clear" w:color="auto" w:fill="auto"/>
            <w:noWrap/>
            <w:vAlign w:val="center"/>
            <w:hideMark/>
          </w:tcPr>
          <w:p w14:paraId="51C6910A" w14:textId="78CB33D4" w:rsidR="00E62971" w:rsidRPr="00F034C7" w:rsidRDefault="00E01EEC" w:rsidP="00EA0905">
            <w:pPr>
              <w:jc w:val="right"/>
              <w:rPr>
                <w:i/>
                <w:color w:val="13B5EA"/>
                <w:sz w:val="16"/>
                <w:szCs w:val="16"/>
              </w:rPr>
            </w:pPr>
            <w:r w:rsidRPr="00F034C7">
              <w:rPr>
                <w:i/>
                <w:color w:val="13B5EA"/>
                <w:sz w:val="16"/>
                <w:szCs w:val="16"/>
              </w:rPr>
              <w:t>Zdroj: RRZ, MF SR, ŠÚ SR</w:t>
            </w:r>
          </w:p>
        </w:tc>
      </w:tr>
    </w:tbl>
    <w:p w14:paraId="662DB39F" w14:textId="77777777" w:rsidR="0053375A" w:rsidRPr="00B81300" w:rsidRDefault="0053375A" w:rsidP="0053375A">
      <w:pPr>
        <w:jc w:val="both"/>
        <w:rPr>
          <w:sz w:val="14"/>
          <w:highlight w:val="yellow"/>
        </w:rPr>
      </w:pPr>
    </w:p>
    <w:tbl>
      <w:tblPr>
        <w:tblW w:w="0" w:type="auto"/>
        <w:jc w:val="center"/>
        <w:tblBorders>
          <w:top w:val="single" w:sz="12" w:space="0" w:color="13B5EA"/>
          <w:left w:val="single" w:sz="12" w:space="0" w:color="13B5EA"/>
          <w:bottom w:val="single" w:sz="12" w:space="0" w:color="13B5EA"/>
          <w:right w:val="single" w:sz="12" w:space="0" w:color="13B5EA"/>
        </w:tblBorders>
        <w:shd w:val="clear" w:color="auto" w:fill="B1E8F9"/>
        <w:tblLook w:val="04A0" w:firstRow="1" w:lastRow="0" w:firstColumn="1" w:lastColumn="0" w:noHBand="0" w:noVBand="1"/>
      </w:tblPr>
      <w:tblGrid>
        <w:gridCol w:w="9040"/>
      </w:tblGrid>
      <w:tr w:rsidR="0053375A" w:rsidRPr="00B81300" w14:paraId="6AE1969D" w14:textId="77777777" w:rsidTr="00FA67C0">
        <w:trPr>
          <w:jc w:val="center"/>
        </w:trPr>
        <w:tc>
          <w:tcPr>
            <w:tcW w:w="9072" w:type="dxa"/>
            <w:shd w:val="clear" w:color="auto" w:fill="B1E8F9"/>
            <w:vAlign w:val="center"/>
          </w:tcPr>
          <w:p w14:paraId="0250CEFB" w14:textId="74E61B0A" w:rsidR="0053375A" w:rsidRPr="00F73990" w:rsidRDefault="0053375A" w:rsidP="00EA0905">
            <w:pPr>
              <w:jc w:val="both"/>
              <w:rPr>
                <w:sz w:val="10"/>
                <w:szCs w:val="24"/>
              </w:rPr>
            </w:pPr>
          </w:p>
          <w:p w14:paraId="71211C17" w14:textId="3DD803BD" w:rsidR="0053375A" w:rsidRPr="00072A8F" w:rsidRDefault="0053375A" w:rsidP="00EA0905">
            <w:pPr>
              <w:pStyle w:val="box"/>
              <w:rPr>
                <w:sz w:val="20"/>
                <w:lang w:val="sk-SK"/>
              </w:rPr>
            </w:pPr>
            <w:bookmarkStart w:id="920" w:name="_Toc459208012"/>
            <w:bookmarkStart w:id="921" w:name="_Toc459275430"/>
            <w:bookmarkStart w:id="922" w:name="_Toc489954234"/>
            <w:bookmarkStart w:id="923" w:name="_Toc490143834"/>
            <w:bookmarkStart w:id="924" w:name="_Toc490642153"/>
            <w:bookmarkStart w:id="925" w:name="_Toc490653568"/>
            <w:bookmarkStart w:id="926" w:name="_Toc491246267"/>
            <w:bookmarkStart w:id="927" w:name="_Toc522105460"/>
            <w:bookmarkStart w:id="928" w:name="_Toc522200688"/>
            <w:bookmarkStart w:id="929" w:name="_Toc523390274"/>
            <w:bookmarkStart w:id="930" w:name="_Toc523392879"/>
            <w:bookmarkStart w:id="931" w:name="_Toc49506899"/>
            <w:r w:rsidRPr="00072A8F">
              <w:rPr>
                <w:sz w:val="20"/>
                <w:lang w:val="sk-SK"/>
              </w:rPr>
              <w:t xml:space="preserve">Box </w:t>
            </w:r>
            <w:r w:rsidR="00163A0C">
              <w:rPr>
                <w:sz w:val="20"/>
                <w:lang w:val="sk-SK"/>
              </w:rPr>
              <w:t>9</w:t>
            </w:r>
            <w:r w:rsidRPr="00072A8F">
              <w:rPr>
                <w:sz w:val="20"/>
                <w:lang w:val="sk-SK"/>
              </w:rPr>
              <w:t>: Vývoj dlhu očisteného o jednorazové vplyvy</w:t>
            </w:r>
            <w:bookmarkEnd w:id="920"/>
            <w:bookmarkEnd w:id="921"/>
            <w:bookmarkEnd w:id="922"/>
            <w:bookmarkEnd w:id="923"/>
            <w:bookmarkEnd w:id="924"/>
            <w:bookmarkEnd w:id="925"/>
            <w:bookmarkEnd w:id="926"/>
            <w:bookmarkEnd w:id="927"/>
            <w:bookmarkEnd w:id="928"/>
            <w:bookmarkEnd w:id="929"/>
            <w:bookmarkEnd w:id="930"/>
            <w:bookmarkEnd w:id="931"/>
          </w:p>
          <w:p w14:paraId="72BEA83F" w14:textId="7AE2A00C" w:rsidR="00E35438" w:rsidRPr="003B02EB" w:rsidRDefault="00E35438" w:rsidP="00EA0905">
            <w:pPr>
              <w:jc w:val="both"/>
              <w:rPr>
                <w:sz w:val="16"/>
                <w:szCs w:val="18"/>
              </w:rPr>
            </w:pPr>
          </w:p>
          <w:p w14:paraId="0AB570FD" w14:textId="3BA1A5B3" w:rsidR="0053375A" w:rsidRPr="00072A8F" w:rsidRDefault="0053375A" w:rsidP="00EA0905">
            <w:pPr>
              <w:jc w:val="both"/>
              <w:rPr>
                <w:sz w:val="20"/>
                <w:szCs w:val="18"/>
              </w:rPr>
            </w:pPr>
            <w:r w:rsidRPr="00072A8F">
              <w:rPr>
                <w:sz w:val="20"/>
                <w:szCs w:val="18"/>
              </w:rPr>
              <w:t>Hlavný text materiálu obsahuje len medziročné zmeny dlhu očisteného o jednorazové vplyvy. Súvisí to s tým, že nie je možné jednoznačne určiť vplyv niektorých faktorov na úroveň dlhu, ale len na jeho zmeny. Konkrétne ide o hotovostnú rezervu, ktorej úroveň závisí napríklad od vnímania rizika na finančných trhoch a výšky splátok záväzkov v najbližšom období. V danom roku je potom náročné určiť jej optimálnu výšku. Z toho dôvodu sa jej vplyvy na hrubý dlh odhadujú medziročnými zmenami. Ďalšou skupinou sú jednorazové vplyvy na hotovosť súvisiace so zmenami nelikvidných aktív a pasív, ktoré nie sú súčasťou hrubého dlhu. V tomto prípade nie sú k dispozícii vplyvy pred rokom 2011, čo</w:t>
            </w:r>
            <w:r w:rsidR="009C4143" w:rsidRPr="00072A8F">
              <w:rPr>
                <w:sz w:val="20"/>
                <w:szCs w:val="18"/>
              </w:rPr>
              <w:t> </w:t>
            </w:r>
            <w:r w:rsidRPr="00072A8F">
              <w:rPr>
                <w:sz w:val="20"/>
                <w:szCs w:val="18"/>
              </w:rPr>
              <w:t>znamená, že nie je možné určiť, ako ovplyvnili výšku dlhu na konci roku 2010.</w:t>
            </w:r>
          </w:p>
          <w:p w14:paraId="6DBC509B" w14:textId="77777777" w:rsidR="0053375A" w:rsidRPr="00072A8F" w:rsidRDefault="0053375A" w:rsidP="00EA0905">
            <w:pPr>
              <w:jc w:val="both"/>
              <w:rPr>
                <w:sz w:val="20"/>
                <w:szCs w:val="18"/>
              </w:rPr>
            </w:pPr>
          </w:p>
          <w:p w14:paraId="6C6D3B13" w14:textId="69EF0419" w:rsidR="0053375A" w:rsidRPr="00072A8F" w:rsidRDefault="0053375A" w:rsidP="00EA0905">
            <w:pPr>
              <w:jc w:val="both"/>
              <w:rPr>
                <w:sz w:val="20"/>
                <w:szCs w:val="18"/>
              </w:rPr>
            </w:pPr>
            <w:r w:rsidRPr="00072A8F">
              <w:rPr>
                <w:sz w:val="20"/>
                <w:szCs w:val="18"/>
              </w:rPr>
              <w:t>Napriek tomu však na ilustratívne účely možno ukázať hy</w:t>
            </w:r>
            <w:r w:rsidR="0081202B" w:rsidRPr="00072A8F">
              <w:rPr>
                <w:sz w:val="20"/>
                <w:szCs w:val="18"/>
              </w:rPr>
              <w:t>potetický vývoj dlhu do roku 202</w:t>
            </w:r>
            <w:r w:rsidR="00CE6845" w:rsidRPr="00072A8F">
              <w:rPr>
                <w:sz w:val="20"/>
                <w:szCs w:val="18"/>
              </w:rPr>
              <w:t>3</w:t>
            </w:r>
            <w:r w:rsidRPr="00072A8F">
              <w:rPr>
                <w:sz w:val="20"/>
                <w:szCs w:val="18"/>
              </w:rPr>
              <w:t xml:space="preserve"> za</w:t>
            </w:r>
            <w:r w:rsidR="009C4143" w:rsidRPr="00072A8F">
              <w:rPr>
                <w:sz w:val="20"/>
                <w:szCs w:val="18"/>
              </w:rPr>
              <w:t> </w:t>
            </w:r>
            <w:r w:rsidRPr="00072A8F">
              <w:rPr>
                <w:sz w:val="20"/>
                <w:szCs w:val="18"/>
              </w:rPr>
              <w:t>predpokladu, že by nebol ovplyvnený jednorazovými vplyvmi. Východiskom je stav dlhu (hrubého a čistého) na konci roku 2010 a k nemu sa pripočítajú zmeny dlhu očisteného o jednorazové vplyvy v jednotlivých rokoc</w:t>
            </w:r>
            <w:r w:rsidR="00D422E8">
              <w:rPr>
                <w:sz w:val="20"/>
                <w:szCs w:val="18"/>
              </w:rPr>
              <w:t>h</w:t>
            </w:r>
            <w:r w:rsidRPr="00072A8F">
              <w:rPr>
                <w:sz w:val="20"/>
                <w:szCs w:val="18"/>
              </w:rPr>
              <w:t>. Voľba východiskového roku je založená na tom, že v ďalších rokoch bol hrubý dlh výrazne ovplyvnený</w:t>
            </w:r>
            <w:r w:rsidR="00E35438" w:rsidRPr="00072A8F">
              <w:rPr>
                <w:sz w:val="20"/>
                <w:szCs w:val="18"/>
              </w:rPr>
              <w:t xml:space="preserve"> kolísaním hotovostnej rezervy.</w:t>
            </w:r>
          </w:p>
          <w:p w14:paraId="35802FFB" w14:textId="77777777" w:rsidR="0053375A" w:rsidRPr="00072A8F" w:rsidRDefault="0053375A" w:rsidP="00EA0905">
            <w:pPr>
              <w:jc w:val="both"/>
              <w:rPr>
                <w:b/>
                <w:sz w:val="14"/>
                <w:szCs w:val="18"/>
              </w:rPr>
            </w:pPr>
          </w:p>
          <w:p w14:paraId="43E789F4" w14:textId="77777777" w:rsidR="00E35438" w:rsidRPr="00072A8F" w:rsidRDefault="00E35438" w:rsidP="00EA0905">
            <w:pPr>
              <w:jc w:val="both"/>
              <w:rPr>
                <w:b/>
                <w:sz w:val="14"/>
                <w:szCs w:val="18"/>
              </w:rPr>
            </w:pPr>
          </w:p>
          <w:p w14:paraId="47966C30" w14:textId="77777777" w:rsidR="00E35438" w:rsidRPr="00072A8F" w:rsidRDefault="00E35438" w:rsidP="00EA0905">
            <w:pPr>
              <w:jc w:val="both"/>
              <w:rPr>
                <w:b/>
                <w:sz w:val="14"/>
                <w:szCs w:val="18"/>
              </w:rPr>
            </w:pPr>
          </w:p>
          <w:p w14:paraId="10220FD8" w14:textId="77777777" w:rsidR="00E35438" w:rsidRPr="00072A8F" w:rsidRDefault="00E35438" w:rsidP="00EA0905">
            <w:pPr>
              <w:jc w:val="both"/>
              <w:rPr>
                <w:b/>
                <w:sz w:val="14"/>
                <w:szCs w:val="18"/>
              </w:rPr>
            </w:pPr>
          </w:p>
          <w:p w14:paraId="332A3075" w14:textId="77777777" w:rsidR="00E35438" w:rsidRPr="00072A8F" w:rsidRDefault="00E35438" w:rsidP="00EA0905">
            <w:pPr>
              <w:jc w:val="both"/>
              <w:rPr>
                <w:b/>
                <w:sz w:val="14"/>
                <w:szCs w:val="18"/>
              </w:rPr>
            </w:pPr>
          </w:p>
          <w:p w14:paraId="171D2437" w14:textId="77777777" w:rsidR="00E35438" w:rsidRPr="00072A8F" w:rsidRDefault="00E35438" w:rsidP="00EA0905">
            <w:pPr>
              <w:jc w:val="both"/>
              <w:rPr>
                <w:b/>
                <w:sz w:val="14"/>
                <w:szCs w:val="18"/>
              </w:rPr>
            </w:pPr>
          </w:p>
          <w:tbl>
            <w:tblPr>
              <w:tblW w:w="8824" w:type="dxa"/>
              <w:jc w:val="center"/>
              <w:tblLook w:val="01E0" w:firstRow="1" w:lastRow="1" w:firstColumn="1" w:lastColumn="1" w:noHBand="0" w:noVBand="0"/>
            </w:tblPr>
            <w:tblGrid>
              <w:gridCol w:w="4355"/>
              <w:gridCol w:w="163"/>
              <w:gridCol w:w="140"/>
              <w:gridCol w:w="4155"/>
              <w:gridCol w:w="11"/>
            </w:tblGrid>
            <w:tr w:rsidR="001E6BE2" w:rsidRPr="00072A8F" w14:paraId="30EF7521" w14:textId="77777777" w:rsidTr="00846337">
              <w:trPr>
                <w:trHeight w:hRule="exact" w:val="510"/>
                <w:jc w:val="center"/>
              </w:trPr>
              <w:tc>
                <w:tcPr>
                  <w:tcW w:w="4316" w:type="dxa"/>
                  <w:tcBorders>
                    <w:top w:val="nil"/>
                    <w:left w:val="nil"/>
                    <w:bottom w:val="single" w:sz="4" w:space="0" w:color="13B5EA"/>
                    <w:right w:val="nil"/>
                  </w:tcBorders>
                  <w:vAlign w:val="center"/>
                </w:tcPr>
                <w:p w14:paraId="11BD6F34" w14:textId="5D991E36" w:rsidR="0053375A" w:rsidRPr="00072A8F" w:rsidRDefault="0053375A" w:rsidP="002E6EC9">
                  <w:pPr>
                    <w:jc w:val="both"/>
                    <w:rPr>
                      <w:color w:val="13B5EA"/>
                    </w:rPr>
                  </w:pPr>
                  <w:bookmarkStart w:id="932" w:name="_Toc459207999"/>
                  <w:bookmarkStart w:id="933" w:name="_Toc459275413"/>
                  <w:bookmarkStart w:id="934" w:name="_Toc489954213"/>
                  <w:bookmarkStart w:id="935" w:name="_Toc490143846"/>
                  <w:bookmarkStart w:id="936" w:name="_Toc490642132"/>
                  <w:bookmarkStart w:id="937" w:name="_Toc522105578"/>
                  <w:bookmarkStart w:id="938" w:name="_Toc522200666"/>
                  <w:bookmarkStart w:id="939" w:name="_Toc523390251"/>
                  <w:bookmarkStart w:id="940" w:name="_Toc523392855"/>
                  <w:bookmarkStart w:id="941" w:name="_Toc49506928"/>
                  <w:r w:rsidRPr="00072A8F">
                    <w:rPr>
                      <w:rStyle w:val="grafChar"/>
                      <w:sz w:val="20"/>
                    </w:rPr>
                    <w:lastRenderedPageBreak/>
                    <w:t xml:space="preserve">Graf </w:t>
                  </w:r>
                  <w:r w:rsidR="00210990" w:rsidRPr="00072A8F">
                    <w:rPr>
                      <w:rStyle w:val="grafChar"/>
                      <w:sz w:val="20"/>
                    </w:rPr>
                    <w:t>1</w:t>
                  </w:r>
                  <w:r w:rsidR="00A76E50">
                    <w:rPr>
                      <w:rStyle w:val="grafChar"/>
                      <w:sz w:val="20"/>
                    </w:rPr>
                    <w:t>6</w:t>
                  </w:r>
                  <w:r w:rsidRPr="00072A8F">
                    <w:rPr>
                      <w:rStyle w:val="grafChar"/>
                      <w:sz w:val="20"/>
                    </w:rPr>
                    <w:t>: Vývoj hrubého dlhu verejnej správy v rokoch 2010-20</w:t>
                  </w:r>
                  <w:r w:rsidR="002C4052" w:rsidRPr="00072A8F">
                    <w:rPr>
                      <w:rStyle w:val="grafChar"/>
                      <w:sz w:val="20"/>
                    </w:rPr>
                    <w:t>2</w:t>
                  </w:r>
                  <w:r w:rsidR="00E913DE">
                    <w:rPr>
                      <w:rStyle w:val="grafChar"/>
                      <w:sz w:val="20"/>
                    </w:rPr>
                    <w:t>3</w:t>
                  </w:r>
                  <w:bookmarkEnd w:id="932"/>
                  <w:bookmarkEnd w:id="933"/>
                  <w:bookmarkEnd w:id="934"/>
                  <w:bookmarkEnd w:id="935"/>
                  <w:bookmarkEnd w:id="936"/>
                  <w:bookmarkEnd w:id="937"/>
                  <w:bookmarkEnd w:id="938"/>
                  <w:bookmarkEnd w:id="939"/>
                  <w:bookmarkEnd w:id="940"/>
                  <w:bookmarkEnd w:id="941"/>
                  <w:r w:rsidRPr="00072A8F">
                    <w:rPr>
                      <w:rStyle w:val="grafChar"/>
                      <w:sz w:val="20"/>
                    </w:rPr>
                    <w:t xml:space="preserve"> </w:t>
                  </w:r>
                  <w:r w:rsidRPr="00072A8F">
                    <w:rPr>
                      <w:b/>
                      <w:color w:val="13B5EA"/>
                      <w:sz w:val="20"/>
                    </w:rPr>
                    <w:t>(ESA2010, % HDP)</w:t>
                  </w:r>
                </w:p>
              </w:tc>
              <w:tc>
                <w:tcPr>
                  <w:tcW w:w="277" w:type="dxa"/>
                  <w:gridSpan w:val="2"/>
                  <w:vAlign w:val="center"/>
                </w:tcPr>
                <w:p w14:paraId="2B5FC827" w14:textId="77777777" w:rsidR="0053375A" w:rsidRPr="00072A8F" w:rsidRDefault="0053375A" w:rsidP="00EA0905">
                  <w:pPr>
                    <w:rPr>
                      <w:b/>
                      <w:color w:val="13B5EA"/>
                      <w:sz w:val="20"/>
                    </w:rPr>
                  </w:pPr>
                </w:p>
              </w:tc>
              <w:tc>
                <w:tcPr>
                  <w:tcW w:w="4231" w:type="dxa"/>
                  <w:gridSpan w:val="2"/>
                  <w:tcBorders>
                    <w:top w:val="nil"/>
                    <w:left w:val="nil"/>
                    <w:bottom w:val="single" w:sz="4" w:space="0" w:color="13B5EB"/>
                    <w:right w:val="nil"/>
                  </w:tcBorders>
                  <w:vAlign w:val="center"/>
                </w:tcPr>
                <w:p w14:paraId="148E44BB" w14:textId="7957043B" w:rsidR="0053375A" w:rsidRPr="00072A8F" w:rsidRDefault="0053375A" w:rsidP="002E6EC9">
                  <w:pPr>
                    <w:jc w:val="both"/>
                    <w:rPr>
                      <w:b/>
                      <w:color w:val="13B5EA"/>
                      <w:sz w:val="20"/>
                    </w:rPr>
                  </w:pPr>
                  <w:bookmarkStart w:id="942" w:name="_Toc459208000"/>
                  <w:bookmarkStart w:id="943" w:name="_Toc459275414"/>
                  <w:bookmarkStart w:id="944" w:name="_Toc489954214"/>
                  <w:bookmarkStart w:id="945" w:name="_Toc490143847"/>
                  <w:bookmarkStart w:id="946" w:name="_Toc490642133"/>
                  <w:bookmarkStart w:id="947" w:name="_Toc522105579"/>
                  <w:bookmarkStart w:id="948" w:name="_Toc522200667"/>
                  <w:bookmarkStart w:id="949" w:name="_Toc523390252"/>
                  <w:bookmarkStart w:id="950" w:name="_Toc523392856"/>
                  <w:bookmarkStart w:id="951" w:name="_Toc49506929"/>
                  <w:r w:rsidRPr="00072A8F">
                    <w:rPr>
                      <w:rStyle w:val="grafChar"/>
                      <w:sz w:val="20"/>
                    </w:rPr>
                    <w:t xml:space="preserve">Graf </w:t>
                  </w:r>
                  <w:r w:rsidR="00210990" w:rsidRPr="00072A8F">
                    <w:rPr>
                      <w:rStyle w:val="grafChar"/>
                      <w:sz w:val="20"/>
                    </w:rPr>
                    <w:t>1</w:t>
                  </w:r>
                  <w:r w:rsidR="00A76E50">
                    <w:rPr>
                      <w:rStyle w:val="grafChar"/>
                      <w:sz w:val="20"/>
                    </w:rPr>
                    <w:t>7</w:t>
                  </w:r>
                  <w:r w:rsidRPr="00072A8F">
                    <w:rPr>
                      <w:rStyle w:val="grafChar"/>
                      <w:sz w:val="20"/>
                    </w:rPr>
                    <w:t>: Vývoj čistého dlhu verejnej správy v rokoch 2010-20</w:t>
                  </w:r>
                  <w:r w:rsidR="002C4052" w:rsidRPr="00072A8F">
                    <w:rPr>
                      <w:rStyle w:val="grafChar"/>
                      <w:sz w:val="20"/>
                    </w:rPr>
                    <w:t>2</w:t>
                  </w:r>
                  <w:r w:rsidR="00E913DE">
                    <w:rPr>
                      <w:rStyle w:val="grafChar"/>
                      <w:sz w:val="20"/>
                    </w:rPr>
                    <w:t>3</w:t>
                  </w:r>
                  <w:bookmarkEnd w:id="942"/>
                  <w:bookmarkEnd w:id="943"/>
                  <w:bookmarkEnd w:id="944"/>
                  <w:bookmarkEnd w:id="945"/>
                  <w:bookmarkEnd w:id="946"/>
                  <w:bookmarkEnd w:id="947"/>
                  <w:bookmarkEnd w:id="948"/>
                  <w:bookmarkEnd w:id="949"/>
                  <w:bookmarkEnd w:id="950"/>
                  <w:bookmarkEnd w:id="951"/>
                  <w:r w:rsidRPr="00072A8F">
                    <w:rPr>
                      <w:rStyle w:val="grafChar"/>
                      <w:sz w:val="20"/>
                    </w:rPr>
                    <w:t xml:space="preserve"> </w:t>
                  </w:r>
                  <w:r w:rsidRPr="00072A8F">
                    <w:rPr>
                      <w:b/>
                      <w:color w:val="13B5EA"/>
                      <w:sz w:val="20"/>
                    </w:rPr>
                    <w:t>(ESA2010, % HDP)</w:t>
                  </w:r>
                </w:p>
              </w:tc>
            </w:tr>
            <w:tr w:rsidR="001E6BE2" w:rsidRPr="00072A8F" w14:paraId="4D28876D" w14:textId="77777777" w:rsidTr="00846337">
              <w:tblPrEx>
                <w:tblCellMar>
                  <w:left w:w="70" w:type="dxa"/>
                  <w:right w:w="70" w:type="dxa"/>
                </w:tblCellMar>
              </w:tblPrEx>
              <w:trPr>
                <w:gridAfter w:val="1"/>
                <w:wAfter w:w="37" w:type="dxa"/>
                <w:trHeight w:val="2892"/>
                <w:jc w:val="center"/>
              </w:trPr>
              <w:tc>
                <w:tcPr>
                  <w:tcW w:w="4316" w:type="dxa"/>
                  <w:tcBorders>
                    <w:top w:val="single" w:sz="4" w:space="0" w:color="13B5EA"/>
                    <w:left w:val="nil"/>
                    <w:bottom w:val="single" w:sz="4" w:space="0" w:color="13B5EA"/>
                    <w:right w:val="nil"/>
                  </w:tcBorders>
                  <w:vAlign w:val="center"/>
                  <w:hideMark/>
                </w:tcPr>
                <w:p w14:paraId="6D6D397E" w14:textId="0A86C0D1" w:rsidR="0053375A" w:rsidRPr="00072A8F" w:rsidRDefault="1C29CF41" w:rsidP="00EA0905">
                  <w:r>
                    <w:rPr>
                      <w:noProof/>
                    </w:rPr>
                    <w:drawing>
                      <wp:inline distT="0" distB="0" distL="0" distR="0" wp14:anchorId="22CF422E" wp14:editId="5181AFE2">
                        <wp:extent cx="2727705" cy="16363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9">
                                  <a:extLst>
                                    <a:ext uri="{28A0092B-C50C-407E-A947-70E740481C1C}">
                                      <a14:useLocalDpi xmlns:a14="http://schemas.microsoft.com/office/drawing/2010/main" val="0"/>
                                    </a:ext>
                                  </a:extLst>
                                </a:blip>
                                <a:stretch>
                                  <a:fillRect/>
                                </a:stretch>
                              </pic:blipFill>
                              <pic:spPr>
                                <a:xfrm>
                                  <a:off x="0" y="0"/>
                                  <a:ext cx="2727705" cy="1636395"/>
                                </a:xfrm>
                                <a:prstGeom prst="rect">
                                  <a:avLst/>
                                </a:prstGeom>
                              </pic:spPr>
                            </pic:pic>
                          </a:graphicData>
                        </a:graphic>
                      </wp:inline>
                    </w:drawing>
                  </w:r>
                </w:p>
              </w:tc>
              <w:tc>
                <w:tcPr>
                  <w:tcW w:w="162" w:type="dxa"/>
                  <w:vAlign w:val="center"/>
                </w:tcPr>
                <w:p w14:paraId="1243940F" w14:textId="77777777" w:rsidR="0053375A" w:rsidRPr="00072A8F" w:rsidRDefault="0053375A" w:rsidP="00EA0905"/>
              </w:tc>
              <w:tc>
                <w:tcPr>
                  <w:tcW w:w="4309" w:type="dxa"/>
                  <w:gridSpan w:val="2"/>
                  <w:tcBorders>
                    <w:top w:val="single" w:sz="4" w:space="0" w:color="13B5EB"/>
                    <w:left w:val="nil"/>
                    <w:bottom w:val="single" w:sz="4" w:space="0" w:color="13B5EB"/>
                    <w:right w:val="nil"/>
                  </w:tcBorders>
                  <w:vAlign w:val="center"/>
                </w:tcPr>
                <w:p w14:paraId="4593AB89" w14:textId="6E9FCCD1" w:rsidR="0053375A" w:rsidRPr="00072A8F" w:rsidRDefault="1C29CF41" w:rsidP="00EA0905">
                  <w:pPr>
                    <w:ind w:right="-232"/>
                  </w:pPr>
                  <w:r>
                    <w:rPr>
                      <w:noProof/>
                    </w:rPr>
                    <w:drawing>
                      <wp:inline distT="0" distB="0" distL="0" distR="0" wp14:anchorId="7B9D970A" wp14:editId="3DA9394D">
                        <wp:extent cx="2682240" cy="1609122"/>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0">
                                  <a:extLst>
                                    <a:ext uri="{28A0092B-C50C-407E-A947-70E740481C1C}">
                                      <a14:useLocalDpi xmlns:a14="http://schemas.microsoft.com/office/drawing/2010/main" val="0"/>
                                    </a:ext>
                                  </a:extLst>
                                </a:blip>
                                <a:stretch>
                                  <a:fillRect/>
                                </a:stretch>
                              </pic:blipFill>
                              <pic:spPr>
                                <a:xfrm>
                                  <a:off x="0" y="0"/>
                                  <a:ext cx="2682240" cy="1609122"/>
                                </a:xfrm>
                                <a:prstGeom prst="rect">
                                  <a:avLst/>
                                </a:prstGeom>
                              </pic:spPr>
                            </pic:pic>
                          </a:graphicData>
                        </a:graphic>
                      </wp:inline>
                    </w:drawing>
                  </w:r>
                </w:p>
              </w:tc>
            </w:tr>
            <w:tr w:rsidR="001E6BE2" w:rsidRPr="00072A8F" w14:paraId="46D0A0A3" w14:textId="77777777" w:rsidTr="00846337">
              <w:trPr>
                <w:trHeight w:val="227"/>
                <w:jc w:val="center"/>
              </w:trPr>
              <w:tc>
                <w:tcPr>
                  <w:tcW w:w="4316" w:type="dxa"/>
                  <w:tcBorders>
                    <w:top w:val="single" w:sz="4" w:space="0" w:color="13B5EA"/>
                    <w:left w:val="nil"/>
                    <w:right w:val="nil"/>
                  </w:tcBorders>
                  <w:vAlign w:val="center"/>
                  <w:hideMark/>
                </w:tcPr>
                <w:p w14:paraId="26E04694" w14:textId="77777777" w:rsidR="0053375A" w:rsidRPr="00072A8F" w:rsidRDefault="0053375A" w:rsidP="00EA0905">
                  <w:pPr>
                    <w:jc w:val="right"/>
                    <w:rPr>
                      <w:i/>
                      <w:color w:val="00B0F0"/>
                      <w:sz w:val="16"/>
                      <w:szCs w:val="16"/>
                    </w:rPr>
                  </w:pPr>
                  <w:r w:rsidRPr="00072A8F">
                    <w:rPr>
                      <w:i/>
                      <w:color w:val="00B0F0"/>
                      <w:sz w:val="16"/>
                      <w:szCs w:val="16"/>
                    </w:rPr>
                    <w:t xml:space="preserve">Zdroj: ŠÚ SR, MF SR, RRZ </w:t>
                  </w:r>
                </w:p>
              </w:tc>
              <w:tc>
                <w:tcPr>
                  <w:tcW w:w="277" w:type="dxa"/>
                  <w:gridSpan w:val="2"/>
                  <w:vAlign w:val="center"/>
                </w:tcPr>
                <w:p w14:paraId="0500576A" w14:textId="77777777" w:rsidR="0053375A" w:rsidRPr="00072A8F" w:rsidRDefault="0053375A" w:rsidP="00EA0905">
                  <w:pPr>
                    <w:rPr>
                      <w:i/>
                      <w:color w:val="00B0F0"/>
                      <w:sz w:val="16"/>
                      <w:szCs w:val="16"/>
                    </w:rPr>
                  </w:pPr>
                </w:p>
              </w:tc>
              <w:tc>
                <w:tcPr>
                  <w:tcW w:w="4231" w:type="dxa"/>
                  <w:gridSpan w:val="2"/>
                  <w:tcBorders>
                    <w:top w:val="single" w:sz="4" w:space="0" w:color="13B5EB"/>
                    <w:left w:val="nil"/>
                    <w:right w:val="nil"/>
                  </w:tcBorders>
                  <w:vAlign w:val="center"/>
                </w:tcPr>
                <w:p w14:paraId="79262118" w14:textId="77777777" w:rsidR="0053375A" w:rsidRPr="00072A8F" w:rsidRDefault="0053375A" w:rsidP="00EA0905">
                  <w:pPr>
                    <w:jc w:val="right"/>
                    <w:rPr>
                      <w:i/>
                      <w:color w:val="00B0F0"/>
                      <w:sz w:val="16"/>
                      <w:szCs w:val="16"/>
                    </w:rPr>
                  </w:pPr>
                  <w:r w:rsidRPr="00072A8F">
                    <w:rPr>
                      <w:i/>
                      <w:color w:val="00B0F0"/>
                      <w:sz w:val="16"/>
                      <w:szCs w:val="16"/>
                    </w:rPr>
                    <w:t>Zdroj: ŠÚ SR, MF SR, RRZ</w:t>
                  </w:r>
                </w:p>
              </w:tc>
            </w:tr>
          </w:tbl>
          <w:p w14:paraId="4CAF5E10" w14:textId="77777777" w:rsidR="0053375A" w:rsidRPr="00072A8F" w:rsidRDefault="0053375A" w:rsidP="00EA0905">
            <w:pPr>
              <w:jc w:val="both"/>
              <w:rPr>
                <w:b/>
                <w:sz w:val="20"/>
                <w:szCs w:val="18"/>
              </w:rPr>
            </w:pPr>
          </w:p>
          <w:p w14:paraId="7EB86546" w14:textId="0381654A" w:rsidR="0053375A" w:rsidRPr="00072A8F" w:rsidRDefault="0053375A" w:rsidP="00EA0905">
            <w:pPr>
              <w:jc w:val="both"/>
              <w:rPr>
                <w:sz w:val="20"/>
                <w:szCs w:val="18"/>
              </w:rPr>
            </w:pPr>
            <w:r w:rsidRPr="00072A8F">
              <w:rPr>
                <w:sz w:val="20"/>
                <w:szCs w:val="18"/>
              </w:rPr>
              <w:t>Za predpokladu, že by hrubý dlh po roku 2010 nebol ovplyvnený jednorazovými faktormi, dlh by kontinuálne rástol do roku 201</w:t>
            </w:r>
            <w:r w:rsidR="00806335" w:rsidRPr="00072A8F">
              <w:rPr>
                <w:sz w:val="20"/>
                <w:szCs w:val="18"/>
              </w:rPr>
              <w:t>6</w:t>
            </w:r>
            <w:r w:rsidRPr="00072A8F">
              <w:rPr>
                <w:sz w:val="20"/>
                <w:szCs w:val="18"/>
              </w:rPr>
              <w:t xml:space="preserve"> k úrovni tesne </w:t>
            </w:r>
            <w:r w:rsidR="001E6BE2" w:rsidRPr="00072A8F">
              <w:rPr>
                <w:sz w:val="20"/>
                <w:szCs w:val="18"/>
              </w:rPr>
              <w:t>po</w:t>
            </w:r>
            <w:r w:rsidR="00806335" w:rsidRPr="00072A8F">
              <w:rPr>
                <w:sz w:val="20"/>
                <w:szCs w:val="18"/>
              </w:rPr>
              <w:t>d</w:t>
            </w:r>
            <w:r w:rsidRPr="00072A8F">
              <w:rPr>
                <w:sz w:val="20"/>
                <w:szCs w:val="18"/>
              </w:rPr>
              <w:t xml:space="preserve"> 56 % HDP (neuvažuje sa so zmenou fiškálnej politiky vplyvom prekročenia niektorých hraníc dlhu spojených so sankciami v ústavnom zákone). Až</w:t>
            </w:r>
            <w:r w:rsidR="009C4143" w:rsidRPr="00072A8F">
              <w:rPr>
                <w:sz w:val="20"/>
                <w:szCs w:val="18"/>
              </w:rPr>
              <w:t> </w:t>
            </w:r>
            <w:r w:rsidRPr="00072A8F">
              <w:rPr>
                <w:sz w:val="20"/>
                <w:szCs w:val="18"/>
              </w:rPr>
              <w:t xml:space="preserve">po tomto období by vplyvom </w:t>
            </w:r>
            <w:r w:rsidR="00806335" w:rsidRPr="00072A8F">
              <w:rPr>
                <w:sz w:val="20"/>
                <w:szCs w:val="18"/>
              </w:rPr>
              <w:t>znižovania deficitu verejnej správy</w:t>
            </w:r>
            <w:r w:rsidRPr="00072A8F">
              <w:rPr>
                <w:sz w:val="20"/>
                <w:szCs w:val="18"/>
              </w:rPr>
              <w:t xml:space="preserve"> a prognózovaného zrýchlenia rastu ekonomiky došlo k jeho postupnému poklesu. </w:t>
            </w:r>
            <w:r w:rsidR="00407F70">
              <w:rPr>
                <w:sz w:val="20"/>
                <w:szCs w:val="18"/>
              </w:rPr>
              <w:t>Od roku 2020 sa odhaduje jeho opätovný nárast najmä v dôsledku vplyvu pandémie koronavírusu na slovenskú ekonomiku, pričom bez prijatia dodatočných opatrení by n</w:t>
            </w:r>
            <w:r w:rsidRPr="00072A8F">
              <w:rPr>
                <w:sz w:val="20"/>
                <w:szCs w:val="18"/>
              </w:rPr>
              <w:t>a konci roku 20</w:t>
            </w:r>
            <w:r w:rsidR="002C4052" w:rsidRPr="00072A8F">
              <w:rPr>
                <w:sz w:val="20"/>
                <w:szCs w:val="18"/>
              </w:rPr>
              <w:t>2</w:t>
            </w:r>
            <w:r w:rsidR="00E80F69" w:rsidRPr="00072A8F">
              <w:rPr>
                <w:sz w:val="20"/>
                <w:szCs w:val="18"/>
              </w:rPr>
              <w:t>3</w:t>
            </w:r>
            <w:r w:rsidRPr="00072A8F">
              <w:rPr>
                <w:sz w:val="20"/>
                <w:szCs w:val="18"/>
              </w:rPr>
              <w:t xml:space="preserve"> dlh dosahoval </w:t>
            </w:r>
            <w:r w:rsidR="00E80F69" w:rsidRPr="00072A8F">
              <w:rPr>
                <w:sz w:val="20"/>
                <w:szCs w:val="18"/>
              </w:rPr>
              <w:t>75</w:t>
            </w:r>
            <w:r w:rsidR="00806335" w:rsidRPr="00072A8F">
              <w:rPr>
                <w:sz w:val="20"/>
                <w:szCs w:val="18"/>
              </w:rPr>
              <w:t>,</w:t>
            </w:r>
            <w:r w:rsidR="00E80F69" w:rsidRPr="00072A8F">
              <w:rPr>
                <w:sz w:val="20"/>
                <w:szCs w:val="18"/>
              </w:rPr>
              <w:t>3</w:t>
            </w:r>
            <w:r w:rsidRPr="00072A8F">
              <w:rPr>
                <w:sz w:val="20"/>
                <w:szCs w:val="18"/>
              </w:rPr>
              <w:t xml:space="preserve"> % HDP. </w:t>
            </w:r>
            <w:r w:rsidR="00D80017">
              <w:rPr>
                <w:sz w:val="20"/>
                <w:szCs w:val="18"/>
              </w:rPr>
              <w:t xml:space="preserve">Vývoj </w:t>
            </w:r>
            <w:r w:rsidRPr="00072A8F">
              <w:rPr>
                <w:sz w:val="20"/>
                <w:szCs w:val="18"/>
              </w:rPr>
              <w:t>čistého dlhu bez jednorazových vplyvov je podobný, pričom dosahuje približne o </w:t>
            </w:r>
            <w:r w:rsidR="001E6BE2" w:rsidRPr="00072A8F">
              <w:rPr>
                <w:sz w:val="20"/>
                <w:szCs w:val="18"/>
              </w:rPr>
              <w:t>5</w:t>
            </w:r>
            <w:r w:rsidR="009C4143" w:rsidRPr="00072A8F">
              <w:rPr>
                <w:sz w:val="20"/>
                <w:szCs w:val="18"/>
              </w:rPr>
              <w:t> </w:t>
            </w:r>
            <w:r w:rsidRPr="00072A8F">
              <w:rPr>
                <w:sz w:val="20"/>
                <w:szCs w:val="18"/>
              </w:rPr>
              <w:t>perc</w:t>
            </w:r>
            <w:r w:rsidR="009C4143" w:rsidRPr="00072A8F">
              <w:rPr>
                <w:sz w:val="20"/>
                <w:szCs w:val="18"/>
              </w:rPr>
              <w:t>entuáln</w:t>
            </w:r>
            <w:r w:rsidR="001E6BE2" w:rsidRPr="00072A8F">
              <w:rPr>
                <w:sz w:val="20"/>
                <w:szCs w:val="18"/>
              </w:rPr>
              <w:t>ych</w:t>
            </w:r>
            <w:r w:rsidRPr="00072A8F">
              <w:rPr>
                <w:sz w:val="20"/>
                <w:szCs w:val="18"/>
              </w:rPr>
              <w:t xml:space="preserve"> bod</w:t>
            </w:r>
            <w:r w:rsidR="001E6BE2" w:rsidRPr="00072A8F">
              <w:rPr>
                <w:sz w:val="20"/>
                <w:szCs w:val="18"/>
              </w:rPr>
              <w:t>ov</w:t>
            </w:r>
            <w:r w:rsidRPr="00072A8F">
              <w:rPr>
                <w:sz w:val="20"/>
                <w:szCs w:val="18"/>
              </w:rPr>
              <w:t xml:space="preserve"> nižšie hodnoty ako hrubý dlh.</w:t>
            </w:r>
          </w:p>
          <w:p w14:paraId="031229FE" w14:textId="77777777" w:rsidR="0053375A" w:rsidRPr="003B02EB" w:rsidRDefault="0053375A" w:rsidP="00EA0905">
            <w:pPr>
              <w:jc w:val="both"/>
              <w:rPr>
                <w:sz w:val="10"/>
                <w:szCs w:val="14"/>
              </w:rPr>
            </w:pPr>
          </w:p>
        </w:tc>
      </w:tr>
    </w:tbl>
    <w:p w14:paraId="71CA392C" w14:textId="77777777" w:rsidR="00E47D9E" w:rsidRPr="00B81300" w:rsidRDefault="00E47D9E" w:rsidP="0064380C">
      <w:pPr>
        <w:rPr>
          <w:highlight w:val="yellow"/>
        </w:rPr>
      </w:pPr>
      <w:bookmarkStart w:id="952" w:name="_Toc459208025"/>
      <w:bookmarkStart w:id="953" w:name="_Toc459275443"/>
      <w:bookmarkStart w:id="954" w:name="_Toc489954288"/>
      <w:bookmarkStart w:id="955" w:name="_Toc490143821"/>
      <w:bookmarkStart w:id="956" w:name="_Toc490642167"/>
    </w:p>
    <w:p w14:paraId="059AF0CF" w14:textId="77777777" w:rsidR="00E47D9E" w:rsidRPr="00B81300" w:rsidRDefault="00E47D9E">
      <w:pPr>
        <w:rPr>
          <w:rFonts w:cs="Arial"/>
          <w:color w:val="59595B"/>
          <w:kern w:val="32"/>
          <w:sz w:val="32"/>
          <w:szCs w:val="32"/>
          <w:highlight w:val="yellow"/>
        </w:rPr>
      </w:pPr>
      <w:r w:rsidRPr="00B81300">
        <w:rPr>
          <w:highlight w:val="yellow"/>
        </w:rPr>
        <w:br w:type="page"/>
      </w:r>
    </w:p>
    <w:p w14:paraId="7D4A6E79" w14:textId="0B73B1BA" w:rsidR="00FA78C7" w:rsidRPr="008453F5" w:rsidRDefault="00FA78C7" w:rsidP="00E600B9">
      <w:pPr>
        <w:pStyle w:val="Heading1"/>
        <w:spacing w:before="120"/>
      </w:pPr>
      <w:bookmarkStart w:id="957" w:name="_Toc521678169"/>
      <w:bookmarkStart w:id="958" w:name="_Toc521679446"/>
      <w:bookmarkStart w:id="959" w:name="_Toc523390343"/>
      <w:bookmarkStart w:id="960" w:name="_Toc523390289"/>
      <w:bookmarkStart w:id="961" w:name="_Toc523391014"/>
      <w:bookmarkStart w:id="962" w:name="_Toc523391595"/>
      <w:bookmarkStart w:id="963" w:name="_Toc523392894"/>
      <w:bookmarkStart w:id="964" w:name="_Toc49506888"/>
      <w:r w:rsidRPr="008453F5">
        <w:lastRenderedPageBreak/>
        <w:t xml:space="preserve">Príloha </w:t>
      </w:r>
      <w:r w:rsidR="009E30CB" w:rsidRPr="008453F5">
        <w:t xml:space="preserve">4 </w:t>
      </w:r>
      <w:r w:rsidR="005143A0" w:rsidRPr="008453F5">
        <w:t>–</w:t>
      </w:r>
      <w:r w:rsidRPr="008453F5">
        <w:t xml:space="preserve"> </w:t>
      </w:r>
      <w:bookmarkEnd w:id="659"/>
      <w:bookmarkEnd w:id="660"/>
      <w:bookmarkEnd w:id="661"/>
      <w:bookmarkEnd w:id="662"/>
      <w:bookmarkEnd w:id="663"/>
      <w:bookmarkEnd w:id="664"/>
      <w:bookmarkEnd w:id="665"/>
      <w:bookmarkEnd w:id="666"/>
      <w:bookmarkEnd w:id="667"/>
      <w:bookmarkEnd w:id="668"/>
      <w:bookmarkEnd w:id="669"/>
      <w:bookmarkEnd w:id="887"/>
      <w:r w:rsidR="00371D00" w:rsidRPr="008453F5">
        <w:t>Prehľad zmien v prognózach hrubého dlhu VS</w:t>
      </w:r>
      <w:bookmarkEnd w:id="888"/>
      <w:bookmarkEnd w:id="952"/>
      <w:bookmarkEnd w:id="953"/>
      <w:bookmarkEnd w:id="954"/>
      <w:bookmarkEnd w:id="955"/>
      <w:bookmarkEnd w:id="956"/>
      <w:bookmarkEnd w:id="957"/>
      <w:bookmarkEnd w:id="958"/>
      <w:bookmarkEnd w:id="959"/>
      <w:bookmarkEnd w:id="960"/>
      <w:bookmarkEnd w:id="961"/>
      <w:bookmarkEnd w:id="962"/>
      <w:bookmarkEnd w:id="963"/>
      <w:bookmarkEnd w:id="964"/>
      <w:r w:rsidR="00F5098F" w:rsidRPr="008453F5">
        <w:t xml:space="preserve"> </w:t>
      </w:r>
    </w:p>
    <w:p w14:paraId="79FE0D1D" w14:textId="77777777" w:rsidR="001C7FE8" w:rsidRPr="008453F5" w:rsidRDefault="001C7FE8" w:rsidP="00566290">
      <w:pPr>
        <w:jc w:val="both"/>
        <w:rPr>
          <w:sz w:val="10"/>
        </w:rPr>
      </w:pPr>
    </w:p>
    <w:tbl>
      <w:tblPr>
        <w:tblW w:w="9306" w:type="dxa"/>
        <w:jc w:val="center"/>
        <w:tblLook w:val="01E0" w:firstRow="1" w:lastRow="1" w:firstColumn="1" w:lastColumn="1" w:noHBand="0" w:noVBand="0"/>
      </w:tblPr>
      <w:tblGrid>
        <w:gridCol w:w="10048"/>
      </w:tblGrid>
      <w:tr w:rsidR="006E5C2F" w:rsidRPr="00B81300" w14:paraId="667EA3E5" w14:textId="77777777" w:rsidTr="00475086">
        <w:trPr>
          <w:trHeight w:hRule="exact" w:val="340"/>
          <w:jc w:val="center"/>
        </w:trPr>
        <w:tc>
          <w:tcPr>
            <w:tcW w:w="9306" w:type="dxa"/>
            <w:tcBorders>
              <w:bottom w:val="single" w:sz="4" w:space="0" w:color="13B5EA"/>
            </w:tcBorders>
            <w:vAlign w:val="center"/>
          </w:tcPr>
          <w:p w14:paraId="3809AEAB" w14:textId="58F061DB" w:rsidR="006E5C2F" w:rsidRPr="008453F5" w:rsidRDefault="006E5C2F" w:rsidP="007D2505">
            <w:pPr>
              <w:rPr>
                <w:color w:val="3366FF"/>
                <w:sz w:val="20"/>
              </w:rPr>
            </w:pPr>
            <w:bookmarkStart w:id="965" w:name="_Toc428178619"/>
            <w:bookmarkStart w:id="966" w:name="_Toc428351668"/>
            <w:bookmarkStart w:id="967" w:name="_Toc458502418"/>
            <w:bookmarkStart w:id="968" w:name="_Toc459208001"/>
            <w:bookmarkStart w:id="969" w:name="_Toc459275415"/>
            <w:bookmarkStart w:id="970" w:name="_Toc489954215"/>
            <w:bookmarkStart w:id="971" w:name="_Toc490143848"/>
            <w:bookmarkStart w:id="972" w:name="_Toc490642134"/>
            <w:bookmarkStart w:id="973" w:name="_Toc522105580"/>
            <w:bookmarkStart w:id="974" w:name="_Toc522200668"/>
            <w:bookmarkStart w:id="975" w:name="_Toc523315559"/>
            <w:bookmarkStart w:id="976" w:name="_Toc523389477"/>
            <w:bookmarkStart w:id="977" w:name="_Toc523389356"/>
            <w:bookmarkStart w:id="978" w:name="_Toc523389878"/>
            <w:bookmarkStart w:id="979" w:name="_Toc523389843"/>
            <w:bookmarkStart w:id="980" w:name="_Toc523390253"/>
            <w:bookmarkStart w:id="981" w:name="_Toc523392860"/>
            <w:bookmarkStart w:id="982" w:name="_Toc49506912"/>
            <w:r w:rsidRPr="008453F5">
              <w:rPr>
                <w:rStyle w:val="schmaChar"/>
                <w:rFonts w:eastAsiaTheme="minorHAnsi"/>
                <w:sz w:val="20"/>
              </w:rPr>
              <w:t xml:space="preserve">Schéma </w:t>
            </w:r>
            <w:r w:rsidR="008F1898">
              <w:rPr>
                <w:rStyle w:val="schmaChar"/>
                <w:rFonts w:eastAsiaTheme="minorHAnsi"/>
                <w:sz w:val="20"/>
              </w:rPr>
              <w:t>3</w:t>
            </w:r>
            <w:r w:rsidRPr="008453F5">
              <w:rPr>
                <w:rStyle w:val="schmaChar"/>
                <w:rFonts w:eastAsiaTheme="minorHAnsi"/>
                <w:sz w:val="20"/>
              </w:rPr>
              <w:t>: Prognóza dlhu v jednotlivých fázach rozpočtového procesu</w:t>
            </w:r>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r w:rsidRPr="008453F5">
              <w:rPr>
                <w:rFonts w:eastAsiaTheme="minorHAnsi"/>
                <w:sz w:val="18"/>
              </w:rPr>
              <w:t xml:space="preserve"> </w:t>
            </w:r>
            <w:r w:rsidRPr="008453F5">
              <w:rPr>
                <w:rFonts w:eastAsiaTheme="minorHAnsi"/>
                <w:b/>
                <w:color w:val="13B5EA"/>
                <w:sz w:val="20"/>
              </w:rPr>
              <w:t>(% HDP)</w:t>
            </w:r>
          </w:p>
        </w:tc>
      </w:tr>
      <w:tr w:rsidR="006E5C2F" w:rsidRPr="00B81300" w14:paraId="1376BAA1" w14:textId="77777777" w:rsidTr="00FA67C0">
        <w:trPr>
          <w:trHeight w:val="2768"/>
          <w:jc w:val="center"/>
        </w:trPr>
        <w:tc>
          <w:tcPr>
            <w:tcW w:w="9306" w:type="dxa"/>
            <w:tcBorders>
              <w:top w:val="single" w:sz="4" w:space="0" w:color="13B5EA"/>
              <w:bottom w:val="single" w:sz="4" w:space="0" w:color="13B5EA"/>
            </w:tcBorders>
            <w:vAlign w:val="center"/>
          </w:tcPr>
          <w:p w14:paraId="236276DD" w14:textId="30B3A501" w:rsidR="006E5C2F" w:rsidRPr="00B81300" w:rsidRDefault="0004568E" w:rsidP="00E97742">
            <w:pPr>
              <w:jc w:val="center"/>
              <w:rPr>
                <w:highlight w:val="yellow"/>
              </w:rPr>
            </w:pPr>
            <w:r w:rsidRPr="008453F5">
              <w:rPr>
                <w:noProof/>
              </w:rPr>
              <w:drawing>
                <wp:inline distT="0" distB="0" distL="0" distR="0" wp14:anchorId="2B1CB9ED" wp14:editId="5A26F7CF">
                  <wp:extent cx="6243924" cy="7391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50595" cy="7399297"/>
                          </a:xfrm>
                          <a:prstGeom prst="rect">
                            <a:avLst/>
                          </a:prstGeom>
                          <a:noFill/>
                          <a:ln>
                            <a:noFill/>
                          </a:ln>
                        </pic:spPr>
                      </pic:pic>
                    </a:graphicData>
                  </a:graphic>
                </wp:inline>
              </w:drawing>
            </w:r>
          </w:p>
        </w:tc>
      </w:tr>
      <w:tr w:rsidR="006E5C2F" w:rsidRPr="00B81300" w14:paraId="25267E21" w14:textId="77777777" w:rsidTr="00FA67C0">
        <w:trPr>
          <w:jc w:val="center"/>
        </w:trPr>
        <w:tc>
          <w:tcPr>
            <w:tcW w:w="9306" w:type="dxa"/>
            <w:tcBorders>
              <w:top w:val="single" w:sz="4" w:space="0" w:color="13B5EA"/>
            </w:tcBorders>
          </w:tcPr>
          <w:p w14:paraId="4CE26AC2" w14:textId="421E6CDC" w:rsidR="006E5C2F" w:rsidRPr="00B81300" w:rsidRDefault="006E5C2F" w:rsidP="00E97742">
            <w:pPr>
              <w:rPr>
                <w:i/>
                <w:color w:val="13B5EA"/>
                <w:sz w:val="16"/>
                <w:szCs w:val="16"/>
                <w:highlight w:val="yellow"/>
              </w:rPr>
            </w:pPr>
            <w:r w:rsidRPr="008453F5">
              <w:rPr>
                <w:i/>
                <w:color w:val="13B5EA"/>
                <w:sz w:val="16"/>
                <w:szCs w:val="16"/>
              </w:rPr>
              <w:t xml:space="preserve">Pozn.: NT – notifikácia deficitu a dlhu, PS – program stability, NRVS – návrh rozpočtu verejnej správy, RVS – rozpočet verejnej správy, NR SR – Národná rada Slovenskej republiky                                                                                                                                               </w:t>
            </w:r>
            <w:r w:rsidR="00CF01DE">
              <w:rPr>
                <w:i/>
                <w:color w:val="13B5EA"/>
                <w:sz w:val="16"/>
                <w:szCs w:val="16"/>
              </w:rPr>
              <w:t xml:space="preserve">                                 </w:t>
            </w:r>
            <w:r w:rsidRPr="008453F5">
              <w:rPr>
                <w:i/>
                <w:color w:val="13B5EA"/>
                <w:sz w:val="16"/>
                <w:szCs w:val="16"/>
              </w:rPr>
              <w:t xml:space="preserve">  Zdroj: RRZ</w:t>
            </w:r>
          </w:p>
        </w:tc>
      </w:tr>
    </w:tbl>
    <w:p w14:paraId="2C1EA7DC" w14:textId="14247AE6" w:rsidR="00371D00" w:rsidRPr="00EF0A9D" w:rsidRDefault="00371D00" w:rsidP="00371D00">
      <w:pPr>
        <w:pStyle w:val="Heading1"/>
        <w:spacing w:before="120"/>
      </w:pPr>
      <w:bookmarkStart w:id="983" w:name="_Toc428351756"/>
      <w:bookmarkStart w:id="984" w:name="_Toc459208026"/>
      <w:bookmarkStart w:id="985" w:name="_Toc459275444"/>
      <w:bookmarkStart w:id="986" w:name="_Toc489954289"/>
      <w:bookmarkStart w:id="987" w:name="_Toc490143822"/>
      <w:bookmarkStart w:id="988" w:name="_Toc490642168"/>
      <w:bookmarkStart w:id="989" w:name="_Toc521678170"/>
      <w:bookmarkStart w:id="990" w:name="_Toc521679447"/>
      <w:bookmarkStart w:id="991" w:name="_Toc523390344"/>
      <w:bookmarkStart w:id="992" w:name="_Toc523390290"/>
      <w:bookmarkStart w:id="993" w:name="_Toc523391015"/>
      <w:bookmarkStart w:id="994" w:name="_Toc523391596"/>
      <w:bookmarkStart w:id="995" w:name="_Toc523392895"/>
      <w:bookmarkStart w:id="996" w:name="_Toc49506889"/>
      <w:r w:rsidRPr="00EF0A9D">
        <w:lastRenderedPageBreak/>
        <w:t xml:space="preserve">Príloha </w:t>
      </w:r>
      <w:r w:rsidR="009E30CB" w:rsidRPr="00EF0A9D">
        <w:t xml:space="preserve">5 </w:t>
      </w:r>
      <w:r w:rsidRPr="00EF0A9D">
        <w:t>– Odpovede k</w:t>
      </w:r>
      <w:r w:rsidR="00A63F6F" w:rsidRPr="00EF0A9D">
        <w:t xml:space="preserve"> finančnému krytiu </w:t>
      </w:r>
      <w:r w:rsidRPr="00EF0A9D">
        <w:t>dodatočný</w:t>
      </w:r>
      <w:r w:rsidR="00A63F6F" w:rsidRPr="00EF0A9D">
        <w:t>ch</w:t>
      </w:r>
      <w:r w:rsidRPr="00EF0A9D">
        <w:t xml:space="preserve"> úloh samosprávy</w:t>
      </w:r>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p>
    <w:p w14:paraId="2A60FCAC" w14:textId="5C95049C" w:rsidR="006713F7" w:rsidRPr="00B81300" w:rsidRDefault="006713F7">
      <w:pPr>
        <w:rPr>
          <w:highlight w:val="yellow"/>
        </w:rPr>
      </w:pPr>
    </w:p>
    <w:p w14:paraId="5A06B95C" w14:textId="23BB93CF" w:rsidR="00603057" w:rsidRPr="00BA06F0" w:rsidRDefault="00675A53" w:rsidP="00603057">
      <w:pPr>
        <w:jc w:val="both"/>
        <w:rPr>
          <w:rFonts w:eastAsia="Cambria"/>
        </w:rPr>
      </w:pPr>
      <w:r w:rsidRPr="00BA06F0">
        <w:t>RRZ pri vyhodnocovaní čl</w:t>
      </w:r>
      <w:r w:rsidR="00757B1F" w:rsidRPr="00BA06F0">
        <w:t>ánku</w:t>
      </w:r>
      <w:r w:rsidRPr="00BA06F0">
        <w:t xml:space="preserve"> 6, odseku 2 ústavného zákona o rozpočtovej zodpovednosti oslovila </w:t>
      </w:r>
      <w:r w:rsidRPr="00BA06F0">
        <w:rPr>
          <w:rFonts w:eastAsia="Cambria"/>
        </w:rPr>
        <w:t>listom Ministerstvo financií SR, Združenie miest a obcí Slovenska, Úniu miest Slovenska a Združenie samosprávnych krajov. V tejto časti sú uvedené citácie odpovedí jednotlivých inštitúcií</w:t>
      </w:r>
      <w:r w:rsidR="001708C6" w:rsidRPr="00BA06F0">
        <w:rPr>
          <w:rFonts w:eastAsia="Cambria"/>
        </w:rPr>
        <w:t xml:space="preserve"> týkajúcich sa dodatočných úloh samosprávy</w:t>
      </w:r>
      <w:r w:rsidRPr="00BA06F0">
        <w:rPr>
          <w:rFonts w:eastAsia="Cambria"/>
        </w:rPr>
        <w:t>.</w:t>
      </w:r>
      <w:r w:rsidR="006910AF" w:rsidRPr="00BA06F0">
        <w:rPr>
          <w:rFonts w:eastAsia="Cambria"/>
        </w:rPr>
        <w:t xml:space="preserve"> </w:t>
      </w:r>
      <w:r w:rsidR="001F7D06" w:rsidRPr="00BA06F0">
        <w:rPr>
          <w:rFonts w:eastAsia="Cambria"/>
        </w:rPr>
        <w:t>Otázky RRZ a k</w:t>
      </w:r>
      <w:r w:rsidR="006E03FF" w:rsidRPr="00BA06F0">
        <w:rPr>
          <w:rFonts w:eastAsia="Cambria"/>
        </w:rPr>
        <w:t>ompletné odpovede inštitúcií sú zverejnené spolu s </w:t>
      </w:r>
      <w:r w:rsidR="001F7D06" w:rsidRPr="00BA06F0">
        <w:rPr>
          <w:rFonts w:eastAsia="Cambria"/>
        </w:rPr>
        <w:t>týmto</w:t>
      </w:r>
      <w:r w:rsidR="006E03FF" w:rsidRPr="00BA06F0">
        <w:rPr>
          <w:rFonts w:eastAsia="Cambria"/>
        </w:rPr>
        <w:t xml:space="preserve"> materiál</w:t>
      </w:r>
      <w:r w:rsidR="001F7D06" w:rsidRPr="00BA06F0">
        <w:rPr>
          <w:rFonts w:eastAsia="Cambria"/>
        </w:rPr>
        <w:t>om</w:t>
      </w:r>
      <w:r w:rsidR="00494C30" w:rsidRPr="00BA06F0">
        <w:rPr>
          <w:rFonts w:eastAsia="Cambria"/>
        </w:rPr>
        <w:t>.</w:t>
      </w:r>
    </w:p>
    <w:p w14:paraId="4DCB3AD4" w14:textId="77777777" w:rsidR="00675A53" w:rsidRPr="00B81300" w:rsidRDefault="00675A53" w:rsidP="00603057">
      <w:pPr>
        <w:jc w:val="both"/>
        <w:rPr>
          <w:rFonts w:eastAsia="Cambria"/>
          <w:highlight w:val="yellow"/>
        </w:rPr>
      </w:pPr>
    </w:p>
    <w:p w14:paraId="5B6F8596" w14:textId="60948499" w:rsidR="00675A53" w:rsidRPr="009D538C" w:rsidRDefault="00675A53" w:rsidP="00603057">
      <w:pPr>
        <w:jc w:val="both"/>
        <w:rPr>
          <w:rFonts w:eastAsia="Cambria"/>
          <w:b/>
        </w:rPr>
      </w:pPr>
      <w:r w:rsidRPr="009D538C">
        <w:rPr>
          <w:rFonts w:eastAsia="Cambria"/>
          <w:b/>
        </w:rPr>
        <w:t>Ministerstvo financií SR:</w:t>
      </w:r>
    </w:p>
    <w:p w14:paraId="78BA0D49" w14:textId="77777777" w:rsidR="00675A53" w:rsidRPr="009D538C" w:rsidRDefault="00675A53" w:rsidP="00603057">
      <w:pPr>
        <w:jc w:val="both"/>
        <w:rPr>
          <w:rFonts w:eastAsia="Cambria"/>
        </w:rPr>
      </w:pPr>
    </w:p>
    <w:p w14:paraId="403FDA99" w14:textId="5C9A1BA6" w:rsidR="00A245E4" w:rsidRPr="005D1D69" w:rsidRDefault="00675A53" w:rsidP="00484932">
      <w:pPr>
        <w:jc w:val="both"/>
        <w:rPr>
          <w:rFonts w:eastAsia="Cambria"/>
        </w:rPr>
      </w:pPr>
      <w:r w:rsidRPr="005D1D69">
        <w:rPr>
          <w:rFonts w:eastAsia="Cambria"/>
        </w:rPr>
        <w:t>„</w:t>
      </w:r>
      <w:r w:rsidR="009C3C06" w:rsidRPr="005D1D69">
        <w:rPr>
          <w:rFonts w:eastAsia="Cambria"/>
        </w:rPr>
        <w:t>Ministerstvo financií SR v nadväznosti na doložky vplyvov na rozpočet verejnej správy neeviduje žiadnu úpravu pôsobnosti, ktorá by ustanovovala nové úlohy pre obce alebo vyššie územné celky od 1. januára 201</w:t>
      </w:r>
      <w:r w:rsidR="008611A2" w:rsidRPr="005D1D69">
        <w:rPr>
          <w:rFonts w:eastAsia="Cambria"/>
        </w:rPr>
        <w:t>9</w:t>
      </w:r>
      <w:r w:rsidR="009C3C06" w:rsidRPr="005D1D69">
        <w:rPr>
          <w:rFonts w:eastAsia="Cambria"/>
        </w:rPr>
        <w:t xml:space="preserve"> a ani od 1. januára 20</w:t>
      </w:r>
      <w:r w:rsidR="005D1D69" w:rsidRPr="005D1D69">
        <w:rPr>
          <w:rFonts w:eastAsia="Cambria"/>
        </w:rPr>
        <w:t>20</w:t>
      </w:r>
      <w:r w:rsidR="009C3C06" w:rsidRPr="005D1D69">
        <w:rPr>
          <w:rFonts w:eastAsia="Cambria"/>
        </w:rPr>
        <w:t>, na ktoré by bolo potrebné zabezpečiť zo štátneho rozpočtu zodpovedajúce finančné prostriedky.</w:t>
      </w:r>
      <w:r w:rsidR="00EC71A7">
        <w:rPr>
          <w:rFonts w:eastAsia="Cambria"/>
        </w:rPr>
        <w:t>“</w:t>
      </w:r>
    </w:p>
    <w:p w14:paraId="0078AFE8" w14:textId="77777777" w:rsidR="00A245E4" w:rsidRPr="00B81300" w:rsidRDefault="00A245E4" w:rsidP="00484932">
      <w:pPr>
        <w:jc w:val="both"/>
        <w:rPr>
          <w:rFonts w:eastAsia="Cambria"/>
          <w:highlight w:val="yellow"/>
        </w:rPr>
      </w:pPr>
    </w:p>
    <w:p w14:paraId="1AD81EB2" w14:textId="1AAE9850" w:rsidR="00675A53" w:rsidRPr="00CC1557" w:rsidRDefault="00675A53" w:rsidP="00603057">
      <w:pPr>
        <w:jc w:val="both"/>
        <w:rPr>
          <w:rFonts w:eastAsia="Cambria"/>
          <w:b/>
        </w:rPr>
      </w:pPr>
      <w:r w:rsidRPr="00CC1557">
        <w:rPr>
          <w:rFonts w:eastAsia="Cambria"/>
          <w:b/>
        </w:rPr>
        <w:t>Únia miest Slovenska</w:t>
      </w:r>
      <w:r w:rsidR="004C67F8">
        <w:rPr>
          <w:rFonts w:eastAsia="Cambria"/>
          <w:b/>
        </w:rPr>
        <w:t xml:space="preserve"> (ÚMS)</w:t>
      </w:r>
      <w:r w:rsidRPr="00CC1557">
        <w:rPr>
          <w:rFonts w:eastAsia="Cambria"/>
          <w:b/>
        </w:rPr>
        <w:t>:</w:t>
      </w:r>
    </w:p>
    <w:p w14:paraId="6310E7C2" w14:textId="77777777" w:rsidR="00CD4741" w:rsidRPr="00B81300" w:rsidRDefault="00CD4741" w:rsidP="00063DF9">
      <w:pPr>
        <w:autoSpaceDE w:val="0"/>
        <w:autoSpaceDN w:val="0"/>
        <w:adjustRightInd w:val="0"/>
        <w:jc w:val="both"/>
        <w:rPr>
          <w:b/>
          <w:color w:val="000000"/>
          <w:szCs w:val="22"/>
          <w:highlight w:val="yellow"/>
        </w:rPr>
      </w:pPr>
    </w:p>
    <w:p w14:paraId="5B355160" w14:textId="47280604" w:rsidR="00411C2E" w:rsidRPr="00CC1557" w:rsidRDefault="00DA0C45" w:rsidP="00063DF9">
      <w:pPr>
        <w:autoSpaceDE w:val="0"/>
        <w:autoSpaceDN w:val="0"/>
        <w:adjustRightInd w:val="0"/>
        <w:jc w:val="both"/>
        <w:rPr>
          <w:color w:val="000000"/>
          <w:szCs w:val="22"/>
        </w:rPr>
      </w:pPr>
      <w:r w:rsidRPr="00CC1557">
        <w:rPr>
          <w:b/>
          <w:bCs/>
          <w:color w:val="000000"/>
          <w:szCs w:val="22"/>
        </w:rPr>
        <w:t>Otázky: Došlo v roku 201</w:t>
      </w:r>
      <w:r w:rsidR="00405DE0" w:rsidRPr="00CC1557">
        <w:rPr>
          <w:b/>
          <w:bCs/>
          <w:color w:val="000000"/>
          <w:szCs w:val="22"/>
        </w:rPr>
        <w:t>9</w:t>
      </w:r>
      <w:r w:rsidR="00411C2E" w:rsidRPr="00CC1557">
        <w:rPr>
          <w:b/>
          <w:bCs/>
          <w:color w:val="000000"/>
          <w:szCs w:val="22"/>
        </w:rPr>
        <w:t xml:space="preserve">: </w:t>
      </w:r>
    </w:p>
    <w:p w14:paraId="1155AF5B" w14:textId="57BCA7D3" w:rsidR="00D91748" w:rsidRPr="00B81300" w:rsidRDefault="00D91748" w:rsidP="00484932">
      <w:pPr>
        <w:autoSpaceDE w:val="0"/>
        <w:autoSpaceDN w:val="0"/>
        <w:adjustRightInd w:val="0"/>
        <w:jc w:val="both"/>
        <w:rPr>
          <w:szCs w:val="22"/>
          <w:highlight w:val="yellow"/>
        </w:rPr>
      </w:pPr>
    </w:p>
    <w:p w14:paraId="440C0600" w14:textId="52182948" w:rsidR="00582C0C" w:rsidRDefault="00582C0C" w:rsidP="00582C0C">
      <w:pPr>
        <w:autoSpaceDE w:val="0"/>
        <w:autoSpaceDN w:val="0"/>
        <w:adjustRightInd w:val="0"/>
        <w:jc w:val="both"/>
        <w:rPr>
          <w:b/>
          <w:bCs/>
          <w:color w:val="000000"/>
          <w:szCs w:val="22"/>
        </w:rPr>
      </w:pPr>
      <w:r w:rsidRPr="00CC1557">
        <w:rPr>
          <w:b/>
          <w:bCs/>
          <w:color w:val="000000"/>
          <w:szCs w:val="22"/>
        </w:rPr>
        <w:t>1) k úprave pôsobnosti, ktorá Vášmu mestu ustanovuje nové úlohy a ak áno, akým spôsobom</w:t>
      </w:r>
      <w:r w:rsidR="008503F2" w:rsidRPr="00CC1557">
        <w:rPr>
          <w:b/>
          <w:bCs/>
          <w:color w:val="000000"/>
          <w:szCs w:val="22"/>
        </w:rPr>
        <w:t>,</w:t>
      </w:r>
      <w:r w:rsidRPr="00CC1557">
        <w:rPr>
          <w:b/>
          <w:bCs/>
          <w:color w:val="000000"/>
          <w:szCs w:val="22"/>
        </w:rPr>
        <w:t xml:space="preserve"> </w:t>
      </w:r>
      <w:r w:rsidR="002523DC" w:rsidRPr="00CC1557">
        <w:rPr>
          <w:b/>
          <w:bCs/>
          <w:color w:val="000000"/>
          <w:szCs w:val="22"/>
        </w:rPr>
        <w:t>t.j. zákon, podzákonný právny predpis, alebo nelegislatívne rozhodnutie</w:t>
      </w:r>
      <w:r w:rsidR="008503F2" w:rsidRPr="00CC1557">
        <w:rPr>
          <w:b/>
          <w:bCs/>
          <w:color w:val="000000"/>
          <w:szCs w:val="22"/>
        </w:rPr>
        <w:t>.</w:t>
      </w:r>
      <w:r w:rsidRPr="00CC1557">
        <w:rPr>
          <w:b/>
          <w:bCs/>
          <w:color w:val="000000"/>
          <w:szCs w:val="22"/>
        </w:rPr>
        <w:t xml:space="preserve"> </w:t>
      </w:r>
    </w:p>
    <w:p w14:paraId="03F49CDB" w14:textId="77777777" w:rsidR="000845FE" w:rsidRPr="00CC1557" w:rsidRDefault="000845FE" w:rsidP="00582C0C">
      <w:pPr>
        <w:autoSpaceDE w:val="0"/>
        <w:autoSpaceDN w:val="0"/>
        <w:adjustRightInd w:val="0"/>
        <w:jc w:val="both"/>
        <w:rPr>
          <w:b/>
          <w:color w:val="000000"/>
          <w:szCs w:val="22"/>
        </w:rPr>
      </w:pPr>
    </w:p>
    <w:p w14:paraId="1C4F018C" w14:textId="678304BE" w:rsidR="00582C0C" w:rsidRPr="004F4CD8" w:rsidRDefault="000845FE" w:rsidP="00582C0C">
      <w:pPr>
        <w:autoSpaceDE w:val="0"/>
        <w:autoSpaceDN w:val="0"/>
        <w:adjustRightInd w:val="0"/>
        <w:jc w:val="both"/>
        <w:rPr>
          <w:b/>
          <w:color w:val="000000"/>
          <w:szCs w:val="22"/>
        </w:rPr>
      </w:pPr>
      <w:r w:rsidRPr="004F4CD8">
        <w:rPr>
          <w:b/>
          <w:color w:val="000000"/>
          <w:szCs w:val="22"/>
        </w:rPr>
        <w:t>Stará Turá</w:t>
      </w:r>
    </w:p>
    <w:p w14:paraId="2859CF8E" w14:textId="75DCDC0B" w:rsidR="00E53203" w:rsidRDefault="00A84161" w:rsidP="00582C0C">
      <w:pPr>
        <w:autoSpaceDE w:val="0"/>
        <w:autoSpaceDN w:val="0"/>
        <w:adjustRightInd w:val="0"/>
        <w:jc w:val="both"/>
        <w:rPr>
          <w:bCs/>
          <w:color w:val="000000"/>
          <w:szCs w:val="22"/>
        </w:rPr>
      </w:pPr>
      <w:r w:rsidRPr="00A84161">
        <w:rPr>
          <w:bCs/>
          <w:color w:val="000000"/>
          <w:szCs w:val="22"/>
        </w:rPr>
        <w:t>chodníková novela, obedy zadarmo, rekreačné poukazy, zvýšenie platov pedagogických aj nepedagogických pracovníkov, novela zákona o sociálnych službách</w:t>
      </w:r>
    </w:p>
    <w:p w14:paraId="34F27E91" w14:textId="55EE6228" w:rsidR="00A84161" w:rsidRDefault="00A84161" w:rsidP="00582C0C">
      <w:pPr>
        <w:autoSpaceDE w:val="0"/>
        <w:autoSpaceDN w:val="0"/>
        <w:adjustRightInd w:val="0"/>
        <w:jc w:val="both"/>
        <w:rPr>
          <w:bCs/>
          <w:color w:val="000000"/>
          <w:szCs w:val="22"/>
        </w:rPr>
      </w:pPr>
    </w:p>
    <w:p w14:paraId="35387E6F" w14:textId="68A1ACB3" w:rsidR="00A84161" w:rsidRPr="001A2F32" w:rsidRDefault="00A84161" w:rsidP="00582C0C">
      <w:pPr>
        <w:autoSpaceDE w:val="0"/>
        <w:autoSpaceDN w:val="0"/>
        <w:adjustRightInd w:val="0"/>
        <w:jc w:val="both"/>
        <w:rPr>
          <w:b/>
          <w:color w:val="000000"/>
          <w:szCs w:val="22"/>
        </w:rPr>
      </w:pPr>
      <w:r w:rsidRPr="001A2F32">
        <w:rPr>
          <w:b/>
          <w:color w:val="000000"/>
          <w:szCs w:val="22"/>
        </w:rPr>
        <w:t>Nové Zámky</w:t>
      </w:r>
    </w:p>
    <w:p w14:paraId="1D6B4411" w14:textId="56426D46" w:rsidR="00A84161" w:rsidRPr="00563AB9" w:rsidRDefault="00826A46" w:rsidP="00582C0C">
      <w:pPr>
        <w:autoSpaceDE w:val="0"/>
        <w:autoSpaceDN w:val="0"/>
        <w:adjustRightInd w:val="0"/>
        <w:jc w:val="both"/>
        <w:rPr>
          <w:bCs/>
          <w:color w:val="000000"/>
          <w:szCs w:val="22"/>
          <w:highlight w:val="yellow"/>
        </w:rPr>
      </w:pPr>
      <w:r w:rsidRPr="00826A46">
        <w:rPr>
          <w:bCs/>
          <w:color w:val="000000"/>
          <w:szCs w:val="22"/>
        </w:rPr>
        <w:t>cestný zákon</w:t>
      </w:r>
      <w:r>
        <w:rPr>
          <w:bCs/>
          <w:color w:val="000000"/>
          <w:szCs w:val="22"/>
        </w:rPr>
        <w:t xml:space="preserve"> – </w:t>
      </w:r>
      <w:r w:rsidRPr="00826A46">
        <w:rPr>
          <w:bCs/>
          <w:color w:val="000000"/>
          <w:szCs w:val="22"/>
        </w:rPr>
        <w:t>zimná</w:t>
      </w:r>
      <w:r>
        <w:rPr>
          <w:bCs/>
          <w:color w:val="000000"/>
          <w:szCs w:val="22"/>
        </w:rPr>
        <w:t xml:space="preserve"> </w:t>
      </w:r>
      <w:r w:rsidRPr="00826A46">
        <w:rPr>
          <w:bCs/>
          <w:color w:val="000000"/>
          <w:szCs w:val="22"/>
        </w:rPr>
        <w:t>údržba chodníkov, školský zákon -</w:t>
      </w:r>
      <w:r>
        <w:rPr>
          <w:bCs/>
          <w:color w:val="000000"/>
          <w:szCs w:val="22"/>
        </w:rPr>
        <w:t xml:space="preserve"> </w:t>
      </w:r>
      <w:r w:rsidRPr="00826A46">
        <w:rPr>
          <w:bCs/>
          <w:color w:val="000000"/>
          <w:szCs w:val="22"/>
        </w:rPr>
        <w:t>strava zadarmo, zákon o poplatkoch za uloženie odpadu</w:t>
      </w:r>
      <w:r>
        <w:rPr>
          <w:bCs/>
          <w:color w:val="000000"/>
          <w:szCs w:val="22"/>
        </w:rPr>
        <w:t xml:space="preserve"> – </w:t>
      </w:r>
      <w:r w:rsidRPr="00826A46">
        <w:rPr>
          <w:bCs/>
          <w:color w:val="000000"/>
          <w:szCs w:val="22"/>
        </w:rPr>
        <w:t xml:space="preserve">poplatok za uloženie odpadu na skládku, zákon </w:t>
      </w:r>
      <w:r>
        <w:rPr>
          <w:bCs/>
          <w:color w:val="000000"/>
          <w:szCs w:val="22"/>
        </w:rPr>
        <w:t xml:space="preserve">– </w:t>
      </w:r>
      <w:r w:rsidRPr="00826A46">
        <w:rPr>
          <w:bCs/>
          <w:color w:val="000000"/>
          <w:szCs w:val="22"/>
        </w:rPr>
        <w:t>osobný</w:t>
      </w:r>
      <w:r>
        <w:rPr>
          <w:bCs/>
          <w:color w:val="000000"/>
          <w:szCs w:val="22"/>
        </w:rPr>
        <w:t xml:space="preserve"> </w:t>
      </w:r>
      <w:r w:rsidRPr="00826A46">
        <w:rPr>
          <w:bCs/>
          <w:color w:val="000000"/>
          <w:szCs w:val="22"/>
        </w:rPr>
        <w:t>bankrot, zákon</w:t>
      </w:r>
      <w:r>
        <w:rPr>
          <w:bCs/>
          <w:color w:val="000000"/>
          <w:szCs w:val="22"/>
        </w:rPr>
        <w:t xml:space="preserve"> – </w:t>
      </w:r>
      <w:r w:rsidRPr="00826A46">
        <w:rPr>
          <w:bCs/>
          <w:color w:val="000000"/>
          <w:szCs w:val="22"/>
        </w:rPr>
        <w:t>exekučná amnestia, zákon o kybernetickej bezpečnosti</w:t>
      </w:r>
      <w:r>
        <w:rPr>
          <w:bCs/>
          <w:color w:val="000000"/>
          <w:szCs w:val="22"/>
        </w:rPr>
        <w:t xml:space="preserve"> – </w:t>
      </w:r>
      <w:r w:rsidRPr="00826A46">
        <w:rPr>
          <w:bCs/>
          <w:color w:val="000000"/>
          <w:szCs w:val="22"/>
        </w:rPr>
        <w:t>kybernetická bezpečnosť</w:t>
      </w:r>
    </w:p>
    <w:p w14:paraId="083BF9A3" w14:textId="046167DE" w:rsidR="000845FE" w:rsidRDefault="000845FE" w:rsidP="00582C0C">
      <w:pPr>
        <w:autoSpaceDE w:val="0"/>
        <w:autoSpaceDN w:val="0"/>
        <w:adjustRightInd w:val="0"/>
        <w:jc w:val="both"/>
        <w:rPr>
          <w:b/>
          <w:color w:val="000000"/>
          <w:szCs w:val="22"/>
          <w:highlight w:val="yellow"/>
        </w:rPr>
      </w:pPr>
    </w:p>
    <w:p w14:paraId="27DA50B2" w14:textId="42301F36" w:rsidR="00563AB9" w:rsidRDefault="00563AB9" w:rsidP="00582C0C">
      <w:pPr>
        <w:autoSpaceDE w:val="0"/>
        <w:autoSpaceDN w:val="0"/>
        <w:adjustRightInd w:val="0"/>
        <w:jc w:val="both"/>
        <w:rPr>
          <w:b/>
          <w:color w:val="000000"/>
          <w:szCs w:val="22"/>
        </w:rPr>
      </w:pPr>
      <w:r>
        <w:rPr>
          <w:b/>
          <w:color w:val="000000"/>
          <w:szCs w:val="22"/>
        </w:rPr>
        <w:t>Nitra</w:t>
      </w:r>
    </w:p>
    <w:p w14:paraId="4B2A40F8" w14:textId="2A256338" w:rsidR="00563AB9" w:rsidRDefault="009C4E4C" w:rsidP="00582C0C">
      <w:pPr>
        <w:autoSpaceDE w:val="0"/>
        <w:autoSpaceDN w:val="0"/>
        <w:adjustRightInd w:val="0"/>
        <w:jc w:val="both"/>
        <w:rPr>
          <w:bCs/>
          <w:color w:val="000000"/>
          <w:szCs w:val="22"/>
        </w:rPr>
      </w:pPr>
      <w:r w:rsidRPr="009C4E4C">
        <w:rPr>
          <w:bCs/>
          <w:color w:val="000000"/>
          <w:szCs w:val="22"/>
        </w:rPr>
        <w:t>Zákon č. 347/2018 Z. z. o podpore cestovného ruchu</w:t>
      </w:r>
      <w:r w:rsidR="009D7030">
        <w:rPr>
          <w:bCs/>
          <w:color w:val="000000"/>
          <w:szCs w:val="22"/>
        </w:rPr>
        <w:t xml:space="preserve"> – rekreačné poukazy</w:t>
      </w:r>
    </w:p>
    <w:p w14:paraId="57638147" w14:textId="77777777" w:rsidR="00210160" w:rsidRDefault="00210160" w:rsidP="00582C0C">
      <w:pPr>
        <w:autoSpaceDE w:val="0"/>
        <w:autoSpaceDN w:val="0"/>
        <w:adjustRightInd w:val="0"/>
        <w:jc w:val="both"/>
        <w:rPr>
          <w:bCs/>
          <w:color w:val="000000"/>
          <w:szCs w:val="22"/>
        </w:rPr>
      </w:pPr>
    </w:p>
    <w:p w14:paraId="215F413E" w14:textId="0571B105" w:rsidR="009C4E4C" w:rsidRPr="002350B6" w:rsidRDefault="009C4E4C" w:rsidP="00582C0C">
      <w:pPr>
        <w:autoSpaceDE w:val="0"/>
        <w:autoSpaceDN w:val="0"/>
        <w:adjustRightInd w:val="0"/>
        <w:jc w:val="both"/>
        <w:rPr>
          <w:b/>
          <w:color w:val="000000"/>
          <w:szCs w:val="22"/>
        </w:rPr>
      </w:pPr>
      <w:r w:rsidRPr="002350B6">
        <w:rPr>
          <w:b/>
          <w:color w:val="000000"/>
          <w:szCs w:val="22"/>
        </w:rPr>
        <w:t>Banská Bystrica</w:t>
      </w:r>
    </w:p>
    <w:p w14:paraId="7BF4E91E" w14:textId="50E99D4B" w:rsidR="00F357EE" w:rsidRPr="00E35EEA" w:rsidRDefault="00F357EE" w:rsidP="00E35EEA">
      <w:pPr>
        <w:pStyle w:val="ListParagraph"/>
        <w:numPr>
          <w:ilvl w:val="0"/>
          <w:numId w:val="40"/>
        </w:numPr>
        <w:autoSpaceDE w:val="0"/>
        <w:autoSpaceDN w:val="0"/>
        <w:adjustRightInd w:val="0"/>
        <w:jc w:val="both"/>
        <w:rPr>
          <w:rFonts w:ascii="Constantia" w:hAnsi="Constantia"/>
          <w:bCs/>
          <w:color w:val="000000"/>
        </w:rPr>
      </w:pPr>
      <w:r w:rsidRPr="00E35EEA">
        <w:rPr>
          <w:rFonts w:ascii="Constantia" w:hAnsi="Constantia"/>
          <w:bCs/>
          <w:color w:val="000000"/>
        </w:rPr>
        <w:t xml:space="preserve">novela zákona 135/1961 Zb. (cestný zákon) v znení neskorších predpisov, podľa ktorého prešla povinnosť starostlivosti o všetky chodníky na samosprávy, </w:t>
      </w:r>
    </w:p>
    <w:p w14:paraId="7DA02C90" w14:textId="2BC04472" w:rsidR="00F357EE" w:rsidRPr="00E35EEA" w:rsidRDefault="00F357EE" w:rsidP="00E35EEA">
      <w:pPr>
        <w:pStyle w:val="ListParagraph"/>
        <w:numPr>
          <w:ilvl w:val="0"/>
          <w:numId w:val="40"/>
        </w:numPr>
        <w:autoSpaceDE w:val="0"/>
        <w:autoSpaceDN w:val="0"/>
        <w:adjustRightInd w:val="0"/>
        <w:jc w:val="both"/>
        <w:rPr>
          <w:rFonts w:ascii="Constantia" w:hAnsi="Constantia"/>
          <w:bCs/>
          <w:color w:val="000000"/>
        </w:rPr>
      </w:pPr>
      <w:r w:rsidRPr="00E35EEA">
        <w:rPr>
          <w:rFonts w:ascii="Constantia" w:hAnsi="Constantia"/>
          <w:bCs/>
          <w:color w:val="000000"/>
        </w:rPr>
        <w:t xml:space="preserve">novela zákona 553/2003 Z. z. o odmeňovaní niektorých zamestnancov pri výkone práce vo verejnom záujme a o zmene a doplnení niektorých zákonov v znení neskorších predpisov, ktorým sa počnúc 1. januárom 2019 zvyšujú platové tarify zamestnancov Mesta Banská Bystrica a zamestnancov organizácií v jeho zriaďovateľskej pôsobnosti, </w:t>
      </w:r>
    </w:p>
    <w:p w14:paraId="04DA9C82" w14:textId="6ED62391" w:rsidR="00F357EE" w:rsidRPr="00E35EEA" w:rsidRDefault="00F357EE" w:rsidP="00E35EEA">
      <w:pPr>
        <w:pStyle w:val="ListParagraph"/>
        <w:numPr>
          <w:ilvl w:val="0"/>
          <w:numId w:val="40"/>
        </w:numPr>
        <w:autoSpaceDE w:val="0"/>
        <w:autoSpaceDN w:val="0"/>
        <w:adjustRightInd w:val="0"/>
        <w:jc w:val="both"/>
        <w:rPr>
          <w:rFonts w:ascii="Constantia" w:hAnsi="Constantia"/>
          <w:bCs/>
          <w:color w:val="000000"/>
        </w:rPr>
      </w:pPr>
      <w:r w:rsidRPr="00E35EEA">
        <w:rPr>
          <w:rFonts w:ascii="Constantia" w:hAnsi="Constantia"/>
          <w:bCs/>
          <w:color w:val="000000"/>
        </w:rPr>
        <w:t xml:space="preserve">zmeny v Zákonníku práce týkajúce sa príplatkov za prácu nadčas, </w:t>
      </w:r>
    </w:p>
    <w:p w14:paraId="75A0B6EC" w14:textId="1C9278D4" w:rsidR="009C4E4C" w:rsidRPr="00DB7ACC" w:rsidRDefault="00F357EE" w:rsidP="00582C0C">
      <w:pPr>
        <w:pStyle w:val="ListParagraph"/>
        <w:numPr>
          <w:ilvl w:val="0"/>
          <w:numId w:val="40"/>
        </w:numPr>
        <w:autoSpaceDE w:val="0"/>
        <w:autoSpaceDN w:val="0"/>
        <w:adjustRightInd w:val="0"/>
        <w:jc w:val="both"/>
        <w:rPr>
          <w:rFonts w:ascii="Constantia" w:hAnsi="Constantia"/>
          <w:color w:val="000000"/>
        </w:rPr>
      </w:pPr>
      <w:r w:rsidRPr="00E35EEA">
        <w:rPr>
          <w:rFonts w:ascii="Constantia" w:hAnsi="Constantia"/>
          <w:bCs/>
          <w:color w:val="000000"/>
        </w:rPr>
        <w:lastRenderedPageBreak/>
        <w:t>návrh zákona 544/2010 Z.z. o dotáciách s čím súvisí nárast výdavkov na režimové zabezpečenie „obedov zadarmo“ pre materské školy od 01.01.2019 a základné školy v</w:t>
      </w:r>
      <w:r w:rsidR="00DE37F3">
        <w:rPr>
          <w:rFonts w:ascii="Constantia" w:hAnsi="Constantia"/>
          <w:bCs/>
          <w:color w:val="000000"/>
        </w:rPr>
        <w:t> </w:t>
      </w:r>
      <w:r w:rsidRPr="00E35EEA">
        <w:rPr>
          <w:rFonts w:ascii="Constantia" w:hAnsi="Constantia"/>
          <w:bCs/>
          <w:color w:val="000000"/>
        </w:rPr>
        <w:t>zriaďovateľskej pôsobnosti Mesta od 01.09.2019.</w:t>
      </w:r>
    </w:p>
    <w:p w14:paraId="29FD8A1E" w14:textId="48E98BCE" w:rsidR="0068324B" w:rsidRPr="002350B6" w:rsidRDefault="0068324B" w:rsidP="00582C0C">
      <w:pPr>
        <w:autoSpaceDE w:val="0"/>
        <w:autoSpaceDN w:val="0"/>
        <w:adjustRightInd w:val="0"/>
        <w:jc w:val="both"/>
        <w:rPr>
          <w:b/>
          <w:color w:val="000000"/>
          <w:szCs w:val="22"/>
        </w:rPr>
      </w:pPr>
      <w:r w:rsidRPr="002350B6">
        <w:rPr>
          <w:b/>
          <w:color w:val="000000"/>
          <w:szCs w:val="22"/>
        </w:rPr>
        <w:t>Handlová</w:t>
      </w:r>
    </w:p>
    <w:p w14:paraId="2C825B58" w14:textId="77777777" w:rsidR="00FC33AC" w:rsidRPr="00FC33AC" w:rsidRDefault="00FC33AC" w:rsidP="00FC33AC">
      <w:pPr>
        <w:autoSpaceDE w:val="0"/>
        <w:autoSpaceDN w:val="0"/>
        <w:adjustRightInd w:val="0"/>
        <w:jc w:val="both"/>
        <w:rPr>
          <w:bCs/>
          <w:color w:val="000000"/>
          <w:szCs w:val="22"/>
        </w:rPr>
      </w:pPr>
      <w:r w:rsidRPr="00FC33AC">
        <w:rPr>
          <w:bCs/>
          <w:color w:val="000000"/>
          <w:szCs w:val="22"/>
        </w:rPr>
        <w:t>Nové úlohy pre mesto vznikli predovšetkým s plnením nasledovných legislatívnych opatrení:</w:t>
      </w:r>
    </w:p>
    <w:p w14:paraId="1FF716A3" w14:textId="576A8619" w:rsidR="00FC33AC" w:rsidRPr="00FC33AC" w:rsidRDefault="00FC33AC" w:rsidP="00FC33AC">
      <w:pPr>
        <w:autoSpaceDE w:val="0"/>
        <w:autoSpaceDN w:val="0"/>
        <w:adjustRightInd w:val="0"/>
        <w:jc w:val="both"/>
        <w:rPr>
          <w:bCs/>
          <w:color w:val="000000"/>
          <w:szCs w:val="22"/>
        </w:rPr>
      </w:pPr>
      <w:r w:rsidRPr="00FC33AC">
        <w:rPr>
          <w:bCs/>
          <w:color w:val="000000"/>
          <w:szCs w:val="22"/>
        </w:rPr>
        <w:t>Zmeny v systéme odmeňovania zamestnancov vo verejne službe, rozpočtových a príspevkových organizáciách, ďalej pre pedagogických, odborných a nepedagogických zamestnancov v</w:t>
      </w:r>
      <w:r w:rsidR="00DE37F3">
        <w:rPr>
          <w:bCs/>
          <w:color w:val="000000"/>
          <w:szCs w:val="22"/>
        </w:rPr>
        <w:t> </w:t>
      </w:r>
      <w:r w:rsidRPr="00FC33AC">
        <w:rPr>
          <w:bCs/>
          <w:color w:val="000000"/>
          <w:szCs w:val="22"/>
        </w:rPr>
        <w:t>školských zariadeniach v originálnej pôsobnosti obcí (materské školy, základné umelecké školy, školské jedálne a pod. Zmena a zvýšenie platových taríf zamestnancov o 10 % so súčasným zvýšením prvej platovej triedy na úroveň minimálnej mzdy na 520,00 eur.</w:t>
      </w:r>
    </w:p>
    <w:p w14:paraId="652C329F" w14:textId="452B1856" w:rsidR="00FC33AC" w:rsidRPr="00FC33AC" w:rsidRDefault="00FC33AC" w:rsidP="00FC33AC">
      <w:pPr>
        <w:autoSpaceDE w:val="0"/>
        <w:autoSpaceDN w:val="0"/>
        <w:adjustRightInd w:val="0"/>
        <w:jc w:val="both"/>
        <w:rPr>
          <w:bCs/>
          <w:color w:val="000000"/>
          <w:szCs w:val="22"/>
        </w:rPr>
      </w:pPr>
      <w:r w:rsidRPr="00FC33AC">
        <w:rPr>
          <w:bCs/>
          <w:color w:val="000000"/>
          <w:szCs w:val="22"/>
        </w:rPr>
        <w:t>V nadväznosti na uvedené Zákon č. 347/2018 Z. z. o podpore cestovného ruchu zamestnávateľ, ktorý zamestnáva viac ako 49 zamestnancov, poskytne zamestnancovi, ktorého pracovný pomer u zamestnávateľa trvá nepretržite najmenej 24 mesiacov, na jeho žiadosť príspevok na rekreáciu v sume 55</w:t>
      </w:r>
      <w:r w:rsidR="00C64FDE">
        <w:rPr>
          <w:bCs/>
          <w:color w:val="000000"/>
          <w:szCs w:val="22"/>
        </w:rPr>
        <w:t> </w:t>
      </w:r>
      <w:r w:rsidRPr="00FC33AC">
        <w:rPr>
          <w:bCs/>
          <w:color w:val="000000"/>
          <w:szCs w:val="22"/>
        </w:rPr>
        <w:t>% oprávnených výdavkov, najviac však v sume 275,00 eur za kalendárny rok.</w:t>
      </w:r>
    </w:p>
    <w:p w14:paraId="6B9EDB92" w14:textId="2CA75575" w:rsidR="00FC33AC" w:rsidRPr="00FC33AC" w:rsidRDefault="00FC33AC" w:rsidP="00FC33AC">
      <w:pPr>
        <w:autoSpaceDE w:val="0"/>
        <w:autoSpaceDN w:val="0"/>
        <w:adjustRightInd w:val="0"/>
        <w:jc w:val="both"/>
        <w:rPr>
          <w:bCs/>
          <w:color w:val="000000"/>
          <w:szCs w:val="22"/>
        </w:rPr>
      </w:pPr>
      <w:r w:rsidRPr="00FC33AC">
        <w:rPr>
          <w:bCs/>
          <w:color w:val="000000"/>
          <w:szCs w:val="22"/>
        </w:rPr>
        <w:t xml:space="preserve">V zákone o cestnej premávke s výrazným zvýšením prevádzkových (údržba) aj kapitálových výdavkov pre mestá a obce spojené s dopadmi tzv. „chodníkovej novely“. </w:t>
      </w:r>
    </w:p>
    <w:p w14:paraId="485A59C3" w14:textId="77777777" w:rsidR="00FC33AC" w:rsidRPr="00FC33AC" w:rsidRDefault="00FC33AC" w:rsidP="00FC33AC">
      <w:pPr>
        <w:autoSpaceDE w:val="0"/>
        <w:autoSpaceDN w:val="0"/>
        <w:adjustRightInd w:val="0"/>
        <w:jc w:val="both"/>
        <w:rPr>
          <w:bCs/>
          <w:color w:val="000000"/>
          <w:szCs w:val="22"/>
        </w:rPr>
      </w:pPr>
      <w:r w:rsidRPr="00FC33AC">
        <w:rPr>
          <w:bCs/>
          <w:color w:val="000000"/>
          <w:szCs w:val="22"/>
        </w:rPr>
        <w:t>Zvýšené výdavky miest obcí spojené s opatrením „obedy zadarmo“ . Dodatočné finančné výdavky boli potrebné na mzdy, odvody nových pracovníkov, technické a technologické vybavenie tak kuchýň a školských jedální, zvýšeného nákupu potravín spojených s výdavkami v odpadovom hospodárstve na ich zákonnú likvidáciu po ich úplnom nespotrebovaní.</w:t>
      </w:r>
    </w:p>
    <w:p w14:paraId="4D327311" w14:textId="2A864452" w:rsidR="00FC33AC" w:rsidRPr="00FC33AC" w:rsidRDefault="00FC33AC" w:rsidP="00FC33AC">
      <w:pPr>
        <w:autoSpaceDE w:val="0"/>
        <w:autoSpaceDN w:val="0"/>
        <w:adjustRightInd w:val="0"/>
        <w:jc w:val="both"/>
        <w:rPr>
          <w:bCs/>
          <w:color w:val="000000"/>
          <w:szCs w:val="22"/>
        </w:rPr>
      </w:pPr>
      <w:r w:rsidRPr="00FC33AC">
        <w:rPr>
          <w:bCs/>
          <w:color w:val="000000"/>
          <w:szCs w:val="22"/>
        </w:rPr>
        <w:t>Zákon č. 595/2003 Z. z. o dani z príjmu zvyšuje odpočítateľnú položku z 19,2 na 21-násobok životného minima a zvýšenie daňového bonusu na pre rodičov detí do 6 rokov, čím bola schválená dvojnásobná suma daňového bonusu na dieťa a to vo výške 44,34 eura mesačne a tiež oslobodenie príjmov daňovníkov – oznamovateľov protispoločenskej činnosti, čo malo za dôsledok zníženie výnosu dane z príjmov fyzických osôb.</w:t>
      </w:r>
    </w:p>
    <w:p w14:paraId="23753C3A" w14:textId="66C9525C" w:rsidR="00FC33AC" w:rsidRPr="00FC33AC" w:rsidRDefault="00FC33AC" w:rsidP="00FC33AC">
      <w:pPr>
        <w:autoSpaceDE w:val="0"/>
        <w:autoSpaceDN w:val="0"/>
        <w:adjustRightInd w:val="0"/>
        <w:jc w:val="both"/>
        <w:rPr>
          <w:bCs/>
          <w:color w:val="000000"/>
          <w:szCs w:val="22"/>
        </w:rPr>
      </w:pPr>
      <w:r w:rsidRPr="00FC33AC">
        <w:rPr>
          <w:bCs/>
          <w:color w:val="000000"/>
          <w:szCs w:val="22"/>
        </w:rPr>
        <w:t>zákon č. 329/2018 Z. z., o poplatkoch za uloženie odpadov a o zmene a doplnení zákona č.</w:t>
      </w:r>
      <w:r w:rsidR="00DE37F3">
        <w:rPr>
          <w:bCs/>
          <w:color w:val="000000"/>
          <w:szCs w:val="22"/>
        </w:rPr>
        <w:t> </w:t>
      </w:r>
      <w:r w:rsidRPr="00FC33AC">
        <w:rPr>
          <w:bCs/>
          <w:color w:val="000000"/>
          <w:szCs w:val="22"/>
        </w:rPr>
        <w:t>587/2004 Z. z. o Environmentálnom fonde. Znevýhodnenie skládkovania odpadov, ktoré je posledné v hierarchii odpadového hospodárstva, vytvorenie motivačného faktora pre triedený zber komunálnych odpadov a zvýšenie recyklácie komunálnych odpadov. V nariadení vlády SR č. 330/2018 Z. z. sú príslušné položky a sadzby za uloženie konkrétnych druhov odpadov, ktorými sa ustanovuje výška sadzieb poplatkov za uloženie odpadov a</w:t>
      </w:r>
      <w:r w:rsidR="00DE37F3">
        <w:rPr>
          <w:bCs/>
          <w:color w:val="000000"/>
          <w:szCs w:val="22"/>
        </w:rPr>
        <w:t> </w:t>
      </w:r>
      <w:r w:rsidRPr="00FC33AC">
        <w:rPr>
          <w:bCs/>
          <w:color w:val="000000"/>
          <w:szCs w:val="22"/>
        </w:rPr>
        <w:t>podrobnosti súvisiace s</w:t>
      </w:r>
      <w:r w:rsidR="000147F6">
        <w:rPr>
          <w:bCs/>
          <w:color w:val="000000"/>
          <w:szCs w:val="22"/>
        </w:rPr>
        <w:t> </w:t>
      </w:r>
      <w:r w:rsidRPr="00FC33AC">
        <w:rPr>
          <w:bCs/>
          <w:color w:val="000000"/>
          <w:szCs w:val="22"/>
        </w:rPr>
        <w:t>prerozdeľovaním príjmov z poplatkov za uloženie odpadov s</w:t>
      </w:r>
      <w:r w:rsidR="00DE37F3">
        <w:rPr>
          <w:bCs/>
          <w:color w:val="000000"/>
          <w:szCs w:val="22"/>
        </w:rPr>
        <w:t> </w:t>
      </w:r>
      <w:r w:rsidRPr="00FC33AC">
        <w:rPr>
          <w:bCs/>
          <w:color w:val="000000"/>
          <w:szCs w:val="22"/>
        </w:rPr>
        <w:t xml:space="preserve">naviazaním na príjmy do rozpočtov miest v závislosti od miery vytriedenia. </w:t>
      </w:r>
    </w:p>
    <w:p w14:paraId="639449DF" w14:textId="379C50DB" w:rsidR="00FC33AC" w:rsidRPr="00FC33AC" w:rsidRDefault="00FC33AC" w:rsidP="00FC33AC">
      <w:pPr>
        <w:autoSpaceDE w:val="0"/>
        <w:autoSpaceDN w:val="0"/>
        <w:adjustRightInd w:val="0"/>
        <w:jc w:val="both"/>
        <w:rPr>
          <w:bCs/>
          <w:color w:val="000000"/>
          <w:szCs w:val="22"/>
        </w:rPr>
      </w:pPr>
      <w:r w:rsidRPr="00FC33AC">
        <w:rPr>
          <w:bCs/>
          <w:color w:val="000000"/>
          <w:szCs w:val="22"/>
        </w:rPr>
        <w:t>Vyhláška MV SR č. 49/2019 Z. z., ktorou sa mení a dopĺňa vyhláška č. 410/2015 Z. z. o</w:t>
      </w:r>
      <w:r w:rsidR="00DE37F3">
        <w:rPr>
          <w:bCs/>
          <w:color w:val="000000"/>
          <w:szCs w:val="22"/>
        </w:rPr>
        <w:t> </w:t>
      </w:r>
      <w:r w:rsidRPr="00FC33AC">
        <w:rPr>
          <w:bCs/>
          <w:color w:val="000000"/>
          <w:szCs w:val="22"/>
        </w:rPr>
        <w:t>podrobnostiach výkonu správy registratúry orgánov verejnej moci a o tvorbe spisu ustanovujú podrobnosti o administratívnej bezpečnosti utajovaných skutočností v súvislosti s</w:t>
      </w:r>
      <w:r w:rsidR="00DE37F3">
        <w:rPr>
          <w:bCs/>
          <w:color w:val="000000"/>
          <w:szCs w:val="22"/>
        </w:rPr>
        <w:t> </w:t>
      </w:r>
      <w:r w:rsidRPr="00FC33AC">
        <w:rPr>
          <w:bCs/>
          <w:color w:val="000000"/>
          <w:szCs w:val="22"/>
        </w:rPr>
        <w:t xml:space="preserve">elektronickým výkonom verejnej moci a elektronickým doručovaním mení úprava správy registratúry a tvorby spisov orgánov verejnej moci sú spojené ďalšie výdavky z rozpočtu. </w:t>
      </w:r>
    </w:p>
    <w:p w14:paraId="4AE2D0D2" w14:textId="77777777" w:rsidR="00FC33AC" w:rsidRPr="00FC33AC" w:rsidRDefault="00FC33AC" w:rsidP="00FC33AC">
      <w:pPr>
        <w:autoSpaceDE w:val="0"/>
        <w:autoSpaceDN w:val="0"/>
        <w:adjustRightInd w:val="0"/>
        <w:jc w:val="both"/>
        <w:rPr>
          <w:bCs/>
          <w:color w:val="000000"/>
          <w:szCs w:val="22"/>
        </w:rPr>
      </w:pPr>
      <w:r w:rsidRPr="00FC33AC">
        <w:rPr>
          <w:bCs/>
          <w:color w:val="000000"/>
          <w:szCs w:val="22"/>
        </w:rPr>
        <w:t>Opatrenie Úradu podpredsedu vlády SR pre investície a informatizáciu</w:t>
      </w:r>
    </w:p>
    <w:p w14:paraId="42A53E7E" w14:textId="60F0A7F8" w:rsidR="0068324B" w:rsidRDefault="00FC33AC" w:rsidP="00FC33AC">
      <w:pPr>
        <w:autoSpaceDE w:val="0"/>
        <w:autoSpaceDN w:val="0"/>
        <w:adjustRightInd w:val="0"/>
        <w:jc w:val="both"/>
        <w:rPr>
          <w:bCs/>
          <w:color w:val="000000"/>
          <w:szCs w:val="22"/>
        </w:rPr>
      </w:pPr>
      <w:r w:rsidRPr="00FC33AC">
        <w:rPr>
          <w:bCs/>
          <w:color w:val="000000"/>
          <w:szCs w:val="22"/>
        </w:rPr>
        <w:t>uverejnené v Zbierke zákonov SR pod č. 56/2019 Z. z., ktorým sa dopĺňa výnos Ministerstva financií Slovenskej republiky č. 55/2014 Z. z. o štandardoch pre informačné systémy verejnej správy v nadväznosti na zmeny aktuálneho webu, čím sa menia minimálne požiadavky na obsah webového sídla a tým zvyšujú dodatočné výdavky z rozpočtu miest.</w:t>
      </w:r>
    </w:p>
    <w:p w14:paraId="0B68D107" w14:textId="4F27BDA7" w:rsidR="00E9625D" w:rsidRDefault="00E9625D" w:rsidP="00FC33AC">
      <w:pPr>
        <w:autoSpaceDE w:val="0"/>
        <w:autoSpaceDN w:val="0"/>
        <w:adjustRightInd w:val="0"/>
        <w:jc w:val="both"/>
        <w:rPr>
          <w:bCs/>
          <w:color w:val="000000"/>
          <w:szCs w:val="22"/>
        </w:rPr>
      </w:pPr>
    </w:p>
    <w:p w14:paraId="42A38DC7" w14:textId="4CF64032" w:rsidR="00E9625D" w:rsidRPr="002350B6" w:rsidRDefault="00E9625D" w:rsidP="00FC33AC">
      <w:pPr>
        <w:autoSpaceDE w:val="0"/>
        <w:autoSpaceDN w:val="0"/>
        <w:adjustRightInd w:val="0"/>
        <w:jc w:val="both"/>
        <w:rPr>
          <w:b/>
          <w:color w:val="000000"/>
          <w:szCs w:val="22"/>
        </w:rPr>
      </w:pPr>
      <w:r w:rsidRPr="002350B6">
        <w:rPr>
          <w:b/>
          <w:color w:val="000000"/>
          <w:szCs w:val="22"/>
        </w:rPr>
        <w:t xml:space="preserve">Lučenec </w:t>
      </w:r>
    </w:p>
    <w:p w14:paraId="1E0993A9" w14:textId="3E796887" w:rsidR="00E9625D" w:rsidRDefault="00E9625D" w:rsidP="00FC33AC">
      <w:pPr>
        <w:autoSpaceDE w:val="0"/>
        <w:autoSpaceDN w:val="0"/>
        <w:adjustRightInd w:val="0"/>
        <w:jc w:val="both"/>
        <w:rPr>
          <w:bCs/>
          <w:color w:val="000000"/>
          <w:szCs w:val="22"/>
        </w:rPr>
      </w:pPr>
      <w:r>
        <w:rPr>
          <w:bCs/>
          <w:color w:val="000000"/>
          <w:szCs w:val="22"/>
        </w:rPr>
        <w:t>Nedošlo</w:t>
      </w:r>
    </w:p>
    <w:p w14:paraId="61ED20CB" w14:textId="52ABE725" w:rsidR="00E9625D" w:rsidRDefault="00E9625D" w:rsidP="00FC33AC">
      <w:pPr>
        <w:autoSpaceDE w:val="0"/>
        <w:autoSpaceDN w:val="0"/>
        <w:adjustRightInd w:val="0"/>
        <w:jc w:val="both"/>
        <w:rPr>
          <w:bCs/>
          <w:color w:val="000000"/>
          <w:szCs w:val="22"/>
        </w:rPr>
      </w:pPr>
    </w:p>
    <w:p w14:paraId="27CF6A0F" w14:textId="499F2A7B" w:rsidR="00E9625D" w:rsidRPr="002350B6" w:rsidRDefault="00E9625D" w:rsidP="00FC33AC">
      <w:pPr>
        <w:autoSpaceDE w:val="0"/>
        <w:autoSpaceDN w:val="0"/>
        <w:adjustRightInd w:val="0"/>
        <w:jc w:val="both"/>
        <w:rPr>
          <w:b/>
          <w:color w:val="000000"/>
          <w:szCs w:val="22"/>
        </w:rPr>
      </w:pPr>
      <w:r w:rsidRPr="002350B6">
        <w:rPr>
          <w:b/>
          <w:color w:val="000000"/>
          <w:szCs w:val="22"/>
        </w:rPr>
        <w:lastRenderedPageBreak/>
        <w:t>Hurbanovo</w:t>
      </w:r>
    </w:p>
    <w:p w14:paraId="105DC11E" w14:textId="77777777" w:rsidR="002350B6" w:rsidRPr="002350B6" w:rsidRDefault="002350B6" w:rsidP="00CF71B7">
      <w:pPr>
        <w:autoSpaceDE w:val="0"/>
        <w:autoSpaceDN w:val="0"/>
        <w:adjustRightInd w:val="0"/>
        <w:spacing w:line="228" w:lineRule="auto"/>
        <w:jc w:val="both"/>
        <w:rPr>
          <w:bCs/>
          <w:color w:val="000000"/>
          <w:szCs w:val="22"/>
        </w:rPr>
      </w:pPr>
      <w:r w:rsidRPr="002350B6">
        <w:rPr>
          <w:bCs/>
          <w:color w:val="000000"/>
          <w:szCs w:val="22"/>
        </w:rPr>
        <w:t>Zákon č. 213/2018 Z. z. o dani z poistenia a o zmene a doplnení niektorých zákonov</w:t>
      </w:r>
    </w:p>
    <w:p w14:paraId="77C66327" w14:textId="77777777" w:rsidR="002350B6" w:rsidRPr="002350B6" w:rsidRDefault="002350B6" w:rsidP="00CF71B7">
      <w:pPr>
        <w:autoSpaceDE w:val="0"/>
        <w:autoSpaceDN w:val="0"/>
        <w:adjustRightInd w:val="0"/>
        <w:spacing w:line="228" w:lineRule="auto"/>
        <w:jc w:val="both"/>
        <w:rPr>
          <w:bCs/>
          <w:color w:val="000000"/>
          <w:szCs w:val="22"/>
        </w:rPr>
      </w:pPr>
    </w:p>
    <w:p w14:paraId="10D6C568" w14:textId="02D6C3CB" w:rsidR="002350B6" w:rsidRPr="002350B6" w:rsidRDefault="002350B6" w:rsidP="00CF71B7">
      <w:pPr>
        <w:autoSpaceDE w:val="0"/>
        <w:autoSpaceDN w:val="0"/>
        <w:adjustRightInd w:val="0"/>
        <w:spacing w:line="228" w:lineRule="auto"/>
        <w:jc w:val="both"/>
        <w:rPr>
          <w:bCs/>
          <w:color w:val="000000"/>
          <w:szCs w:val="22"/>
        </w:rPr>
      </w:pPr>
      <w:r w:rsidRPr="002350B6">
        <w:rPr>
          <w:bCs/>
          <w:color w:val="000000"/>
          <w:szCs w:val="22"/>
        </w:rPr>
        <w:t>Zákon 544/2010 Z. z. §4 ods. 3 o dotáciách v pôsobnosti Ministerstva práce, sociálnych vecí a</w:t>
      </w:r>
      <w:r w:rsidR="000147F6">
        <w:rPr>
          <w:bCs/>
          <w:color w:val="000000"/>
          <w:szCs w:val="22"/>
        </w:rPr>
        <w:t> </w:t>
      </w:r>
      <w:r w:rsidRPr="002350B6">
        <w:rPr>
          <w:bCs/>
          <w:color w:val="000000"/>
          <w:szCs w:val="22"/>
        </w:rPr>
        <w:t>rodiny Slovenskej republiky</w:t>
      </w:r>
    </w:p>
    <w:p w14:paraId="1A5FF289" w14:textId="77777777" w:rsidR="002350B6" w:rsidRPr="002350B6" w:rsidRDefault="002350B6" w:rsidP="00CF71B7">
      <w:pPr>
        <w:autoSpaceDE w:val="0"/>
        <w:autoSpaceDN w:val="0"/>
        <w:adjustRightInd w:val="0"/>
        <w:spacing w:line="228" w:lineRule="auto"/>
        <w:jc w:val="both"/>
        <w:rPr>
          <w:bCs/>
          <w:color w:val="000000"/>
          <w:szCs w:val="22"/>
        </w:rPr>
      </w:pPr>
    </w:p>
    <w:p w14:paraId="6DE83DBF" w14:textId="0421FB3F" w:rsidR="002350B6" w:rsidRPr="002350B6" w:rsidRDefault="002350B6" w:rsidP="00CF71B7">
      <w:pPr>
        <w:autoSpaceDE w:val="0"/>
        <w:autoSpaceDN w:val="0"/>
        <w:adjustRightInd w:val="0"/>
        <w:spacing w:line="228" w:lineRule="auto"/>
        <w:jc w:val="both"/>
        <w:rPr>
          <w:bCs/>
          <w:color w:val="000000"/>
          <w:szCs w:val="22"/>
        </w:rPr>
      </w:pPr>
      <w:r w:rsidRPr="002350B6">
        <w:rPr>
          <w:bCs/>
          <w:color w:val="000000"/>
          <w:szCs w:val="22"/>
        </w:rPr>
        <w:t xml:space="preserve">388/2018Z. z. NARIADENIE VLÁDY SR, ktorým sa ustanovujú zvýšené stupnice platových taríf zamestnancov pri výkone práce vo verejnom záujme </w:t>
      </w:r>
    </w:p>
    <w:p w14:paraId="0195A946" w14:textId="77777777" w:rsidR="002350B6" w:rsidRPr="002350B6" w:rsidRDefault="002350B6" w:rsidP="00CF71B7">
      <w:pPr>
        <w:autoSpaceDE w:val="0"/>
        <w:autoSpaceDN w:val="0"/>
        <w:adjustRightInd w:val="0"/>
        <w:spacing w:line="228" w:lineRule="auto"/>
        <w:jc w:val="both"/>
        <w:rPr>
          <w:bCs/>
          <w:color w:val="000000"/>
          <w:szCs w:val="22"/>
        </w:rPr>
      </w:pPr>
    </w:p>
    <w:p w14:paraId="658B90A9" w14:textId="77777777" w:rsidR="002350B6" w:rsidRPr="002350B6" w:rsidRDefault="002350B6" w:rsidP="00CF71B7">
      <w:pPr>
        <w:autoSpaceDE w:val="0"/>
        <w:autoSpaceDN w:val="0"/>
        <w:adjustRightInd w:val="0"/>
        <w:spacing w:line="228" w:lineRule="auto"/>
        <w:jc w:val="both"/>
        <w:rPr>
          <w:bCs/>
          <w:color w:val="000000"/>
          <w:szCs w:val="22"/>
        </w:rPr>
      </w:pPr>
      <w:r w:rsidRPr="002350B6">
        <w:rPr>
          <w:bCs/>
          <w:color w:val="000000"/>
          <w:szCs w:val="22"/>
        </w:rPr>
        <w:t>91/2010 Z. z. o podpore cestovného ruchu a 311/2001 Z. z. §152a Zákonníka práce</w:t>
      </w:r>
    </w:p>
    <w:p w14:paraId="36398002" w14:textId="77777777" w:rsidR="002350B6" w:rsidRPr="002350B6" w:rsidRDefault="002350B6" w:rsidP="00CF71B7">
      <w:pPr>
        <w:autoSpaceDE w:val="0"/>
        <w:autoSpaceDN w:val="0"/>
        <w:adjustRightInd w:val="0"/>
        <w:spacing w:line="228" w:lineRule="auto"/>
        <w:jc w:val="both"/>
        <w:rPr>
          <w:bCs/>
          <w:color w:val="000000"/>
          <w:szCs w:val="22"/>
        </w:rPr>
      </w:pPr>
    </w:p>
    <w:p w14:paraId="56F09F26" w14:textId="77777777" w:rsidR="002350B6" w:rsidRPr="002350B6" w:rsidRDefault="002350B6" w:rsidP="00CF71B7">
      <w:pPr>
        <w:autoSpaceDE w:val="0"/>
        <w:autoSpaceDN w:val="0"/>
        <w:adjustRightInd w:val="0"/>
        <w:spacing w:line="228" w:lineRule="auto"/>
        <w:jc w:val="both"/>
        <w:rPr>
          <w:bCs/>
          <w:color w:val="000000"/>
          <w:szCs w:val="22"/>
        </w:rPr>
      </w:pPr>
      <w:r w:rsidRPr="002350B6">
        <w:rPr>
          <w:bCs/>
          <w:color w:val="000000"/>
          <w:szCs w:val="22"/>
        </w:rPr>
        <w:t>95/2019 Z. z. o informačných technológiách vo verejnej správe a o zmene a doplnení niektorých zákonov</w:t>
      </w:r>
    </w:p>
    <w:p w14:paraId="68164726" w14:textId="77777777" w:rsidR="002350B6" w:rsidRPr="002350B6" w:rsidRDefault="002350B6" w:rsidP="00CF71B7">
      <w:pPr>
        <w:autoSpaceDE w:val="0"/>
        <w:autoSpaceDN w:val="0"/>
        <w:adjustRightInd w:val="0"/>
        <w:spacing w:line="228" w:lineRule="auto"/>
        <w:jc w:val="both"/>
        <w:rPr>
          <w:bCs/>
          <w:color w:val="000000"/>
          <w:szCs w:val="22"/>
        </w:rPr>
      </w:pPr>
      <w:r w:rsidRPr="002350B6">
        <w:rPr>
          <w:bCs/>
          <w:color w:val="000000"/>
          <w:szCs w:val="22"/>
        </w:rPr>
        <w:t>69/2018 Z. z. o kybernetickej bezpečnosti a o zmene a doplnení niektorých zákonov</w:t>
      </w:r>
    </w:p>
    <w:p w14:paraId="39B46E8C" w14:textId="77777777" w:rsidR="002350B6" w:rsidRPr="002350B6" w:rsidRDefault="002350B6" w:rsidP="00CF71B7">
      <w:pPr>
        <w:autoSpaceDE w:val="0"/>
        <w:autoSpaceDN w:val="0"/>
        <w:adjustRightInd w:val="0"/>
        <w:spacing w:line="228" w:lineRule="auto"/>
        <w:jc w:val="both"/>
        <w:rPr>
          <w:bCs/>
          <w:color w:val="000000"/>
          <w:szCs w:val="22"/>
        </w:rPr>
      </w:pPr>
      <w:r w:rsidRPr="002350B6">
        <w:rPr>
          <w:bCs/>
          <w:color w:val="000000"/>
          <w:szCs w:val="22"/>
        </w:rPr>
        <w:t>55/2014 z. z. Výnos MF SR o štandardoch pre informačné systémy verejnej správy</w:t>
      </w:r>
    </w:p>
    <w:p w14:paraId="5A01C05B" w14:textId="77777777" w:rsidR="002350B6" w:rsidRPr="002350B6" w:rsidRDefault="002350B6" w:rsidP="00CF71B7">
      <w:pPr>
        <w:autoSpaceDE w:val="0"/>
        <w:autoSpaceDN w:val="0"/>
        <w:adjustRightInd w:val="0"/>
        <w:spacing w:line="228" w:lineRule="auto"/>
        <w:jc w:val="both"/>
        <w:rPr>
          <w:bCs/>
          <w:color w:val="000000"/>
          <w:szCs w:val="22"/>
        </w:rPr>
      </w:pPr>
    </w:p>
    <w:p w14:paraId="103D588D" w14:textId="77777777" w:rsidR="002350B6" w:rsidRPr="002350B6" w:rsidRDefault="002350B6" w:rsidP="00CF71B7">
      <w:pPr>
        <w:autoSpaceDE w:val="0"/>
        <w:autoSpaceDN w:val="0"/>
        <w:adjustRightInd w:val="0"/>
        <w:spacing w:line="228" w:lineRule="auto"/>
        <w:jc w:val="both"/>
        <w:rPr>
          <w:bCs/>
          <w:color w:val="000000"/>
          <w:szCs w:val="22"/>
        </w:rPr>
      </w:pPr>
      <w:r w:rsidRPr="002350B6">
        <w:rPr>
          <w:bCs/>
          <w:color w:val="000000"/>
          <w:szCs w:val="22"/>
        </w:rPr>
        <w:t xml:space="preserve">330/2018 NARIADENIE VLÁDY SR, ktorým sa ustanovuje výška sadzieb poplatkov za uloženie odpadov a podrobnosti súvisiace s prerozdeľovaním príjmov z poplatkov za uloženie odpadov </w:t>
      </w:r>
    </w:p>
    <w:p w14:paraId="1C7AC582" w14:textId="77777777" w:rsidR="002350B6" w:rsidRPr="002350B6" w:rsidRDefault="002350B6" w:rsidP="00CF71B7">
      <w:pPr>
        <w:autoSpaceDE w:val="0"/>
        <w:autoSpaceDN w:val="0"/>
        <w:adjustRightInd w:val="0"/>
        <w:spacing w:line="228" w:lineRule="auto"/>
        <w:jc w:val="both"/>
        <w:rPr>
          <w:bCs/>
          <w:color w:val="000000"/>
          <w:szCs w:val="22"/>
        </w:rPr>
      </w:pPr>
    </w:p>
    <w:p w14:paraId="7A2D8AE5" w14:textId="2CF7CD1E" w:rsidR="00E9625D" w:rsidRPr="009C4E4C" w:rsidRDefault="002350B6" w:rsidP="00CF71B7">
      <w:pPr>
        <w:autoSpaceDE w:val="0"/>
        <w:autoSpaceDN w:val="0"/>
        <w:adjustRightInd w:val="0"/>
        <w:spacing w:line="228" w:lineRule="auto"/>
        <w:jc w:val="both"/>
        <w:rPr>
          <w:bCs/>
          <w:color w:val="000000"/>
          <w:szCs w:val="22"/>
        </w:rPr>
      </w:pPr>
      <w:r w:rsidRPr="002350B6">
        <w:rPr>
          <w:bCs/>
          <w:color w:val="000000"/>
          <w:szCs w:val="22"/>
        </w:rPr>
        <w:t>Zákon 135/1961 §9 ods.2 o pozemných komunikáciách (cestný zákon)</w:t>
      </w:r>
    </w:p>
    <w:p w14:paraId="1E15E971" w14:textId="775C199B" w:rsidR="00563AB9" w:rsidRDefault="00563AB9" w:rsidP="00582C0C">
      <w:pPr>
        <w:autoSpaceDE w:val="0"/>
        <w:autoSpaceDN w:val="0"/>
        <w:adjustRightInd w:val="0"/>
        <w:jc w:val="both"/>
        <w:rPr>
          <w:b/>
          <w:color w:val="000000"/>
          <w:szCs w:val="22"/>
        </w:rPr>
      </w:pPr>
    </w:p>
    <w:p w14:paraId="234F4D57" w14:textId="0F2CB745" w:rsidR="009D7030" w:rsidRDefault="009D7030" w:rsidP="00582C0C">
      <w:pPr>
        <w:autoSpaceDE w:val="0"/>
        <w:autoSpaceDN w:val="0"/>
        <w:adjustRightInd w:val="0"/>
        <w:jc w:val="both"/>
        <w:rPr>
          <w:b/>
          <w:color w:val="000000"/>
          <w:szCs w:val="22"/>
        </w:rPr>
      </w:pPr>
      <w:r>
        <w:rPr>
          <w:b/>
          <w:color w:val="000000"/>
          <w:szCs w:val="22"/>
        </w:rPr>
        <w:t>Želiezovce</w:t>
      </w:r>
    </w:p>
    <w:p w14:paraId="417F7881" w14:textId="40F3948D" w:rsidR="009D7030" w:rsidRDefault="00CD369E" w:rsidP="00582C0C">
      <w:pPr>
        <w:autoSpaceDE w:val="0"/>
        <w:autoSpaceDN w:val="0"/>
        <w:adjustRightInd w:val="0"/>
        <w:jc w:val="both"/>
        <w:rPr>
          <w:bCs/>
          <w:color w:val="000000"/>
          <w:szCs w:val="22"/>
        </w:rPr>
      </w:pPr>
      <w:r w:rsidRPr="00CD369E">
        <w:rPr>
          <w:bCs/>
          <w:color w:val="000000"/>
          <w:szCs w:val="22"/>
        </w:rPr>
        <w:t>V sociálnej oblasti povinnosť prispievať na náklady spojené s umiestnením občanov v ústave sociálnej starostlivosti.</w:t>
      </w:r>
    </w:p>
    <w:p w14:paraId="5B96B458" w14:textId="3F918CFA" w:rsidR="00CD369E" w:rsidRDefault="00CD369E" w:rsidP="00582C0C">
      <w:pPr>
        <w:autoSpaceDE w:val="0"/>
        <w:autoSpaceDN w:val="0"/>
        <w:adjustRightInd w:val="0"/>
        <w:jc w:val="both"/>
        <w:rPr>
          <w:bCs/>
          <w:color w:val="000000"/>
          <w:szCs w:val="22"/>
        </w:rPr>
      </w:pPr>
    </w:p>
    <w:p w14:paraId="4DDA3A12" w14:textId="1C8D432B" w:rsidR="00CD369E" w:rsidRPr="00B20BD2" w:rsidRDefault="00CD369E" w:rsidP="00582C0C">
      <w:pPr>
        <w:autoSpaceDE w:val="0"/>
        <w:autoSpaceDN w:val="0"/>
        <w:adjustRightInd w:val="0"/>
        <w:jc w:val="both"/>
        <w:rPr>
          <w:b/>
          <w:color w:val="000000"/>
          <w:szCs w:val="22"/>
        </w:rPr>
      </w:pPr>
      <w:r w:rsidRPr="00B20BD2">
        <w:rPr>
          <w:b/>
          <w:color w:val="000000"/>
          <w:szCs w:val="22"/>
        </w:rPr>
        <w:t>Žilina</w:t>
      </w:r>
    </w:p>
    <w:p w14:paraId="72568888" w14:textId="78CC353B" w:rsidR="00B20BD2" w:rsidRPr="00CD369E" w:rsidRDefault="00B20BD2" w:rsidP="00582C0C">
      <w:pPr>
        <w:autoSpaceDE w:val="0"/>
        <w:autoSpaceDN w:val="0"/>
        <w:adjustRightInd w:val="0"/>
        <w:jc w:val="both"/>
        <w:rPr>
          <w:bCs/>
          <w:color w:val="000000"/>
          <w:szCs w:val="22"/>
        </w:rPr>
      </w:pPr>
      <w:r w:rsidRPr="00B20BD2">
        <w:rPr>
          <w:bCs/>
          <w:color w:val="000000"/>
          <w:szCs w:val="22"/>
        </w:rPr>
        <w:t>Zmeny zapríčinené novelou zákona o dani z príjmov, zastavenie exekúcií starších ako päť rokov, novela zákona o pozemných komunikáciách, tzv. chodníkovej novely, rekreačné poukazy, opatrenia v súvislosti s obedmi zadarmo pre deti v školských jedálňach, povinnosti v oblasti sociálnych vecí - povinnosť pre samosprávy kompenzovať finančný príspevok za sociálne služby aj v prípade neverejných poskytovateľov, ak si ich klient vyberie.</w:t>
      </w:r>
    </w:p>
    <w:p w14:paraId="6563CE70" w14:textId="4D230082" w:rsidR="00CD369E" w:rsidRDefault="00CD369E" w:rsidP="00582C0C">
      <w:pPr>
        <w:autoSpaceDE w:val="0"/>
        <w:autoSpaceDN w:val="0"/>
        <w:adjustRightInd w:val="0"/>
        <w:jc w:val="both"/>
        <w:rPr>
          <w:b/>
          <w:color w:val="000000"/>
          <w:szCs w:val="22"/>
        </w:rPr>
      </w:pPr>
    </w:p>
    <w:p w14:paraId="52D7609B" w14:textId="786D6A78" w:rsidR="00B20BD2" w:rsidRDefault="00B20BD2" w:rsidP="00582C0C">
      <w:pPr>
        <w:autoSpaceDE w:val="0"/>
        <w:autoSpaceDN w:val="0"/>
        <w:adjustRightInd w:val="0"/>
        <w:jc w:val="both"/>
        <w:rPr>
          <w:b/>
          <w:color w:val="000000"/>
          <w:szCs w:val="22"/>
        </w:rPr>
      </w:pPr>
      <w:r>
        <w:rPr>
          <w:b/>
          <w:color w:val="000000"/>
          <w:szCs w:val="22"/>
        </w:rPr>
        <w:t xml:space="preserve">Zvolen </w:t>
      </w:r>
    </w:p>
    <w:p w14:paraId="37C9A726" w14:textId="1DFC288A" w:rsidR="00044C1F" w:rsidRDefault="00044C1F" w:rsidP="00E35EEA">
      <w:pPr>
        <w:autoSpaceDE w:val="0"/>
        <w:autoSpaceDN w:val="0"/>
        <w:adjustRightInd w:val="0"/>
        <w:jc w:val="both"/>
        <w:rPr>
          <w:bCs/>
          <w:color w:val="000000"/>
          <w:szCs w:val="22"/>
        </w:rPr>
      </w:pPr>
      <w:r w:rsidRPr="00044C1F">
        <w:rPr>
          <w:bCs/>
          <w:color w:val="000000"/>
          <w:szCs w:val="22"/>
        </w:rPr>
        <w:t>- tzv. "chodníková novela" - táto zmena bola urobená, tzv. nepriamou novelou zákona. Prostredníctvom zákona o prevádzke vozidiel v cestnej premávke (zákon č. 106/2018) bol zmenený aj zákon o pozemných komunikáciách (zákon č. 135/1961)</w:t>
      </w:r>
    </w:p>
    <w:p w14:paraId="6DABED5A" w14:textId="77777777" w:rsidR="00E35EEA" w:rsidRPr="00044C1F" w:rsidRDefault="00E35EEA" w:rsidP="00E35EEA">
      <w:pPr>
        <w:autoSpaceDE w:val="0"/>
        <w:autoSpaceDN w:val="0"/>
        <w:adjustRightInd w:val="0"/>
        <w:jc w:val="both"/>
        <w:rPr>
          <w:bCs/>
          <w:color w:val="000000"/>
          <w:szCs w:val="22"/>
        </w:rPr>
      </w:pPr>
    </w:p>
    <w:p w14:paraId="4E1E272C" w14:textId="553BC24B" w:rsidR="00044C1F" w:rsidRPr="00044C1F" w:rsidRDefault="00044C1F" w:rsidP="00E35EEA">
      <w:pPr>
        <w:autoSpaceDE w:val="0"/>
        <w:autoSpaceDN w:val="0"/>
        <w:adjustRightInd w:val="0"/>
        <w:jc w:val="both"/>
        <w:rPr>
          <w:bCs/>
          <w:color w:val="000000"/>
          <w:szCs w:val="22"/>
        </w:rPr>
      </w:pPr>
      <w:r w:rsidRPr="00044C1F">
        <w:rPr>
          <w:bCs/>
          <w:color w:val="000000"/>
          <w:szCs w:val="22"/>
        </w:rPr>
        <w:t>- Nárast miezd o</w:t>
      </w:r>
      <w:r w:rsidR="00482FC8">
        <w:rPr>
          <w:bCs/>
          <w:color w:val="000000"/>
          <w:szCs w:val="22"/>
        </w:rPr>
        <w:t> </w:t>
      </w:r>
      <w:r w:rsidRPr="00044C1F">
        <w:rPr>
          <w:bCs/>
          <w:color w:val="000000"/>
          <w:szCs w:val="22"/>
        </w:rPr>
        <w:t>10</w:t>
      </w:r>
      <w:r w:rsidR="00482FC8">
        <w:rPr>
          <w:bCs/>
          <w:color w:val="000000"/>
          <w:szCs w:val="22"/>
        </w:rPr>
        <w:t> </w:t>
      </w:r>
      <w:r w:rsidRPr="00044C1F">
        <w:rPr>
          <w:bCs/>
          <w:color w:val="000000"/>
          <w:szCs w:val="22"/>
        </w:rPr>
        <w:t>% v štátnej a verejnej službe - zákon 553/2003 Z. z.</w:t>
      </w:r>
    </w:p>
    <w:p w14:paraId="75D1945B" w14:textId="77777777" w:rsidR="00044C1F" w:rsidRPr="00044C1F" w:rsidRDefault="00044C1F" w:rsidP="00E35EEA">
      <w:pPr>
        <w:autoSpaceDE w:val="0"/>
        <w:autoSpaceDN w:val="0"/>
        <w:adjustRightInd w:val="0"/>
        <w:jc w:val="both"/>
        <w:rPr>
          <w:bCs/>
          <w:color w:val="000000"/>
          <w:szCs w:val="22"/>
        </w:rPr>
      </w:pPr>
    </w:p>
    <w:p w14:paraId="04354AF1" w14:textId="516B4FE3" w:rsidR="00044C1F" w:rsidRPr="00044C1F" w:rsidRDefault="00044C1F" w:rsidP="00E35EEA">
      <w:pPr>
        <w:autoSpaceDE w:val="0"/>
        <w:autoSpaceDN w:val="0"/>
        <w:adjustRightInd w:val="0"/>
        <w:jc w:val="both"/>
        <w:rPr>
          <w:bCs/>
          <w:color w:val="000000"/>
          <w:szCs w:val="22"/>
        </w:rPr>
      </w:pPr>
      <w:r w:rsidRPr="00044C1F">
        <w:rPr>
          <w:bCs/>
          <w:color w:val="000000"/>
          <w:szCs w:val="22"/>
        </w:rPr>
        <w:t>- Rekreačné poukazy - zákon o cestovnom ruchu 347/2018 Z.</w:t>
      </w:r>
      <w:r w:rsidR="00CF71B7">
        <w:rPr>
          <w:bCs/>
          <w:color w:val="000000"/>
          <w:szCs w:val="22"/>
        </w:rPr>
        <w:t> </w:t>
      </w:r>
      <w:r w:rsidRPr="00044C1F">
        <w:rPr>
          <w:bCs/>
          <w:color w:val="000000"/>
          <w:szCs w:val="22"/>
        </w:rPr>
        <w:t>z.</w:t>
      </w:r>
    </w:p>
    <w:p w14:paraId="0B88B7FA" w14:textId="77777777" w:rsidR="00044C1F" w:rsidRPr="00044C1F" w:rsidRDefault="00044C1F" w:rsidP="00E35EEA">
      <w:pPr>
        <w:autoSpaceDE w:val="0"/>
        <w:autoSpaceDN w:val="0"/>
        <w:adjustRightInd w:val="0"/>
        <w:jc w:val="both"/>
        <w:rPr>
          <w:bCs/>
          <w:color w:val="000000"/>
          <w:szCs w:val="22"/>
        </w:rPr>
      </w:pPr>
    </w:p>
    <w:p w14:paraId="17069CAF" w14:textId="77777777" w:rsidR="00044C1F" w:rsidRPr="00044C1F" w:rsidRDefault="00044C1F" w:rsidP="00E35EEA">
      <w:pPr>
        <w:autoSpaceDE w:val="0"/>
        <w:autoSpaceDN w:val="0"/>
        <w:adjustRightInd w:val="0"/>
        <w:jc w:val="both"/>
        <w:rPr>
          <w:bCs/>
          <w:color w:val="000000"/>
          <w:szCs w:val="22"/>
        </w:rPr>
      </w:pPr>
      <w:r w:rsidRPr="00044C1F">
        <w:rPr>
          <w:bCs/>
          <w:color w:val="000000"/>
          <w:szCs w:val="22"/>
        </w:rPr>
        <w:t>- "obedy zadarmo" - Zákon č. 544/2010 Z. z. o dotáciách v pôsobnosti Ministerstva práce, sociálnych vecí a rodiny Slovenskej republiky v znení neskorších predpisov</w:t>
      </w:r>
    </w:p>
    <w:p w14:paraId="73B59527" w14:textId="77777777" w:rsidR="00044C1F" w:rsidRPr="00044C1F" w:rsidRDefault="00044C1F" w:rsidP="00E35EEA">
      <w:pPr>
        <w:autoSpaceDE w:val="0"/>
        <w:autoSpaceDN w:val="0"/>
        <w:adjustRightInd w:val="0"/>
        <w:jc w:val="both"/>
        <w:rPr>
          <w:bCs/>
          <w:color w:val="000000"/>
          <w:szCs w:val="22"/>
        </w:rPr>
      </w:pPr>
    </w:p>
    <w:p w14:paraId="189A8824" w14:textId="21E46109" w:rsidR="00044C1F" w:rsidRDefault="00044C1F" w:rsidP="00E35EEA">
      <w:pPr>
        <w:autoSpaceDE w:val="0"/>
        <w:autoSpaceDN w:val="0"/>
        <w:adjustRightInd w:val="0"/>
        <w:jc w:val="both"/>
        <w:rPr>
          <w:bCs/>
          <w:color w:val="000000"/>
          <w:szCs w:val="22"/>
        </w:rPr>
      </w:pPr>
      <w:r w:rsidRPr="00044C1F">
        <w:rPr>
          <w:bCs/>
          <w:color w:val="000000"/>
          <w:szCs w:val="22"/>
        </w:rPr>
        <w:t>- skládkovanie - 329/2018 Z. z - Zákon o poplatkoch za uloženie odpad</w:t>
      </w:r>
      <w:r w:rsidR="00CF71B7">
        <w:rPr>
          <w:bCs/>
          <w:color w:val="000000"/>
          <w:szCs w:val="22"/>
        </w:rPr>
        <w:t>ov</w:t>
      </w:r>
    </w:p>
    <w:p w14:paraId="5AD0B0DD" w14:textId="77777777" w:rsidR="00424510" w:rsidRDefault="00424510" w:rsidP="00044C1F">
      <w:pPr>
        <w:autoSpaceDE w:val="0"/>
        <w:autoSpaceDN w:val="0"/>
        <w:adjustRightInd w:val="0"/>
        <w:jc w:val="both"/>
        <w:rPr>
          <w:bCs/>
          <w:color w:val="000000"/>
          <w:szCs w:val="22"/>
        </w:rPr>
      </w:pPr>
    </w:p>
    <w:p w14:paraId="0E87D60E" w14:textId="6FB62F27" w:rsidR="00044C1F" w:rsidRDefault="00424510" w:rsidP="00044C1F">
      <w:pPr>
        <w:autoSpaceDE w:val="0"/>
        <w:autoSpaceDN w:val="0"/>
        <w:adjustRightInd w:val="0"/>
        <w:jc w:val="both"/>
        <w:rPr>
          <w:b/>
          <w:color w:val="000000"/>
          <w:szCs w:val="22"/>
        </w:rPr>
      </w:pPr>
      <w:r w:rsidRPr="00424510">
        <w:rPr>
          <w:b/>
          <w:color w:val="000000"/>
          <w:szCs w:val="22"/>
        </w:rPr>
        <w:t>Bratislava</w:t>
      </w:r>
    </w:p>
    <w:p w14:paraId="0B4B3192" w14:textId="77777777" w:rsidR="00424510" w:rsidRPr="00424510" w:rsidRDefault="00424510" w:rsidP="00424510">
      <w:pPr>
        <w:autoSpaceDE w:val="0"/>
        <w:autoSpaceDN w:val="0"/>
        <w:adjustRightInd w:val="0"/>
        <w:jc w:val="both"/>
        <w:rPr>
          <w:bCs/>
          <w:color w:val="000000"/>
          <w:szCs w:val="22"/>
        </w:rPr>
      </w:pPr>
      <w:r w:rsidRPr="00424510">
        <w:rPr>
          <w:bCs/>
          <w:color w:val="000000"/>
          <w:szCs w:val="22"/>
        </w:rPr>
        <w:t xml:space="preserve">Obedy zadarmo – pre mestské časti </w:t>
      </w:r>
    </w:p>
    <w:p w14:paraId="5EB973CC" w14:textId="77777777" w:rsidR="00424510" w:rsidRPr="00424510" w:rsidRDefault="00424510" w:rsidP="00424510">
      <w:pPr>
        <w:autoSpaceDE w:val="0"/>
        <w:autoSpaceDN w:val="0"/>
        <w:adjustRightInd w:val="0"/>
        <w:jc w:val="both"/>
        <w:rPr>
          <w:bCs/>
          <w:color w:val="000000"/>
          <w:szCs w:val="22"/>
        </w:rPr>
      </w:pPr>
    </w:p>
    <w:p w14:paraId="3B3BE993" w14:textId="0B9C3713" w:rsidR="00424510" w:rsidRPr="00424510" w:rsidRDefault="00424510" w:rsidP="00424510">
      <w:pPr>
        <w:autoSpaceDE w:val="0"/>
        <w:autoSpaceDN w:val="0"/>
        <w:adjustRightInd w:val="0"/>
        <w:jc w:val="both"/>
        <w:rPr>
          <w:bCs/>
          <w:color w:val="000000"/>
          <w:szCs w:val="22"/>
        </w:rPr>
      </w:pPr>
      <w:r w:rsidRPr="00424510">
        <w:rPr>
          <w:bCs/>
          <w:color w:val="000000"/>
          <w:szCs w:val="22"/>
        </w:rPr>
        <w:lastRenderedPageBreak/>
        <w:t>Nové pravidlá pre detské ihriská - tiež primárne mestské časti (zákon č. 371/2019)</w:t>
      </w:r>
    </w:p>
    <w:p w14:paraId="2BC5A665" w14:textId="6D8A597A" w:rsidR="009114CA" w:rsidRPr="00B81300" w:rsidRDefault="009114CA" w:rsidP="008503F2">
      <w:pPr>
        <w:autoSpaceDE w:val="0"/>
        <w:autoSpaceDN w:val="0"/>
        <w:adjustRightInd w:val="0"/>
        <w:jc w:val="both"/>
        <w:rPr>
          <w:sz w:val="20"/>
          <w:highlight w:val="yellow"/>
        </w:rPr>
      </w:pPr>
    </w:p>
    <w:p w14:paraId="07460BCB" w14:textId="77777777" w:rsidR="00582C0C" w:rsidRPr="00B81300" w:rsidRDefault="00582C0C" w:rsidP="00063DF9">
      <w:pPr>
        <w:autoSpaceDE w:val="0"/>
        <w:autoSpaceDN w:val="0"/>
        <w:adjustRightInd w:val="0"/>
        <w:jc w:val="both"/>
        <w:rPr>
          <w:b/>
          <w:szCs w:val="22"/>
          <w:highlight w:val="yellow"/>
        </w:rPr>
      </w:pPr>
    </w:p>
    <w:p w14:paraId="4712553C" w14:textId="007FAD1D" w:rsidR="00D23AA1" w:rsidRDefault="005E3339" w:rsidP="00063DF9">
      <w:pPr>
        <w:autoSpaceDE w:val="0"/>
        <w:autoSpaceDN w:val="0"/>
        <w:adjustRightInd w:val="0"/>
        <w:jc w:val="both"/>
        <w:rPr>
          <w:b/>
          <w:bCs/>
          <w:szCs w:val="22"/>
        </w:rPr>
      </w:pPr>
      <w:r w:rsidRPr="00317717">
        <w:rPr>
          <w:b/>
          <w:bCs/>
          <w:szCs w:val="22"/>
        </w:rPr>
        <w:t xml:space="preserve">2) </w:t>
      </w:r>
      <w:r w:rsidR="008503F2" w:rsidRPr="00317717">
        <w:rPr>
          <w:b/>
          <w:bCs/>
          <w:szCs w:val="22"/>
        </w:rPr>
        <w:t>k rozšíreniu existujúcich kompetencií a to s rozlíšením na originálne kompetencie alebo prenesený výkon štátnej správy. Zároveň uveďte, či ide o povinné alebo fakultatívne úlohy.</w:t>
      </w:r>
    </w:p>
    <w:p w14:paraId="3D20E11D" w14:textId="3168FC7D" w:rsidR="00317717" w:rsidRDefault="00317717" w:rsidP="00063DF9">
      <w:pPr>
        <w:autoSpaceDE w:val="0"/>
        <w:autoSpaceDN w:val="0"/>
        <w:adjustRightInd w:val="0"/>
        <w:jc w:val="both"/>
        <w:rPr>
          <w:b/>
          <w:bCs/>
          <w:szCs w:val="22"/>
        </w:rPr>
      </w:pPr>
    </w:p>
    <w:p w14:paraId="23AB1C62" w14:textId="7C226AF1" w:rsidR="00317717" w:rsidRDefault="00317717" w:rsidP="00063DF9">
      <w:pPr>
        <w:autoSpaceDE w:val="0"/>
        <w:autoSpaceDN w:val="0"/>
        <w:adjustRightInd w:val="0"/>
        <w:jc w:val="both"/>
        <w:rPr>
          <w:b/>
          <w:bCs/>
          <w:szCs w:val="22"/>
        </w:rPr>
      </w:pPr>
      <w:r>
        <w:rPr>
          <w:b/>
          <w:bCs/>
          <w:szCs w:val="22"/>
        </w:rPr>
        <w:t>Stará Turá</w:t>
      </w:r>
    </w:p>
    <w:p w14:paraId="4F6D93EA" w14:textId="52802B2C" w:rsidR="00CC7371" w:rsidRDefault="00CC7371" w:rsidP="00063DF9">
      <w:pPr>
        <w:autoSpaceDE w:val="0"/>
        <w:autoSpaceDN w:val="0"/>
        <w:adjustRightInd w:val="0"/>
        <w:jc w:val="both"/>
        <w:rPr>
          <w:szCs w:val="22"/>
        </w:rPr>
      </w:pPr>
      <w:r w:rsidRPr="00CC7371">
        <w:rPr>
          <w:szCs w:val="22"/>
        </w:rPr>
        <w:t>výkon prenesených kompetencií nie je dostatočne finančne zabezpečený štátom, sčasti ho musia platiť samosprávy samé napriek tomu, že nemajú na to finančné prostriedky (vyplynulo to aj z</w:t>
      </w:r>
      <w:r w:rsidR="000147F6">
        <w:rPr>
          <w:szCs w:val="22"/>
        </w:rPr>
        <w:t> </w:t>
      </w:r>
      <w:r w:rsidRPr="00CC7371">
        <w:rPr>
          <w:szCs w:val="22"/>
        </w:rPr>
        <w:t>auditu ZMOSu); uvedená situácia sa dotýka napríklad sociálnej oblasti, školstva; často vlastne samosprávy "sponzorujú štát"</w:t>
      </w:r>
    </w:p>
    <w:p w14:paraId="618C82AF" w14:textId="667E586D" w:rsidR="00E27FB0" w:rsidRDefault="00E27FB0" w:rsidP="00063DF9">
      <w:pPr>
        <w:autoSpaceDE w:val="0"/>
        <w:autoSpaceDN w:val="0"/>
        <w:adjustRightInd w:val="0"/>
        <w:jc w:val="both"/>
        <w:rPr>
          <w:szCs w:val="22"/>
        </w:rPr>
      </w:pPr>
    </w:p>
    <w:p w14:paraId="18133A2C" w14:textId="18C0742B" w:rsidR="00E27FB0" w:rsidRPr="00975B35" w:rsidRDefault="00E27FB0" w:rsidP="00063DF9">
      <w:pPr>
        <w:autoSpaceDE w:val="0"/>
        <w:autoSpaceDN w:val="0"/>
        <w:adjustRightInd w:val="0"/>
        <w:jc w:val="both"/>
        <w:rPr>
          <w:b/>
          <w:bCs/>
          <w:szCs w:val="22"/>
        </w:rPr>
      </w:pPr>
      <w:r w:rsidRPr="00975B35">
        <w:rPr>
          <w:b/>
          <w:bCs/>
          <w:szCs w:val="22"/>
        </w:rPr>
        <w:t>Nové Zámky</w:t>
      </w:r>
    </w:p>
    <w:p w14:paraId="4CE9441A" w14:textId="77777777" w:rsidR="00975B35" w:rsidRPr="00975B35" w:rsidRDefault="00975B35" w:rsidP="00975B35">
      <w:pPr>
        <w:autoSpaceDE w:val="0"/>
        <w:autoSpaceDN w:val="0"/>
        <w:adjustRightInd w:val="0"/>
        <w:jc w:val="both"/>
        <w:rPr>
          <w:szCs w:val="22"/>
        </w:rPr>
      </w:pPr>
      <w:r w:rsidRPr="00975B35">
        <w:rPr>
          <w:szCs w:val="22"/>
        </w:rPr>
        <w:t>originálna - cestný zákon-zimná údržba chodníkov/povinnosť</w:t>
      </w:r>
    </w:p>
    <w:p w14:paraId="2BE67D40" w14:textId="77777777" w:rsidR="00975B35" w:rsidRPr="00975B35" w:rsidRDefault="00975B35" w:rsidP="00975B35">
      <w:pPr>
        <w:autoSpaceDE w:val="0"/>
        <w:autoSpaceDN w:val="0"/>
        <w:adjustRightInd w:val="0"/>
        <w:jc w:val="both"/>
        <w:rPr>
          <w:szCs w:val="22"/>
        </w:rPr>
      </w:pPr>
      <w:r w:rsidRPr="00975B35">
        <w:rPr>
          <w:szCs w:val="22"/>
        </w:rPr>
        <w:t>originálna - školský zákon -strava zadarmo/povinnosť</w:t>
      </w:r>
    </w:p>
    <w:p w14:paraId="445FD7FE" w14:textId="77777777" w:rsidR="00975B35" w:rsidRPr="00975B35" w:rsidRDefault="00975B35" w:rsidP="00975B35">
      <w:pPr>
        <w:autoSpaceDE w:val="0"/>
        <w:autoSpaceDN w:val="0"/>
        <w:adjustRightInd w:val="0"/>
        <w:jc w:val="both"/>
        <w:rPr>
          <w:szCs w:val="22"/>
        </w:rPr>
      </w:pPr>
      <w:r w:rsidRPr="00975B35">
        <w:rPr>
          <w:szCs w:val="22"/>
        </w:rPr>
        <w:t>originálna - zákon o poplatkoch za uloženie odpadu-poplatok za uloženie odpadu na skládku/povinnosť</w:t>
      </w:r>
    </w:p>
    <w:p w14:paraId="2BEDF9A6" w14:textId="77777777" w:rsidR="00975B35" w:rsidRPr="00975B35" w:rsidRDefault="00975B35" w:rsidP="00975B35">
      <w:pPr>
        <w:autoSpaceDE w:val="0"/>
        <w:autoSpaceDN w:val="0"/>
        <w:adjustRightInd w:val="0"/>
        <w:jc w:val="both"/>
        <w:rPr>
          <w:szCs w:val="22"/>
        </w:rPr>
      </w:pPr>
      <w:r w:rsidRPr="00975B35">
        <w:rPr>
          <w:szCs w:val="22"/>
        </w:rPr>
        <w:t>originálna - zákon -osobný bankrot, zákon-exekučná amnestia/povinnosť</w:t>
      </w:r>
    </w:p>
    <w:p w14:paraId="638F2EFE" w14:textId="77777777" w:rsidR="00975B35" w:rsidRPr="00975B35" w:rsidRDefault="00975B35" w:rsidP="00975B35">
      <w:pPr>
        <w:autoSpaceDE w:val="0"/>
        <w:autoSpaceDN w:val="0"/>
        <w:adjustRightInd w:val="0"/>
        <w:jc w:val="both"/>
        <w:rPr>
          <w:szCs w:val="22"/>
        </w:rPr>
      </w:pPr>
      <w:r w:rsidRPr="00975B35">
        <w:rPr>
          <w:szCs w:val="22"/>
        </w:rPr>
        <w:t>originálna - zákon o kybernetickej bezpečnosti/povinnosť</w:t>
      </w:r>
    </w:p>
    <w:p w14:paraId="2A3547AD" w14:textId="0D8EC362" w:rsidR="00E27FB0" w:rsidRDefault="00975B35" w:rsidP="00975B35">
      <w:pPr>
        <w:autoSpaceDE w:val="0"/>
        <w:autoSpaceDN w:val="0"/>
        <w:adjustRightInd w:val="0"/>
        <w:jc w:val="both"/>
        <w:rPr>
          <w:szCs w:val="22"/>
        </w:rPr>
      </w:pPr>
      <w:r w:rsidRPr="00975B35">
        <w:rPr>
          <w:szCs w:val="22"/>
        </w:rPr>
        <w:t>originálna - zákon o kybernetickej bezpečnosti/povinnosť</w:t>
      </w:r>
    </w:p>
    <w:p w14:paraId="38EA3BA7" w14:textId="0CFF403A" w:rsidR="00CD1886" w:rsidRDefault="00CD1886" w:rsidP="00975B35">
      <w:pPr>
        <w:autoSpaceDE w:val="0"/>
        <w:autoSpaceDN w:val="0"/>
        <w:adjustRightInd w:val="0"/>
        <w:jc w:val="both"/>
        <w:rPr>
          <w:szCs w:val="22"/>
        </w:rPr>
      </w:pPr>
    </w:p>
    <w:p w14:paraId="374F9A48" w14:textId="663B8CBD" w:rsidR="00CD1886" w:rsidRDefault="00CD1886" w:rsidP="00975B35">
      <w:pPr>
        <w:autoSpaceDE w:val="0"/>
        <w:autoSpaceDN w:val="0"/>
        <w:adjustRightInd w:val="0"/>
        <w:jc w:val="both"/>
        <w:rPr>
          <w:b/>
          <w:bCs/>
          <w:szCs w:val="22"/>
        </w:rPr>
      </w:pPr>
      <w:r w:rsidRPr="00CD1886">
        <w:rPr>
          <w:b/>
          <w:bCs/>
          <w:szCs w:val="22"/>
        </w:rPr>
        <w:t>Nitra</w:t>
      </w:r>
    </w:p>
    <w:p w14:paraId="15932DBE" w14:textId="26178B45" w:rsidR="00CD1886" w:rsidRDefault="00CD1886" w:rsidP="00975B35">
      <w:pPr>
        <w:autoSpaceDE w:val="0"/>
        <w:autoSpaceDN w:val="0"/>
        <w:adjustRightInd w:val="0"/>
        <w:jc w:val="both"/>
        <w:rPr>
          <w:b/>
          <w:bCs/>
          <w:szCs w:val="22"/>
        </w:rPr>
      </w:pPr>
      <w:r>
        <w:rPr>
          <w:szCs w:val="22"/>
        </w:rPr>
        <w:t>(</w:t>
      </w:r>
      <w:r w:rsidRPr="00CD1886">
        <w:rPr>
          <w:szCs w:val="22"/>
        </w:rPr>
        <w:t>Zákon č. 347/2018 Z.z. o podpore cestovného ruchu</w:t>
      </w:r>
      <w:r>
        <w:rPr>
          <w:b/>
          <w:bCs/>
          <w:szCs w:val="22"/>
        </w:rPr>
        <w:t>) – povinná úloha</w:t>
      </w:r>
    </w:p>
    <w:p w14:paraId="7046A08B" w14:textId="77777777" w:rsidR="001F6E35" w:rsidRDefault="001F6E35" w:rsidP="00975B35">
      <w:pPr>
        <w:autoSpaceDE w:val="0"/>
        <w:autoSpaceDN w:val="0"/>
        <w:adjustRightInd w:val="0"/>
        <w:jc w:val="both"/>
        <w:rPr>
          <w:b/>
          <w:bCs/>
          <w:szCs w:val="22"/>
        </w:rPr>
      </w:pPr>
    </w:p>
    <w:p w14:paraId="6CE3EB0C" w14:textId="77777777" w:rsidR="001F6E35" w:rsidRPr="001F6E35" w:rsidRDefault="001F6E35" w:rsidP="001F6E35">
      <w:pPr>
        <w:autoSpaceDE w:val="0"/>
        <w:autoSpaceDN w:val="0"/>
        <w:adjustRightInd w:val="0"/>
        <w:jc w:val="both"/>
        <w:rPr>
          <w:szCs w:val="22"/>
        </w:rPr>
      </w:pPr>
      <w:r w:rsidRPr="001F6E35">
        <w:rPr>
          <w:szCs w:val="22"/>
        </w:rPr>
        <w:t>Nárast tarifných miezd v školských zariadeniach</w:t>
      </w:r>
    </w:p>
    <w:p w14:paraId="7EBD16BA" w14:textId="77777777" w:rsidR="001F6E35" w:rsidRPr="001F6E35" w:rsidRDefault="001F6E35" w:rsidP="001F6E35">
      <w:pPr>
        <w:autoSpaceDE w:val="0"/>
        <w:autoSpaceDN w:val="0"/>
        <w:adjustRightInd w:val="0"/>
        <w:jc w:val="both"/>
        <w:rPr>
          <w:szCs w:val="22"/>
        </w:rPr>
      </w:pPr>
      <w:r w:rsidRPr="001F6E35">
        <w:rPr>
          <w:szCs w:val="22"/>
        </w:rPr>
        <w:t>-</w:t>
      </w:r>
      <w:r w:rsidRPr="001F6E35">
        <w:rPr>
          <w:szCs w:val="22"/>
        </w:rPr>
        <w:tab/>
        <w:t>Základné školy – prenesené kompetencie</w:t>
      </w:r>
    </w:p>
    <w:p w14:paraId="371DE903" w14:textId="77777777" w:rsidR="001F6E35" w:rsidRPr="001F6E35" w:rsidRDefault="001F6E35" w:rsidP="001F6E35">
      <w:pPr>
        <w:autoSpaceDE w:val="0"/>
        <w:autoSpaceDN w:val="0"/>
        <w:adjustRightInd w:val="0"/>
        <w:jc w:val="both"/>
        <w:rPr>
          <w:szCs w:val="22"/>
        </w:rPr>
      </w:pPr>
      <w:r w:rsidRPr="001F6E35">
        <w:rPr>
          <w:szCs w:val="22"/>
        </w:rPr>
        <w:t>-</w:t>
      </w:r>
      <w:r w:rsidRPr="001F6E35">
        <w:rPr>
          <w:szCs w:val="22"/>
        </w:rPr>
        <w:tab/>
        <w:t>Ostatné RO – originálne kompetencie</w:t>
      </w:r>
    </w:p>
    <w:p w14:paraId="1180F348" w14:textId="77777777" w:rsidR="001F6E35" w:rsidRPr="001F6E35" w:rsidRDefault="001F6E35" w:rsidP="001F6E35">
      <w:pPr>
        <w:autoSpaceDE w:val="0"/>
        <w:autoSpaceDN w:val="0"/>
        <w:adjustRightInd w:val="0"/>
        <w:jc w:val="both"/>
        <w:rPr>
          <w:szCs w:val="22"/>
        </w:rPr>
      </w:pPr>
      <w:r w:rsidRPr="001F6E35">
        <w:rPr>
          <w:szCs w:val="22"/>
        </w:rPr>
        <w:t>-</w:t>
      </w:r>
      <w:r w:rsidRPr="001F6E35">
        <w:rPr>
          <w:szCs w:val="22"/>
        </w:rPr>
        <w:tab/>
        <w:t>Materské školy a základné školy – originálne kompetencie</w:t>
      </w:r>
    </w:p>
    <w:p w14:paraId="1B01C6CF" w14:textId="77777777" w:rsidR="001F6E35" w:rsidRPr="001F6E35" w:rsidRDefault="001F6E35" w:rsidP="001F6E35">
      <w:pPr>
        <w:autoSpaceDE w:val="0"/>
        <w:autoSpaceDN w:val="0"/>
        <w:adjustRightInd w:val="0"/>
        <w:jc w:val="both"/>
        <w:rPr>
          <w:szCs w:val="22"/>
        </w:rPr>
      </w:pPr>
      <w:r w:rsidRPr="001F6E35">
        <w:rPr>
          <w:szCs w:val="22"/>
        </w:rPr>
        <w:t>-</w:t>
      </w:r>
      <w:r w:rsidRPr="001F6E35">
        <w:rPr>
          <w:szCs w:val="22"/>
        </w:rPr>
        <w:tab/>
        <w:t>Neštátne školské zariadenia – originálne kompetencie</w:t>
      </w:r>
    </w:p>
    <w:p w14:paraId="2E34A8C6" w14:textId="77777777" w:rsidR="001F6E35" w:rsidRPr="001F6E35" w:rsidRDefault="001F6E35" w:rsidP="001F6E35">
      <w:pPr>
        <w:autoSpaceDE w:val="0"/>
        <w:autoSpaceDN w:val="0"/>
        <w:adjustRightInd w:val="0"/>
        <w:jc w:val="both"/>
        <w:rPr>
          <w:szCs w:val="22"/>
        </w:rPr>
      </w:pPr>
      <w:r w:rsidRPr="001F6E35">
        <w:rPr>
          <w:szCs w:val="22"/>
        </w:rPr>
        <w:t>Nárast tarifných miezd v príspevkovej organizácii</w:t>
      </w:r>
    </w:p>
    <w:p w14:paraId="353B88E6" w14:textId="77777777" w:rsidR="001F6E35" w:rsidRPr="001F6E35" w:rsidRDefault="001F6E35" w:rsidP="001F6E35">
      <w:pPr>
        <w:autoSpaceDE w:val="0"/>
        <w:autoSpaceDN w:val="0"/>
        <w:adjustRightInd w:val="0"/>
        <w:jc w:val="both"/>
        <w:rPr>
          <w:szCs w:val="22"/>
        </w:rPr>
      </w:pPr>
      <w:r w:rsidRPr="001F6E35">
        <w:rPr>
          <w:szCs w:val="22"/>
        </w:rPr>
        <w:t>Nárast poplatku za uloženie odpadov</w:t>
      </w:r>
    </w:p>
    <w:p w14:paraId="47FFB8A5" w14:textId="77777777" w:rsidR="001F6E35" w:rsidRPr="001F6E35" w:rsidRDefault="001F6E35" w:rsidP="001F6E35">
      <w:pPr>
        <w:autoSpaceDE w:val="0"/>
        <w:autoSpaceDN w:val="0"/>
        <w:adjustRightInd w:val="0"/>
        <w:jc w:val="both"/>
        <w:rPr>
          <w:szCs w:val="22"/>
        </w:rPr>
      </w:pPr>
      <w:r w:rsidRPr="001F6E35">
        <w:rPr>
          <w:szCs w:val="22"/>
        </w:rPr>
        <w:t>Obedy zdarma – originálne kompetencie</w:t>
      </w:r>
    </w:p>
    <w:p w14:paraId="02D2A16B" w14:textId="385B6AA8" w:rsidR="001F6E35" w:rsidRPr="001F6E35" w:rsidRDefault="001F6E35" w:rsidP="001F6E35">
      <w:pPr>
        <w:autoSpaceDE w:val="0"/>
        <w:autoSpaceDN w:val="0"/>
        <w:adjustRightInd w:val="0"/>
        <w:jc w:val="both"/>
        <w:rPr>
          <w:szCs w:val="22"/>
        </w:rPr>
      </w:pPr>
      <w:r w:rsidRPr="001F6E35">
        <w:rPr>
          <w:szCs w:val="22"/>
        </w:rPr>
        <w:t>Zimná údržba chodníkov</w:t>
      </w:r>
    </w:p>
    <w:p w14:paraId="0105D591" w14:textId="152E0C4D" w:rsidR="00CD1886" w:rsidRDefault="00CD1886" w:rsidP="00975B35">
      <w:pPr>
        <w:autoSpaceDE w:val="0"/>
        <w:autoSpaceDN w:val="0"/>
        <w:adjustRightInd w:val="0"/>
        <w:jc w:val="both"/>
        <w:rPr>
          <w:b/>
          <w:bCs/>
          <w:szCs w:val="22"/>
        </w:rPr>
      </w:pPr>
    </w:p>
    <w:p w14:paraId="229A9CE6" w14:textId="6762BCEA" w:rsidR="00827963" w:rsidRDefault="00827963" w:rsidP="00975B35">
      <w:pPr>
        <w:autoSpaceDE w:val="0"/>
        <w:autoSpaceDN w:val="0"/>
        <w:adjustRightInd w:val="0"/>
        <w:jc w:val="both"/>
        <w:rPr>
          <w:b/>
          <w:bCs/>
          <w:szCs w:val="22"/>
        </w:rPr>
      </w:pPr>
      <w:r>
        <w:rPr>
          <w:b/>
          <w:bCs/>
          <w:szCs w:val="22"/>
        </w:rPr>
        <w:t>Banská Bystrica</w:t>
      </w:r>
    </w:p>
    <w:p w14:paraId="45CDE75C" w14:textId="72BBAB45" w:rsidR="00827963" w:rsidRPr="00E35EEA" w:rsidRDefault="00827963" w:rsidP="007C6CE0">
      <w:pPr>
        <w:pStyle w:val="ListParagraph"/>
        <w:numPr>
          <w:ilvl w:val="0"/>
          <w:numId w:val="38"/>
        </w:numPr>
        <w:autoSpaceDE w:val="0"/>
        <w:autoSpaceDN w:val="0"/>
        <w:adjustRightInd w:val="0"/>
        <w:jc w:val="both"/>
        <w:rPr>
          <w:rFonts w:ascii="Constantia" w:hAnsi="Constantia"/>
        </w:rPr>
      </w:pPr>
      <w:r w:rsidRPr="00E35EEA">
        <w:rPr>
          <w:rFonts w:ascii="Constantia" w:hAnsi="Constantia"/>
        </w:rPr>
        <w:t>povinnosť starostlivosti o všetky chodníky na samosprávy – povinná úloha</w:t>
      </w:r>
    </w:p>
    <w:p w14:paraId="07319D40" w14:textId="1E6DBB6B" w:rsidR="00827963" w:rsidRPr="00E35EEA" w:rsidRDefault="00827963" w:rsidP="007C6CE0">
      <w:pPr>
        <w:pStyle w:val="ListParagraph"/>
        <w:numPr>
          <w:ilvl w:val="0"/>
          <w:numId w:val="38"/>
        </w:numPr>
        <w:autoSpaceDE w:val="0"/>
        <w:autoSpaceDN w:val="0"/>
        <w:adjustRightInd w:val="0"/>
        <w:jc w:val="both"/>
        <w:rPr>
          <w:rFonts w:ascii="Constantia" w:hAnsi="Constantia"/>
        </w:rPr>
      </w:pPr>
      <w:r w:rsidRPr="00E35EEA">
        <w:rPr>
          <w:rFonts w:ascii="Constantia" w:hAnsi="Constantia"/>
        </w:rPr>
        <w:t>obedy zadarmo – povinná úloha</w:t>
      </w:r>
    </w:p>
    <w:p w14:paraId="156A5826" w14:textId="1ECF60F0" w:rsidR="00827963" w:rsidRPr="00E35EEA" w:rsidRDefault="00827963" w:rsidP="007C6CE0">
      <w:pPr>
        <w:pStyle w:val="ListParagraph"/>
        <w:numPr>
          <w:ilvl w:val="0"/>
          <w:numId w:val="38"/>
        </w:numPr>
        <w:autoSpaceDE w:val="0"/>
        <w:autoSpaceDN w:val="0"/>
        <w:adjustRightInd w:val="0"/>
        <w:jc w:val="both"/>
        <w:rPr>
          <w:rFonts w:ascii="Constantia" w:hAnsi="Constantia"/>
        </w:rPr>
      </w:pPr>
      <w:r w:rsidRPr="00E35EEA">
        <w:rPr>
          <w:rFonts w:ascii="Constantia" w:hAnsi="Constantia"/>
        </w:rPr>
        <w:t>rekreačné poukazy – povinná úloha:</w:t>
      </w:r>
    </w:p>
    <w:p w14:paraId="2BC4709D" w14:textId="24C193E2" w:rsidR="00827963" w:rsidRPr="00E35EEA" w:rsidRDefault="00827963" w:rsidP="007C6CE0">
      <w:pPr>
        <w:pStyle w:val="ListParagraph"/>
        <w:numPr>
          <w:ilvl w:val="0"/>
          <w:numId w:val="38"/>
        </w:numPr>
        <w:autoSpaceDE w:val="0"/>
        <w:autoSpaceDN w:val="0"/>
        <w:adjustRightInd w:val="0"/>
        <w:jc w:val="both"/>
        <w:rPr>
          <w:rFonts w:ascii="Constantia" w:hAnsi="Constantia"/>
        </w:rPr>
      </w:pPr>
      <w:r w:rsidRPr="00E35EEA">
        <w:rPr>
          <w:rFonts w:ascii="Constantia" w:hAnsi="Constantia"/>
        </w:rPr>
        <w:t>zamestnanci platení z prenesených kompetencií v ZŠ – preplatenie rekreačných poukazov formou žiadosti na príslušný okresný úrad</w:t>
      </w:r>
    </w:p>
    <w:p w14:paraId="51F653EB" w14:textId="3709A011" w:rsidR="00827963" w:rsidRPr="00E35EEA" w:rsidRDefault="00827963" w:rsidP="007C6CE0">
      <w:pPr>
        <w:pStyle w:val="ListParagraph"/>
        <w:numPr>
          <w:ilvl w:val="0"/>
          <w:numId w:val="38"/>
        </w:numPr>
        <w:autoSpaceDE w:val="0"/>
        <w:autoSpaceDN w:val="0"/>
        <w:adjustRightInd w:val="0"/>
        <w:jc w:val="both"/>
        <w:rPr>
          <w:rFonts w:ascii="Constantia" w:hAnsi="Constantia"/>
        </w:rPr>
      </w:pPr>
      <w:r w:rsidRPr="00E35EEA">
        <w:rPr>
          <w:rFonts w:ascii="Constantia" w:hAnsi="Constantia"/>
        </w:rPr>
        <w:t>ostatní zamestnanci v rámci samosprávy a jej organizácií nad 50 zamestnancov – z vlastných prostriedkov obce</w:t>
      </w:r>
    </w:p>
    <w:p w14:paraId="074E7396" w14:textId="5A8FB49F" w:rsidR="005D3591" w:rsidRPr="00BC4866" w:rsidRDefault="005D3591" w:rsidP="005D3591">
      <w:pPr>
        <w:autoSpaceDE w:val="0"/>
        <w:autoSpaceDN w:val="0"/>
        <w:adjustRightInd w:val="0"/>
        <w:jc w:val="both"/>
        <w:rPr>
          <w:b/>
          <w:bCs/>
        </w:rPr>
      </w:pPr>
      <w:r w:rsidRPr="00BC4866">
        <w:rPr>
          <w:b/>
          <w:bCs/>
        </w:rPr>
        <w:t>Handlová</w:t>
      </w:r>
    </w:p>
    <w:p w14:paraId="56112575" w14:textId="1A0527E7" w:rsidR="005D3591" w:rsidRDefault="005D3591" w:rsidP="005D3591">
      <w:pPr>
        <w:autoSpaceDE w:val="0"/>
        <w:autoSpaceDN w:val="0"/>
        <w:adjustRightInd w:val="0"/>
        <w:jc w:val="both"/>
      </w:pPr>
      <w:r w:rsidRPr="005D3591">
        <w:t xml:space="preserve">V originálnych kompetenciách išlo predovšetkým o chodníkový zákon a výdavky s ním súvisiace, ďalej obedy zadarmo aj keď s podporou dotácie, ale s výdavkami na úpravu kuchýň, jedální a ich </w:t>
      </w:r>
      <w:r w:rsidRPr="005D3591">
        <w:lastRenderedPageBreak/>
        <w:t>vybavenie zariadeniami kde išlo o povinné výdavky mesta. V oblasti prenesených kompetencii dochádza k "miernejšiemu" posudzovaniu detí zo soc. znevýhodneného prostredia odkázaných na pomoc špeciálneho pedagóga a asistentov učiteľa. V prípade, že mesto nemá pridelené na tieto pozície finančné prostriedky z preneseného výkonu, tak mesto podľa požiadaviek dofinancuje tieto podľa finančných možností. Riešenie danej situácie v dohadovacom konaní, v</w:t>
      </w:r>
      <w:r w:rsidR="001814CA">
        <w:t> </w:t>
      </w:r>
      <w:r w:rsidRPr="005D3591">
        <w:t>ktorom mesto nebývalo úspešné.</w:t>
      </w:r>
    </w:p>
    <w:p w14:paraId="41CDA855" w14:textId="09BF8CAA" w:rsidR="005D3591" w:rsidRDefault="005D3591" w:rsidP="005D3591">
      <w:pPr>
        <w:autoSpaceDE w:val="0"/>
        <w:autoSpaceDN w:val="0"/>
        <w:adjustRightInd w:val="0"/>
        <w:jc w:val="both"/>
      </w:pPr>
    </w:p>
    <w:p w14:paraId="148409B0" w14:textId="48E89618" w:rsidR="005D3591" w:rsidRPr="005D3591" w:rsidRDefault="005D3591" w:rsidP="005D3591">
      <w:pPr>
        <w:autoSpaceDE w:val="0"/>
        <w:autoSpaceDN w:val="0"/>
        <w:adjustRightInd w:val="0"/>
        <w:jc w:val="both"/>
        <w:rPr>
          <w:b/>
          <w:bCs/>
        </w:rPr>
      </w:pPr>
      <w:r w:rsidRPr="005D3591">
        <w:rPr>
          <w:b/>
          <w:bCs/>
        </w:rPr>
        <w:t>Lučenec</w:t>
      </w:r>
    </w:p>
    <w:p w14:paraId="1DD30192" w14:textId="2609E45C" w:rsidR="005D3591" w:rsidRDefault="005D3591" w:rsidP="005D3591">
      <w:pPr>
        <w:autoSpaceDE w:val="0"/>
        <w:autoSpaceDN w:val="0"/>
        <w:adjustRightInd w:val="0"/>
        <w:jc w:val="both"/>
      </w:pPr>
      <w:r>
        <w:t>Nedošlo</w:t>
      </w:r>
    </w:p>
    <w:p w14:paraId="648A529E" w14:textId="29907641" w:rsidR="005D3591" w:rsidRDefault="005D3591" w:rsidP="005D3591">
      <w:pPr>
        <w:autoSpaceDE w:val="0"/>
        <w:autoSpaceDN w:val="0"/>
        <w:adjustRightInd w:val="0"/>
        <w:jc w:val="both"/>
      </w:pPr>
    </w:p>
    <w:p w14:paraId="261562F2" w14:textId="3042B2E6" w:rsidR="005D3591" w:rsidRPr="00434B7B" w:rsidRDefault="005D3591" w:rsidP="005D3591">
      <w:pPr>
        <w:autoSpaceDE w:val="0"/>
        <w:autoSpaceDN w:val="0"/>
        <w:adjustRightInd w:val="0"/>
        <w:jc w:val="both"/>
        <w:rPr>
          <w:b/>
          <w:bCs/>
        </w:rPr>
      </w:pPr>
      <w:r w:rsidRPr="00434B7B">
        <w:rPr>
          <w:b/>
          <w:bCs/>
        </w:rPr>
        <w:t>Hurbanovo</w:t>
      </w:r>
    </w:p>
    <w:p w14:paraId="09D5F3C1" w14:textId="52D8987E" w:rsidR="005D3591" w:rsidRDefault="00434B7B" w:rsidP="005D3591">
      <w:pPr>
        <w:autoSpaceDE w:val="0"/>
        <w:autoSpaceDN w:val="0"/>
        <w:adjustRightInd w:val="0"/>
        <w:jc w:val="both"/>
      </w:pPr>
      <w:r w:rsidRPr="00434B7B">
        <w:t>chodníková novela, športové a rekreačné poukazy a pod. - originálne kompetencie povinné; ako aj riešenie ďalších nových úloh a povinností, resp. zvýšenie výdavkov v rámci súčasných aktivít v súlade s platnými právnymi predpismi uvedenými v bode 1 a v súlade aj s ďalšími platnými zákonmi</w:t>
      </w:r>
    </w:p>
    <w:p w14:paraId="45E392DE" w14:textId="7AD2FD15" w:rsidR="00FC2995" w:rsidRDefault="00FC2995" w:rsidP="005D3591">
      <w:pPr>
        <w:autoSpaceDE w:val="0"/>
        <w:autoSpaceDN w:val="0"/>
        <w:adjustRightInd w:val="0"/>
        <w:jc w:val="both"/>
      </w:pPr>
    </w:p>
    <w:p w14:paraId="0B440252" w14:textId="52EE1B8B" w:rsidR="00FC2995" w:rsidRDefault="00FC2995" w:rsidP="005D3591">
      <w:pPr>
        <w:autoSpaceDE w:val="0"/>
        <w:autoSpaceDN w:val="0"/>
        <w:adjustRightInd w:val="0"/>
        <w:jc w:val="both"/>
        <w:rPr>
          <w:b/>
          <w:bCs/>
        </w:rPr>
      </w:pPr>
      <w:r w:rsidRPr="00BC4866">
        <w:rPr>
          <w:b/>
          <w:bCs/>
        </w:rPr>
        <w:t>Želiezovce</w:t>
      </w:r>
    </w:p>
    <w:p w14:paraId="13A38488" w14:textId="03201181" w:rsidR="00FC2995" w:rsidRDefault="00FC2995" w:rsidP="005D3591">
      <w:pPr>
        <w:autoSpaceDE w:val="0"/>
        <w:autoSpaceDN w:val="0"/>
        <w:adjustRightInd w:val="0"/>
        <w:jc w:val="both"/>
      </w:pPr>
    </w:p>
    <w:p w14:paraId="004C28E8" w14:textId="17AFAE67" w:rsidR="00FC2995" w:rsidRPr="00BC4866" w:rsidRDefault="00FC2995" w:rsidP="005D3591">
      <w:pPr>
        <w:autoSpaceDE w:val="0"/>
        <w:autoSpaceDN w:val="0"/>
        <w:adjustRightInd w:val="0"/>
        <w:jc w:val="both"/>
        <w:rPr>
          <w:b/>
          <w:bCs/>
        </w:rPr>
      </w:pPr>
      <w:r w:rsidRPr="00BC4866">
        <w:rPr>
          <w:b/>
          <w:bCs/>
        </w:rPr>
        <w:t>Žilina</w:t>
      </w:r>
    </w:p>
    <w:p w14:paraId="49C26B1A" w14:textId="1F7202C4" w:rsidR="00FC2995" w:rsidRDefault="00FC2995" w:rsidP="005D3591">
      <w:pPr>
        <w:autoSpaceDE w:val="0"/>
        <w:autoSpaceDN w:val="0"/>
        <w:adjustRightInd w:val="0"/>
        <w:jc w:val="both"/>
      </w:pPr>
      <w:r>
        <w:t>Povinné úlohy</w:t>
      </w:r>
    </w:p>
    <w:p w14:paraId="73E0E840" w14:textId="163AD14B" w:rsidR="00FC2995" w:rsidRDefault="00FC2995" w:rsidP="005D3591">
      <w:pPr>
        <w:autoSpaceDE w:val="0"/>
        <w:autoSpaceDN w:val="0"/>
        <w:adjustRightInd w:val="0"/>
        <w:jc w:val="both"/>
      </w:pPr>
    </w:p>
    <w:p w14:paraId="697BEF67" w14:textId="6A78DE6F" w:rsidR="00FC2995" w:rsidRPr="00BC4866" w:rsidRDefault="00FC2995" w:rsidP="005D3591">
      <w:pPr>
        <w:autoSpaceDE w:val="0"/>
        <w:autoSpaceDN w:val="0"/>
        <w:adjustRightInd w:val="0"/>
        <w:jc w:val="both"/>
        <w:rPr>
          <w:b/>
          <w:bCs/>
        </w:rPr>
      </w:pPr>
      <w:r w:rsidRPr="00BC4866">
        <w:rPr>
          <w:b/>
          <w:bCs/>
        </w:rPr>
        <w:t>Zvolen</w:t>
      </w:r>
    </w:p>
    <w:p w14:paraId="39FA260F" w14:textId="5AA65E53" w:rsidR="00FC2995" w:rsidRDefault="00FC2995" w:rsidP="005D3591">
      <w:pPr>
        <w:autoSpaceDE w:val="0"/>
        <w:autoSpaceDN w:val="0"/>
        <w:adjustRightInd w:val="0"/>
        <w:jc w:val="both"/>
      </w:pPr>
      <w:r>
        <w:t>Povinné</w:t>
      </w:r>
    </w:p>
    <w:p w14:paraId="3B7D7BE8" w14:textId="58074062" w:rsidR="00FC2995" w:rsidRDefault="00FC2995" w:rsidP="005D3591">
      <w:pPr>
        <w:autoSpaceDE w:val="0"/>
        <w:autoSpaceDN w:val="0"/>
        <w:adjustRightInd w:val="0"/>
        <w:jc w:val="both"/>
      </w:pPr>
    </w:p>
    <w:p w14:paraId="293DC5EC" w14:textId="692521F2" w:rsidR="00FC2995" w:rsidRPr="00BC4866" w:rsidRDefault="00FC2995" w:rsidP="005D3591">
      <w:pPr>
        <w:autoSpaceDE w:val="0"/>
        <w:autoSpaceDN w:val="0"/>
        <w:adjustRightInd w:val="0"/>
        <w:jc w:val="both"/>
        <w:rPr>
          <w:b/>
          <w:bCs/>
        </w:rPr>
      </w:pPr>
      <w:r w:rsidRPr="00BC4866">
        <w:rPr>
          <w:b/>
          <w:bCs/>
        </w:rPr>
        <w:t>Bratislava</w:t>
      </w:r>
    </w:p>
    <w:p w14:paraId="2E776635" w14:textId="0F8DA924" w:rsidR="00BC4866" w:rsidRPr="00E35EEA" w:rsidRDefault="00BC4866" w:rsidP="00E35EEA">
      <w:pPr>
        <w:autoSpaceDE w:val="0"/>
        <w:autoSpaceDN w:val="0"/>
        <w:adjustRightInd w:val="0"/>
        <w:jc w:val="both"/>
      </w:pPr>
      <w:r w:rsidRPr="00E35EEA">
        <w:t xml:space="preserve">Obedy zadarmo: </w:t>
      </w:r>
    </w:p>
    <w:p w14:paraId="3598DD24" w14:textId="77777777" w:rsidR="00BC4866" w:rsidRPr="00E35EEA" w:rsidRDefault="00BC4866" w:rsidP="00E35EEA">
      <w:pPr>
        <w:autoSpaceDE w:val="0"/>
        <w:autoSpaceDN w:val="0"/>
        <w:adjustRightInd w:val="0"/>
        <w:jc w:val="both"/>
      </w:pPr>
    </w:p>
    <w:p w14:paraId="3663A15E" w14:textId="5A5EEFDD" w:rsidR="00BC4866" w:rsidRDefault="00BC4866" w:rsidP="00E35EEA">
      <w:pPr>
        <w:autoSpaceDE w:val="0"/>
        <w:autoSpaceDN w:val="0"/>
        <w:adjustRightInd w:val="0"/>
        <w:jc w:val="both"/>
      </w:pPr>
      <w:r w:rsidRPr="00E35EEA">
        <w:t>Novelou zákona (zákonom č. 375/2018 Z. z.) sa vytvorili legislatívne podmienky pre poskytovanie dotácie na podporu výchovy k stravovacím návykom dieťaťa (ďalej len „dotácia“) širšiemu okruhu detí. Novela je účinná od 1. januára 2019 pre poskytovanie dotácie pre všetky deti, ktoré navštevujú posledný ročník materskej školy, ako aj pre deti z domácností, ktorým sa poskytuje pomoc v hmotnej núdzi alebo ktorých príjem je najviac vo výške životného minima a od 1.</w:t>
      </w:r>
      <w:r w:rsidR="001814CA">
        <w:t> </w:t>
      </w:r>
      <w:r w:rsidRPr="00E35EEA">
        <w:t xml:space="preserve">septembra 2019 pre poskytovanie dotácie navyše aj pre všetky deti v základných školách. </w:t>
      </w:r>
    </w:p>
    <w:p w14:paraId="25EC7D84" w14:textId="77777777" w:rsidR="00E35EEA" w:rsidRPr="00E35EEA" w:rsidRDefault="00E35EEA" w:rsidP="00E35EEA">
      <w:pPr>
        <w:autoSpaceDE w:val="0"/>
        <w:autoSpaceDN w:val="0"/>
        <w:adjustRightInd w:val="0"/>
        <w:jc w:val="both"/>
      </w:pPr>
    </w:p>
    <w:p w14:paraId="39D83CE1" w14:textId="49D9FB87" w:rsidR="00BC4866" w:rsidRPr="00E35EEA" w:rsidRDefault="00BC4866" w:rsidP="00E35EEA">
      <w:pPr>
        <w:autoSpaceDE w:val="0"/>
        <w:autoSpaceDN w:val="0"/>
        <w:adjustRightInd w:val="0"/>
        <w:jc w:val="both"/>
      </w:pPr>
      <w:r w:rsidRPr="00E35EEA">
        <w:t>Do novely zákona bola podľa § 4 ods. 3 zákona poskytovaná dotácia na podporu výchovy k</w:t>
      </w:r>
      <w:r w:rsidR="001814CA">
        <w:t> </w:t>
      </w:r>
      <w:r w:rsidRPr="00E35EEA">
        <w:t>stravovacím návykom dieťaťa ohrozeného sociálnym vylúčením, ktorá sa mohla poskytnúť na zabezpečenie obeda a iného jedla (ďalej len „strava“) v materskej škole a v základnej škole na každé dieťa, ktoré navštevuje materskú školu alebo základnú školu a v materskej škole alebo v</w:t>
      </w:r>
      <w:r w:rsidR="001814CA">
        <w:t> </w:t>
      </w:r>
      <w:r w:rsidRPr="00E35EEA">
        <w:t xml:space="preserve">základnej škole je najmenej 50 % detí z rodín, ktorým sa poskytuje dávka a príspevky, dieťa, ktoré navštevuje materskú školu alebo základnú školu a žije v rodine, ktorej sa poskytuje dávka a príspevky alebo ktorej príjem je najviac vo výške životného minima podľa osobitného predpisu. </w:t>
      </w:r>
    </w:p>
    <w:p w14:paraId="37A46452" w14:textId="77777777" w:rsidR="00BC4866" w:rsidRPr="00E35EEA" w:rsidRDefault="00BC4866" w:rsidP="00E35EEA">
      <w:pPr>
        <w:autoSpaceDE w:val="0"/>
        <w:autoSpaceDN w:val="0"/>
        <w:adjustRightInd w:val="0"/>
        <w:jc w:val="both"/>
      </w:pPr>
    </w:p>
    <w:p w14:paraId="38A97CCD" w14:textId="0CDA2834" w:rsidR="00BC4866" w:rsidRPr="00E35EEA" w:rsidRDefault="00BC4866" w:rsidP="00E35EEA">
      <w:pPr>
        <w:autoSpaceDE w:val="0"/>
        <w:autoSpaceDN w:val="0"/>
        <w:adjustRightInd w:val="0"/>
        <w:jc w:val="both"/>
      </w:pPr>
      <w:r w:rsidRPr="00E35EEA">
        <w:t>Po novele zákona od 1. januára 2019 je možné dotáciu poskytnúť na každé dieťa, ktoré navštevuje</w:t>
      </w:r>
      <w:r w:rsidR="00E35EEA" w:rsidRPr="00E35EEA">
        <w:t>:</w:t>
      </w:r>
      <w:r w:rsidRPr="00E35EEA">
        <w:t xml:space="preserve"> </w:t>
      </w:r>
    </w:p>
    <w:p w14:paraId="5925843C" w14:textId="77777777" w:rsidR="00BC4866" w:rsidRPr="00E35EEA" w:rsidRDefault="00BC4866" w:rsidP="00E35EEA">
      <w:pPr>
        <w:autoSpaceDE w:val="0"/>
        <w:autoSpaceDN w:val="0"/>
        <w:adjustRightInd w:val="0"/>
        <w:jc w:val="both"/>
      </w:pPr>
    </w:p>
    <w:p w14:paraId="0F4EE1BE" w14:textId="77777777" w:rsidR="00E35EEA" w:rsidRDefault="00BC4866" w:rsidP="0018276F">
      <w:pPr>
        <w:pStyle w:val="ListParagraph"/>
        <w:numPr>
          <w:ilvl w:val="0"/>
          <w:numId w:val="43"/>
        </w:numPr>
        <w:autoSpaceDE w:val="0"/>
        <w:autoSpaceDN w:val="0"/>
        <w:adjustRightInd w:val="0"/>
        <w:spacing w:line="240" w:lineRule="auto"/>
        <w:jc w:val="both"/>
        <w:rPr>
          <w:rFonts w:ascii="Constantia" w:hAnsi="Constantia"/>
        </w:rPr>
      </w:pPr>
      <w:r w:rsidRPr="00E35EEA">
        <w:rPr>
          <w:rFonts w:ascii="Constantia" w:hAnsi="Constantia"/>
        </w:rPr>
        <w:t xml:space="preserve">posledný ročník materskej školy, </w:t>
      </w:r>
    </w:p>
    <w:p w14:paraId="7A17F999" w14:textId="4A934C6C" w:rsidR="00BC4866" w:rsidRPr="00E35EEA" w:rsidRDefault="00BC4866" w:rsidP="0018276F">
      <w:pPr>
        <w:pStyle w:val="ListParagraph"/>
        <w:numPr>
          <w:ilvl w:val="0"/>
          <w:numId w:val="43"/>
        </w:numPr>
        <w:autoSpaceDE w:val="0"/>
        <w:autoSpaceDN w:val="0"/>
        <w:adjustRightInd w:val="0"/>
        <w:spacing w:line="240" w:lineRule="auto"/>
        <w:jc w:val="both"/>
        <w:rPr>
          <w:rFonts w:ascii="Constantia" w:hAnsi="Constantia"/>
        </w:rPr>
      </w:pPr>
      <w:r w:rsidRPr="00E35EEA">
        <w:rPr>
          <w:rFonts w:ascii="Constantia" w:hAnsi="Constantia"/>
        </w:rPr>
        <w:t>materskú školu, okrem dieťaťa navštevujúceho posledný ročník materskej školy, a žije v</w:t>
      </w:r>
      <w:r w:rsidR="001814CA">
        <w:rPr>
          <w:rFonts w:ascii="Constantia" w:hAnsi="Constantia"/>
        </w:rPr>
        <w:t> </w:t>
      </w:r>
      <w:r w:rsidRPr="00E35EEA">
        <w:rPr>
          <w:rFonts w:ascii="Constantia" w:hAnsi="Constantia"/>
        </w:rPr>
        <w:t xml:space="preserve">domácnosti, ktorej sa poskytuje pomoc v hmotnej núdzi alebo ktorej príjem je najviac vo výške životného minima, </w:t>
      </w:r>
    </w:p>
    <w:p w14:paraId="207B4876" w14:textId="3335C0CA" w:rsidR="00BC4866" w:rsidRPr="00E35EEA" w:rsidRDefault="00BC4866" w:rsidP="0018276F">
      <w:pPr>
        <w:pStyle w:val="ListParagraph"/>
        <w:numPr>
          <w:ilvl w:val="0"/>
          <w:numId w:val="43"/>
        </w:numPr>
        <w:autoSpaceDE w:val="0"/>
        <w:autoSpaceDN w:val="0"/>
        <w:adjustRightInd w:val="0"/>
        <w:spacing w:line="240" w:lineRule="auto"/>
        <w:jc w:val="both"/>
        <w:rPr>
          <w:rFonts w:ascii="Constantia" w:hAnsi="Constantia"/>
        </w:rPr>
      </w:pPr>
      <w:r w:rsidRPr="00E35EEA">
        <w:rPr>
          <w:rFonts w:ascii="Constantia" w:hAnsi="Constantia"/>
        </w:rPr>
        <w:lastRenderedPageBreak/>
        <w:t xml:space="preserve">materskú školu, ak v materskej škole, okrem dieťaťa navštevujúceho posledný ročník materskej školy, je najmenej 50 % detí z domácností, ktorým sa poskytuje pomoc v hmotnej núdzi, </w:t>
      </w:r>
    </w:p>
    <w:p w14:paraId="345B46E0" w14:textId="0910C06B" w:rsidR="00BC4866" w:rsidRPr="00E35EEA" w:rsidRDefault="00BC4866" w:rsidP="0018276F">
      <w:pPr>
        <w:pStyle w:val="ListParagraph"/>
        <w:numPr>
          <w:ilvl w:val="0"/>
          <w:numId w:val="43"/>
        </w:numPr>
        <w:autoSpaceDE w:val="0"/>
        <w:autoSpaceDN w:val="0"/>
        <w:adjustRightInd w:val="0"/>
        <w:spacing w:line="240" w:lineRule="auto"/>
        <w:jc w:val="both"/>
        <w:rPr>
          <w:rFonts w:ascii="Constantia" w:hAnsi="Constantia"/>
        </w:rPr>
      </w:pPr>
      <w:r w:rsidRPr="00E35EEA">
        <w:rPr>
          <w:rFonts w:ascii="Constantia" w:hAnsi="Constantia"/>
        </w:rPr>
        <w:t>základnú školu, ak</w:t>
      </w:r>
      <w:r w:rsidR="00E35EEA" w:rsidRPr="00E35EEA">
        <w:rPr>
          <w:rFonts w:ascii="Constantia" w:hAnsi="Constantia"/>
        </w:rPr>
        <w:t>:</w:t>
      </w:r>
    </w:p>
    <w:p w14:paraId="2CBACCB4" w14:textId="77777777" w:rsidR="00E35EEA" w:rsidRPr="00E35EEA" w:rsidRDefault="00BC4866" w:rsidP="00E35EEA">
      <w:pPr>
        <w:pStyle w:val="ListParagraph"/>
        <w:numPr>
          <w:ilvl w:val="1"/>
          <w:numId w:val="43"/>
        </w:numPr>
        <w:autoSpaceDE w:val="0"/>
        <w:autoSpaceDN w:val="0"/>
        <w:adjustRightInd w:val="0"/>
        <w:spacing w:line="240" w:lineRule="auto"/>
        <w:jc w:val="both"/>
        <w:rPr>
          <w:rFonts w:ascii="Constantia" w:hAnsi="Constantia"/>
        </w:rPr>
      </w:pPr>
      <w:r w:rsidRPr="00E35EEA">
        <w:rPr>
          <w:rFonts w:ascii="Constantia" w:hAnsi="Constantia"/>
        </w:rPr>
        <w:t xml:space="preserve">žije v domácnosti, ktorej sa poskytuje pomoc v hmotnej núdzi alebo ktorej príjem je najviac vo výške životného minima, </w:t>
      </w:r>
    </w:p>
    <w:p w14:paraId="5D87CB8C" w14:textId="70C1E11F" w:rsidR="00BC4866" w:rsidRPr="00E35EEA" w:rsidRDefault="00BC4866" w:rsidP="00BC4866">
      <w:pPr>
        <w:pStyle w:val="ListParagraph"/>
        <w:numPr>
          <w:ilvl w:val="1"/>
          <w:numId w:val="43"/>
        </w:numPr>
        <w:autoSpaceDE w:val="0"/>
        <w:autoSpaceDN w:val="0"/>
        <w:adjustRightInd w:val="0"/>
        <w:spacing w:line="240" w:lineRule="auto"/>
        <w:jc w:val="both"/>
        <w:rPr>
          <w:rFonts w:ascii="Constantia" w:hAnsi="Constantia"/>
        </w:rPr>
      </w:pPr>
      <w:r w:rsidRPr="00E35EEA">
        <w:rPr>
          <w:rFonts w:ascii="Constantia" w:hAnsi="Constantia"/>
        </w:rPr>
        <w:t xml:space="preserve">v základnej škole je najmenej 50 % detí z domácností, ktorým sa poskytuje pomoc v hmotnej núdzi. </w:t>
      </w:r>
    </w:p>
    <w:p w14:paraId="3D9894D3" w14:textId="77777777" w:rsidR="00BC4866" w:rsidRDefault="00BC4866" w:rsidP="00BC4866">
      <w:pPr>
        <w:autoSpaceDE w:val="0"/>
        <w:autoSpaceDN w:val="0"/>
        <w:adjustRightInd w:val="0"/>
        <w:jc w:val="both"/>
      </w:pPr>
      <w:r>
        <w:t xml:space="preserve">Poskytovanie finančného príspevku pre neverejných poskytovateľov sociálnych služieb, bez zohľadnenia výšky úhrady klientov v zariadeniach prevádzkovaných obcou (zákon č. 280/2019 Z. z., ktorým sa mení a dopĺňa zákon č. 448/2008 Z. z. o sociálnych službách). Od roku 2018 bol tento finančný príspevok v zákona, ale zohľadňoval výšku úhrad klientov. Od roku 2019 nezohľadňuje, čím výrazne stúpne rozpočtová záťaž na mesto. </w:t>
      </w:r>
    </w:p>
    <w:p w14:paraId="219229C3" w14:textId="77777777" w:rsidR="00BC4866" w:rsidRDefault="00BC4866" w:rsidP="00BC4866">
      <w:pPr>
        <w:autoSpaceDE w:val="0"/>
        <w:autoSpaceDN w:val="0"/>
        <w:adjustRightInd w:val="0"/>
        <w:jc w:val="both"/>
      </w:pPr>
    </w:p>
    <w:p w14:paraId="50943EF1" w14:textId="5B57D621" w:rsidR="00FC2995" w:rsidRDefault="00BC4866" w:rsidP="00BC4866">
      <w:pPr>
        <w:autoSpaceDE w:val="0"/>
        <w:autoSpaceDN w:val="0"/>
        <w:adjustRightInd w:val="0"/>
        <w:jc w:val="both"/>
      </w:pPr>
      <w:r>
        <w:t>Povinná valorizácia tarifných platov v zákone č. 553/2003 Z. z. nariadením vlády č</w:t>
      </w:r>
      <w:r w:rsidR="001814CA">
        <w:t>. </w:t>
      </w:r>
      <w:r>
        <w:t>388/</w:t>
      </w:r>
      <w:r w:rsidR="001814CA">
        <w:t>2018 </w:t>
      </w:r>
      <w:r>
        <w:t>Z.</w:t>
      </w:r>
      <w:r w:rsidR="001814CA">
        <w:t> </w:t>
      </w:r>
      <w:r>
        <w:t>z.</w:t>
      </w:r>
    </w:p>
    <w:p w14:paraId="446EDCD6" w14:textId="77777777" w:rsidR="00434B7B" w:rsidRPr="007C6CE0" w:rsidRDefault="00434B7B" w:rsidP="005D3591">
      <w:pPr>
        <w:autoSpaceDE w:val="0"/>
        <w:autoSpaceDN w:val="0"/>
        <w:adjustRightInd w:val="0"/>
        <w:jc w:val="both"/>
      </w:pPr>
    </w:p>
    <w:p w14:paraId="4892A5B3" w14:textId="1A07E505" w:rsidR="005E3339" w:rsidRPr="008A5B8D" w:rsidRDefault="005E3339" w:rsidP="008A5B8D">
      <w:pPr>
        <w:pStyle w:val="Header"/>
        <w:tabs>
          <w:tab w:val="clear" w:pos="4536"/>
          <w:tab w:val="clear" w:pos="9072"/>
        </w:tabs>
        <w:jc w:val="both"/>
        <w:rPr>
          <w:b/>
          <w:color w:val="000000"/>
          <w:sz w:val="20"/>
          <w:highlight w:val="yellow"/>
          <w:u w:val="single"/>
        </w:rPr>
      </w:pPr>
    </w:p>
    <w:p w14:paraId="76946E49" w14:textId="40E4C3C4" w:rsidR="005E3339" w:rsidRDefault="00C15874" w:rsidP="005E3339">
      <w:pPr>
        <w:autoSpaceDE w:val="0"/>
        <w:autoSpaceDN w:val="0"/>
        <w:adjustRightInd w:val="0"/>
        <w:jc w:val="both"/>
        <w:rPr>
          <w:b/>
          <w:bCs/>
          <w:szCs w:val="22"/>
        </w:rPr>
      </w:pPr>
      <w:r w:rsidRPr="008A5B8D">
        <w:rPr>
          <w:b/>
          <w:bCs/>
          <w:szCs w:val="22"/>
        </w:rPr>
        <w:t>3) Zabezpečil štát dotknutým mestám na plnenie týchto úloh zodpovedajúce finančné zdroje?</w:t>
      </w:r>
    </w:p>
    <w:p w14:paraId="23371BE2" w14:textId="1435733D" w:rsidR="0023399F" w:rsidRDefault="0023399F" w:rsidP="005E3339">
      <w:pPr>
        <w:autoSpaceDE w:val="0"/>
        <w:autoSpaceDN w:val="0"/>
        <w:adjustRightInd w:val="0"/>
        <w:jc w:val="both"/>
        <w:rPr>
          <w:b/>
          <w:bCs/>
          <w:szCs w:val="22"/>
        </w:rPr>
      </w:pPr>
    </w:p>
    <w:p w14:paraId="61929F3C" w14:textId="77CA3472" w:rsidR="0023399F" w:rsidRDefault="0023399F" w:rsidP="005E3339">
      <w:pPr>
        <w:autoSpaceDE w:val="0"/>
        <w:autoSpaceDN w:val="0"/>
        <w:adjustRightInd w:val="0"/>
        <w:jc w:val="both"/>
        <w:rPr>
          <w:b/>
          <w:bCs/>
          <w:szCs w:val="22"/>
        </w:rPr>
      </w:pPr>
      <w:r>
        <w:rPr>
          <w:b/>
          <w:bCs/>
          <w:szCs w:val="22"/>
        </w:rPr>
        <w:t>Stará Turá</w:t>
      </w:r>
    </w:p>
    <w:p w14:paraId="234AE7EF" w14:textId="15F94C4C" w:rsidR="0023399F" w:rsidRPr="00F67CEC" w:rsidRDefault="0023399F" w:rsidP="005E3339">
      <w:pPr>
        <w:autoSpaceDE w:val="0"/>
        <w:autoSpaceDN w:val="0"/>
        <w:adjustRightInd w:val="0"/>
        <w:jc w:val="both"/>
        <w:rPr>
          <w:szCs w:val="22"/>
        </w:rPr>
      </w:pPr>
      <w:r w:rsidRPr="00F67CEC">
        <w:rPr>
          <w:szCs w:val="22"/>
        </w:rPr>
        <w:t>Nie</w:t>
      </w:r>
    </w:p>
    <w:p w14:paraId="47BFBFAB" w14:textId="17F0CF90" w:rsidR="0023399F" w:rsidRDefault="0023399F" w:rsidP="005E3339">
      <w:pPr>
        <w:autoSpaceDE w:val="0"/>
        <w:autoSpaceDN w:val="0"/>
        <w:adjustRightInd w:val="0"/>
        <w:jc w:val="both"/>
        <w:rPr>
          <w:b/>
          <w:bCs/>
          <w:szCs w:val="22"/>
        </w:rPr>
      </w:pPr>
    </w:p>
    <w:p w14:paraId="0C577386" w14:textId="6146EC15" w:rsidR="0023399F" w:rsidRDefault="0023399F" w:rsidP="005E3339">
      <w:pPr>
        <w:autoSpaceDE w:val="0"/>
        <w:autoSpaceDN w:val="0"/>
        <w:adjustRightInd w:val="0"/>
        <w:jc w:val="both"/>
        <w:rPr>
          <w:b/>
          <w:bCs/>
          <w:szCs w:val="22"/>
        </w:rPr>
      </w:pPr>
      <w:r>
        <w:rPr>
          <w:b/>
          <w:bCs/>
          <w:szCs w:val="22"/>
        </w:rPr>
        <w:t>Nové Zámky</w:t>
      </w:r>
    </w:p>
    <w:p w14:paraId="78DBBEFD" w14:textId="7A351474" w:rsidR="0023399F" w:rsidRPr="00F67CEC" w:rsidRDefault="0023399F" w:rsidP="005E3339">
      <w:pPr>
        <w:autoSpaceDE w:val="0"/>
        <w:autoSpaceDN w:val="0"/>
        <w:adjustRightInd w:val="0"/>
        <w:jc w:val="both"/>
        <w:rPr>
          <w:szCs w:val="22"/>
        </w:rPr>
      </w:pPr>
      <w:r w:rsidRPr="00F67CEC">
        <w:rPr>
          <w:szCs w:val="22"/>
        </w:rPr>
        <w:t>Nie – (</w:t>
      </w:r>
      <w:r w:rsidR="00BA1FC1" w:rsidRPr="00F67CEC">
        <w:rPr>
          <w:szCs w:val="22"/>
        </w:rPr>
        <w:t>len mierny nárast podielových daní)</w:t>
      </w:r>
    </w:p>
    <w:p w14:paraId="615EA97D" w14:textId="07990A4A" w:rsidR="00BA1FC1" w:rsidRDefault="00BA1FC1" w:rsidP="005E3339">
      <w:pPr>
        <w:autoSpaceDE w:val="0"/>
        <w:autoSpaceDN w:val="0"/>
        <w:adjustRightInd w:val="0"/>
        <w:jc w:val="both"/>
        <w:rPr>
          <w:b/>
          <w:bCs/>
          <w:szCs w:val="22"/>
        </w:rPr>
      </w:pPr>
    </w:p>
    <w:p w14:paraId="152C5F40" w14:textId="4DD10233" w:rsidR="00BA1FC1" w:rsidRDefault="00BA1FC1" w:rsidP="005E3339">
      <w:pPr>
        <w:autoSpaceDE w:val="0"/>
        <w:autoSpaceDN w:val="0"/>
        <w:adjustRightInd w:val="0"/>
        <w:jc w:val="both"/>
        <w:rPr>
          <w:b/>
          <w:bCs/>
          <w:szCs w:val="22"/>
        </w:rPr>
      </w:pPr>
      <w:r>
        <w:rPr>
          <w:b/>
          <w:bCs/>
          <w:szCs w:val="22"/>
        </w:rPr>
        <w:t>Nitra</w:t>
      </w:r>
    </w:p>
    <w:p w14:paraId="664E3F68" w14:textId="18AD3A21" w:rsidR="00BA1FC1" w:rsidRPr="00F67CEC" w:rsidRDefault="00BA1FC1" w:rsidP="005E3339">
      <w:pPr>
        <w:autoSpaceDE w:val="0"/>
        <w:autoSpaceDN w:val="0"/>
        <w:adjustRightInd w:val="0"/>
        <w:jc w:val="both"/>
        <w:rPr>
          <w:szCs w:val="22"/>
        </w:rPr>
      </w:pPr>
      <w:r w:rsidRPr="00F67CEC">
        <w:rPr>
          <w:szCs w:val="22"/>
        </w:rPr>
        <w:t>Nie</w:t>
      </w:r>
    </w:p>
    <w:p w14:paraId="489BBD3C" w14:textId="19B777F2" w:rsidR="00BA1FC1" w:rsidRDefault="00BA1FC1" w:rsidP="005E3339">
      <w:pPr>
        <w:autoSpaceDE w:val="0"/>
        <w:autoSpaceDN w:val="0"/>
        <w:adjustRightInd w:val="0"/>
        <w:jc w:val="both"/>
        <w:rPr>
          <w:b/>
          <w:bCs/>
          <w:szCs w:val="22"/>
        </w:rPr>
      </w:pPr>
    </w:p>
    <w:p w14:paraId="2E814DE4" w14:textId="33FB5C9D" w:rsidR="00BA1FC1" w:rsidRDefault="00BA1FC1" w:rsidP="005E3339">
      <w:pPr>
        <w:autoSpaceDE w:val="0"/>
        <w:autoSpaceDN w:val="0"/>
        <w:adjustRightInd w:val="0"/>
        <w:jc w:val="both"/>
        <w:rPr>
          <w:b/>
          <w:bCs/>
          <w:szCs w:val="22"/>
        </w:rPr>
      </w:pPr>
      <w:r>
        <w:rPr>
          <w:b/>
          <w:bCs/>
          <w:szCs w:val="22"/>
        </w:rPr>
        <w:t>Banská Bystrica</w:t>
      </w:r>
    </w:p>
    <w:p w14:paraId="0515726B" w14:textId="26ABAC64" w:rsidR="00F0514B" w:rsidRDefault="008A64BD" w:rsidP="005E3339">
      <w:pPr>
        <w:autoSpaceDE w:val="0"/>
        <w:autoSpaceDN w:val="0"/>
        <w:adjustRightInd w:val="0"/>
        <w:jc w:val="both"/>
        <w:rPr>
          <w:szCs w:val="22"/>
        </w:rPr>
      </w:pPr>
      <w:r w:rsidRPr="008A64BD">
        <w:rPr>
          <w:szCs w:val="22"/>
        </w:rPr>
        <w:t>V prípade „obedov zadarmo“ – zdroje nedostatočné, zvyšok do ceny stravnej jednotky doplácali rodičia žiakov. Vzniknuté výdavky na zabezpečenie vybavenia si uhradila obec z vlastných zdrojov. Výdavky potrebné na novovzniknutú pracovnú silu si čiastočne pokryla obec aj prostriedkami z ESF prostredníctvom realizácie EÚ projektu.</w:t>
      </w:r>
    </w:p>
    <w:p w14:paraId="2FC48232" w14:textId="77777777" w:rsidR="008C2FC9" w:rsidRDefault="008C2FC9" w:rsidP="005E3339">
      <w:pPr>
        <w:autoSpaceDE w:val="0"/>
        <w:autoSpaceDN w:val="0"/>
        <w:adjustRightInd w:val="0"/>
        <w:jc w:val="both"/>
        <w:rPr>
          <w:szCs w:val="22"/>
        </w:rPr>
      </w:pPr>
    </w:p>
    <w:p w14:paraId="078BDBA5" w14:textId="1018111C" w:rsidR="008C2FC9" w:rsidRPr="0017204B" w:rsidRDefault="008C2FC9" w:rsidP="005E3339">
      <w:pPr>
        <w:autoSpaceDE w:val="0"/>
        <w:autoSpaceDN w:val="0"/>
        <w:adjustRightInd w:val="0"/>
        <w:jc w:val="both"/>
        <w:rPr>
          <w:b/>
          <w:bCs/>
          <w:szCs w:val="22"/>
        </w:rPr>
      </w:pPr>
      <w:r w:rsidRPr="0017204B">
        <w:rPr>
          <w:b/>
          <w:bCs/>
          <w:szCs w:val="22"/>
        </w:rPr>
        <w:t>Handlová</w:t>
      </w:r>
    </w:p>
    <w:p w14:paraId="0C0EF592" w14:textId="53BE9045" w:rsidR="008C2FC9" w:rsidRDefault="0017204B" w:rsidP="005E3339">
      <w:pPr>
        <w:autoSpaceDE w:val="0"/>
        <w:autoSpaceDN w:val="0"/>
        <w:adjustRightInd w:val="0"/>
        <w:jc w:val="both"/>
        <w:rPr>
          <w:szCs w:val="22"/>
        </w:rPr>
      </w:pPr>
      <w:r w:rsidRPr="0017204B">
        <w:rPr>
          <w:szCs w:val="22"/>
        </w:rPr>
        <w:t>Pokiaľ nerátam dotačné zdroje účelovo určené, tak štát neposkytol finančné zdroje a ak áno, tak v minimálnej miere.</w:t>
      </w:r>
    </w:p>
    <w:p w14:paraId="440607EB" w14:textId="77777777" w:rsidR="0017204B" w:rsidRDefault="0017204B" w:rsidP="005E3339">
      <w:pPr>
        <w:autoSpaceDE w:val="0"/>
        <w:autoSpaceDN w:val="0"/>
        <w:adjustRightInd w:val="0"/>
        <w:jc w:val="both"/>
        <w:rPr>
          <w:szCs w:val="22"/>
        </w:rPr>
      </w:pPr>
    </w:p>
    <w:p w14:paraId="6F1761FE" w14:textId="76B54AB9" w:rsidR="00B41998" w:rsidRPr="00DC0445" w:rsidRDefault="000465DF" w:rsidP="005E3339">
      <w:pPr>
        <w:autoSpaceDE w:val="0"/>
        <w:autoSpaceDN w:val="0"/>
        <w:adjustRightInd w:val="0"/>
        <w:jc w:val="both"/>
        <w:rPr>
          <w:b/>
          <w:bCs/>
          <w:szCs w:val="22"/>
        </w:rPr>
      </w:pPr>
      <w:r w:rsidRPr="00DC0445">
        <w:rPr>
          <w:b/>
          <w:bCs/>
          <w:szCs w:val="22"/>
        </w:rPr>
        <w:t>Lučenec</w:t>
      </w:r>
    </w:p>
    <w:p w14:paraId="4717744D" w14:textId="77777777" w:rsidR="000465DF" w:rsidRDefault="000465DF" w:rsidP="005E3339">
      <w:pPr>
        <w:autoSpaceDE w:val="0"/>
        <w:autoSpaceDN w:val="0"/>
        <w:adjustRightInd w:val="0"/>
        <w:jc w:val="both"/>
        <w:rPr>
          <w:szCs w:val="22"/>
        </w:rPr>
      </w:pPr>
    </w:p>
    <w:p w14:paraId="44F1BA6A" w14:textId="549A44BC" w:rsidR="002B3FF3" w:rsidRPr="00DC0445" w:rsidRDefault="002B3FF3" w:rsidP="005E3339">
      <w:pPr>
        <w:autoSpaceDE w:val="0"/>
        <w:autoSpaceDN w:val="0"/>
        <w:adjustRightInd w:val="0"/>
        <w:jc w:val="both"/>
        <w:rPr>
          <w:b/>
          <w:bCs/>
          <w:szCs w:val="22"/>
        </w:rPr>
      </w:pPr>
      <w:r w:rsidRPr="00DC0445">
        <w:rPr>
          <w:b/>
          <w:bCs/>
          <w:szCs w:val="22"/>
        </w:rPr>
        <w:t>Hurbanovo</w:t>
      </w:r>
    </w:p>
    <w:p w14:paraId="00238244" w14:textId="07386662" w:rsidR="008D6A4E" w:rsidRPr="008A64BD" w:rsidRDefault="00DC0445" w:rsidP="005E3339">
      <w:pPr>
        <w:autoSpaceDE w:val="0"/>
        <w:autoSpaceDN w:val="0"/>
        <w:adjustRightInd w:val="0"/>
        <w:jc w:val="both"/>
        <w:rPr>
          <w:szCs w:val="22"/>
        </w:rPr>
      </w:pPr>
      <w:r w:rsidRPr="00DC0445">
        <w:rPr>
          <w:szCs w:val="22"/>
        </w:rPr>
        <w:t>V oblasti financovania prenesených kompetencií (napr. navýšenie platov učiteľov) - áno, ale na ostatné nové, zákonom stanovené výdavky - nie</w:t>
      </w:r>
    </w:p>
    <w:p w14:paraId="4D1CD3B1" w14:textId="77777777" w:rsidR="00BA1FC1" w:rsidRDefault="00BA1FC1" w:rsidP="005E3339">
      <w:pPr>
        <w:autoSpaceDE w:val="0"/>
        <w:autoSpaceDN w:val="0"/>
        <w:adjustRightInd w:val="0"/>
        <w:jc w:val="both"/>
        <w:rPr>
          <w:b/>
          <w:szCs w:val="22"/>
        </w:rPr>
      </w:pPr>
    </w:p>
    <w:p w14:paraId="0C6F31DE" w14:textId="72863691" w:rsidR="00766D7E" w:rsidRDefault="006A5607" w:rsidP="005E3339">
      <w:pPr>
        <w:autoSpaceDE w:val="0"/>
        <w:autoSpaceDN w:val="0"/>
        <w:adjustRightInd w:val="0"/>
        <w:jc w:val="both"/>
        <w:rPr>
          <w:b/>
          <w:szCs w:val="22"/>
        </w:rPr>
      </w:pPr>
      <w:r>
        <w:rPr>
          <w:b/>
          <w:szCs w:val="22"/>
        </w:rPr>
        <w:t>Želiezovce</w:t>
      </w:r>
    </w:p>
    <w:p w14:paraId="29996EF5" w14:textId="0C4C405D" w:rsidR="009E43D4" w:rsidRPr="00982FEF" w:rsidRDefault="009E43D4" w:rsidP="005E3339">
      <w:pPr>
        <w:autoSpaceDE w:val="0"/>
        <w:autoSpaceDN w:val="0"/>
        <w:adjustRightInd w:val="0"/>
        <w:jc w:val="both"/>
        <w:rPr>
          <w:bCs/>
          <w:szCs w:val="22"/>
        </w:rPr>
      </w:pPr>
      <w:r w:rsidRPr="00982FEF">
        <w:rPr>
          <w:bCs/>
          <w:szCs w:val="22"/>
        </w:rPr>
        <w:t>Nie</w:t>
      </w:r>
    </w:p>
    <w:p w14:paraId="1B846DF8" w14:textId="77777777" w:rsidR="009E43D4" w:rsidRDefault="009E43D4" w:rsidP="005E3339">
      <w:pPr>
        <w:autoSpaceDE w:val="0"/>
        <w:autoSpaceDN w:val="0"/>
        <w:adjustRightInd w:val="0"/>
        <w:jc w:val="both"/>
        <w:rPr>
          <w:b/>
          <w:szCs w:val="22"/>
        </w:rPr>
      </w:pPr>
    </w:p>
    <w:p w14:paraId="4A1ED471" w14:textId="19CA517F" w:rsidR="004D05B2" w:rsidRDefault="004D05B2" w:rsidP="005E3339">
      <w:pPr>
        <w:autoSpaceDE w:val="0"/>
        <w:autoSpaceDN w:val="0"/>
        <w:adjustRightInd w:val="0"/>
        <w:jc w:val="both"/>
        <w:rPr>
          <w:b/>
          <w:szCs w:val="22"/>
        </w:rPr>
      </w:pPr>
      <w:r>
        <w:rPr>
          <w:b/>
          <w:szCs w:val="22"/>
        </w:rPr>
        <w:t>Žilina</w:t>
      </w:r>
    </w:p>
    <w:p w14:paraId="3A9AA39C" w14:textId="31FB7BB0" w:rsidR="004D05B2" w:rsidRDefault="004D05B2" w:rsidP="005E3339">
      <w:pPr>
        <w:autoSpaceDE w:val="0"/>
        <w:autoSpaceDN w:val="0"/>
        <w:adjustRightInd w:val="0"/>
        <w:jc w:val="both"/>
        <w:rPr>
          <w:bCs/>
          <w:szCs w:val="22"/>
        </w:rPr>
      </w:pPr>
      <w:r w:rsidRPr="00EA6E45">
        <w:rPr>
          <w:bCs/>
          <w:szCs w:val="22"/>
        </w:rPr>
        <w:t>V</w:t>
      </w:r>
      <w:r w:rsidR="004C710B" w:rsidRPr="00EA6E45">
        <w:rPr>
          <w:bCs/>
          <w:szCs w:val="22"/>
        </w:rPr>
        <w:t> </w:t>
      </w:r>
      <w:r w:rsidRPr="00EA6E45">
        <w:rPr>
          <w:bCs/>
          <w:szCs w:val="22"/>
        </w:rPr>
        <w:t>oblasti</w:t>
      </w:r>
      <w:r w:rsidR="004C710B" w:rsidRPr="00EA6E45">
        <w:rPr>
          <w:bCs/>
          <w:szCs w:val="22"/>
        </w:rPr>
        <w:t xml:space="preserve"> financovania prenesených</w:t>
      </w:r>
      <w:r w:rsidR="006C09D6" w:rsidRPr="00EA6E45">
        <w:rPr>
          <w:bCs/>
          <w:szCs w:val="22"/>
        </w:rPr>
        <w:t xml:space="preserve"> kompetencií (napr. </w:t>
      </w:r>
      <w:r w:rsidR="00EA6E45" w:rsidRPr="00EA6E45">
        <w:rPr>
          <w:bCs/>
          <w:szCs w:val="22"/>
        </w:rPr>
        <w:t>n</w:t>
      </w:r>
      <w:r w:rsidR="006C09D6" w:rsidRPr="00EA6E45">
        <w:rPr>
          <w:bCs/>
          <w:szCs w:val="22"/>
        </w:rPr>
        <w:t xml:space="preserve">avýšenie platov učiteľov) – áno, </w:t>
      </w:r>
      <w:r w:rsidR="00EA6E45" w:rsidRPr="00EA6E45">
        <w:rPr>
          <w:bCs/>
          <w:szCs w:val="22"/>
        </w:rPr>
        <w:t xml:space="preserve">ale na ostatné nové, zákonom stanovené výdavky </w:t>
      </w:r>
      <w:r w:rsidR="00EA6E45">
        <w:rPr>
          <w:bCs/>
          <w:szCs w:val="22"/>
        </w:rPr>
        <w:t>–</w:t>
      </w:r>
      <w:r w:rsidR="00EA6E45" w:rsidRPr="00EA6E45">
        <w:rPr>
          <w:bCs/>
          <w:szCs w:val="22"/>
        </w:rPr>
        <w:t xml:space="preserve"> nie</w:t>
      </w:r>
    </w:p>
    <w:p w14:paraId="003DBEE7" w14:textId="77777777" w:rsidR="00EA6E45" w:rsidRDefault="00EA6E45" w:rsidP="005E3339">
      <w:pPr>
        <w:autoSpaceDE w:val="0"/>
        <w:autoSpaceDN w:val="0"/>
        <w:adjustRightInd w:val="0"/>
        <w:jc w:val="both"/>
        <w:rPr>
          <w:bCs/>
          <w:szCs w:val="22"/>
        </w:rPr>
      </w:pPr>
    </w:p>
    <w:p w14:paraId="773CF64F" w14:textId="6873CC74" w:rsidR="00EA6E45" w:rsidRPr="00982FEF" w:rsidRDefault="00EA6E45" w:rsidP="005E3339">
      <w:pPr>
        <w:autoSpaceDE w:val="0"/>
        <w:autoSpaceDN w:val="0"/>
        <w:adjustRightInd w:val="0"/>
        <w:jc w:val="both"/>
        <w:rPr>
          <w:b/>
          <w:szCs w:val="22"/>
        </w:rPr>
      </w:pPr>
      <w:r w:rsidRPr="00982FEF">
        <w:rPr>
          <w:b/>
          <w:szCs w:val="22"/>
        </w:rPr>
        <w:t>Zvolen</w:t>
      </w:r>
    </w:p>
    <w:p w14:paraId="2718029D" w14:textId="11287E02" w:rsidR="00EA6E45" w:rsidRDefault="00ED7C9D" w:rsidP="005E3339">
      <w:pPr>
        <w:autoSpaceDE w:val="0"/>
        <w:autoSpaceDN w:val="0"/>
        <w:adjustRightInd w:val="0"/>
        <w:jc w:val="both"/>
        <w:rPr>
          <w:bCs/>
          <w:szCs w:val="22"/>
        </w:rPr>
      </w:pPr>
      <w:r>
        <w:rPr>
          <w:bCs/>
          <w:szCs w:val="22"/>
        </w:rPr>
        <w:t>Len v prípade prenesených kompetencií (navýšenie platov v</w:t>
      </w:r>
      <w:r w:rsidR="00795547">
        <w:rPr>
          <w:bCs/>
          <w:szCs w:val="22"/>
        </w:rPr>
        <w:t> </w:t>
      </w:r>
      <w:r>
        <w:rPr>
          <w:bCs/>
          <w:szCs w:val="22"/>
        </w:rPr>
        <w:t>školstve</w:t>
      </w:r>
      <w:r w:rsidR="00795547">
        <w:rPr>
          <w:bCs/>
          <w:szCs w:val="22"/>
        </w:rPr>
        <w:t>, rekreačné poukazy)</w:t>
      </w:r>
    </w:p>
    <w:p w14:paraId="48906DE5" w14:textId="77777777" w:rsidR="00C26469" w:rsidRDefault="00C26469" w:rsidP="005E3339">
      <w:pPr>
        <w:autoSpaceDE w:val="0"/>
        <w:autoSpaceDN w:val="0"/>
        <w:adjustRightInd w:val="0"/>
        <w:jc w:val="both"/>
        <w:rPr>
          <w:bCs/>
          <w:szCs w:val="22"/>
        </w:rPr>
      </w:pPr>
    </w:p>
    <w:p w14:paraId="69430F23" w14:textId="38FA6D02" w:rsidR="00C26469" w:rsidRPr="00982FEF" w:rsidRDefault="00B40E61" w:rsidP="005E3339">
      <w:pPr>
        <w:autoSpaceDE w:val="0"/>
        <w:autoSpaceDN w:val="0"/>
        <w:adjustRightInd w:val="0"/>
        <w:jc w:val="both"/>
        <w:rPr>
          <w:b/>
          <w:szCs w:val="22"/>
        </w:rPr>
      </w:pPr>
      <w:r w:rsidRPr="00982FEF">
        <w:rPr>
          <w:b/>
          <w:szCs w:val="22"/>
        </w:rPr>
        <w:t>Bratislava</w:t>
      </w:r>
    </w:p>
    <w:p w14:paraId="7C6BDDB3" w14:textId="04250E6B" w:rsidR="002B5B2C" w:rsidRDefault="00480F34" w:rsidP="005E3339">
      <w:pPr>
        <w:autoSpaceDE w:val="0"/>
        <w:autoSpaceDN w:val="0"/>
        <w:adjustRightInd w:val="0"/>
        <w:jc w:val="both"/>
        <w:rPr>
          <w:bCs/>
          <w:szCs w:val="22"/>
        </w:rPr>
      </w:pPr>
      <w:r>
        <w:rPr>
          <w:bCs/>
          <w:szCs w:val="22"/>
        </w:rPr>
        <w:t xml:space="preserve">Obedy zadarmo </w:t>
      </w:r>
      <w:r w:rsidR="0051681C">
        <w:rPr>
          <w:bCs/>
          <w:szCs w:val="22"/>
        </w:rPr>
        <w:t>–</w:t>
      </w:r>
      <w:r>
        <w:rPr>
          <w:bCs/>
          <w:szCs w:val="22"/>
        </w:rPr>
        <w:t xml:space="preserve"> čiastočne</w:t>
      </w:r>
    </w:p>
    <w:p w14:paraId="53D15581" w14:textId="1A03FBD0" w:rsidR="0051681C" w:rsidRDefault="0051681C" w:rsidP="005E3339">
      <w:pPr>
        <w:autoSpaceDE w:val="0"/>
        <w:autoSpaceDN w:val="0"/>
        <w:adjustRightInd w:val="0"/>
        <w:jc w:val="both"/>
        <w:rPr>
          <w:bCs/>
          <w:szCs w:val="22"/>
        </w:rPr>
      </w:pPr>
      <w:r>
        <w:rPr>
          <w:bCs/>
          <w:szCs w:val="22"/>
        </w:rPr>
        <w:t>Detské ihriská – nie</w:t>
      </w:r>
    </w:p>
    <w:p w14:paraId="09039FDA" w14:textId="636FC8B1" w:rsidR="0051681C" w:rsidRDefault="0051681C" w:rsidP="005E3339">
      <w:pPr>
        <w:autoSpaceDE w:val="0"/>
        <w:autoSpaceDN w:val="0"/>
        <w:adjustRightInd w:val="0"/>
        <w:jc w:val="both"/>
        <w:rPr>
          <w:bCs/>
          <w:szCs w:val="22"/>
        </w:rPr>
      </w:pPr>
      <w:r>
        <w:rPr>
          <w:bCs/>
          <w:szCs w:val="22"/>
        </w:rPr>
        <w:t xml:space="preserve">Sociálne služby </w:t>
      </w:r>
      <w:r w:rsidR="008E678C">
        <w:rPr>
          <w:bCs/>
          <w:szCs w:val="22"/>
        </w:rPr>
        <w:t xml:space="preserve">– nie </w:t>
      </w:r>
    </w:p>
    <w:p w14:paraId="22AA37A4" w14:textId="2D31F157" w:rsidR="008E678C" w:rsidRDefault="008E678C" w:rsidP="005E3339">
      <w:pPr>
        <w:autoSpaceDE w:val="0"/>
        <w:autoSpaceDN w:val="0"/>
        <w:adjustRightInd w:val="0"/>
        <w:jc w:val="both"/>
        <w:rPr>
          <w:bCs/>
          <w:szCs w:val="22"/>
        </w:rPr>
      </w:pPr>
      <w:r>
        <w:rPr>
          <w:bCs/>
          <w:szCs w:val="22"/>
        </w:rPr>
        <w:t xml:space="preserve">Povinná valorizácia – nie </w:t>
      </w:r>
    </w:p>
    <w:p w14:paraId="74DEFCA5" w14:textId="77777777" w:rsidR="008E678C" w:rsidRPr="00EA6E45" w:rsidRDefault="008E678C" w:rsidP="005E3339">
      <w:pPr>
        <w:autoSpaceDE w:val="0"/>
        <w:autoSpaceDN w:val="0"/>
        <w:adjustRightInd w:val="0"/>
        <w:jc w:val="both"/>
        <w:rPr>
          <w:bCs/>
          <w:szCs w:val="22"/>
        </w:rPr>
      </w:pPr>
    </w:p>
    <w:p w14:paraId="1140458B" w14:textId="77777777" w:rsidR="00C15874" w:rsidRPr="00B81300" w:rsidRDefault="00C15874" w:rsidP="005E3339">
      <w:pPr>
        <w:autoSpaceDE w:val="0"/>
        <w:autoSpaceDN w:val="0"/>
        <w:adjustRightInd w:val="0"/>
        <w:jc w:val="both"/>
        <w:rPr>
          <w:b/>
          <w:szCs w:val="22"/>
          <w:highlight w:val="yellow"/>
        </w:rPr>
      </w:pPr>
    </w:p>
    <w:p w14:paraId="29493081" w14:textId="77777777" w:rsidR="00C15874" w:rsidRPr="00B81300" w:rsidRDefault="00C15874" w:rsidP="00C15874">
      <w:pPr>
        <w:autoSpaceDE w:val="0"/>
        <w:autoSpaceDN w:val="0"/>
        <w:adjustRightInd w:val="0"/>
        <w:jc w:val="both"/>
        <w:rPr>
          <w:color w:val="000000"/>
          <w:szCs w:val="22"/>
          <w:highlight w:val="yellow"/>
        </w:rPr>
      </w:pPr>
    </w:p>
    <w:p w14:paraId="2B6096D6" w14:textId="69046EA2" w:rsidR="00C15874" w:rsidRDefault="001C79EA" w:rsidP="00C15874">
      <w:pPr>
        <w:autoSpaceDE w:val="0"/>
        <w:autoSpaceDN w:val="0"/>
        <w:adjustRightInd w:val="0"/>
        <w:jc w:val="both"/>
        <w:rPr>
          <w:b/>
          <w:bCs/>
          <w:szCs w:val="22"/>
        </w:rPr>
      </w:pPr>
      <w:r w:rsidRPr="00982FEF">
        <w:rPr>
          <w:b/>
          <w:bCs/>
          <w:szCs w:val="22"/>
        </w:rPr>
        <w:t>4) V prípade chýbajúcich prostriedkov prosíme o vyčíslenie celkového vplyvu na</w:t>
      </w:r>
      <w:r w:rsidR="004360AB" w:rsidRPr="00982FEF">
        <w:rPr>
          <w:b/>
          <w:bCs/>
          <w:szCs w:val="22"/>
        </w:rPr>
        <w:t> </w:t>
      </w:r>
      <w:r w:rsidRPr="00982FEF">
        <w:rPr>
          <w:b/>
          <w:bCs/>
          <w:szCs w:val="22"/>
        </w:rPr>
        <w:t>rozpočty miest.</w:t>
      </w:r>
    </w:p>
    <w:p w14:paraId="7C63C0EE" w14:textId="77777777" w:rsidR="00982FEF" w:rsidRDefault="00982FEF" w:rsidP="00C15874">
      <w:pPr>
        <w:autoSpaceDE w:val="0"/>
        <w:autoSpaceDN w:val="0"/>
        <w:adjustRightInd w:val="0"/>
        <w:jc w:val="both"/>
        <w:rPr>
          <w:b/>
          <w:bCs/>
          <w:szCs w:val="22"/>
        </w:rPr>
      </w:pPr>
    </w:p>
    <w:p w14:paraId="413C2EDF" w14:textId="7D2900F0" w:rsidR="00982FEF" w:rsidRDefault="00982FEF" w:rsidP="00C15874">
      <w:pPr>
        <w:autoSpaceDE w:val="0"/>
        <w:autoSpaceDN w:val="0"/>
        <w:adjustRightInd w:val="0"/>
        <w:jc w:val="both"/>
        <w:rPr>
          <w:b/>
          <w:bCs/>
          <w:szCs w:val="22"/>
        </w:rPr>
      </w:pPr>
      <w:r>
        <w:rPr>
          <w:b/>
          <w:bCs/>
          <w:szCs w:val="22"/>
        </w:rPr>
        <w:t>Stará Turá</w:t>
      </w:r>
    </w:p>
    <w:p w14:paraId="4C75756B" w14:textId="223BC270" w:rsidR="00982FEF" w:rsidRPr="00DD620C" w:rsidRDefault="003B45A1" w:rsidP="00C15874">
      <w:pPr>
        <w:autoSpaceDE w:val="0"/>
        <w:autoSpaceDN w:val="0"/>
        <w:adjustRightInd w:val="0"/>
        <w:jc w:val="both"/>
        <w:rPr>
          <w:szCs w:val="22"/>
        </w:rPr>
      </w:pPr>
      <w:r w:rsidRPr="00DD620C">
        <w:rPr>
          <w:szCs w:val="22"/>
        </w:rPr>
        <w:t>c</w:t>
      </w:r>
      <w:r w:rsidR="00982FEF" w:rsidRPr="00DD620C">
        <w:rPr>
          <w:szCs w:val="22"/>
        </w:rPr>
        <w:t>c</w:t>
      </w:r>
      <w:r w:rsidRPr="00DD620C">
        <w:rPr>
          <w:szCs w:val="22"/>
        </w:rPr>
        <w:t>a</w:t>
      </w:r>
      <w:r w:rsidR="00982FEF" w:rsidRPr="00DD620C">
        <w:rPr>
          <w:szCs w:val="22"/>
        </w:rPr>
        <w:t xml:space="preserve"> 280 00 </w:t>
      </w:r>
      <w:r w:rsidR="003B2217" w:rsidRPr="00DD620C">
        <w:rPr>
          <w:szCs w:val="22"/>
        </w:rPr>
        <w:t>eur</w:t>
      </w:r>
    </w:p>
    <w:p w14:paraId="1328517E" w14:textId="77777777" w:rsidR="003B45A1" w:rsidRDefault="003B45A1" w:rsidP="00C15874">
      <w:pPr>
        <w:autoSpaceDE w:val="0"/>
        <w:autoSpaceDN w:val="0"/>
        <w:adjustRightInd w:val="0"/>
        <w:jc w:val="both"/>
        <w:rPr>
          <w:b/>
          <w:bCs/>
          <w:szCs w:val="22"/>
        </w:rPr>
      </w:pPr>
    </w:p>
    <w:p w14:paraId="63F9B938" w14:textId="7D77AC90" w:rsidR="003B45A1" w:rsidRDefault="003B45A1" w:rsidP="00C15874">
      <w:pPr>
        <w:autoSpaceDE w:val="0"/>
        <w:autoSpaceDN w:val="0"/>
        <w:adjustRightInd w:val="0"/>
        <w:jc w:val="both"/>
        <w:rPr>
          <w:b/>
          <w:bCs/>
          <w:szCs w:val="22"/>
        </w:rPr>
      </w:pPr>
      <w:r>
        <w:rPr>
          <w:b/>
          <w:bCs/>
          <w:szCs w:val="22"/>
        </w:rPr>
        <w:t>Nové Zámky</w:t>
      </w:r>
    </w:p>
    <w:p w14:paraId="495B2C8B" w14:textId="0FE778D1" w:rsidR="003B45A1" w:rsidRDefault="00DD620C" w:rsidP="00C15874">
      <w:pPr>
        <w:autoSpaceDE w:val="0"/>
        <w:autoSpaceDN w:val="0"/>
        <w:adjustRightInd w:val="0"/>
        <w:jc w:val="both"/>
        <w:rPr>
          <w:szCs w:val="22"/>
        </w:rPr>
      </w:pPr>
      <w:r>
        <w:rPr>
          <w:szCs w:val="22"/>
        </w:rPr>
        <w:t xml:space="preserve">cca </w:t>
      </w:r>
      <w:r w:rsidR="003B45A1" w:rsidRPr="00DD620C">
        <w:rPr>
          <w:szCs w:val="22"/>
        </w:rPr>
        <w:t>500 000 eur</w:t>
      </w:r>
    </w:p>
    <w:p w14:paraId="4B86FCB7" w14:textId="77777777" w:rsidR="00E35EEA" w:rsidRPr="00DD620C" w:rsidRDefault="00E35EEA" w:rsidP="00C15874">
      <w:pPr>
        <w:autoSpaceDE w:val="0"/>
        <w:autoSpaceDN w:val="0"/>
        <w:adjustRightInd w:val="0"/>
        <w:jc w:val="both"/>
        <w:rPr>
          <w:szCs w:val="22"/>
        </w:rPr>
      </w:pPr>
    </w:p>
    <w:p w14:paraId="35ACA485" w14:textId="065DCD2C" w:rsidR="003B45A1" w:rsidRDefault="007135C1" w:rsidP="00C15874">
      <w:pPr>
        <w:autoSpaceDE w:val="0"/>
        <w:autoSpaceDN w:val="0"/>
        <w:adjustRightInd w:val="0"/>
        <w:jc w:val="both"/>
        <w:rPr>
          <w:b/>
          <w:bCs/>
          <w:szCs w:val="22"/>
        </w:rPr>
      </w:pPr>
      <w:r>
        <w:rPr>
          <w:b/>
          <w:bCs/>
          <w:szCs w:val="22"/>
        </w:rPr>
        <w:t>Nitra</w:t>
      </w:r>
    </w:p>
    <w:p w14:paraId="7F506AE9" w14:textId="3BDE8A8C" w:rsidR="007135C1" w:rsidRPr="00DD620C" w:rsidRDefault="007135C1" w:rsidP="00C15874">
      <w:pPr>
        <w:autoSpaceDE w:val="0"/>
        <w:autoSpaceDN w:val="0"/>
        <w:adjustRightInd w:val="0"/>
        <w:jc w:val="both"/>
        <w:rPr>
          <w:szCs w:val="22"/>
        </w:rPr>
      </w:pPr>
      <w:r w:rsidRPr="00DD620C">
        <w:rPr>
          <w:szCs w:val="22"/>
        </w:rPr>
        <w:t xml:space="preserve">Rozpočet sme boli </w:t>
      </w:r>
      <w:r w:rsidR="00DD551E" w:rsidRPr="00DD620C">
        <w:rPr>
          <w:szCs w:val="22"/>
        </w:rPr>
        <w:t>nútení navýšiť o 80 000 eur</w:t>
      </w:r>
    </w:p>
    <w:p w14:paraId="54F1CBD1" w14:textId="77777777" w:rsidR="00E35EEA" w:rsidRPr="00D85A4E" w:rsidRDefault="00E35EEA" w:rsidP="00E35EEA">
      <w:pPr>
        <w:autoSpaceDE w:val="0"/>
        <w:autoSpaceDN w:val="0"/>
        <w:adjustRightInd w:val="0"/>
        <w:jc w:val="both"/>
        <w:rPr>
          <w:szCs w:val="22"/>
        </w:rPr>
      </w:pPr>
      <w:r w:rsidRPr="00D85A4E">
        <w:rPr>
          <w:szCs w:val="22"/>
        </w:rPr>
        <w:t>Nárast miezd v MŠ = 947 955 €</w:t>
      </w:r>
    </w:p>
    <w:p w14:paraId="5B24F182" w14:textId="50B19091" w:rsidR="00E35EEA" w:rsidRPr="00D85A4E" w:rsidRDefault="00E35EEA" w:rsidP="00E35EEA">
      <w:pPr>
        <w:autoSpaceDE w:val="0"/>
        <w:autoSpaceDN w:val="0"/>
        <w:adjustRightInd w:val="0"/>
        <w:jc w:val="both"/>
        <w:rPr>
          <w:szCs w:val="22"/>
        </w:rPr>
      </w:pPr>
      <w:r w:rsidRPr="00D85A4E">
        <w:rPr>
          <w:szCs w:val="22"/>
        </w:rPr>
        <w:t>Nárast miezd RO školské zariadenia – originálne kompetencie v RO = 641 155 €</w:t>
      </w:r>
    </w:p>
    <w:p w14:paraId="3351E73D" w14:textId="77777777" w:rsidR="00E35EEA" w:rsidRPr="00D85A4E" w:rsidRDefault="00E35EEA" w:rsidP="00E35EEA">
      <w:pPr>
        <w:autoSpaceDE w:val="0"/>
        <w:autoSpaceDN w:val="0"/>
        <w:adjustRightInd w:val="0"/>
        <w:jc w:val="both"/>
        <w:rPr>
          <w:szCs w:val="22"/>
        </w:rPr>
      </w:pPr>
      <w:r w:rsidRPr="00D85A4E">
        <w:rPr>
          <w:szCs w:val="22"/>
        </w:rPr>
        <w:t>Nárast príspevku do Správy zariadení sociálnych služieb (na mzdy) = 336 112 €</w:t>
      </w:r>
    </w:p>
    <w:p w14:paraId="6820CEEC" w14:textId="77777777" w:rsidR="00E35EEA" w:rsidRPr="00D85A4E" w:rsidRDefault="00E35EEA" w:rsidP="00E35EEA">
      <w:pPr>
        <w:autoSpaceDE w:val="0"/>
        <w:autoSpaceDN w:val="0"/>
        <w:adjustRightInd w:val="0"/>
        <w:jc w:val="both"/>
        <w:rPr>
          <w:szCs w:val="22"/>
        </w:rPr>
      </w:pPr>
      <w:r w:rsidRPr="00D85A4E">
        <w:rPr>
          <w:szCs w:val="22"/>
        </w:rPr>
        <w:t>Nárast príspevku neštátnym školám (na mzdy) = 636 607 €</w:t>
      </w:r>
    </w:p>
    <w:p w14:paraId="4DAF23AD" w14:textId="77777777" w:rsidR="00E35EEA" w:rsidRPr="00D85A4E" w:rsidRDefault="00E35EEA" w:rsidP="00E35EEA">
      <w:pPr>
        <w:autoSpaceDE w:val="0"/>
        <w:autoSpaceDN w:val="0"/>
        <w:adjustRightInd w:val="0"/>
        <w:jc w:val="both"/>
        <w:rPr>
          <w:szCs w:val="22"/>
        </w:rPr>
      </w:pPr>
      <w:r w:rsidRPr="00D85A4E">
        <w:rPr>
          <w:szCs w:val="22"/>
        </w:rPr>
        <w:t>Dofinancovanie prenesených kompetencií z prostriedkov mesta (na mzdy) = 187 660 €</w:t>
      </w:r>
    </w:p>
    <w:p w14:paraId="52F88BEC" w14:textId="77777777" w:rsidR="00E35EEA" w:rsidRPr="00D85A4E" w:rsidRDefault="00E35EEA" w:rsidP="00E35EEA">
      <w:pPr>
        <w:autoSpaceDE w:val="0"/>
        <w:autoSpaceDN w:val="0"/>
        <w:adjustRightInd w:val="0"/>
        <w:jc w:val="both"/>
        <w:rPr>
          <w:szCs w:val="22"/>
        </w:rPr>
      </w:pPr>
      <w:r w:rsidRPr="00D85A4E">
        <w:rPr>
          <w:szCs w:val="22"/>
        </w:rPr>
        <w:t>Rekreačné poukazy (originálne kompetencie) = 62 571 €</w:t>
      </w:r>
    </w:p>
    <w:p w14:paraId="241CC20A" w14:textId="77777777" w:rsidR="00E35EEA" w:rsidRPr="00D85A4E" w:rsidRDefault="00E35EEA" w:rsidP="00E35EEA">
      <w:pPr>
        <w:autoSpaceDE w:val="0"/>
        <w:autoSpaceDN w:val="0"/>
        <w:adjustRightInd w:val="0"/>
        <w:jc w:val="both"/>
        <w:rPr>
          <w:szCs w:val="22"/>
        </w:rPr>
      </w:pPr>
      <w:r w:rsidRPr="00D85A4E">
        <w:rPr>
          <w:szCs w:val="22"/>
        </w:rPr>
        <w:t>Obedy zdarma (ZŠ) = 198 200 € a ďalšie kapitálové výdavky súvisiace s rekonštrukciu školských kuchýň a jedální</w:t>
      </w:r>
    </w:p>
    <w:p w14:paraId="7E4CC349" w14:textId="77777777" w:rsidR="00E35EEA" w:rsidRPr="00D85A4E" w:rsidRDefault="00E35EEA" w:rsidP="00E35EEA">
      <w:pPr>
        <w:autoSpaceDE w:val="0"/>
        <w:autoSpaceDN w:val="0"/>
        <w:adjustRightInd w:val="0"/>
        <w:jc w:val="both"/>
        <w:rPr>
          <w:szCs w:val="22"/>
        </w:rPr>
      </w:pPr>
      <w:r w:rsidRPr="00D85A4E">
        <w:rPr>
          <w:szCs w:val="22"/>
        </w:rPr>
        <w:t>Poplatok za uloženie odpadu (nárast) = 39 721 €</w:t>
      </w:r>
    </w:p>
    <w:p w14:paraId="61ECB690" w14:textId="4703DAED" w:rsidR="00E35EEA" w:rsidRPr="00D85A4E" w:rsidRDefault="00E35EEA" w:rsidP="00E35EEA">
      <w:pPr>
        <w:autoSpaceDE w:val="0"/>
        <w:autoSpaceDN w:val="0"/>
        <w:adjustRightInd w:val="0"/>
        <w:jc w:val="both"/>
        <w:rPr>
          <w:szCs w:val="22"/>
        </w:rPr>
      </w:pPr>
      <w:r w:rsidRPr="00D85A4E">
        <w:rPr>
          <w:szCs w:val="22"/>
        </w:rPr>
        <w:t>Zimná údržba chodníkov - nie je možné kvantifikovať, nakoľko je súčasťou celej zimnej údržby mesta</w:t>
      </w:r>
    </w:p>
    <w:p w14:paraId="512493A5" w14:textId="77777777" w:rsidR="00E35EEA" w:rsidRDefault="00E35EEA" w:rsidP="00E35EEA">
      <w:pPr>
        <w:autoSpaceDE w:val="0"/>
        <w:autoSpaceDN w:val="0"/>
        <w:adjustRightInd w:val="0"/>
        <w:jc w:val="both"/>
        <w:rPr>
          <w:szCs w:val="22"/>
        </w:rPr>
      </w:pPr>
      <w:r w:rsidRPr="00D85A4E">
        <w:rPr>
          <w:szCs w:val="22"/>
        </w:rPr>
        <w:t>Spolu dopad: 3 049 981 €</w:t>
      </w:r>
    </w:p>
    <w:p w14:paraId="3DF0B4EF" w14:textId="77777777" w:rsidR="00DD551E" w:rsidRDefault="00DD551E" w:rsidP="00C15874">
      <w:pPr>
        <w:autoSpaceDE w:val="0"/>
        <w:autoSpaceDN w:val="0"/>
        <w:adjustRightInd w:val="0"/>
        <w:jc w:val="both"/>
        <w:rPr>
          <w:b/>
          <w:bCs/>
          <w:szCs w:val="22"/>
        </w:rPr>
      </w:pPr>
    </w:p>
    <w:p w14:paraId="58B7B881" w14:textId="7360115C" w:rsidR="00DD551E" w:rsidRDefault="00DD551E" w:rsidP="00C15874">
      <w:pPr>
        <w:autoSpaceDE w:val="0"/>
        <w:autoSpaceDN w:val="0"/>
        <w:adjustRightInd w:val="0"/>
        <w:jc w:val="both"/>
        <w:rPr>
          <w:b/>
          <w:bCs/>
          <w:szCs w:val="22"/>
        </w:rPr>
      </w:pPr>
      <w:r>
        <w:rPr>
          <w:b/>
          <w:bCs/>
          <w:szCs w:val="22"/>
        </w:rPr>
        <w:t>Banská Bystrica</w:t>
      </w:r>
    </w:p>
    <w:p w14:paraId="1CF2C96E" w14:textId="7CFD2083" w:rsidR="00DD551E" w:rsidRDefault="00DD551E" w:rsidP="00C15874">
      <w:pPr>
        <w:autoSpaceDE w:val="0"/>
        <w:autoSpaceDN w:val="0"/>
        <w:adjustRightInd w:val="0"/>
        <w:jc w:val="both"/>
        <w:rPr>
          <w:szCs w:val="22"/>
        </w:rPr>
      </w:pPr>
      <w:r w:rsidRPr="00DD620C">
        <w:rPr>
          <w:szCs w:val="22"/>
        </w:rPr>
        <w:t>Nárast prevá</w:t>
      </w:r>
      <w:r w:rsidR="00C414A4" w:rsidRPr="00DD620C">
        <w:rPr>
          <w:szCs w:val="22"/>
        </w:rPr>
        <w:t>dzky Mesta bol pokrytý bežnými príjmami rozpočtu</w:t>
      </w:r>
      <w:r w:rsidR="006A4184" w:rsidRPr="00DD620C">
        <w:rPr>
          <w:szCs w:val="22"/>
        </w:rPr>
        <w:t>,</w:t>
      </w:r>
      <w:r w:rsidR="00C414A4" w:rsidRPr="00DD620C">
        <w:rPr>
          <w:szCs w:val="22"/>
        </w:rPr>
        <w:t xml:space="preserve"> </w:t>
      </w:r>
      <w:r w:rsidR="00F737A5" w:rsidRPr="00DD620C">
        <w:rPr>
          <w:szCs w:val="22"/>
        </w:rPr>
        <w:t xml:space="preserve">pričom </w:t>
      </w:r>
      <w:r w:rsidR="006A4184" w:rsidRPr="00DD620C">
        <w:rPr>
          <w:szCs w:val="22"/>
        </w:rPr>
        <w:t>zanikol priestor na realzáciu investičných akcií alebo na splácanie úverov z prebytku bežného rozpočtu. Mesto tieto výdavky krylo z EŠIF, dotácií</w:t>
      </w:r>
      <w:r w:rsidR="00BD26E3" w:rsidRPr="00DD620C">
        <w:rPr>
          <w:szCs w:val="22"/>
        </w:rPr>
        <w:t>, doplnkových zdrojov</w:t>
      </w:r>
      <w:r w:rsidR="00FF5E67" w:rsidRPr="00DD620C">
        <w:rPr>
          <w:szCs w:val="22"/>
        </w:rPr>
        <w:t xml:space="preserve"> financovania </w:t>
      </w:r>
      <w:r w:rsidR="00DD620C" w:rsidRPr="00DD620C">
        <w:rPr>
          <w:szCs w:val="22"/>
        </w:rPr>
        <w:t>(peňažné fondy a úvery).</w:t>
      </w:r>
    </w:p>
    <w:p w14:paraId="699ADC31" w14:textId="77777777" w:rsidR="00DD620C" w:rsidRDefault="00DD620C" w:rsidP="00C15874">
      <w:pPr>
        <w:autoSpaceDE w:val="0"/>
        <w:autoSpaceDN w:val="0"/>
        <w:adjustRightInd w:val="0"/>
        <w:jc w:val="both"/>
        <w:rPr>
          <w:szCs w:val="22"/>
        </w:rPr>
      </w:pPr>
    </w:p>
    <w:p w14:paraId="59ABEA39" w14:textId="62764FD1" w:rsidR="00DD620C" w:rsidRPr="00E35EEA" w:rsidRDefault="00DD620C" w:rsidP="00C15874">
      <w:pPr>
        <w:autoSpaceDE w:val="0"/>
        <w:autoSpaceDN w:val="0"/>
        <w:adjustRightInd w:val="0"/>
        <w:jc w:val="both"/>
        <w:rPr>
          <w:b/>
          <w:bCs/>
          <w:szCs w:val="22"/>
        </w:rPr>
      </w:pPr>
      <w:r w:rsidRPr="00E35EEA">
        <w:rPr>
          <w:b/>
          <w:bCs/>
          <w:szCs w:val="22"/>
        </w:rPr>
        <w:t>Handlová</w:t>
      </w:r>
    </w:p>
    <w:p w14:paraId="25D69CF0" w14:textId="18972E5B" w:rsidR="00DD620C" w:rsidRDefault="00DD620C" w:rsidP="00C15874">
      <w:pPr>
        <w:autoSpaceDE w:val="0"/>
        <w:autoSpaceDN w:val="0"/>
        <w:adjustRightInd w:val="0"/>
        <w:jc w:val="both"/>
        <w:rPr>
          <w:szCs w:val="22"/>
        </w:rPr>
      </w:pPr>
      <w:r>
        <w:rPr>
          <w:szCs w:val="22"/>
        </w:rPr>
        <w:t xml:space="preserve">Nikdy sme takéto zmapovanie dodatočných výdavkov nerobili a tak len odhadovo možno </w:t>
      </w:r>
      <w:r w:rsidR="003826C6">
        <w:rPr>
          <w:szCs w:val="22"/>
        </w:rPr>
        <w:t>cca 200 tis. eur ročne</w:t>
      </w:r>
    </w:p>
    <w:p w14:paraId="4ED9CC97" w14:textId="6854CD94" w:rsidR="002D71E6" w:rsidRPr="00E35EEA" w:rsidRDefault="00CC6441" w:rsidP="00C15874">
      <w:pPr>
        <w:autoSpaceDE w:val="0"/>
        <w:autoSpaceDN w:val="0"/>
        <w:adjustRightInd w:val="0"/>
        <w:jc w:val="both"/>
        <w:rPr>
          <w:b/>
          <w:bCs/>
          <w:szCs w:val="22"/>
        </w:rPr>
      </w:pPr>
      <w:r w:rsidRPr="00E35EEA">
        <w:rPr>
          <w:b/>
          <w:bCs/>
          <w:szCs w:val="22"/>
        </w:rPr>
        <w:lastRenderedPageBreak/>
        <w:t>Lučenec</w:t>
      </w:r>
    </w:p>
    <w:p w14:paraId="5D1FE786" w14:textId="77777777" w:rsidR="00CC6441" w:rsidRDefault="00CC6441" w:rsidP="00C15874">
      <w:pPr>
        <w:autoSpaceDE w:val="0"/>
        <w:autoSpaceDN w:val="0"/>
        <w:adjustRightInd w:val="0"/>
        <w:jc w:val="both"/>
        <w:rPr>
          <w:szCs w:val="22"/>
        </w:rPr>
      </w:pPr>
    </w:p>
    <w:p w14:paraId="00897419" w14:textId="7947B438" w:rsidR="002D71E6" w:rsidRDefault="002D71E6" w:rsidP="00C15874">
      <w:pPr>
        <w:autoSpaceDE w:val="0"/>
        <w:autoSpaceDN w:val="0"/>
        <w:adjustRightInd w:val="0"/>
        <w:jc w:val="both"/>
        <w:rPr>
          <w:b/>
          <w:bCs/>
          <w:szCs w:val="22"/>
        </w:rPr>
      </w:pPr>
      <w:r w:rsidRPr="002D71E6">
        <w:rPr>
          <w:b/>
          <w:bCs/>
          <w:szCs w:val="22"/>
        </w:rPr>
        <w:t>Hurbanovo</w:t>
      </w:r>
    </w:p>
    <w:p w14:paraId="23A879C3" w14:textId="77777777" w:rsidR="005229C5" w:rsidRPr="005229C5" w:rsidRDefault="005229C5" w:rsidP="005229C5">
      <w:pPr>
        <w:autoSpaceDE w:val="0"/>
        <w:autoSpaceDN w:val="0"/>
        <w:adjustRightInd w:val="0"/>
        <w:jc w:val="both"/>
        <w:rPr>
          <w:szCs w:val="22"/>
        </w:rPr>
      </w:pPr>
      <w:r w:rsidRPr="005229C5">
        <w:rPr>
          <w:szCs w:val="22"/>
        </w:rPr>
        <w:t>Navýšenie výdavkov oproti roku 2018:</w:t>
      </w:r>
    </w:p>
    <w:p w14:paraId="11540356" w14:textId="77777777" w:rsidR="005229C5" w:rsidRPr="005229C5" w:rsidRDefault="005229C5" w:rsidP="005229C5">
      <w:pPr>
        <w:autoSpaceDE w:val="0"/>
        <w:autoSpaceDN w:val="0"/>
        <w:adjustRightInd w:val="0"/>
        <w:jc w:val="both"/>
        <w:rPr>
          <w:szCs w:val="22"/>
        </w:rPr>
      </w:pPr>
      <w:r w:rsidRPr="005229C5">
        <w:rPr>
          <w:szCs w:val="22"/>
        </w:rPr>
        <w:t>daň z poistenia: 262,- €,</w:t>
      </w:r>
    </w:p>
    <w:p w14:paraId="5F10B762" w14:textId="77777777" w:rsidR="005229C5" w:rsidRPr="005229C5" w:rsidRDefault="005229C5" w:rsidP="005229C5">
      <w:pPr>
        <w:autoSpaceDE w:val="0"/>
        <w:autoSpaceDN w:val="0"/>
        <w:adjustRightInd w:val="0"/>
        <w:jc w:val="both"/>
        <w:rPr>
          <w:szCs w:val="22"/>
        </w:rPr>
      </w:pPr>
      <w:r w:rsidRPr="005229C5">
        <w:rPr>
          <w:szCs w:val="22"/>
        </w:rPr>
        <w:t>zabezpečenie a vybavenie školských jedální na vydávanie "obedov zadarmo": 34603,- €,</w:t>
      </w:r>
    </w:p>
    <w:p w14:paraId="1F580CD6" w14:textId="77777777" w:rsidR="005229C5" w:rsidRPr="005229C5" w:rsidRDefault="005229C5" w:rsidP="005229C5">
      <w:pPr>
        <w:autoSpaceDE w:val="0"/>
        <w:autoSpaceDN w:val="0"/>
        <w:adjustRightInd w:val="0"/>
        <w:jc w:val="both"/>
        <w:rPr>
          <w:szCs w:val="22"/>
        </w:rPr>
      </w:pPr>
      <w:r w:rsidRPr="005229C5">
        <w:rPr>
          <w:szCs w:val="22"/>
        </w:rPr>
        <w:t>zvýšenie platov a súvisiacich odvodov v dôsledku zvýšenej stupnice platových taríf: 463 293,- €,</w:t>
      </w:r>
    </w:p>
    <w:p w14:paraId="0FF1263E" w14:textId="77777777" w:rsidR="005229C5" w:rsidRPr="005229C5" w:rsidRDefault="005229C5" w:rsidP="005229C5">
      <w:pPr>
        <w:autoSpaceDE w:val="0"/>
        <w:autoSpaceDN w:val="0"/>
        <w:adjustRightInd w:val="0"/>
        <w:jc w:val="both"/>
        <w:rPr>
          <w:szCs w:val="22"/>
        </w:rPr>
      </w:pPr>
      <w:r w:rsidRPr="005229C5">
        <w:rPr>
          <w:szCs w:val="22"/>
        </w:rPr>
        <w:t>úhrady za rekreačné poukazy: 2 853,08 €</w:t>
      </w:r>
    </w:p>
    <w:p w14:paraId="273394C4" w14:textId="3154CA5A" w:rsidR="002D71E6" w:rsidRPr="002D71E6" w:rsidRDefault="005229C5" w:rsidP="005229C5">
      <w:pPr>
        <w:autoSpaceDE w:val="0"/>
        <w:autoSpaceDN w:val="0"/>
        <w:adjustRightInd w:val="0"/>
        <w:jc w:val="both"/>
        <w:rPr>
          <w:szCs w:val="22"/>
        </w:rPr>
      </w:pPr>
      <w:r w:rsidRPr="005229C5">
        <w:rPr>
          <w:szCs w:val="22"/>
        </w:rPr>
        <w:t>zvýšenie poplatku za uloženie odpadov: 5 300,- €</w:t>
      </w:r>
    </w:p>
    <w:p w14:paraId="1D0B13D2" w14:textId="77777777" w:rsidR="003826C6" w:rsidRDefault="003826C6" w:rsidP="00C15874">
      <w:pPr>
        <w:autoSpaceDE w:val="0"/>
        <w:autoSpaceDN w:val="0"/>
        <w:adjustRightInd w:val="0"/>
        <w:jc w:val="both"/>
        <w:rPr>
          <w:szCs w:val="22"/>
        </w:rPr>
      </w:pPr>
    </w:p>
    <w:p w14:paraId="222005F8" w14:textId="589C1472" w:rsidR="000C0922" w:rsidRPr="00E35EEA" w:rsidRDefault="000C0922" w:rsidP="00D85A4E">
      <w:pPr>
        <w:autoSpaceDE w:val="0"/>
        <w:autoSpaceDN w:val="0"/>
        <w:adjustRightInd w:val="0"/>
        <w:jc w:val="both"/>
        <w:rPr>
          <w:b/>
          <w:bCs/>
          <w:szCs w:val="22"/>
        </w:rPr>
      </w:pPr>
      <w:r w:rsidRPr="00E35EEA">
        <w:rPr>
          <w:b/>
          <w:bCs/>
          <w:szCs w:val="22"/>
        </w:rPr>
        <w:t>Želiezovce</w:t>
      </w:r>
    </w:p>
    <w:p w14:paraId="23077086" w14:textId="16B30138" w:rsidR="000C0922" w:rsidRDefault="0054479A" w:rsidP="00D85A4E">
      <w:pPr>
        <w:autoSpaceDE w:val="0"/>
        <w:autoSpaceDN w:val="0"/>
        <w:adjustRightInd w:val="0"/>
        <w:jc w:val="both"/>
        <w:rPr>
          <w:szCs w:val="22"/>
        </w:rPr>
      </w:pPr>
      <w:r>
        <w:rPr>
          <w:szCs w:val="22"/>
        </w:rPr>
        <w:t>Zatiaľ nie je vyčíslené.</w:t>
      </w:r>
    </w:p>
    <w:p w14:paraId="4C99AD2F" w14:textId="77777777" w:rsidR="0054479A" w:rsidRDefault="0054479A" w:rsidP="00D85A4E">
      <w:pPr>
        <w:autoSpaceDE w:val="0"/>
        <w:autoSpaceDN w:val="0"/>
        <w:adjustRightInd w:val="0"/>
        <w:jc w:val="both"/>
        <w:rPr>
          <w:szCs w:val="22"/>
        </w:rPr>
      </w:pPr>
    </w:p>
    <w:p w14:paraId="139D74EC" w14:textId="3B9ADA11" w:rsidR="0054479A" w:rsidRPr="00E35EEA" w:rsidRDefault="0054479A" w:rsidP="00D85A4E">
      <w:pPr>
        <w:autoSpaceDE w:val="0"/>
        <w:autoSpaceDN w:val="0"/>
        <w:adjustRightInd w:val="0"/>
        <w:jc w:val="both"/>
        <w:rPr>
          <w:b/>
          <w:bCs/>
          <w:szCs w:val="22"/>
        </w:rPr>
      </w:pPr>
      <w:r w:rsidRPr="00E35EEA">
        <w:rPr>
          <w:b/>
          <w:bCs/>
          <w:szCs w:val="22"/>
        </w:rPr>
        <w:t>Žilina</w:t>
      </w:r>
    </w:p>
    <w:p w14:paraId="7FA9939A" w14:textId="711A17DE" w:rsidR="0054479A" w:rsidRDefault="0054479A" w:rsidP="00D85A4E">
      <w:pPr>
        <w:autoSpaceDE w:val="0"/>
        <w:autoSpaceDN w:val="0"/>
        <w:adjustRightInd w:val="0"/>
        <w:jc w:val="both"/>
        <w:rPr>
          <w:szCs w:val="22"/>
        </w:rPr>
      </w:pPr>
      <w:r>
        <w:rPr>
          <w:szCs w:val="22"/>
        </w:rPr>
        <w:t>Celkový dopad</w:t>
      </w:r>
      <w:r w:rsidR="009E2BB1">
        <w:rPr>
          <w:szCs w:val="22"/>
        </w:rPr>
        <w:t xml:space="preserve"> cca 4,5 mil. eur</w:t>
      </w:r>
    </w:p>
    <w:p w14:paraId="0FF33DBF" w14:textId="77777777" w:rsidR="009E2BB1" w:rsidRDefault="009E2BB1" w:rsidP="00D85A4E">
      <w:pPr>
        <w:autoSpaceDE w:val="0"/>
        <w:autoSpaceDN w:val="0"/>
        <w:adjustRightInd w:val="0"/>
        <w:jc w:val="both"/>
        <w:rPr>
          <w:szCs w:val="22"/>
        </w:rPr>
      </w:pPr>
    </w:p>
    <w:p w14:paraId="373E4C05" w14:textId="79C907C1" w:rsidR="009E2BB1" w:rsidRPr="00E35EEA" w:rsidRDefault="009E2BB1" w:rsidP="00D85A4E">
      <w:pPr>
        <w:autoSpaceDE w:val="0"/>
        <w:autoSpaceDN w:val="0"/>
        <w:adjustRightInd w:val="0"/>
        <w:jc w:val="both"/>
        <w:rPr>
          <w:b/>
          <w:bCs/>
          <w:szCs w:val="22"/>
        </w:rPr>
      </w:pPr>
      <w:r w:rsidRPr="00E35EEA">
        <w:rPr>
          <w:b/>
          <w:bCs/>
          <w:szCs w:val="22"/>
        </w:rPr>
        <w:t>Zvolen</w:t>
      </w:r>
    </w:p>
    <w:p w14:paraId="7F6FBD5A" w14:textId="77777777" w:rsidR="009E2BB1" w:rsidRDefault="009E2BB1" w:rsidP="00D85A4E">
      <w:pPr>
        <w:autoSpaceDE w:val="0"/>
        <w:autoSpaceDN w:val="0"/>
        <w:adjustRightInd w:val="0"/>
        <w:jc w:val="both"/>
        <w:rPr>
          <w:szCs w:val="22"/>
        </w:rPr>
      </w:pPr>
    </w:p>
    <w:p w14:paraId="73AE4C89" w14:textId="4E2AE258" w:rsidR="009E2BB1" w:rsidRPr="00E35EEA" w:rsidRDefault="009E2BB1" w:rsidP="00D85A4E">
      <w:pPr>
        <w:autoSpaceDE w:val="0"/>
        <w:autoSpaceDN w:val="0"/>
        <w:adjustRightInd w:val="0"/>
        <w:jc w:val="both"/>
        <w:rPr>
          <w:b/>
          <w:bCs/>
          <w:szCs w:val="22"/>
        </w:rPr>
      </w:pPr>
      <w:r w:rsidRPr="00E35EEA">
        <w:rPr>
          <w:b/>
          <w:bCs/>
          <w:szCs w:val="22"/>
        </w:rPr>
        <w:t xml:space="preserve">Bratislava </w:t>
      </w:r>
    </w:p>
    <w:p w14:paraId="77D889BB" w14:textId="54644CD9" w:rsidR="009E2BB1" w:rsidRDefault="009E2BB1" w:rsidP="00D85A4E">
      <w:pPr>
        <w:autoSpaceDE w:val="0"/>
        <w:autoSpaceDN w:val="0"/>
        <w:adjustRightInd w:val="0"/>
        <w:jc w:val="both"/>
        <w:rPr>
          <w:szCs w:val="22"/>
        </w:rPr>
      </w:pPr>
      <w:r>
        <w:rPr>
          <w:szCs w:val="22"/>
        </w:rPr>
        <w:t xml:space="preserve">Obedy a ihriská </w:t>
      </w:r>
      <w:r w:rsidR="00E65A79">
        <w:rPr>
          <w:szCs w:val="22"/>
        </w:rPr>
        <w:t>v samostatnom preh</w:t>
      </w:r>
      <w:r w:rsidR="00A53DB7">
        <w:rPr>
          <w:szCs w:val="22"/>
        </w:rPr>
        <w:t>ľ</w:t>
      </w:r>
      <w:r w:rsidR="00E65A79">
        <w:rPr>
          <w:szCs w:val="22"/>
        </w:rPr>
        <w:t>a</w:t>
      </w:r>
      <w:r w:rsidR="00442DDC">
        <w:rPr>
          <w:szCs w:val="22"/>
        </w:rPr>
        <w:t>de za MČ</w:t>
      </w:r>
    </w:p>
    <w:p w14:paraId="67481C3B" w14:textId="61F5F35E" w:rsidR="00442DDC" w:rsidRDefault="00442DDC" w:rsidP="00D85A4E">
      <w:pPr>
        <w:autoSpaceDE w:val="0"/>
        <w:autoSpaceDN w:val="0"/>
        <w:adjustRightInd w:val="0"/>
        <w:jc w:val="both"/>
        <w:rPr>
          <w:szCs w:val="22"/>
        </w:rPr>
      </w:pPr>
      <w:r>
        <w:rPr>
          <w:szCs w:val="22"/>
        </w:rPr>
        <w:t xml:space="preserve">Sociálne služby </w:t>
      </w:r>
      <w:r w:rsidR="0033586C">
        <w:rPr>
          <w:szCs w:val="22"/>
        </w:rPr>
        <w:t xml:space="preserve">– minimálne </w:t>
      </w:r>
      <w:r w:rsidR="00C70E2D">
        <w:rPr>
          <w:szCs w:val="22"/>
        </w:rPr>
        <w:t>1 – 1,5 mil. eur v roku 2020 navyše v porovnaní s rokom 2019</w:t>
      </w:r>
    </w:p>
    <w:p w14:paraId="02FEAAF2" w14:textId="104B06B5" w:rsidR="00F34229" w:rsidRDefault="00F34229" w:rsidP="00D85A4E">
      <w:pPr>
        <w:autoSpaceDE w:val="0"/>
        <w:autoSpaceDN w:val="0"/>
        <w:adjustRightInd w:val="0"/>
        <w:jc w:val="both"/>
        <w:rPr>
          <w:szCs w:val="22"/>
        </w:rPr>
      </w:pPr>
      <w:r>
        <w:rPr>
          <w:szCs w:val="22"/>
        </w:rPr>
        <w:t xml:space="preserve">Valorizácia – okolo </w:t>
      </w:r>
      <w:r w:rsidR="00782125">
        <w:rPr>
          <w:szCs w:val="22"/>
        </w:rPr>
        <w:t>5 mil. eur</w:t>
      </w:r>
      <w:r w:rsidR="00A53DB7">
        <w:rPr>
          <w:szCs w:val="22"/>
        </w:rPr>
        <w:t xml:space="preserve"> iba za ROPO magistrátu (+ mestské časti v samostatnom prehľade za MČ)</w:t>
      </w:r>
    </w:p>
    <w:p w14:paraId="74183346" w14:textId="77777777" w:rsidR="009E2BB1" w:rsidRDefault="009E2BB1" w:rsidP="00D85A4E">
      <w:pPr>
        <w:autoSpaceDE w:val="0"/>
        <w:autoSpaceDN w:val="0"/>
        <w:adjustRightInd w:val="0"/>
        <w:jc w:val="both"/>
        <w:rPr>
          <w:szCs w:val="22"/>
        </w:rPr>
      </w:pPr>
    </w:p>
    <w:p w14:paraId="40006990" w14:textId="77777777" w:rsidR="00D85A4E" w:rsidRPr="00DD620C" w:rsidRDefault="00D85A4E" w:rsidP="00D85A4E">
      <w:pPr>
        <w:autoSpaceDE w:val="0"/>
        <w:autoSpaceDN w:val="0"/>
        <w:adjustRightInd w:val="0"/>
        <w:jc w:val="both"/>
        <w:rPr>
          <w:szCs w:val="22"/>
        </w:rPr>
      </w:pPr>
    </w:p>
    <w:p w14:paraId="089910C3" w14:textId="77777777" w:rsidR="00A02423" w:rsidRPr="00B81300" w:rsidRDefault="00A02423" w:rsidP="00063DF9">
      <w:pPr>
        <w:jc w:val="both"/>
        <w:rPr>
          <w:highlight w:val="yellow"/>
        </w:rPr>
      </w:pPr>
    </w:p>
    <w:p w14:paraId="63C4D45F" w14:textId="41E8B871" w:rsidR="001708C6" w:rsidRPr="004C67F8" w:rsidRDefault="001708C6" w:rsidP="001708C6">
      <w:pPr>
        <w:jc w:val="both"/>
        <w:rPr>
          <w:rFonts w:eastAsia="Cambria"/>
          <w:b/>
        </w:rPr>
      </w:pPr>
      <w:r w:rsidRPr="004C67F8">
        <w:rPr>
          <w:rFonts w:eastAsia="Cambria"/>
          <w:b/>
        </w:rPr>
        <w:t>Združenie samosprávnych krajov</w:t>
      </w:r>
      <w:r w:rsidR="004C67F8">
        <w:rPr>
          <w:rFonts w:eastAsia="Cambria"/>
          <w:b/>
        </w:rPr>
        <w:t xml:space="preserve"> (SK8)</w:t>
      </w:r>
      <w:r w:rsidRPr="004C67F8">
        <w:rPr>
          <w:rFonts w:eastAsia="Cambria"/>
          <w:b/>
        </w:rPr>
        <w:t>:</w:t>
      </w:r>
    </w:p>
    <w:p w14:paraId="007A3E83" w14:textId="77777777" w:rsidR="002571A2" w:rsidRPr="00BB0361" w:rsidRDefault="002571A2" w:rsidP="001708C6">
      <w:pPr>
        <w:jc w:val="both"/>
        <w:rPr>
          <w:rFonts w:eastAsia="Cambria"/>
          <w:bCs/>
        </w:rPr>
      </w:pPr>
    </w:p>
    <w:p w14:paraId="3CBF90F9" w14:textId="79F27E2D" w:rsidR="0088601F" w:rsidRPr="00BB0361" w:rsidRDefault="0088601F" w:rsidP="001708C6">
      <w:pPr>
        <w:jc w:val="both"/>
        <w:rPr>
          <w:rFonts w:eastAsia="Cambria"/>
          <w:bCs/>
        </w:rPr>
      </w:pPr>
      <w:r w:rsidRPr="00BB0361">
        <w:rPr>
          <w:rFonts w:eastAsia="Cambria"/>
          <w:bCs/>
        </w:rPr>
        <w:t>Listom č. LKRRZ/2020-14 zo dňa 10</w:t>
      </w:r>
      <w:r w:rsidR="00E02A45" w:rsidRPr="00BB0361">
        <w:rPr>
          <w:rFonts w:eastAsia="Cambria"/>
          <w:bCs/>
        </w:rPr>
        <w:t>.</w:t>
      </w:r>
      <w:r w:rsidRPr="00BB0361">
        <w:rPr>
          <w:rFonts w:eastAsia="Cambria"/>
          <w:bCs/>
        </w:rPr>
        <w:t xml:space="preserve"> júla</w:t>
      </w:r>
      <w:r w:rsidR="00E02A45" w:rsidRPr="00BB0361">
        <w:rPr>
          <w:rFonts w:eastAsia="Cambria"/>
          <w:bCs/>
        </w:rPr>
        <w:t xml:space="preserve"> 2020 žiadate sprístupniť info</w:t>
      </w:r>
      <w:r w:rsidR="00CB14BA" w:rsidRPr="00BB0361">
        <w:rPr>
          <w:rFonts w:eastAsia="Cambria"/>
          <w:bCs/>
        </w:rPr>
        <w:t>r</w:t>
      </w:r>
      <w:r w:rsidR="00E02A45" w:rsidRPr="00BB0361">
        <w:rPr>
          <w:rFonts w:eastAsia="Cambria"/>
          <w:bCs/>
        </w:rPr>
        <w:t>mácie</w:t>
      </w:r>
      <w:r w:rsidR="00CB14BA" w:rsidRPr="00BB0361">
        <w:rPr>
          <w:rFonts w:eastAsia="Cambria"/>
          <w:bCs/>
        </w:rPr>
        <w:t xml:space="preserve">, či v roku 2019 došlo k úprave pôsobnosti, ktorá ustanovuje nové úlohy vyšším územným celkom alebo rozširuje </w:t>
      </w:r>
      <w:r w:rsidR="0053627A" w:rsidRPr="00BB0361">
        <w:rPr>
          <w:rFonts w:eastAsia="Cambria"/>
          <w:bCs/>
        </w:rPr>
        <w:t>existujúce prenesené originálne úlohy, súčasne s informáciou, či štát dotk</w:t>
      </w:r>
      <w:r w:rsidR="00604CB8" w:rsidRPr="00BB0361">
        <w:rPr>
          <w:rFonts w:eastAsia="Cambria"/>
          <w:bCs/>
        </w:rPr>
        <w:t>nutým subjektom</w:t>
      </w:r>
      <w:r w:rsidR="00942F66" w:rsidRPr="00BB0361">
        <w:rPr>
          <w:rFonts w:eastAsia="Cambria"/>
          <w:bCs/>
        </w:rPr>
        <w:t xml:space="preserve"> na plnenie týchto úloh </w:t>
      </w:r>
      <w:r w:rsidR="00D1256C" w:rsidRPr="00BB0361">
        <w:rPr>
          <w:rFonts w:eastAsia="Cambria"/>
          <w:bCs/>
        </w:rPr>
        <w:t>zabezpečil zodpovedajúce</w:t>
      </w:r>
      <w:r w:rsidR="00155C2D" w:rsidRPr="00BB0361">
        <w:rPr>
          <w:rFonts w:eastAsia="Cambria"/>
          <w:bCs/>
        </w:rPr>
        <w:t xml:space="preserve"> finančné prostriedky</w:t>
      </w:r>
      <w:r w:rsidR="00FE32E4" w:rsidRPr="00BB0361">
        <w:rPr>
          <w:rFonts w:eastAsia="Cambria"/>
          <w:bCs/>
        </w:rPr>
        <w:t>.</w:t>
      </w:r>
    </w:p>
    <w:p w14:paraId="33CCA636" w14:textId="72C1A453" w:rsidR="00FE32E4" w:rsidRPr="00BB0361" w:rsidRDefault="00FE32E4" w:rsidP="00BB0361">
      <w:pPr>
        <w:tabs>
          <w:tab w:val="left" w:pos="0"/>
        </w:tabs>
        <w:jc w:val="both"/>
        <w:rPr>
          <w:rFonts w:eastAsia="Cambria"/>
          <w:bCs/>
        </w:rPr>
      </w:pPr>
      <w:r w:rsidRPr="00BB0361">
        <w:rPr>
          <w:rFonts w:eastAsia="Cambria"/>
          <w:bCs/>
        </w:rPr>
        <w:t xml:space="preserve">V zmysle uvedeného mi dovoľte </w:t>
      </w:r>
      <w:r w:rsidR="008E39CF" w:rsidRPr="00BB0361">
        <w:rPr>
          <w:rFonts w:eastAsia="Cambria"/>
          <w:bCs/>
        </w:rPr>
        <w:t>oznámiť Vám, že samospr</w:t>
      </w:r>
      <w:r w:rsidR="0023618A" w:rsidRPr="00BB0361">
        <w:rPr>
          <w:rFonts w:eastAsia="Cambria"/>
          <w:bCs/>
        </w:rPr>
        <w:t xml:space="preserve">ávnym krajom </w:t>
      </w:r>
      <w:r w:rsidR="00F869F1" w:rsidRPr="00BB0361">
        <w:rPr>
          <w:rFonts w:eastAsia="Cambria"/>
          <w:bCs/>
        </w:rPr>
        <w:t xml:space="preserve">vznikli v roku 2019 v dôsledku nižšie uvedených noviel nové úlohy bez zabezpečenia zodpovedajúcich </w:t>
      </w:r>
      <w:r w:rsidR="00117B03" w:rsidRPr="00BB0361">
        <w:rPr>
          <w:rFonts w:eastAsia="Cambria"/>
          <w:bCs/>
        </w:rPr>
        <w:t>finančných prostriedkov:</w:t>
      </w:r>
    </w:p>
    <w:p w14:paraId="227292B6" w14:textId="4640B4B3" w:rsidR="00117B03" w:rsidRPr="00BB0361" w:rsidRDefault="00117B03" w:rsidP="00117B03">
      <w:pPr>
        <w:pStyle w:val="ListParagraph"/>
        <w:numPr>
          <w:ilvl w:val="0"/>
          <w:numId w:val="39"/>
        </w:numPr>
        <w:jc w:val="both"/>
        <w:rPr>
          <w:rFonts w:ascii="Constantia" w:eastAsia="Cambria" w:hAnsi="Constantia"/>
          <w:bCs/>
        </w:rPr>
      </w:pPr>
      <w:r w:rsidRPr="00BB0361">
        <w:rPr>
          <w:rFonts w:ascii="Constantia" w:eastAsia="Cambria" w:hAnsi="Constantia"/>
          <w:bCs/>
        </w:rPr>
        <w:t xml:space="preserve">Novelou zákona </w:t>
      </w:r>
      <w:r w:rsidR="000B563E" w:rsidRPr="00BB0361">
        <w:rPr>
          <w:rFonts w:ascii="Constantia" w:eastAsia="Cambria" w:hAnsi="Constantia"/>
          <w:bCs/>
        </w:rPr>
        <w:t xml:space="preserve">č. 553/2003 Z.z. o odmeňovaní niektorých zamestnancov pri výkone práce </w:t>
      </w:r>
      <w:r w:rsidR="00C600E3" w:rsidRPr="00BB0361">
        <w:rPr>
          <w:rFonts w:ascii="Constantia" w:eastAsia="Cambria" w:hAnsi="Constantia"/>
          <w:bCs/>
        </w:rPr>
        <w:t>vo verejnom záujme</w:t>
      </w:r>
      <w:r w:rsidR="00B003AA" w:rsidRPr="00BB0361">
        <w:rPr>
          <w:rFonts w:ascii="Constantia" w:eastAsia="Cambria" w:hAnsi="Constantia"/>
          <w:bCs/>
        </w:rPr>
        <w:t xml:space="preserve">, ktorá nadobudla účinnosť od 1.1.2019, bola zvýšená </w:t>
      </w:r>
      <w:r w:rsidR="00937ED3" w:rsidRPr="00BB0361">
        <w:rPr>
          <w:rFonts w:ascii="Constantia" w:eastAsia="Cambria" w:hAnsi="Constantia"/>
          <w:bCs/>
        </w:rPr>
        <w:t>základná stupnica taríf zamestnancov</w:t>
      </w:r>
      <w:r w:rsidR="00677EBC" w:rsidRPr="00BB0361">
        <w:rPr>
          <w:rFonts w:ascii="Constantia" w:eastAsia="Cambria" w:hAnsi="Constantia"/>
          <w:bCs/>
        </w:rPr>
        <w:t xml:space="preserve"> pri výkone práce vo verejnom záujme, čo spôsobilo krajom dodatočné mzdové výdavky aj na úseku originálnych kompetencií v oblasti školstva</w:t>
      </w:r>
    </w:p>
    <w:p w14:paraId="16B6DBFA" w14:textId="30467921" w:rsidR="00677EBC" w:rsidRPr="00BB0361" w:rsidRDefault="00677EBC" w:rsidP="00117B03">
      <w:pPr>
        <w:pStyle w:val="ListParagraph"/>
        <w:numPr>
          <w:ilvl w:val="0"/>
          <w:numId w:val="39"/>
        </w:numPr>
        <w:jc w:val="both"/>
        <w:rPr>
          <w:rFonts w:ascii="Constantia" w:eastAsia="Cambria" w:hAnsi="Constantia"/>
          <w:bCs/>
        </w:rPr>
      </w:pPr>
      <w:r w:rsidRPr="00BB0361">
        <w:rPr>
          <w:rFonts w:ascii="Constantia" w:eastAsia="Cambria" w:hAnsi="Constantia"/>
          <w:bCs/>
        </w:rPr>
        <w:t xml:space="preserve">Novelou Zákonníka práce č. 311/2001 Z. z., ktorá nadobudla účinnosť </w:t>
      </w:r>
      <w:r w:rsidR="00417437" w:rsidRPr="00BB0361">
        <w:rPr>
          <w:rFonts w:ascii="Constantia" w:eastAsia="Cambria" w:hAnsi="Constantia"/>
          <w:bCs/>
        </w:rPr>
        <w:t xml:space="preserve">od 1.1.2019, bol zamestnávateľ, ktorý </w:t>
      </w:r>
      <w:r w:rsidR="005C3702" w:rsidRPr="00BB0361">
        <w:rPr>
          <w:rFonts w:ascii="Constantia" w:eastAsia="Cambria" w:hAnsi="Constantia"/>
          <w:bCs/>
        </w:rPr>
        <w:t>zamestnáva viac ako 49 zamestnancov, povinný poskytnúť príspevok</w:t>
      </w:r>
      <w:r w:rsidR="00A5347A" w:rsidRPr="00BB0361">
        <w:rPr>
          <w:rFonts w:ascii="Constantia" w:eastAsia="Cambria" w:hAnsi="Constantia"/>
          <w:bCs/>
        </w:rPr>
        <w:t xml:space="preserve"> na rekreáciu v sume 55 % oprávnených výdavkov</w:t>
      </w:r>
      <w:r w:rsidR="009D0DF5" w:rsidRPr="00BB0361">
        <w:rPr>
          <w:rFonts w:ascii="Constantia" w:eastAsia="Cambria" w:hAnsi="Constantia"/>
          <w:bCs/>
        </w:rPr>
        <w:t xml:space="preserve">, najviac v sume 275 eur </w:t>
      </w:r>
      <w:r w:rsidR="007015AC" w:rsidRPr="00BB0361">
        <w:rPr>
          <w:rFonts w:ascii="Constantia" w:eastAsia="Cambria" w:hAnsi="Constantia"/>
          <w:bCs/>
        </w:rPr>
        <w:t>za kalendárn</w:t>
      </w:r>
      <w:r w:rsidR="00846337">
        <w:rPr>
          <w:rFonts w:ascii="Constantia" w:eastAsia="Cambria" w:hAnsi="Constantia"/>
          <w:bCs/>
        </w:rPr>
        <w:t>y</w:t>
      </w:r>
      <w:r w:rsidR="007015AC" w:rsidRPr="00BB0361">
        <w:rPr>
          <w:rFonts w:ascii="Constantia" w:eastAsia="Cambria" w:hAnsi="Constantia"/>
          <w:bCs/>
        </w:rPr>
        <w:t xml:space="preserve"> rok, pre každého </w:t>
      </w:r>
      <w:r w:rsidR="00E54909" w:rsidRPr="00BB0361">
        <w:rPr>
          <w:rFonts w:ascii="Constantia" w:eastAsia="Cambria" w:hAnsi="Constantia"/>
          <w:bCs/>
        </w:rPr>
        <w:t>zamestnanca</w:t>
      </w:r>
      <w:r w:rsidR="002871E9" w:rsidRPr="00BB0361">
        <w:rPr>
          <w:rFonts w:ascii="Constantia" w:eastAsia="Cambria" w:hAnsi="Constantia"/>
          <w:bCs/>
        </w:rPr>
        <w:t xml:space="preserve">, ktorého </w:t>
      </w:r>
      <w:r w:rsidR="00A1298C" w:rsidRPr="00BB0361">
        <w:rPr>
          <w:rFonts w:ascii="Constantia" w:eastAsia="Cambria" w:hAnsi="Constantia"/>
          <w:bCs/>
        </w:rPr>
        <w:t xml:space="preserve">pracovný pomer trvá nepretržite najmenej 24 mesiacov. Toto opatrenie zvýšilo krajom </w:t>
      </w:r>
      <w:r w:rsidR="008E2FC2" w:rsidRPr="00BB0361">
        <w:rPr>
          <w:rFonts w:ascii="Constantia" w:eastAsia="Cambria" w:hAnsi="Constantia"/>
          <w:bCs/>
        </w:rPr>
        <w:t>personálne výdavky.</w:t>
      </w:r>
    </w:p>
    <w:p w14:paraId="38CA94DA" w14:textId="4554FECB" w:rsidR="008E2FC2" w:rsidRPr="00BB0361" w:rsidRDefault="000377C7" w:rsidP="00117B03">
      <w:pPr>
        <w:pStyle w:val="ListParagraph"/>
        <w:numPr>
          <w:ilvl w:val="0"/>
          <w:numId w:val="39"/>
        </w:numPr>
        <w:jc w:val="both"/>
        <w:rPr>
          <w:rFonts w:ascii="Constantia" w:eastAsia="Cambria" w:hAnsi="Constantia"/>
          <w:bCs/>
        </w:rPr>
      </w:pPr>
      <w:r w:rsidRPr="00BB0361">
        <w:rPr>
          <w:rFonts w:ascii="Constantia" w:eastAsia="Cambria" w:hAnsi="Constantia"/>
          <w:bCs/>
        </w:rPr>
        <w:t>Novelou zákona č. 448/2008 Z.</w:t>
      </w:r>
      <w:r w:rsidR="00B177EC" w:rsidRPr="00BB0361">
        <w:rPr>
          <w:rFonts w:ascii="Constantia" w:eastAsia="Cambria" w:hAnsi="Constantia"/>
          <w:bCs/>
        </w:rPr>
        <w:t xml:space="preserve"> </w:t>
      </w:r>
      <w:r w:rsidRPr="00BB0361">
        <w:rPr>
          <w:rFonts w:ascii="Constantia" w:eastAsia="Cambria" w:hAnsi="Constantia"/>
          <w:bCs/>
        </w:rPr>
        <w:t xml:space="preserve">z. </w:t>
      </w:r>
      <w:r w:rsidR="00B177EC" w:rsidRPr="00BB0361">
        <w:rPr>
          <w:rFonts w:ascii="Constantia" w:eastAsia="Cambria" w:hAnsi="Constantia"/>
          <w:bCs/>
        </w:rPr>
        <w:t>o sociálnych službách</w:t>
      </w:r>
      <w:r w:rsidR="00C208DE" w:rsidRPr="00BB0361">
        <w:rPr>
          <w:rFonts w:ascii="Constantia" w:eastAsia="Cambria" w:hAnsi="Constantia"/>
          <w:bCs/>
        </w:rPr>
        <w:t>, ktorá nadobudla účinnosť od 1.10.2020, došlo k úprave vzorca pre v</w:t>
      </w:r>
      <w:r w:rsidR="005C2546" w:rsidRPr="00BB0361">
        <w:rPr>
          <w:rFonts w:ascii="Constantia" w:eastAsia="Cambria" w:hAnsi="Constantia"/>
          <w:bCs/>
        </w:rPr>
        <w:t xml:space="preserve">ýpočet finančných príspevkov na prevádzku </w:t>
      </w:r>
      <w:r w:rsidR="005C2546" w:rsidRPr="00BB0361">
        <w:rPr>
          <w:rFonts w:ascii="Constantia" w:eastAsia="Cambria" w:hAnsi="Constantia"/>
          <w:bCs/>
        </w:rPr>
        <w:lastRenderedPageBreak/>
        <w:t>never</w:t>
      </w:r>
      <w:r w:rsidR="003F1D2C" w:rsidRPr="00BB0361">
        <w:rPr>
          <w:rFonts w:ascii="Constantia" w:eastAsia="Cambria" w:hAnsi="Constantia"/>
          <w:bCs/>
        </w:rPr>
        <w:t>e</w:t>
      </w:r>
      <w:r w:rsidR="005C2546" w:rsidRPr="00BB0361">
        <w:rPr>
          <w:rFonts w:ascii="Constantia" w:eastAsia="Cambria" w:hAnsi="Constantia"/>
          <w:bCs/>
        </w:rPr>
        <w:t>jný</w:t>
      </w:r>
      <w:r w:rsidR="00EC750E" w:rsidRPr="00BB0361">
        <w:rPr>
          <w:rFonts w:ascii="Constantia" w:eastAsia="Cambria" w:hAnsi="Constantia"/>
          <w:bCs/>
        </w:rPr>
        <w:t>m</w:t>
      </w:r>
      <w:r w:rsidR="00A51AF6" w:rsidRPr="00BB0361">
        <w:rPr>
          <w:rFonts w:ascii="Constantia" w:eastAsia="Cambria" w:hAnsi="Constantia"/>
          <w:bCs/>
        </w:rPr>
        <w:t xml:space="preserve"> poskytovateľo</w:t>
      </w:r>
      <w:r w:rsidR="00474E0D" w:rsidRPr="00BB0361">
        <w:rPr>
          <w:rFonts w:ascii="Constantia" w:eastAsia="Cambria" w:hAnsi="Constantia"/>
          <w:bCs/>
        </w:rPr>
        <w:t>m</w:t>
      </w:r>
      <w:r w:rsidR="004D5EA5" w:rsidRPr="00BB0361">
        <w:rPr>
          <w:rFonts w:ascii="Constantia" w:eastAsia="Cambria" w:hAnsi="Constantia"/>
          <w:bCs/>
        </w:rPr>
        <w:t xml:space="preserve"> sociálnych </w:t>
      </w:r>
      <w:r w:rsidR="00BB5C38" w:rsidRPr="00BB0361">
        <w:rPr>
          <w:rFonts w:ascii="Constantia" w:eastAsia="Cambria" w:hAnsi="Constantia"/>
          <w:bCs/>
        </w:rPr>
        <w:t>služieb, čo nám zvýšilo platby pre neverejných poskytovateľov sociálnych služieb.</w:t>
      </w:r>
    </w:p>
    <w:p w14:paraId="2CDA4D1C" w14:textId="4CF8185B" w:rsidR="00BB5C38" w:rsidRPr="00BB0361" w:rsidRDefault="00BB5C38" w:rsidP="00117B03">
      <w:pPr>
        <w:pStyle w:val="ListParagraph"/>
        <w:numPr>
          <w:ilvl w:val="0"/>
          <w:numId w:val="39"/>
        </w:numPr>
        <w:jc w:val="both"/>
        <w:rPr>
          <w:rFonts w:ascii="Constantia" w:eastAsia="Cambria" w:hAnsi="Constantia"/>
          <w:bCs/>
        </w:rPr>
      </w:pPr>
      <w:r w:rsidRPr="00BB0361">
        <w:rPr>
          <w:rFonts w:ascii="Constantia" w:eastAsia="Cambria" w:hAnsi="Constantia"/>
          <w:bCs/>
        </w:rPr>
        <w:t xml:space="preserve">Novelou </w:t>
      </w:r>
      <w:r w:rsidR="003A3C9A" w:rsidRPr="00BB0361">
        <w:rPr>
          <w:rFonts w:ascii="Constantia" w:eastAsia="Cambria" w:hAnsi="Constantia"/>
          <w:bCs/>
        </w:rPr>
        <w:t>zákona č. 554/2010 Z. z. o dotáciách v pôsobnosti Ministerstva práce, sociálnych vecí a rodiny Slovenskej republiky</w:t>
      </w:r>
      <w:r w:rsidR="004E0451" w:rsidRPr="00BB0361">
        <w:rPr>
          <w:rFonts w:ascii="Constantia" w:eastAsia="Cambria" w:hAnsi="Constantia"/>
          <w:bCs/>
        </w:rPr>
        <w:t>, ktorá nadobu</w:t>
      </w:r>
      <w:r w:rsidR="0054099A" w:rsidRPr="00BB0361">
        <w:rPr>
          <w:rFonts w:ascii="Constantia" w:eastAsia="Cambria" w:hAnsi="Constantia"/>
          <w:bCs/>
        </w:rPr>
        <w:t xml:space="preserve">dla účinnosť od 1.1.2019, vo veci </w:t>
      </w:r>
      <w:r w:rsidR="00DF6DF8" w:rsidRPr="00BB0361">
        <w:rPr>
          <w:rFonts w:ascii="Constantia" w:eastAsia="Cambria" w:hAnsi="Constantia"/>
          <w:bCs/>
        </w:rPr>
        <w:t xml:space="preserve">podpory </w:t>
      </w:r>
      <w:r w:rsidR="000372B0" w:rsidRPr="00BB0361">
        <w:rPr>
          <w:rFonts w:ascii="Constantia" w:eastAsia="Cambria" w:hAnsi="Constantia"/>
          <w:bCs/>
        </w:rPr>
        <w:t>výchovy</w:t>
      </w:r>
      <w:r w:rsidR="002754DB" w:rsidRPr="00BB0361">
        <w:rPr>
          <w:rFonts w:ascii="Constantia" w:eastAsia="Cambria" w:hAnsi="Constantia"/>
          <w:bCs/>
        </w:rPr>
        <w:t xml:space="preserve"> k stravovacím </w:t>
      </w:r>
      <w:r w:rsidR="00022780" w:rsidRPr="00BB0361">
        <w:rPr>
          <w:rFonts w:ascii="Constantia" w:eastAsia="Cambria" w:hAnsi="Constantia"/>
          <w:bCs/>
        </w:rPr>
        <w:t xml:space="preserve">návykom </w:t>
      </w:r>
      <w:r w:rsidR="002B3B5B" w:rsidRPr="00BB0361">
        <w:rPr>
          <w:rFonts w:ascii="Constantia" w:eastAsia="Cambria" w:hAnsi="Constantia"/>
          <w:bCs/>
        </w:rPr>
        <w:t>di</w:t>
      </w:r>
      <w:r w:rsidR="00846337">
        <w:rPr>
          <w:rFonts w:ascii="Constantia" w:eastAsia="Cambria" w:hAnsi="Constantia"/>
          <w:bCs/>
        </w:rPr>
        <w:t>e</w:t>
      </w:r>
      <w:r w:rsidR="002B3B5B" w:rsidRPr="00BB0361">
        <w:rPr>
          <w:rFonts w:ascii="Constantia" w:eastAsia="Cambria" w:hAnsi="Constantia"/>
          <w:bCs/>
        </w:rPr>
        <w:t>ťaťa</w:t>
      </w:r>
      <w:r w:rsidR="00780EB8" w:rsidRPr="00BB0361">
        <w:rPr>
          <w:rFonts w:ascii="Constantia" w:eastAsia="Cambria" w:hAnsi="Constantia"/>
          <w:bCs/>
        </w:rPr>
        <w:t xml:space="preserve"> tzv. „obedy zadarmo“, vznikol v kuchyniach zabezpečujúcich </w:t>
      </w:r>
      <w:r w:rsidR="007A7A9B" w:rsidRPr="00BB0361">
        <w:rPr>
          <w:rFonts w:ascii="Constantia" w:eastAsia="Cambria" w:hAnsi="Constantia"/>
          <w:bCs/>
        </w:rPr>
        <w:t>stravovanie aj pre žiakov Základných škôl tlak na navýšenie počtu obedov, čím sme boli nútení nakúpiť zariadenia a prijať dodatočnú pracovnú silu na zabezpečenie tejto povinnosti.</w:t>
      </w:r>
    </w:p>
    <w:p w14:paraId="77740DF3" w14:textId="2CFA2B2E" w:rsidR="007A7A9B" w:rsidRPr="00FE3934" w:rsidRDefault="007A7A9B" w:rsidP="007A7A9B">
      <w:pPr>
        <w:pStyle w:val="ListParagraph"/>
        <w:ind w:left="0"/>
        <w:jc w:val="both"/>
        <w:rPr>
          <w:rFonts w:ascii="Constantia" w:eastAsia="Cambria" w:hAnsi="Constantia"/>
          <w:b/>
          <w:highlight w:val="yellow"/>
        </w:rPr>
      </w:pPr>
    </w:p>
    <w:p w14:paraId="6F7BE8C6" w14:textId="3C5ABC53" w:rsidR="008F18DE" w:rsidRPr="00BB0361" w:rsidRDefault="007A7A9B" w:rsidP="00EA7FBF">
      <w:pPr>
        <w:pStyle w:val="ListParagraph"/>
        <w:ind w:left="0"/>
        <w:jc w:val="both"/>
        <w:rPr>
          <w:rFonts w:ascii="Constantia" w:eastAsia="Cambria" w:hAnsi="Constantia"/>
          <w:bCs/>
        </w:rPr>
      </w:pPr>
      <w:r w:rsidRPr="00BB0361">
        <w:rPr>
          <w:rFonts w:ascii="Constantia" w:eastAsia="Cambria" w:hAnsi="Constantia"/>
          <w:bCs/>
        </w:rPr>
        <w:t xml:space="preserve">Plnenie </w:t>
      </w:r>
      <w:r w:rsidR="00D4124A" w:rsidRPr="00BB0361">
        <w:rPr>
          <w:rFonts w:ascii="Constantia" w:eastAsia="Cambria" w:hAnsi="Constantia"/>
          <w:bCs/>
        </w:rPr>
        <w:t xml:space="preserve">povinností z predmetných </w:t>
      </w:r>
      <w:r w:rsidR="00857C02" w:rsidRPr="00BB0361">
        <w:rPr>
          <w:rFonts w:ascii="Constantia" w:eastAsia="Cambria" w:hAnsi="Constantia"/>
          <w:bCs/>
        </w:rPr>
        <w:t>noviel zákonov prinieslo potrebu dodatočného finančného krytia, ktoré kraje zabezpečovali z originálnych príjmov, bez adekvátneho p</w:t>
      </w:r>
      <w:r w:rsidR="00EA7FBF" w:rsidRPr="00BB0361">
        <w:rPr>
          <w:rFonts w:ascii="Constantia" w:eastAsia="Cambria" w:hAnsi="Constantia"/>
          <w:bCs/>
        </w:rPr>
        <w:t>lnenia zo strany štátu.</w:t>
      </w:r>
    </w:p>
    <w:p w14:paraId="7F179EBA" w14:textId="77777777" w:rsidR="00AC7D7E" w:rsidRDefault="00AC7D7E" w:rsidP="00C36036">
      <w:pPr>
        <w:jc w:val="both"/>
        <w:rPr>
          <w:b/>
        </w:rPr>
      </w:pPr>
    </w:p>
    <w:p w14:paraId="5B742448" w14:textId="77777777" w:rsidR="0020472C" w:rsidRDefault="0020472C" w:rsidP="00C36036">
      <w:pPr>
        <w:jc w:val="both"/>
        <w:rPr>
          <w:b/>
        </w:rPr>
      </w:pPr>
    </w:p>
    <w:p w14:paraId="610C9D49" w14:textId="77777777" w:rsidR="0020472C" w:rsidRDefault="0020472C" w:rsidP="00C36036">
      <w:pPr>
        <w:jc w:val="both"/>
        <w:rPr>
          <w:b/>
        </w:rPr>
      </w:pPr>
    </w:p>
    <w:p w14:paraId="55E7CD95" w14:textId="77F7D0D8" w:rsidR="0073119E" w:rsidRDefault="002B507E" w:rsidP="00C36036">
      <w:pPr>
        <w:jc w:val="both"/>
      </w:pPr>
      <w:r w:rsidRPr="004C67F8">
        <w:rPr>
          <w:b/>
        </w:rPr>
        <w:t>Združenie miest a obcí Slovenska</w:t>
      </w:r>
      <w:r w:rsidR="004C67F8" w:rsidRPr="004C67F8">
        <w:rPr>
          <w:b/>
          <w:bCs/>
        </w:rPr>
        <w:t xml:space="preserve"> (ZMOS)</w:t>
      </w:r>
      <w:r w:rsidR="000C4727" w:rsidRPr="004C67F8">
        <w:rPr>
          <w:b/>
          <w:bCs/>
        </w:rPr>
        <w:t>:</w:t>
      </w:r>
      <w:r w:rsidR="0073119E">
        <w:br w:type="page"/>
      </w:r>
      <w:r w:rsidR="7E5E6E5F">
        <w:rPr>
          <w:noProof/>
        </w:rPr>
        <w:lastRenderedPageBreak/>
        <w:drawing>
          <wp:inline distT="0" distB="0" distL="0" distR="0" wp14:anchorId="67AE5428" wp14:editId="66E37E9F">
            <wp:extent cx="5759449" cy="8120380"/>
            <wp:effectExtent l="0" t="0" r="0" b="0"/>
            <wp:docPr id="4524101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62">
                      <a:extLst>
                        <a:ext uri="{28A0092B-C50C-407E-A947-70E740481C1C}">
                          <a14:useLocalDpi xmlns:a14="http://schemas.microsoft.com/office/drawing/2010/main" val="0"/>
                        </a:ext>
                      </a:extLst>
                    </a:blip>
                    <a:stretch>
                      <a:fillRect/>
                    </a:stretch>
                  </pic:blipFill>
                  <pic:spPr>
                    <a:xfrm>
                      <a:off x="0" y="0"/>
                      <a:ext cx="5759449" cy="8120380"/>
                    </a:xfrm>
                    <a:prstGeom prst="rect">
                      <a:avLst/>
                    </a:prstGeom>
                  </pic:spPr>
                </pic:pic>
              </a:graphicData>
            </a:graphic>
          </wp:inline>
        </w:drawing>
      </w:r>
    </w:p>
    <w:p w14:paraId="79D1B088" w14:textId="60F76875" w:rsidR="00BB0EF6" w:rsidRDefault="3C2A95C2" w:rsidP="00C36036">
      <w:pPr>
        <w:jc w:val="both"/>
      </w:pPr>
      <w:r>
        <w:rPr>
          <w:noProof/>
        </w:rPr>
        <w:lastRenderedPageBreak/>
        <w:drawing>
          <wp:inline distT="0" distB="0" distL="0" distR="0" wp14:anchorId="0E6F2A45" wp14:editId="59EE6D85">
            <wp:extent cx="5759449" cy="8141333"/>
            <wp:effectExtent l="0" t="0" r="0" b="0"/>
            <wp:docPr id="12519840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63">
                      <a:extLst>
                        <a:ext uri="{28A0092B-C50C-407E-A947-70E740481C1C}">
                          <a14:useLocalDpi xmlns:a14="http://schemas.microsoft.com/office/drawing/2010/main" val="0"/>
                        </a:ext>
                      </a:extLst>
                    </a:blip>
                    <a:stretch>
                      <a:fillRect/>
                    </a:stretch>
                  </pic:blipFill>
                  <pic:spPr>
                    <a:xfrm>
                      <a:off x="0" y="0"/>
                      <a:ext cx="5759449" cy="8141333"/>
                    </a:xfrm>
                    <a:prstGeom prst="rect">
                      <a:avLst/>
                    </a:prstGeom>
                  </pic:spPr>
                </pic:pic>
              </a:graphicData>
            </a:graphic>
          </wp:inline>
        </w:drawing>
      </w:r>
    </w:p>
    <w:p w14:paraId="4D9CE8E5" w14:textId="7F3D6E8D" w:rsidR="008B016D" w:rsidRDefault="7A50BAF9" w:rsidP="00C36036">
      <w:pPr>
        <w:jc w:val="both"/>
      </w:pPr>
      <w:r>
        <w:rPr>
          <w:noProof/>
        </w:rPr>
        <w:lastRenderedPageBreak/>
        <w:drawing>
          <wp:inline distT="0" distB="0" distL="0" distR="0" wp14:anchorId="72C71852" wp14:editId="7CC3A112">
            <wp:extent cx="5759449" cy="8141333"/>
            <wp:effectExtent l="0" t="0" r="0" b="0"/>
            <wp:docPr id="13114601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64">
                      <a:extLst>
                        <a:ext uri="{28A0092B-C50C-407E-A947-70E740481C1C}">
                          <a14:useLocalDpi xmlns:a14="http://schemas.microsoft.com/office/drawing/2010/main" val="0"/>
                        </a:ext>
                      </a:extLst>
                    </a:blip>
                    <a:stretch>
                      <a:fillRect/>
                    </a:stretch>
                  </pic:blipFill>
                  <pic:spPr>
                    <a:xfrm>
                      <a:off x="0" y="0"/>
                      <a:ext cx="5759449" cy="8141333"/>
                    </a:xfrm>
                    <a:prstGeom prst="rect">
                      <a:avLst/>
                    </a:prstGeom>
                  </pic:spPr>
                </pic:pic>
              </a:graphicData>
            </a:graphic>
          </wp:inline>
        </w:drawing>
      </w:r>
    </w:p>
    <w:p w14:paraId="50312B0D" w14:textId="3AC4E693" w:rsidR="0041621B" w:rsidRDefault="35EF05C1" w:rsidP="00C36036">
      <w:pPr>
        <w:jc w:val="both"/>
      </w:pPr>
      <w:r>
        <w:rPr>
          <w:noProof/>
        </w:rPr>
        <w:lastRenderedPageBreak/>
        <w:drawing>
          <wp:inline distT="0" distB="0" distL="0" distR="0" wp14:anchorId="2ECE5684" wp14:editId="59AD8C69">
            <wp:extent cx="5759449" cy="8141333"/>
            <wp:effectExtent l="0" t="0" r="0" b="0"/>
            <wp:docPr id="6632419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65">
                      <a:extLst>
                        <a:ext uri="{28A0092B-C50C-407E-A947-70E740481C1C}">
                          <a14:useLocalDpi xmlns:a14="http://schemas.microsoft.com/office/drawing/2010/main" val="0"/>
                        </a:ext>
                      </a:extLst>
                    </a:blip>
                    <a:stretch>
                      <a:fillRect/>
                    </a:stretch>
                  </pic:blipFill>
                  <pic:spPr>
                    <a:xfrm>
                      <a:off x="0" y="0"/>
                      <a:ext cx="5759449" cy="8141333"/>
                    </a:xfrm>
                    <a:prstGeom prst="rect">
                      <a:avLst/>
                    </a:prstGeom>
                  </pic:spPr>
                </pic:pic>
              </a:graphicData>
            </a:graphic>
          </wp:inline>
        </w:drawing>
      </w:r>
    </w:p>
    <w:p w14:paraId="280058F2" w14:textId="64D761BA" w:rsidR="001F2B8B" w:rsidRPr="00C806F9" w:rsidRDefault="2AEAB83C" w:rsidP="00C36036">
      <w:pPr>
        <w:jc w:val="both"/>
      </w:pPr>
      <w:r>
        <w:rPr>
          <w:noProof/>
        </w:rPr>
        <w:lastRenderedPageBreak/>
        <w:drawing>
          <wp:inline distT="0" distB="0" distL="0" distR="0" wp14:anchorId="35CCF908" wp14:editId="16B94AA8">
            <wp:extent cx="5759449" cy="8141333"/>
            <wp:effectExtent l="0" t="0" r="0" b="0"/>
            <wp:docPr id="13223889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66">
                      <a:extLst>
                        <a:ext uri="{28A0092B-C50C-407E-A947-70E740481C1C}">
                          <a14:useLocalDpi xmlns:a14="http://schemas.microsoft.com/office/drawing/2010/main" val="0"/>
                        </a:ext>
                      </a:extLst>
                    </a:blip>
                    <a:stretch>
                      <a:fillRect/>
                    </a:stretch>
                  </pic:blipFill>
                  <pic:spPr>
                    <a:xfrm>
                      <a:off x="0" y="0"/>
                      <a:ext cx="5759449" cy="8141333"/>
                    </a:xfrm>
                    <a:prstGeom prst="rect">
                      <a:avLst/>
                    </a:prstGeom>
                  </pic:spPr>
                </pic:pic>
              </a:graphicData>
            </a:graphic>
          </wp:inline>
        </w:drawing>
      </w:r>
    </w:p>
    <w:p w14:paraId="4486D3B6" w14:textId="7F48DDF4" w:rsidR="0073119E" w:rsidRPr="00E63D3A" w:rsidRDefault="0073119E" w:rsidP="0073119E">
      <w:pPr>
        <w:pStyle w:val="Heading1"/>
        <w:spacing w:before="120"/>
      </w:pPr>
      <w:bookmarkStart w:id="997" w:name="_Toc396319188"/>
      <w:bookmarkStart w:id="998" w:name="_Toc428351757"/>
      <w:bookmarkStart w:id="999" w:name="_Toc459208027"/>
      <w:bookmarkStart w:id="1000" w:name="_Toc459275445"/>
      <w:bookmarkStart w:id="1001" w:name="_Toc489954290"/>
      <w:bookmarkStart w:id="1002" w:name="_Toc490143823"/>
      <w:bookmarkStart w:id="1003" w:name="_Toc490642169"/>
      <w:bookmarkStart w:id="1004" w:name="_Toc521678171"/>
      <w:bookmarkStart w:id="1005" w:name="_Toc521679448"/>
      <w:bookmarkStart w:id="1006" w:name="_Toc523390345"/>
      <w:bookmarkStart w:id="1007" w:name="_Toc523390291"/>
      <w:bookmarkStart w:id="1008" w:name="_Toc523391016"/>
      <w:bookmarkStart w:id="1009" w:name="_Toc523391597"/>
      <w:bookmarkStart w:id="1010" w:name="_Toc523392896"/>
      <w:bookmarkStart w:id="1011" w:name="_Toc49506890"/>
      <w:r w:rsidRPr="00E63D3A">
        <w:lastRenderedPageBreak/>
        <w:t>Príloha</w:t>
      </w:r>
      <w:r w:rsidR="00A044A4" w:rsidRPr="00E63D3A">
        <w:t> </w:t>
      </w:r>
      <w:r w:rsidR="009E30CB" w:rsidRPr="00E63D3A">
        <w:t xml:space="preserve">6 </w:t>
      </w:r>
      <w:r w:rsidRPr="00E63D3A">
        <w:t>– Informácia o plnení numerických fiškálnych pravidiel samosprávou</w:t>
      </w:r>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p>
    <w:p w14:paraId="0374D293" w14:textId="77777777" w:rsidR="0073119E" w:rsidRPr="00E63D3A" w:rsidRDefault="0073119E" w:rsidP="0073119E"/>
    <w:p w14:paraId="33BF02A2" w14:textId="465DB83D" w:rsidR="0073119E" w:rsidRPr="00E63D3A" w:rsidRDefault="005A5F9F" w:rsidP="0073119E">
      <w:pPr>
        <w:jc w:val="both"/>
      </w:pPr>
      <w:r w:rsidRPr="00E63D3A">
        <w:t>Zákon</w:t>
      </w:r>
      <w:r w:rsidR="0073119E" w:rsidRPr="00E63D3A">
        <w:t xml:space="preserve"> č. 583/2004 Z. z. o rozpočtových pravidlách územnej samosprávy</w:t>
      </w:r>
      <w:r w:rsidRPr="00E63D3A">
        <w:t xml:space="preserve"> v </w:t>
      </w:r>
      <w:r w:rsidRPr="00E63D3A">
        <w:rPr>
          <w:rFonts w:cs="Tahoma"/>
        </w:rPr>
        <w:t>§ 17</w:t>
      </w:r>
      <w:r w:rsidR="0073119E" w:rsidRPr="00E63D3A">
        <w:t xml:space="preserve"> definuje nasledovné podmienky, kedy obec a vyšší územný celok (VÚC) môžu na plnenie svojich úloh prijať návratné zdroje financovania:</w:t>
      </w:r>
    </w:p>
    <w:p w14:paraId="313C95D7" w14:textId="1C90D40F" w:rsidR="00495613" w:rsidRPr="00E63D3A" w:rsidRDefault="00B95926" w:rsidP="00603057">
      <w:pPr>
        <w:jc w:val="both"/>
        <w:rPr>
          <w:sz w:val="18"/>
        </w:rPr>
      </w:pPr>
      <w:r w:rsidRPr="00E63D3A">
        <w:t xml:space="preserve"> </w:t>
      </w:r>
    </w:p>
    <w:p w14:paraId="14177C6C" w14:textId="11629897" w:rsidR="00603057" w:rsidRPr="00E63D3A" w:rsidRDefault="00603057" w:rsidP="001B451E">
      <w:pPr>
        <w:pStyle w:val="ListParagraph"/>
        <w:numPr>
          <w:ilvl w:val="0"/>
          <w:numId w:val="7"/>
        </w:numPr>
        <w:spacing w:after="0" w:line="240" w:lineRule="auto"/>
        <w:ind w:left="714" w:hanging="357"/>
        <w:jc w:val="both"/>
        <w:rPr>
          <w:rFonts w:ascii="Constantia" w:eastAsia="Times New Roman" w:hAnsi="Constantia" w:cs="Tahoma"/>
          <w:lang w:eastAsia="sk-SK"/>
        </w:rPr>
      </w:pPr>
      <w:bookmarkStart w:id="1012" w:name="f_4654206"/>
      <w:bookmarkEnd w:id="1012"/>
      <w:r w:rsidRPr="00E63D3A">
        <w:rPr>
          <w:rFonts w:ascii="Constantia" w:hAnsi="Constantia"/>
          <w:lang w:eastAsia="sk-SK"/>
        </w:rPr>
        <w:t>ak celková suma dlhu</w:t>
      </w:r>
      <w:r w:rsidR="00785852" w:rsidRPr="00E63D3A">
        <w:rPr>
          <w:rStyle w:val="FootnoteReference"/>
          <w:rFonts w:ascii="Constantia" w:hAnsi="Constantia"/>
          <w:lang w:eastAsia="sk-SK"/>
        </w:rPr>
        <w:footnoteReference w:id="108"/>
      </w:r>
      <w:r w:rsidRPr="00E63D3A">
        <w:rPr>
          <w:rFonts w:ascii="Constantia" w:hAnsi="Constantia"/>
          <w:lang w:eastAsia="sk-SK"/>
        </w:rPr>
        <w:t xml:space="preserve"> obce alebo VÚC neprekročí 60 % skutočných bežných príjmov predchádzajúceho rozpočtového roka a</w:t>
      </w:r>
      <w:bookmarkStart w:id="1013" w:name="f_4654207"/>
      <w:bookmarkEnd w:id="1013"/>
    </w:p>
    <w:p w14:paraId="640CED96" w14:textId="3C5E7951" w:rsidR="00603057" w:rsidRPr="00E63D3A" w:rsidRDefault="00603057" w:rsidP="001B451E">
      <w:pPr>
        <w:pStyle w:val="ListParagraph"/>
        <w:numPr>
          <w:ilvl w:val="0"/>
          <w:numId w:val="7"/>
        </w:numPr>
        <w:spacing w:after="0" w:line="240" w:lineRule="auto"/>
        <w:jc w:val="both"/>
        <w:rPr>
          <w:rFonts w:ascii="Constantia" w:eastAsia="Times New Roman" w:hAnsi="Constantia" w:cs="Tahoma"/>
          <w:lang w:eastAsia="sk-SK"/>
        </w:rPr>
      </w:pPr>
      <w:r w:rsidRPr="00E63D3A">
        <w:rPr>
          <w:rFonts w:ascii="Constantia" w:eastAsia="Times New Roman" w:hAnsi="Constantia" w:cs="Tahoma"/>
          <w:lang w:eastAsia="sk-SK"/>
        </w:rPr>
        <w:t>ak suma splátok návratných zdrojov financovania vrátane úhrady výnosov neprekročí 25</w:t>
      </w:r>
      <w:r w:rsidR="00FA1793" w:rsidRPr="00E63D3A">
        <w:rPr>
          <w:rFonts w:ascii="Constantia" w:eastAsia="Times New Roman" w:hAnsi="Constantia" w:cs="Tahoma"/>
          <w:lang w:eastAsia="sk-SK"/>
        </w:rPr>
        <w:t> </w:t>
      </w:r>
      <w:r w:rsidRPr="00E63D3A">
        <w:rPr>
          <w:rFonts w:ascii="Constantia" w:eastAsia="Times New Roman" w:hAnsi="Constantia" w:cs="Tahoma"/>
          <w:lang w:eastAsia="sk-SK"/>
        </w:rPr>
        <w:t>% skutočných bežných príjmov predchádzajúceho rozpočtového roka</w:t>
      </w:r>
      <w:r w:rsidR="00152AF9" w:rsidRPr="00E63D3A">
        <w:rPr>
          <w:rFonts w:ascii="Constantia" w:eastAsia="Times New Roman" w:hAnsi="Constantia" w:cs="Tahoma"/>
          <w:lang w:eastAsia="sk-SK"/>
        </w:rPr>
        <w:t xml:space="preserve"> znížených o</w:t>
      </w:r>
      <w:r w:rsidR="00FA1793" w:rsidRPr="00E63D3A">
        <w:rPr>
          <w:rFonts w:ascii="Constantia" w:eastAsia="Times New Roman" w:hAnsi="Constantia" w:cs="Tahoma"/>
          <w:lang w:eastAsia="sk-SK"/>
        </w:rPr>
        <w:t> </w:t>
      </w:r>
      <w:r w:rsidR="00152AF9" w:rsidRPr="00E63D3A">
        <w:rPr>
          <w:rFonts w:ascii="Constantia" w:eastAsia="Times New Roman" w:hAnsi="Constantia" w:cs="Tahoma"/>
          <w:lang w:eastAsia="sk-SK"/>
        </w:rPr>
        <w:t>prostriedky poskytnuté z rozpočtu iného subjektu verejnej správy, prostriedky poskytnuté z Európskej únie a iné prostriedky zo zahraničia alebo prostriedky získané na základe osobitného predpisu</w:t>
      </w:r>
      <w:r w:rsidRPr="00E63D3A">
        <w:rPr>
          <w:rFonts w:ascii="Constantia" w:eastAsia="Times New Roman" w:hAnsi="Constantia" w:cs="Tahoma"/>
          <w:lang w:eastAsia="sk-SK"/>
        </w:rPr>
        <w:t>.</w:t>
      </w:r>
    </w:p>
    <w:p w14:paraId="45F04746" w14:textId="63C45081" w:rsidR="00495613" w:rsidRPr="00E63D3A" w:rsidRDefault="00B95926" w:rsidP="00603057">
      <w:pPr>
        <w:jc w:val="both"/>
      </w:pPr>
      <w:r w:rsidRPr="00E63D3A">
        <w:t xml:space="preserve"> </w:t>
      </w:r>
    </w:p>
    <w:p w14:paraId="199C5AE1" w14:textId="77777777" w:rsidR="008D38B0" w:rsidRPr="00E63D3A" w:rsidRDefault="00603057" w:rsidP="00603057">
      <w:pPr>
        <w:jc w:val="both"/>
        <w:rPr>
          <w:rFonts w:cs="Tahoma"/>
        </w:rPr>
      </w:pPr>
      <w:r w:rsidRPr="00E63D3A">
        <w:rPr>
          <w:rFonts w:cs="Tahoma"/>
        </w:rPr>
        <w:t xml:space="preserve">Naviazaním oboch pravidiel na skutočné bežné príjmy sa </w:t>
      </w:r>
      <w:r w:rsidR="00C043E9" w:rsidRPr="00E63D3A">
        <w:rPr>
          <w:rFonts w:cs="Tahoma"/>
        </w:rPr>
        <w:t>sledovalo, aby obce</w:t>
      </w:r>
      <w:r w:rsidRPr="00E63D3A">
        <w:rPr>
          <w:rFonts w:cs="Tahoma"/>
        </w:rPr>
        <w:t xml:space="preserve"> a VÚ</w:t>
      </w:r>
      <w:r w:rsidR="005F0487" w:rsidRPr="00E63D3A">
        <w:rPr>
          <w:rFonts w:cs="Tahoma"/>
        </w:rPr>
        <w:t xml:space="preserve">C boli schopné svoje záväzky </w:t>
      </w:r>
      <w:r w:rsidRPr="00E63D3A">
        <w:rPr>
          <w:rFonts w:cs="Tahoma"/>
        </w:rPr>
        <w:t>reálne pokryť</w:t>
      </w:r>
      <w:r w:rsidR="000F2D9A" w:rsidRPr="00E63D3A">
        <w:rPr>
          <w:rFonts w:cs="Tahoma"/>
        </w:rPr>
        <w:t xml:space="preserve"> svojou bežnou prevádzkou</w:t>
      </w:r>
      <w:r w:rsidRPr="00E63D3A">
        <w:rPr>
          <w:rFonts w:cs="Tahoma"/>
        </w:rPr>
        <w:t>.</w:t>
      </w:r>
    </w:p>
    <w:p w14:paraId="0FEBAE70" w14:textId="77777777" w:rsidR="008D38B0" w:rsidRPr="00E63D3A" w:rsidRDefault="008D38B0" w:rsidP="00603057">
      <w:pPr>
        <w:jc w:val="both"/>
        <w:rPr>
          <w:rFonts w:cs="Tahoma"/>
        </w:rPr>
      </w:pPr>
    </w:p>
    <w:p w14:paraId="21E2236A" w14:textId="2E76DE4F" w:rsidR="00603057" w:rsidRPr="00E63D3A" w:rsidRDefault="00315D5B" w:rsidP="00603057">
      <w:pPr>
        <w:jc w:val="both"/>
        <w:rPr>
          <w:rFonts w:cs="Tahoma"/>
        </w:rPr>
      </w:pPr>
      <w:r w:rsidRPr="00E63D3A">
        <w:rPr>
          <w:rFonts w:cs="Tahoma"/>
        </w:rPr>
        <w:t>Dl</w:t>
      </w:r>
      <w:r w:rsidR="003A3C5F" w:rsidRPr="00E63D3A">
        <w:rPr>
          <w:rFonts w:cs="Tahoma"/>
        </w:rPr>
        <w:t>hov</w:t>
      </w:r>
      <w:r w:rsidR="009F1102" w:rsidRPr="00E63D3A">
        <w:rPr>
          <w:rFonts w:cs="Tahoma"/>
        </w:rPr>
        <w:t>ý</w:t>
      </w:r>
      <w:r w:rsidR="003A3C5F" w:rsidRPr="00E63D3A">
        <w:rPr>
          <w:rFonts w:cs="Tahoma"/>
        </w:rPr>
        <w:t xml:space="preserve"> </w:t>
      </w:r>
      <w:r w:rsidR="009F1102" w:rsidRPr="00E63D3A">
        <w:rPr>
          <w:rFonts w:cs="Tahoma"/>
        </w:rPr>
        <w:t>limit</w:t>
      </w:r>
      <w:r w:rsidR="003A3C5F" w:rsidRPr="00E63D3A">
        <w:rPr>
          <w:rFonts w:cs="Tahoma"/>
        </w:rPr>
        <w:t xml:space="preserve"> pre samosprávy </w:t>
      </w:r>
      <w:r w:rsidR="009F1102" w:rsidRPr="00E63D3A">
        <w:rPr>
          <w:rFonts w:cs="Tahoma"/>
        </w:rPr>
        <w:t xml:space="preserve">na úrovni 60 % </w:t>
      </w:r>
      <w:r w:rsidR="003A3C5F" w:rsidRPr="00E63D3A">
        <w:rPr>
          <w:rFonts w:cs="Tahoma"/>
        </w:rPr>
        <w:t xml:space="preserve">je </w:t>
      </w:r>
      <w:r w:rsidR="006F02DA" w:rsidRPr="00E63D3A">
        <w:rPr>
          <w:rFonts w:cs="Tahoma"/>
        </w:rPr>
        <w:t xml:space="preserve">výrazne </w:t>
      </w:r>
      <w:r w:rsidR="00F32131" w:rsidRPr="00E63D3A">
        <w:rPr>
          <w:rFonts w:cs="Tahoma"/>
        </w:rPr>
        <w:t>prísnejš</w:t>
      </w:r>
      <w:r w:rsidR="009F1102" w:rsidRPr="00E63D3A">
        <w:rPr>
          <w:rFonts w:cs="Tahoma"/>
        </w:rPr>
        <w:t>í</w:t>
      </w:r>
      <w:r w:rsidRPr="00E63D3A">
        <w:rPr>
          <w:rFonts w:cs="Tahoma"/>
        </w:rPr>
        <w:t xml:space="preserve"> ako dlhový limit verejnej správy</w:t>
      </w:r>
      <w:r w:rsidR="009E1CBE" w:rsidRPr="00E63D3A">
        <w:rPr>
          <w:rFonts w:cs="Tahoma"/>
        </w:rPr>
        <w:t xml:space="preserve"> (</w:t>
      </w:r>
      <w:r w:rsidR="009F1102" w:rsidRPr="00E63D3A">
        <w:rPr>
          <w:rFonts w:cs="Tahoma"/>
        </w:rPr>
        <w:t>tzv.</w:t>
      </w:r>
      <w:r w:rsidR="009E1CBE" w:rsidRPr="00E63D3A">
        <w:rPr>
          <w:rFonts w:cs="Tahoma"/>
        </w:rPr>
        <w:t> </w:t>
      </w:r>
      <w:r w:rsidR="009F1102" w:rsidRPr="00E63D3A">
        <w:rPr>
          <w:rFonts w:cs="Tahoma"/>
        </w:rPr>
        <w:t>dlhová brzda</w:t>
      </w:r>
      <w:r w:rsidR="009E1CBE" w:rsidRPr="00E63D3A">
        <w:rPr>
          <w:rFonts w:cs="Tahoma"/>
        </w:rPr>
        <w:t>)</w:t>
      </w:r>
      <w:r w:rsidR="009F1102" w:rsidRPr="00E63D3A">
        <w:rPr>
          <w:rFonts w:cs="Tahoma"/>
        </w:rPr>
        <w:t xml:space="preserve"> na úrovni 5</w:t>
      </w:r>
      <w:r w:rsidR="002F68EB" w:rsidRPr="00E63D3A">
        <w:rPr>
          <w:rFonts w:cs="Tahoma"/>
        </w:rPr>
        <w:t>8</w:t>
      </w:r>
      <w:r w:rsidR="009F1102" w:rsidRPr="00E63D3A">
        <w:rPr>
          <w:rFonts w:cs="Tahoma"/>
        </w:rPr>
        <w:t> % v roku 201</w:t>
      </w:r>
      <w:r w:rsidR="002F68EB" w:rsidRPr="00E63D3A">
        <w:rPr>
          <w:rFonts w:cs="Tahoma"/>
        </w:rPr>
        <w:t>9</w:t>
      </w:r>
      <w:r w:rsidR="009F1102" w:rsidRPr="00E63D3A">
        <w:rPr>
          <w:rFonts w:cs="Tahoma"/>
        </w:rPr>
        <w:t>. Dôvodom je, že</w:t>
      </w:r>
      <w:r w:rsidRPr="00E63D3A">
        <w:rPr>
          <w:rFonts w:cs="Tahoma"/>
        </w:rPr>
        <w:t xml:space="preserve"> </w:t>
      </w:r>
      <w:r w:rsidR="00544BF7" w:rsidRPr="00E63D3A">
        <w:rPr>
          <w:rFonts w:cs="Tahoma"/>
        </w:rPr>
        <w:t>d</w:t>
      </w:r>
      <w:r w:rsidRPr="00E63D3A">
        <w:rPr>
          <w:rFonts w:cs="Tahoma"/>
        </w:rPr>
        <w:t>lh verejnej spr</w:t>
      </w:r>
      <w:r w:rsidR="00316D4B" w:rsidRPr="00E63D3A">
        <w:rPr>
          <w:rFonts w:cs="Tahoma"/>
        </w:rPr>
        <w:t>ávy sa </w:t>
      </w:r>
      <w:r w:rsidR="006B04FC" w:rsidRPr="00E63D3A">
        <w:rPr>
          <w:rFonts w:cs="Tahoma"/>
        </w:rPr>
        <w:t>vyjadruje v</w:t>
      </w:r>
      <w:r w:rsidR="00F404EC" w:rsidRPr="00E63D3A">
        <w:rPr>
          <w:rFonts w:cs="Tahoma"/>
        </w:rPr>
        <w:t xml:space="preserve"> pomere</w:t>
      </w:r>
      <w:r w:rsidRPr="00E63D3A">
        <w:rPr>
          <w:rFonts w:cs="Tahoma"/>
        </w:rPr>
        <w:t xml:space="preserve"> </w:t>
      </w:r>
      <w:r w:rsidR="006B04FC" w:rsidRPr="00E63D3A">
        <w:rPr>
          <w:rFonts w:cs="Tahoma"/>
        </w:rPr>
        <w:t>k </w:t>
      </w:r>
      <w:r w:rsidRPr="00E63D3A">
        <w:rPr>
          <w:rFonts w:cs="Tahoma"/>
        </w:rPr>
        <w:t>výkon</w:t>
      </w:r>
      <w:r w:rsidR="006B04FC" w:rsidRPr="00E63D3A">
        <w:rPr>
          <w:rFonts w:cs="Tahoma"/>
        </w:rPr>
        <w:t>u</w:t>
      </w:r>
      <w:r w:rsidRPr="00E63D3A">
        <w:rPr>
          <w:rFonts w:cs="Tahoma"/>
        </w:rPr>
        <w:t xml:space="preserve"> ekonomiky a nie </w:t>
      </w:r>
      <w:r w:rsidR="006B04FC" w:rsidRPr="00E63D3A">
        <w:rPr>
          <w:rFonts w:cs="Tahoma"/>
        </w:rPr>
        <w:t>ku</w:t>
      </w:r>
      <w:r w:rsidRPr="00E63D3A">
        <w:rPr>
          <w:rFonts w:cs="Tahoma"/>
        </w:rPr>
        <w:t xml:space="preserve"> skutočným bežným príjm</w:t>
      </w:r>
      <w:r w:rsidR="006B04FC" w:rsidRPr="00E63D3A">
        <w:rPr>
          <w:rFonts w:cs="Tahoma"/>
        </w:rPr>
        <w:t>o</w:t>
      </w:r>
      <w:r w:rsidRPr="00E63D3A">
        <w:rPr>
          <w:rFonts w:cs="Tahoma"/>
        </w:rPr>
        <w:t>m.</w:t>
      </w:r>
    </w:p>
    <w:p w14:paraId="7B75621C" w14:textId="0C8F799B" w:rsidR="00603057" w:rsidRPr="00E63D3A" w:rsidRDefault="00603057" w:rsidP="00603057">
      <w:pPr>
        <w:jc w:val="both"/>
        <w:rPr>
          <w:szCs w:val="22"/>
        </w:rPr>
      </w:pPr>
    </w:p>
    <w:p w14:paraId="7E2406CA" w14:textId="7EB7DDD5" w:rsidR="005A5F9F" w:rsidRPr="00E63D3A" w:rsidRDefault="005A5F9F" w:rsidP="005A5F9F">
      <w:pPr>
        <w:jc w:val="both"/>
      </w:pPr>
      <w:r w:rsidRPr="00E63D3A">
        <w:t>Ústavný zákon č. 493/2011 Z. z. o rozpočtovej zodpovednosti v odseku 3 článku 6 definuje pokutu</w:t>
      </w:r>
      <w:r w:rsidRPr="00E63D3A">
        <w:rPr>
          <w:rStyle w:val="FootnoteReference"/>
        </w:rPr>
        <w:footnoteReference w:id="109"/>
      </w:r>
      <w:r w:rsidRPr="00E63D3A">
        <w:t xml:space="preserve"> za prekročenie dlhového pravidla platného pre územn</w:t>
      </w:r>
      <w:r w:rsidR="007B2513" w:rsidRPr="00E63D3A">
        <w:t>é samosprávy s účinnosťou od</w:t>
      </w:r>
      <w:r w:rsidR="004360AB" w:rsidRPr="00E63D3A">
        <w:t> </w:t>
      </w:r>
      <w:r w:rsidR="00F615B1" w:rsidRPr="00E63D3A">
        <w:t>roku</w:t>
      </w:r>
      <w:r w:rsidR="007B2513" w:rsidRPr="00E63D3A">
        <w:t> </w:t>
      </w:r>
      <w:r w:rsidRPr="00E63D3A">
        <w:t>2015. Spôsob výpočtu pokuty vymedzila novela zákona o rozpočtových pravidlách územnej samospráv</w:t>
      </w:r>
      <w:r w:rsidR="00A64ECE" w:rsidRPr="00E63D3A">
        <w:t>y</w:t>
      </w:r>
      <w:r w:rsidRPr="00E63D3A">
        <w:t>:</w:t>
      </w:r>
    </w:p>
    <w:p w14:paraId="5C750283" w14:textId="20162AEE" w:rsidR="00310081" w:rsidRPr="00E63D3A" w:rsidRDefault="00310081" w:rsidP="005A5F9F">
      <w:pPr>
        <w:jc w:val="both"/>
        <w:rPr>
          <w:sz w:val="12"/>
        </w:rPr>
      </w:pPr>
    </w:p>
    <w:p w14:paraId="47257F6C" w14:textId="77777777" w:rsidR="005A5F9F" w:rsidRPr="00E63D3A" w:rsidRDefault="005A5F9F" w:rsidP="001B451E">
      <w:pPr>
        <w:pStyle w:val="ListParagraph"/>
        <w:numPr>
          <w:ilvl w:val="0"/>
          <w:numId w:val="9"/>
        </w:numPr>
        <w:spacing w:line="240" w:lineRule="auto"/>
        <w:ind w:left="714" w:hanging="357"/>
        <w:jc w:val="both"/>
        <w:rPr>
          <w:rFonts w:ascii="Constantia" w:hAnsi="Constantia"/>
        </w:rPr>
      </w:pPr>
      <w:r w:rsidRPr="00E63D3A">
        <w:rPr>
          <w:rFonts w:ascii="Constantia" w:hAnsi="Constantia"/>
        </w:rPr>
        <w:t>Do sumy dlhu na účely výpočtu pokuty sa nezapočítavajú záväzky z prijatia návratných zdrojov financovania na krytie záväzkov po lehote splatnosti a záväzky obce alebo vyššieho územného celku v nútenej správe.</w:t>
      </w:r>
    </w:p>
    <w:p w14:paraId="04963ECF" w14:textId="47F87A99" w:rsidR="005A5F9F" w:rsidRPr="00E63D3A" w:rsidRDefault="005A5F9F" w:rsidP="001B451E">
      <w:pPr>
        <w:pStyle w:val="ListParagraph"/>
        <w:numPr>
          <w:ilvl w:val="0"/>
          <w:numId w:val="9"/>
        </w:numPr>
        <w:spacing w:line="240" w:lineRule="auto"/>
        <w:ind w:left="714" w:hanging="357"/>
        <w:jc w:val="both"/>
        <w:rPr>
          <w:rFonts w:ascii="Constantia" w:hAnsi="Constantia"/>
        </w:rPr>
      </w:pPr>
      <w:r w:rsidRPr="00E63D3A">
        <w:rPr>
          <w:rFonts w:ascii="Constantia" w:hAnsi="Constantia"/>
        </w:rPr>
        <w:t>Pokuta sa opakovane uloží iba pri medziročnom ná</w:t>
      </w:r>
      <w:r w:rsidR="00316D4B" w:rsidRPr="00E63D3A">
        <w:rPr>
          <w:rFonts w:ascii="Constantia" w:hAnsi="Constantia"/>
        </w:rPr>
        <w:t>raste podielu dlhu vo výške 5 % </w:t>
      </w:r>
      <w:r w:rsidRPr="00E63D3A">
        <w:rPr>
          <w:rFonts w:ascii="Constantia" w:hAnsi="Constantia"/>
        </w:rPr>
        <w:t>z tohto medziročného nárastu</w:t>
      </w:r>
      <w:r w:rsidR="0096086C" w:rsidRPr="00E63D3A">
        <w:rPr>
          <w:rFonts w:ascii="Constantia" w:hAnsi="Constantia"/>
        </w:rPr>
        <w:t>.</w:t>
      </w:r>
    </w:p>
    <w:p w14:paraId="12F4463F" w14:textId="77777777" w:rsidR="005A5F9F" w:rsidRPr="00E63D3A" w:rsidRDefault="005A5F9F" w:rsidP="001B451E">
      <w:pPr>
        <w:pStyle w:val="ListParagraph"/>
        <w:numPr>
          <w:ilvl w:val="0"/>
          <w:numId w:val="9"/>
        </w:numPr>
        <w:spacing w:line="240" w:lineRule="auto"/>
        <w:ind w:left="714" w:hanging="357"/>
        <w:jc w:val="both"/>
        <w:rPr>
          <w:rFonts w:ascii="Constantia" w:hAnsi="Constantia"/>
        </w:rPr>
      </w:pPr>
      <w:r w:rsidRPr="00E63D3A">
        <w:rPr>
          <w:rFonts w:ascii="Constantia" w:hAnsi="Constantia"/>
        </w:rPr>
        <w:t>Pokuta sa neukladá, ak nepresiahne sumu 40 eur.</w:t>
      </w:r>
    </w:p>
    <w:p w14:paraId="097B4986" w14:textId="26453FA8" w:rsidR="005A5F9F" w:rsidRPr="00E63D3A" w:rsidRDefault="005A5F9F" w:rsidP="00603057">
      <w:pPr>
        <w:jc w:val="both"/>
        <w:rPr>
          <w:szCs w:val="22"/>
        </w:rPr>
      </w:pPr>
      <w:r w:rsidRPr="00E63D3A">
        <w:rPr>
          <w:szCs w:val="22"/>
        </w:rPr>
        <w:t>Vyhodnotenie plnenia limitu dlhu s </w:t>
      </w:r>
      <w:r w:rsidR="0070781F" w:rsidRPr="00E63D3A">
        <w:rPr>
          <w:szCs w:val="22"/>
        </w:rPr>
        <w:t>uložením</w:t>
      </w:r>
      <w:r w:rsidRPr="00E63D3A">
        <w:rPr>
          <w:szCs w:val="22"/>
        </w:rPr>
        <w:t xml:space="preserve"> pokuty sa prvýkrát </w:t>
      </w:r>
      <w:r w:rsidR="00B12861" w:rsidRPr="00E63D3A">
        <w:rPr>
          <w:szCs w:val="22"/>
        </w:rPr>
        <w:t>realiz</w:t>
      </w:r>
      <w:r w:rsidR="00AF30C4" w:rsidRPr="00E63D3A">
        <w:rPr>
          <w:szCs w:val="22"/>
        </w:rPr>
        <w:t>ovalo</w:t>
      </w:r>
      <w:r w:rsidR="00B12861" w:rsidRPr="00E63D3A">
        <w:rPr>
          <w:szCs w:val="22"/>
        </w:rPr>
        <w:t xml:space="preserve"> </w:t>
      </w:r>
      <w:r w:rsidR="009B44E0" w:rsidRPr="00E63D3A">
        <w:rPr>
          <w:szCs w:val="22"/>
        </w:rPr>
        <w:t xml:space="preserve">v roku 2016 </w:t>
      </w:r>
      <w:r w:rsidRPr="00E63D3A">
        <w:rPr>
          <w:szCs w:val="22"/>
        </w:rPr>
        <w:t xml:space="preserve">na základe skutočnej výšky dlhu ku koncu roku 2015. </w:t>
      </w:r>
      <w:r w:rsidR="00AE7EDE" w:rsidRPr="00E63D3A">
        <w:rPr>
          <w:szCs w:val="22"/>
        </w:rPr>
        <w:t>V</w:t>
      </w:r>
      <w:r w:rsidR="009E26D0" w:rsidRPr="00E63D3A">
        <w:rPr>
          <w:szCs w:val="22"/>
        </w:rPr>
        <w:t>yhodnotenie a u</w:t>
      </w:r>
      <w:r w:rsidR="0070781F" w:rsidRPr="00E63D3A">
        <w:rPr>
          <w:szCs w:val="22"/>
        </w:rPr>
        <w:t>lože</w:t>
      </w:r>
      <w:r w:rsidR="00316D4B" w:rsidRPr="00E63D3A">
        <w:rPr>
          <w:szCs w:val="22"/>
        </w:rPr>
        <w:t>nie pokuty v správnom konaní je </w:t>
      </w:r>
      <w:r w:rsidR="00AE7EDE" w:rsidRPr="00E63D3A">
        <w:rPr>
          <w:szCs w:val="22"/>
        </w:rPr>
        <w:t>kompetenciou</w:t>
      </w:r>
      <w:r w:rsidR="009E26D0" w:rsidRPr="00E63D3A">
        <w:rPr>
          <w:szCs w:val="22"/>
        </w:rPr>
        <w:t xml:space="preserve"> ministerstv</w:t>
      </w:r>
      <w:r w:rsidR="00AE7EDE" w:rsidRPr="00E63D3A">
        <w:rPr>
          <w:szCs w:val="22"/>
        </w:rPr>
        <w:t>a</w:t>
      </w:r>
      <w:r w:rsidR="009E26D0" w:rsidRPr="00E63D3A">
        <w:rPr>
          <w:szCs w:val="22"/>
        </w:rPr>
        <w:t xml:space="preserve"> financií.</w:t>
      </w:r>
    </w:p>
    <w:p w14:paraId="72A1E16E" w14:textId="77777777" w:rsidR="00EC0491" w:rsidRPr="00E63D3A" w:rsidRDefault="00EC0491" w:rsidP="00603057">
      <w:pPr>
        <w:jc w:val="both"/>
      </w:pPr>
    </w:p>
    <w:p w14:paraId="10EA15C7" w14:textId="1A0B0FE3" w:rsidR="00EF621B" w:rsidRPr="00E63D3A" w:rsidRDefault="005A5F9F" w:rsidP="00603057">
      <w:pPr>
        <w:jc w:val="both"/>
      </w:pPr>
      <w:r w:rsidRPr="00E63D3A">
        <w:t>Na</w:t>
      </w:r>
      <w:r w:rsidR="00603057" w:rsidRPr="00E63D3A">
        <w:t xml:space="preserve"> ilustráciu súčasného stavu </w:t>
      </w:r>
      <w:r w:rsidRPr="00E63D3A">
        <w:t xml:space="preserve">plnenia pravidiel </w:t>
      </w:r>
      <w:r w:rsidR="00603057" w:rsidRPr="00E63D3A">
        <w:t xml:space="preserve">obsahuje </w:t>
      </w:r>
      <w:r w:rsidRPr="00E63D3A">
        <w:t xml:space="preserve">príloha </w:t>
      </w:r>
      <w:r w:rsidR="00603057" w:rsidRPr="00E63D3A">
        <w:t xml:space="preserve">prehľad </w:t>
      </w:r>
      <w:r w:rsidR="003778CD" w:rsidRPr="00E63D3A">
        <w:t>zákonom defin</w:t>
      </w:r>
      <w:r w:rsidR="000A45BF" w:rsidRPr="00E63D3A">
        <w:t>ovaných pomerových ukazovateľov</w:t>
      </w:r>
      <w:r w:rsidR="00603057" w:rsidRPr="00E63D3A">
        <w:t xml:space="preserve"> </w:t>
      </w:r>
      <w:r w:rsidR="003778CD" w:rsidRPr="00E63D3A">
        <w:t>VÚC</w:t>
      </w:r>
      <w:r w:rsidR="0037688A" w:rsidRPr="00E63D3A">
        <w:t xml:space="preserve"> a</w:t>
      </w:r>
      <w:r w:rsidR="000A45BF" w:rsidRPr="00E63D3A">
        <w:t xml:space="preserve"> obcí</w:t>
      </w:r>
      <w:r w:rsidR="00603057" w:rsidRPr="00E63D3A">
        <w:t>.</w:t>
      </w:r>
      <w:r w:rsidRPr="00E63D3A">
        <w:t xml:space="preserve"> N</w:t>
      </w:r>
      <w:r w:rsidR="00EF621B" w:rsidRPr="00E63D3A">
        <w:t>asledujúce numerické hodnoty sú</w:t>
      </w:r>
      <w:r w:rsidR="004360AB" w:rsidRPr="00E63D3A">
        <w:t> </w:t>
      </w:r>
      <w:r w:rsidR="00943BD6" w:rsidRPr="00E63D3A">
        <w:t xml:space="preserve">predbežným </w:t>
      </w:r>
      <w:r w:rsidR="00EF621B" w:rsidRPr="00E63D3A">
        <w:t xml:space="preserve">vyhodnotením roku </w:t>
      </w:r>
      <w:r w:rsidR="00CC5870" w:rsidRPr="00E63D3A">
        <w:t>201</w:t>
      </w:r>
      <w:r w:rsidR="002F68EB" w:rsidRPr="00E63D3A">
        <w:t>9</w:t>
      </w:r>
      <w:r w:rsidR="00AD3D30" w:rsidRPr="00E63D3A">
        <w:t xml:space="preserve"> na základe vykázaných hodnôt</w:t>
      </w:r>
      <w:r w:rsidR="004C62D5" w:rsidRPr="00E63D3A">
        <w:t>.</w:t>
      </w:r>
    </w:p>
    <w:p w14:paraId="0F18AFB7" w14:textId="1DD6CFBD" w:rsidR="00EF621B" w:rsidRPr="00E63D3A" w:rsidRDefault="00EF621B" w:rsidP="00603057">
      <w:pPr>
        <w:jc w:val="both"/>
      </w:pPr>
    </w:p>
    <w:p w14:paraId="59256072" w14:textId="21320E0A" w:rsidR="00603057" w:rsidRPr="00E63D3A" w:rsidRDefault="00603057" w:rsidP="00603057">
      <w:pPr>
        <w:jc w:val="both"/>
        <w:rPr>
          <w:b/>
          <w:color w:val="58595B"/>
          <w:sz w:val="24"/>
          <w:szCs w:val="24"/>
        </w:rPr>
      </w:pPr>
      <w:r w:rsidRPr="00E63D3A">
        <w:rPr>
          <w:b/>
          <w:color w:val="58595B"/>
          <w:sz w:val="24"/>
          <w:szCs w:val="24"/>
        </w:rPr>
        <w:t>Vyššie územné celky</w:t>
      </w:r>
    </w:p>
    <w:p w14:paraId="09F1ED87" w14:textId="77777777" w:rsidR="00603057" w:rsidRPr="00E63D3A" w:rsidRDefault="00603057" w:rsidP="00603057">
      <w:pPr>
        <w:jc w:val="both"/>
        <w:rPr>
          <w:sz w:val="18"/>
        </w:rPr>
      </w:pPr>
    </w:p>
    <w:p w14:paraId="6B889ECB" w14:textId="1B442422" w:rsidR="00763F28" w:rsidRPr="00E63D3A" w:rsidRDefault="00714CCF" w:rsidP="007C6144">
      <w:pPr>
        <w:jc w:val="both"/>
      </w:pPr>
      <w:r w:rsidRPr="00E63D3A">
        <w:t>Celkov</w:t>
      </w:r>
      <w:r w:rsidR="00980CEC" w:rsidRPr="00E63D3A">
        <w:t>á suma dlhu</w:t>
      </w:r>
      <w:r w:rsidR="00603057" w:rsidRPr="00E63D3A">
        <w:t xml:space="preserve"> VÚC </w:t>
      </w:r>
      <w:r w:rsidR="00EF621B" w:rsidRPr="00E63D3A">
        <w:t>dosiahl</w:t>
      </w:r>
      <w:r w:rsidR="00980CEC" w:rsidRPr="00E63D3A">
        <w:t>a</w:t>
      </w:r>
      <w:r w:rsidR="00EF621B" w:rsidRPr="00E63D3A">
        <w:t xml:space="preserve"> ku koncu roka </w:t>
      </w:r>
      <w:r w:rsidR="00D326AD" w:rsidRPr="00E63D3A">
        <w:t>201</w:t>
      </w:r>
      <w:r w:rsidR="002F68EB" w:rsidRPr="00E63D3A">
        <w:t>9</w:t>
      </w:r>
      <w:r w:rsidR="00603057" w:rsidRPr="00E63D3A">
        <w:t xml:space="preserve"> úrov</w:t>
      </w:r>
      <w:r w:rsidR="00180584" w:rsidRPr="00E63D3A">
        <w:t>eň</w:t>
      </w:r>
      <w:r w:rsidR="00D326AD" w:rsidRPr="00E63D3A">
        <w:t xml:space="preserve"> 2</w:t>
      </w:r>
      <w:r w:rsidR="00E63D3A" w:rsidRPr="00E63D3A">
        <w:t>5</w:t>
      </w:r>
      <w:r w:rsidR="00603057" w:rsidRPr="00E63D3A">
        <w:t>,</w:t>
      </w:r>
      <w:r w:rsidR="00B50C31" w:rsidRPr="00E63D3A">
        <w:t>4</w:t>
      </w:r>
      <w:r w:rsidR="00EF621B" w:rsidRPr="00E63D3A">
        <w:t> </w:t>
      </w:r>
      <w:r w:rsidR="00603057" w:rsidRPr="00E63D3A">
        <w:t>%</w:t>
      </w:r>
      <w:r w:rsidR="00EF621B" w:rsidRPr="00E63D3A">
        <w:t xml:space="preserve"> bežných príjmov roka </w:t>
      </w:r>
      <w:r w:rsidR="00876AEE" w:rsidRPr="00E63D3A">
        <w:t>2</w:t>
      </w:r>
      <w:r w:rsidR="00D326AD" w:rsidRPr="00E63D3A">
        <w:t>01</w:t>
      </w:r>
      <w:r w:rsidR="00E63D3A" w:rsidRPr="00E63D3A">
        <w:t>8</w:t>
      </w:r>
      <w:r w:rsidR="009F162C" w:rsidRPr="00E63D3A">
        <w:t>.</w:t>
      </w:r>
      <w:r w:rsidR="00603057" w:rsidRPr="00E63D3A">
        <w:t xml:space="preserve"> </w:t>
      </w:r>
      <w:r w:rsidR="004A4312" w:rsidRPr="00E63D3A">
        <w:t>K</w:t>
      </w:r>
      <w:r w:rsidR="00603057" w:rsidRPr="00E63D3A">
        <w:t xml:space="preserve"> hranici 60</w:t>
      </w:r>
      <w:r w:rsidR="000D7F00" w:rsidRPr="00E63D3A">
        <w:t> </w:t>
      </w:r>
      <w:r w:rsidR="00603057" w:rsidRPr="00E63D3A">
        <w:t xml:space="preserve">% </w:t>
      </w:r>
      <w:r w:rsidR="00A545E6" w:rsidRPr="00E63D3A">
        <w:t>bol najbližšie</w:t>
      </w:r>
      <w:r w:rsidR="004A4312" w:rsidRPr="00E63D3A">
        <w:t xml:space="preserve"> </w:t>
      </w:r>
      <w:r w:rsidR="00763F28" w:rsidRPr="00E63D3A">
        <w:t>T</w:t>
      </w:r>
      <w:r w:rsidR="00603057" w:rsidRPr="00E63D3A">
        <w:t>r</w:t>
      </w:r>
      <w:r w:rsidR="009F162C" w:rsidRPr="00E63D3A">
        <w:t>n</w:t>
      </w:r>
      <w:r w:rsidR="00D326AD" w:rsidRPr="00E63D3A">
        <w:t>avský</w:t>
      </w:r>
      <w:r w:rsidR="009F162C" w:rsidRPr="00E63D3A">
        <w:t xml:space="preserve"> </w:t>
      </w:r>
      <w:r w:rsidR="00763F28" w:rsidRPr="00E63D3A">
        <w:t xml:space="preserve">samosprávny kraj </w:t>
      </w:r>
      <w:r w:rsidR="00BC10BC" w:rsidRPr="00E63D3A">
        <w:t xml:space="preserve">s dlhom </w:t>
      </w:r>
      <w:r w:rsidR="00E63D3A" w:rsidRPr="00E63D3A">
        <w:t>37</w:t>
      </w:r>
      <w:r w:rsidR="00D326AD" w:rsidRPr="00E63D3A">
        <w:t>,</w:t>
      </w:r>
      <w:r w:rsidR="00E63D3A" w:rsidRPr="00E63D3A">
        <w:t>8</w:t>
      </w:r>
      <w:r w:rsidR="004A4312" w:rsidRPr="00E63D3A">
        <w:t> %</w:t>
      </w:r>
      <w:r w:rsidR="00176C75" w:rsidRPr="00E63D3A">
        <w:t xml:space="preserve"> a medziročným </w:t>
      </w:r>
      <w:r w:rsidR="00327161" w:rsidRPr="00E63D3A">
        <w:t>poklesom</w:t>
      </w:r>
      <w:r w:rsidR="00176C75" w:rsidRPr="00E63D3A">
        <w:t xml:space="preserve"> </w:t>
      </w:r>
      <w:r w:rsidR="00452F17" w:rsidRPr="00E63D3A">
        <w:t xml:space="preserve">dlhu </w:t>
      </w:r>
      <w:r w:rsidR="00176C75" w:rsidRPr="00E63D3A">
        <w:t>o </w:t>
      </w:r>
      <w:r w:rsidR="00E63D3A" w:rsidRPr="00E63D3A">
        <w:t>3</w:t>
      </w:r>
      <w:r w:rsidR="00176C75" w:rsidRPr="00E63D3A">
        <w:t>,</w:t>
      </w:r>
      <w:r w:rsidR="00E63D3A" w:rsidRPr="00E63D3A">
        <w:t>3</w:t>
      </w:r>
      <w:r w:rsidR="00452F17" w:rsidRPr="00E63D3A">
        <w:t xml:space="preserve"> percentuálneho bodu</w:t>
      </w:r>
      <w:r w:rsidR="00176C75" w:rsidRPr="00E63D3A">
        <w:t>. N</w:t>
      </w:r>
      <w:r w:rsidR="000D06D0" w:rsidRPr="00E63D3A">
        <w:t>aopak</w:t>
      </w:r>
      <w:r w:rsidR="00F7360D" w:rsidRPr="00E63D3A">
        <w:t>,</w:t>
      </w:r>
      <w:r w:rsidR="000D06D0" w:rsidRPr="00E63D3A">
        <w:t xml:space="preserve"> najnižší </w:t>
      </w:r>
      <w:r w:rsidR="006552F2" w:rsidRPr="00E63D3A">
        <w:t xml:space="preserve">relatívny </w:t>
      </w:r>
      <w:r w:rsidR="000D06D0" w:rsidRPr="00E63D3A">
        <w:t xml:space="preserve">dlh </w:t>
      </w:r>
      <w:r w:rsidR="0037688A" w:rsidRPr="00E63D3A">
        <w:t xml:space="preserve">na úrovni </w:t>
      </w:r>
      <w:r w:rsidR="00E63D3A" w:rsidRPr="00E63D3A">
        <w:t>9</w:t>
      </w:r>
      <w:r w:rsidR="00876AEE" w:rsidRPr="00E63D3A">
        <w:t>,</w:t>
      </w:r>
      <w:r w:rsidR="007B2C93" w:rsidRPr="00E63D3A">
        <w:t>3</w:t>
      </w:r>
      <w:r w:rsidR="009F162C" w:rsidRPr="00E63D3A">
        <w:t xml:space="preserve"> % </w:t>
      </w:r>
      <w:r w:rsidR="000D06D0" w:rsidRPr="00E63D3A">
        <w:t>evid</w:t>
      </w:r>
      <w:r w:rsidR="00D7658F" w:rsidRPr="00E63D3A">
        <w:t>oval</w:t>
      </w:r>
      <w:r w:rsidR="000D06D0" w:rsidRPr="00E63D3A">
        <w:t xml:space="preserve"> </w:t>
      </w:r>
      <w:r w:rsidR="00763F28" w:rsidRPr="00E63D3A">
        <w:t>N</w:t>
      </w:r>
      <w:r w:rsidR="000D06D0" w:rsidRPr="00E63D3A">
        <w:t>itriansky</w:t>
      </w:r>
      <w:r w:rsidR="00763F28" w:rsidRPr="00E63D3A">
        <w:t> </w:t>
      </w:r>
      <w:r w:rsidR="006B04FC" w:rsidRPr="00E63D3A">
        <w:t>samosprávny kraj</w:t>
      </w:r>
      <w:r w:rsidR="00603057" w:rsidRPr="00E63D3A">
        <w:t xml:space="preserve">. Pomer dlhovej služby </w:t>
      </w:r>
      <w:r w:rsidR="003D0780" w:rsidRPr="00E63D3A">
        <w:t>VÚC</w:t>
      </w:r>
      <w:r w:rsidR="00603057" w:rsidRPr="00E63D3A">
        <w:t xml:space="preserve"> (splácanie úroko</w:t>
      </w:r>
      <w:r w:rsidR="004A4312" w:rsidRPr="00E63D3A">
        <w:t>v a istín) voči príjmom dosiahol</w:t>
      </w:r>
      <w:r w:rsidR="00603057" w:rsidRPr="00E63D3A">
        <w:t xml:space="preserve"> </w:t>
      </w:r>
      <w:r w:rsidR="004A4312" w:rsidRPr="00E63D3A">
        <w:t>hodnotu</w:t>
      </w:r>
      <w:r w:rsidR="0037688A" w:rsidRPr="00E63D3A">
        <w:t> </w:t>
      </w:r>
      <w:r w:rsidR="00A47714" w:rsidRPr="00E63D3A">
        <w:t>3</w:t>
      </w:r>
      <w:r w:rsidR="00452F17" w:rsidRPr="00E63D3A">
        <w:t>,</w:t>
      </w:r>
      <w:r w:rsidR="00E63D3A" w:rsidRPr="00E63D3A">
        <w:t>2</w:t>
      </w:r>
      <w:r w:rsidR="004A4312" w:rsidRPr="00E63D3A">
        <w:t> </w:t>
      </w:r>
      <w:r w:rsidR="009F162C" w:rsidRPr="00E63D3A">
        <w:t>%</w:t>
      </w:r>
      <w:r w:rsidR="00603057" w:rsidRPr="00E63D3A">
        <w:t xml:space="preserve">. </w:t>
      </w:r>
      <w:r w:rsidR="009F162C" w:rsidRPr="00E63D3A">
        <w:t>Limit dlhovej služby na úrovni 25 %</w:t>
      </w:r>
      <w:r w:rsidR="00EE71EC" w:rsidRPr="00E63D3A">
        <w:t>,</w:t>
      </w:r>
      <w:r w:rsidR="009F162C" w:rsidRPr="00E63D3A">
        <w:t xml:space="preserve"> </w:t>
      </w:r>
      <w:r w:rsidR="00A47714" w:rsidRPr="00E63D3A">
        <w:t>ani l</w:t>
      </w:r>
      <w:r w:rsidR="009F162C" w:rsidRPr="00E63D3A">
        <w:t xml:space="preserve">imit dlhu </w:t>
      </w:r>
      <w:r w:rsidR="00EE71EC" w:rsidRPr="00E63D3A">
        <w:t>na úrovni 60</w:t>
      </w:r>
      <w:r w:rsidR="00F305B6" w:rsidRPr="00E63D3A">
        <w:t> </w:t>
      </w:r>
      <w:r w:rsidR="00EE71EC" w:rsidRPr="00E63D3A">
        <w:t xml:space="preserve">% nebol </w:t>
      </w:r>
      <w:r w:rsidR="00452F17" w:rsidRPr="00E63D3A">
        <w:t>v roku 201</w:t>
      </w:r>
      <w:r w:rsidR="00E63D3A" w:rsidRPr="00E63D3A">
        <w:t>9</w:t>
      </w:r>
      <w:r w:rsidR="00452F17" w:rsidRPr="00E63D3A">
        <w:t xml:space="preserve"> </w:t>
      </w:r>
      <w:r w:rsidR="009F162C" w:rsidRPr="00E63D3A">
        <w:t xml:space="preserve">prekročený </w:t>
      </w:r>
      <w:r w:rsidR="00EE71EC" w:rsidRPr="00E63D3A">
        <w:t>žiadnym samosprávnym krajom</w:t>
      </w:r>
      <w:r w:rsidR="00876AEE" w:rsidRPr="00E63D3A">
        <w:t>.</w:t>
      </w:r>
    </w:p>
    <w:p w14:paraId="4014AA62" w14:textId="77777777" w:rsidR="000A063C" w:rsidRPr="00B81300" w:rsidRDefault="000A063C" w:rsidP="007C6144">
      <w:pPr>
        <w:jc w:val="both"/>
        <w:rPr>
          <w:highlight w:val="yellow"/>
        </w:rPr>
      </w:pPr>
    </w:p>
    <w:tbl>
      <w:tblPr>
        <w:tblW w:w="9196" w:type="dxa"/>
        <w:tblCellMar>
          <w:left w:w="70" w:type="dxa"/>
          <w:right w:w="70" w:type="dxa"/>
        </w:tblCellMar>
        <w:tblLook w:val="04A0" w:firstRow="1" w:lastRow="0" w:firstColumn="1" w:lastColumn="0" w:noHBand="0" w:noVBand="1"/>
      </w:tblPr>
      <w:tblGrid>
        <w:gridCol w:w="2124"/>
        <w:gridCol w:w="1136"/>
        <w:gridCol w:w="1219"/>
        <w:gridCol w:w="1249"/>
        <w:gridCol w:w="1314"/>
        <w:gridCol w:w="995"/>
        <w:gridCol w:w="1159"/>
      </w:tblGrid>
      <w:tr w:rsidR="000137D6" w:rsidRPr="00B81300" w14:paraId="3BC9A03F" w14:textId="77777777" w:rsidTr="000137D6">
        <w:trPr>
          <w:trHeight w:hRule="exact" w:val="397"/>
        </w:trPr>
        <w:tc>
          <w:tcPr>
            <w:tcW w:w="9196" w:type="dxa"/>
            <w:gridSpan w:val="7"/>
            <w:tcBorders>
              <w:top w:val="nil"/>
              <w:left w:val="nil"/>
              <w:bottom w:val="nil"/>
              <w:right w:val="nil"/>
            </w:tcBorders>
            <w:shd w:val="clear" w:color="000000" w:fill="auto"/>
            <w:vAlign w:val="center"/>
          </w:tcPr>
          <w:p w14:paraId="48F6B6A4" w14:textId="1650C0A2" w:rsidR="000137D6" w:rsidRPr="00B81300" w:rsidRDefault="000137D6" w:rsidP="000137D6">
            <w:pPr>
              <w:rPr>
                <w:rFonts w:cs="Arial"/>
                <w:b/>
                <w:bCs/>
                <w:color w:val="FFFFFF"/>
                <w:sz w:val="18"/>
                <w:szCs w:val="18"/>
                <w:highlight w:val="yellow"/>
              </w:rPr>
            </w:pPr>
            <w:bookmarkStart w:id="1014" w:name="_Toc490642144"/>
            <w:bookmarkStart w:id="1015" w:name="_Toc522105528"/>
            <w:bookmarkStart w:id="1016" w:name="_Toc522200680"/>
            <w:bookmarkStart w:id="1017" w:name="_Toc523390266"/>
            <w:bookmarkStart w:id="1018" w:name="_Toc523392871"/>
            <w:bookmarkStart w:id="1019" w:name="_Toc49506908"/>
            <w:bookmarkStart w:id="1020" w:name="_Toc396319158"/>
            <w:r w:rsidRPr="004A79A6">
              <w:rPr>
                <w:rStyle w:val="tabChar"/>
                <w:sz w:val="20"/>
              </w:rPr>
              <w:t xml:space="preserve">Tab </w:t>
            </w:r>
            <w:r w:rsidR="00210990" w:rsidRPr="004A79A6">
              <w:rPr>
                <w:rStyle w:val="tabChar"/>
                <w:sz w:val="20"/>
              </w:rPr>
              <w:t>9</w:t>
            </w:r>
            <w:r w:rsidRPr="000339A2">
              <w:rPr>
                <w:rStyle w:val="tabChar"/>
                <w:sz w:val="20"/>
              </w:rPr>
              <w:t>: Vyhodnotenie pravidiel pre VÚC</w:t>
            </w:r>
            <w:bookmarkEnd w:id="1014"/>
            <w:bookmarkEnd w:id="1015"/>
            <w:bookmarkEnd w:id="1016"/>
            <w:bookmarkEnd w:id="1017"/>
            <w:bookmarkEnd w:id="1018"/>
            <w:bookmarkEnd w:id="1019"/>
            <w:r w:rsidRPr="000339A2">
              <w:rPr>
                <w:rFonts w:cs="Arial"/>
                <w:b/>
                <w:color w:val="13B5EA"/>
                <w:sz w:val="18"/>
              </w:rPr>
              <w:t xml:space="preserve"> </w:t>
            </w:r>
            <w:r w:rsidRPr="000339A2">
              <w:rPr>
                <w:rFonts w:cs="Arial"/>
                <w:b/>
                <w:color w:val="13B5EA"/>
                <w:sz w:val="20"/>
              </w:rPr>
              <w:t xml:space="preserve">(rok </w:t>
            </w:r>
            <w:r w:rsidRPr="000339A2">
              <w:rPr>
                <w:rFonts w:cs="Arial"/>
                <w:b/>
                <w:bCs/>
                <w:color w:val="13B5EA"/>
                <w:sz w:val="20"/>
              </w:rPr>
              <w:t>201</w:t>
            </w:r>
            <w:r w:rsidR="000339A2">
              <w:rPr>
                <w:rFonts w:cs="Arial"/>
                <w:b/>
                <w:bCs/>
                <w:color w:val="13B5EA"/>
                <w:sz w:val="20"/>
              </w:rPr>
              <w:t>9</w:t>
            </w:r>
            <w:r w:rsidRPr="000339A2">
              <w:rPr>
                <w:rFonts w:cs="Arial"/>
                <w:b/>
                <w:color w:val="13B5EA"/>
                <w:sz w:val="20"/>
              </w:rPr>
              <w:t>, v tis. eur)</w:t>
            </w:r>
          </w:p>
        </w:tc>
      </w:tr>
      <w:tr w:rsidR="0053380F" w:rsidRPr="000339A2" w14:paraId="6533DD21" w14:textId="77777777" w:rsidTr="00513853">
        <w:trPr>
          <w:trHeight w:hRule="exact" w:val="397"/>
        </w:trPr>
        <w:tc>
          <w:tcPr>
            <w:tcW w:w="2124" w:type="dxa"/>
            <w:vMerge w:val="restart"/>
            <w:tcBorders>
              <w:top w:val="nil"/>
              <w:left w:val="nil"/>
              <w:bottom w:val="nil"/>
              <w:right w:val="nil"/>
            </w:tcBorders>
            <w:shd w:val="clear" w:color="000000" w:fill="13B5EA"/>
            <w:vAlign w:val="center"/>
            <w:hideMark/>
          </w:tcPr>
          <w:p w14:paraId="2DAF1600" w14:textId="77777777" w:rsidR="0053380F" w:rsidRPr="000339A2" w:rsidRDefault="0053380F" w:rsidP="0053380F">
            <w:pPr>
              <w:rPr>
                <w:rFonts w:cs="Arial"/>
                <w:b/>
                <w:color w:val="FFFFFF"/>
                <w:sz w:val="18"/>
                <w:szCs w:val="18"/>
              </w:rPr>
            </w:pPr>
            <w:r w:rsidRPr="000339A2">
              <w:rPr>
                <w:rFonts w:cs="Arial"/>
                <w:b/>
                <w:color w:val="FFFFFF"/>
                <w:sz w:val="18"/>
                <w:szCs w:val="18"/>
              </w:rPr>
              <w:t>Názov</w:t>
            </w:r>
          </w:p>
        </w:tc>
        <w:tc>
          <w:tcPr>
            <w:tcW w:w="1136" w:type="dxa"/>
            <w:vMerge w:val="restart"/>
            <w:tcBorders>
              <w:top w:val="nil"/>
              <w:left w:val="nil"/>
              <w:bottom w:val="nil"/>
              <w:right w:val="nil"/>
            </w:tcBorders>
            <w:shd w:val="clear" w:color="000000" w:fill="13B5EA"/>
            <w:vAlign w:val="center"/>
            <w:hideMark/>
          </w:tcPr>
          <w:p w14:paraId="33BA10BE" w14:textId="7CAE6341" w:rsidR="0053380F" w:rsidRPr="000339A2" w:rsidRDefault="0053380F" w:rsidP="0053380F">
            <w:pPr>
              <w:jc w:val="center"/>
              <w:rPr>
                <w:rFonts w:cs="Arial"/>
                <w:b/>
                <w:color w:val="FFFFFF"/>
                <w:sz w:val="18"/>
                <w:szCs w:val="18"/>
              </w:rPr>
            </w:pPr>
            <w:r w:rsidRPr="000339A2">
              <w:rPr>
                <w:rFonts w:cs="Arial"/>
                <w:b/>
                <w:color w:val="FFFFFF"/>
                <w:sz w:val="18"/>
                <w:szCs w:val="18"/>
              </w:rPr>
              <w:t>Celková suma dlhu</w:t>
            </w:r>
            <w:r w:rsidR="00953B32" w:rsidRPr="000339A2">
              <w:rPr>
                <w:rFonts w:cs="Arial"/>
                <w:b/>
                <w:color w:val="FFFFFF"/>
                <w:sz w:val="18"/>
                <w:szCs w:val="18"/>
                <w:vertAlign w:val="superscript"/>
              </w:rPr>
              <w:t>58</w:t>
            </w:r>
          </w:p>
          <w:p w14:paraId="30EBC0FD" w14:textId="6E452CBD" w:rsidR="0053380F" w:rsidRPr="000339A2" w:rsidRDefault="00B2353D" w:rsidP="0053380F">
            <w:pPr>
              <w:jc w:val="center"/>
              <w:rPr>
                <w:rFonts w:cs="Arial"/>
                <w:b/>
                <w:color w:val="FFFFFF"/>
                <w:sz w:val="18"/>
                <w:szCs w:val="18"/>
              </w:rPr>
            </w:pPr>
            <w:r w:rsidRPr="000339A2">
              <w:rPr>
                <w:rFonts w:cs="Arial"/>
                <w:b/>
                <w:color w:val="FFFFFF"/>
                <w:sz w:val="18"/>
                <w:szCs w:val="18"/>
              </w:rPr>
              <w:t>(1)</w:t>
            </w:r>
          </w:p>
        </w:tc>
        <w:tc>
          <w:tcPr>
            <w:tcW w:w="1219" w:type="dxa"/>
            <w:vMerge w:val="restart"/>
            <w:tcBorders>
              <w:top w:val="nil"/>
              <w:left w:val="nil"/>
              <w:bottom w:val="nil"/>
              <w:right w:val="nil"/>
            </w:tcBorders>
            <w:shd w:val="clear" w:color="000000" w:fill="13B5EA"/>
            <w:vAlign w:val="center"/>
            <w:hideMark/>
          </w:tcPr>
          <w:p w14:paraId="192C37C5" w14:textId="77777777" w:rsidR="0053380F" w:rsidRPr="000339A2" w:rsidRDefault="0053380F" w:rsidP="0053380F">
            <w:pPr>
              <w:jc w:val="center"/>
              <w:rPr>
                <w:rFonts w:cs="Arial"/>
                <w:b/>
                <w:color w:val="FFFFFF"/>
                <w:sz w:val="18"/>
                <w:szCs w:val="18"/>
              </w:rPr>
            </w:pPr>
            <w:r w:rsidRPr="000339A2">
              <w:rPr>
                <w:rFonts w:cs="Arial"/>
                <w:b/>
                <w:color w:val="FFFFFF"/>
                <w:sz w:val="18"/>
                <w:szCs w:val="18"/>
              </w:rPr>
              <w:t>Splácanie úrokov</w:t>
            </w:r>
          </w:p>
          <w:p w14:paraId="5F576C38" w14:textId="21DF5BEF" w:rsidR="0053380F" w:rsidRPr="000339A2" w:rsidRDefault="00B2353D" w:rsidP="0053380F">
            <w:pPr>
              <w:jc w:val="center"/>
              <w:rPr>
                <w:rFonts w:cs="Arial"/>
                <w:b/>
                <w:color w:val="FFFFFF"/>
                <w:sz w:val="18"/>
                <w:szCs w:val="18"/>
              </w:rPr>
            </w:pPr>
            <w:r w:rsidRPr="000339A2">
              <w:rPr>
                <w:rFonts w:cs="Arial"/>
                <w:b/>
                <w:color w:val="FFFFFF"/>
                <w:sz w:val="18"/>
                <w:szCs w:val="18"/>
              </w:rPr>
              <w:t>(2)</w:t>
            </w:r>
          </w:p>
        </w:tc>
        <w:tc>
          <w:tcPr>
            <w:tcW w:w="1249" w:type="dxa"/>
            <w:vMerge w:val="restart"/>
            <w:tcBorders>
              <w:top w:val="nil"/>
              <w:left w:val="nil"/>
              <w:bottom w:val="nil"/>
              <w:right w:val="nil"/>
            </w:tcBorders>
            <w:shd w:val="clear" w:color="000000" w:fill="13B5EA"/>
            <w:vAlign w:val="center"/>
            <w:hideMark/>
          </w:tcPr>
          <w:p w14:paraId="46585F82" w14:textId="77777777" w:rsidR="0053380F" w:rsidRPr="000339A2" w:rsidRDefault="0053380F" w:rsidP="0053380F">
            <w:pPr>
              <w:jc w:val="center"/>
              <w:rPr>
                <w:rFonts w:cs="Arial"/>
                <w:b/>
                <w:color w:val="FFFFFF"/>
                <w:sz w:val="18"/>
                <w:szCs w:val="18"/>
              </w:rPr>
            </w:pPr>
            <w:r w:rsidRPr="000339A2">
              <w:rPr>
                <w:rFonts w:cs="Arial"/>
                <w:b/>
                <w:color w:val="FFFFFF"/>
                <w:sz w:val="18"/>
                <w:szCs w:val="18"/>
              </w:rPr>
              <w:t>Splácanie istín</w:t>
            </w:r>
          </w:p>
          <w:p w14:paraId="37DF9708" w14:textId="76795970" w:rsidR="0053380F" w:rsidRPr="000339A2" w:rsidRDefault="00B2353D" w:rsidP="0053380F">
            <w:pPr>
              <w:jc w:val="center"/>
              <w:rPr>
                <w:rFonts w:cs="Arial"/>
                <w:b/>
                <w:color w:val="FFFFFF"/>
                <w:sz w:val="18"/>
                <w:szCs w:val="18"/>
              </w:rPr>
            </w:pPr>
            <w:r w:rsidRPr="000339A2">
              <w:rPr>
                <w:rFonts w:cs="Arial"/>
                <w:b/>
                <w:color w:val="FFFFFF"/>
                <w:sz w:val="18"/>
                <w:szCs w:val="18"/>
              </w:rPr>
              <w:t>(3)</w:t>
            </w:r>
          </w:p>
        </w:tc>
        <w:tc>
          <w:tcPr>
            <w:tcW w:w="1314" w:type="dxa"/>
            <w:vMerge w:val="restart"/>
            <w:tcBorders>
              <w:top w:val="nil"/>
              <w:left w:val="nil"/>
              <w:bottom w:val="nil"/>
              <w:right w:val="nil"/>
            </w:tcBorders>
            <w:shd w:val="clear" w:color="000000" w:fill="13B5EA"/>
            <w:vAlign w:val="center"/>
            <w:hideMark/>
          </w:tcPr>
          <w:p w14:paraId="0776CCC1" w14:textId="5BFB29F3" w:rsidR="0053380F" w:rsidRPr="000339A2" w:rsidRDefault="0053380F" w:rsidP="0053380F">
            <w:pPr>
              <w:jc w:val="center"/>
              <w:rPr>
                <w:rFonts w:cs="Arial"/>
                <w:b/>
                <w:color w:val="FFFFFF"/>
                <w:sz w:val="18"/>
                <w:szCs w:val="18"/>
              </w:rPr>
            </w:pPr>
            <w:r w:rsidRPr="000339A2">
              <w:rPr>
                <w:rFonts w:cs="Arial"/>
                <w:b/>
                <w:color w:val="FFFFFF"/>
                <w:sz w:val="18"/>
                <w:szCs w:val="18"/>
              </w:rPr>
              <w:t xml:space="preserve">Bežné príjmy (rok </w:t>
            </w:r>
            <w:r w:rsidRPr="000339A2">
              <w:rPr>
                <w:rFonts w:cs="Arial"/>
                <w:b/>
                <w:bCs/>
                <w:color w:val="FFFFFF"/>
                <w:sz w:val="18"/>
                <w:szCs w:val="18"/>
              </w:rPr>
              <w:t>201</w:t>
            </w:r>
            <w:r w:rsidR="000339A2" w:rsidRPr="000339A2">
              <w:rPr>
                <w:rFonts w:cs="Arial"/>
                <w:b/>
                <w:bCs/>
                <w:color w:val="FFFFFF"/>
                <w:sz w:val="18"/>
                <w:szCs w:val="18"/>
              </w:rPr>
              <w:t>8</w:t>
            </w:r>
            <w:r w:rsidRPr="000339A2">
              <w:rPr>
                <w:rFonts w:cs="Arial"/>
                <w:b/>
                <w:color w:val="FFFFFF"/>
                <w:sz w:val="18"/>
                <w:szCs w:val="18"/>
              </w:rPr>
              <w:t>)</w:t>
            </w:r>
          </w:p>
          <w:p w14:paraId="17B1DCF5" w14:textId="7B8F4357" w:rsidR="0053380F" w:rsidRPr="000339A2" w:rsidRDefault="00B2353D" w:rsidP="0053380F">
            <w:pPr>
              <w:jc w:val="center"/>
              <w:rPr>
                <w:rFonts w:cs="Arial"/>
                <w:b/>
                <w:color w:val="FFFFFF"/>
                <w:sz w:val="18"/>
                <w:szCs w:val="18"/>
              </w:rPr>
            </w:pPr>
            <w:r w:rsidRPr="000339A2">
              <w:rPr>
                <w:rFonts w:cs="Arial"/>
                <w:b/>
                <w:color w:val="FFFFFF"/>
                <w:sz w:val="18"/>
                <w:szCs w:val="18"/>
              </w:rPr>
              <w:t>(4)</w:t>
            </w:r>
          </w:p>
        </w:tc>
        <w:tc>
          <w:tcPr>
            <w:tcW w:w="995" w:type="dxa"/>
            <w:vMerge w:val="restart"/>
            <w:tcBorders>
              <w:top w:val="nil"/>
              <w:left w:val="nil"/>
              <w:bottom w:val="nil"/>
              <w:right w:val="nil"/>
            </w:tcBorders>
            <w:shd w:val="clear" w:color="000000" w:fill="13B5EA"/>
            <w:vAlign w:val="center"/>
            <w:hideMark/>
          </w:tcPr>
          <w:p w14:paraId="0E0CE3BA" w14:textId="77777777" w:rsidR="0053380F" w:rsidRPr="000339A2" w:rsidRDefault="0053380F" w:rsidP="0053380F">
            <w:pPr>
              <w:jc w:val="center"/>
              <w:rPr>
                <w:rFonts w:cs="Arial"/>
                <w:b/>
                <w:color w:val="FFFFFF"/>
                <w:sz w:val="18"/>
                <w:szCs w:val="18"/>
              </w:rPr>
            </w:pPr>
            <w:r w:rsidRPr="000339A2">
              <w:rPr>
                <w:rFonts w:cs="Arial"/>
                <w:b/>
                <w:color w:val="FFFFFF"/>
                <w:sz w:val="18"/>
                <w:szCs w:val="18"/>
              </w:rPr>
              <w:t>Pomer dlhu (%)</w:t>
            </w:r>
          </w:p>
          <w:p w14:paraId="1D766EAF" w14:textId="70B81A6F" w:rsidR="0053380F" w:rsidRPr="000339A2" w:rsidRDefault="00B2353D" w:rsidP="0053380F">
            <w:pPr>
              <w:jc w:val="center"/>
              <w:rPr>
                <w:rFonts w:cs="Arial"/>
                <w:b/>
                <w:color w:val="FFFFFF"/>
                <w:sz w:val="18"/>
                <w:szCs w:val="18"/>
              </w:rPr>
            </w:pPr>
            <w:r w:rsidRPr="000339A2">
              <w:rPr>
                <w:rFonts w:cs="Arial"/>
                <w:b/>
                <w:color w:val="FFFFFF"/>
                <w:sz w:val="18"/>
                <w:szCs w:val="18"/>
              </w:rPr>
              <w:t>(1</w:t>
            </w:r>
            <w:r w:rsidR="00BC4975" w:rsidRPr="000339A2">
              <w:rPr>
                <w:rFonts w:cs="Arial"/>
                <w:b/>
                <w:color w:val="FFFFFF"/>
                <w:sz w:val="18"/>
                <w:szCs w:val="18"/>
              </w:rPr>
              <w:t>/</w:t>
            </w:r>
            <w:r w:rsidRPr="000339A2">
              <w:rPr>
                <w:rFonts w:cs="Arial"/>
                <w:b/>
                <w:color w:val="FFFFFF"/>
                <w:sz w:val="18"/>
                <w:szCs w:val="18"/>
              </w:rPr>
              <w:t>4)</w:t>
            </w:r>
          </w:p>
        </w:tc>
        <w:tc>
          <w:tcPr>
            <w:tcW w:w="1159" w:type="dxa"/>
            <w:vMerge w:val="restart"/>
            <w:tcBorders>
              <w:top w:val="nil"/>
              <w:left w:val="nil"/>
              <w:bottom w:val="nil"/>
              <w:right w:val="nil"/>
            </w:tcBorders>
            <w:shd w:val="clear" w:color="000000" w:fill="13B5EA"/>
            <w:vAlign w:val="center"/>
            <w:hideMark/>
          </w:tcPr>
          <w:p w14:paraId="64241EB5" w14:textId="77777777" w:rsidR="0053380F" w:rsidRPr="000339A2" w:rsidRDefault="0053380F" w:rsidP="0053380F">
            <w:pPr>
              <w:jc w:val="center"/>
              <w:rPr>
                <w:rFonts w:cs="Arial"/>
                <w:b/>
                <w:color w:val="FFFFFF"/>
                <w:sz w:val="18"/>
                <w:szCs w:val="18"/>
              </w:rPr>
            </w:pPr>
            <w:r w:rsidRPr="000339A2">
              <w:rPr>
                <w:rFonts w:cs="Arial"/>
                <w:b/>
                <w:color w:val="FFFFFF"/>
                <w:sz w:val="18"/>
                <w:szCs w:val="18"/>
              </w:rPr>
              <w:t>Dlhová služba (%)</w:t>
            </w:r>
          </w:p>
          <w:p w14:paraId="6380F495" w14:textId="235ED498" w:rsidR="0053380F" w:rsidRPr="000339A2" w:rsidRDefault="00B2353D" w:rsidP="0053380F">
            <w:pPr>
              <w:jc w:val="center"/>
              <w:rPr>
                <w:rFonts w:cs="Arial"/>
                <w:b/>
                <w:color w:val="FFFFFF"/>
                <w:sz w:val="18"/>
                <w:szCs w:val="18"/>
              </w:rPr>
            </w:pPr>
            <w:r w:rsidRPr="000339A2">
              <w:rPr>
                <w:rFonts w:cs="Arial"/>
                <w:b/>
                <w:color w:val="FFFFFF"/>
                <w:sz w:val="18"/>
                <w:szCs w:val="18"/>
              </w:rPr>
              <w:t>((2+3)</w:t>
            </w:r>
            <w:r w:rsidR="00BC4975" w:rsidRPr="000339A2">
              <w:rPr>
                <w:rFonts w:cs="Arial"/>
                <w:b/>
                <w:color w:val="FFFFFF"/>
                <w:sz w:val="18"/>
                <w:szCs w:val="18"/>
              </w:rPr>
              <w:t>/</w:t>
            </w:r>
            <w:r w:rsidRPr="000339A2">
              <w:rPr>
                <w:rFonts w:cs="Arial"/>
                <w:b/>
                <w:color w:val="FFFFFF"/>
                <w:sz w:val="18"/>
                <w:szCs w:val="18"/>
              </w:rPr>
              <w:t>4</w:t>
            </w:r>
            <w:r w:rsidR="00E12CDC" w:rsidRPr="000339A2">
              <w:rPr>
                <w:rFonts w:cs="Arial"/>
                <w:b/>
                <w:color w:val="FFFFFF"/>
                <w:sz w:val="18"/>
                <w:szCs w:val="18"/>
              </w:rPr>
              <w:t>*</w:t>
            </w:r>
            <w:r w:rsidRPr="000339A2">
              <w:rPr>
                <w:rFonts w:cs="Arial"/>
                <w:b/>
                <w:color w:val="FFFFFF"/>
                <w:sz w:val="18"/>
                <w:szCs w:val="18"/>
              </w:rPr>
              <w:t>)</w:t>
            </w:r>
          </w:p>
        </w:tc>
      </w:tr>
      <w:tr w:rsidR="0053380F" w:rsidRPr="000339A2" w14:paraId="705E1B08" w14:textId="77777777" w:rsidTr="00316D4B">
        <w:trPr>
          <w:trHeight w:val="269"/>
        </w:trPr>
        <w:tc>
          <w:tcPr>
            <w:tcW w:w="2124" w:type="dxa"/>
            <w:vMerge/>
            <w:tcBorders>
              <w:top w:val="nil"/>
              <w:left w:val="nil"/>
              <w:bottom w:val="nil"/>
              <w:right w:val="nil"/>
            </w:tcBorders>
            <w:vAlign w:val="center"/>
            <w:hideMark/>
          </w:tcPr>
          <w:p w14:paraId="11B73580" w14:textId="77777777" w:rsidR="0053380F" w:rsidRPr="000339A2" w:rsidRDefault="0053380F" w:rsidP="0053380F">
            <w:pPr>
              <w:rPr>
                <w:rFonts w:cs="Arial"/>
                <w:b/>
                <w:color w:val="FFFFFF"/>
                <w:sz w:val="18"/>
                <w:szCs w:val="18"/>
              </w:rPr>
            </w:pPr>
          </w:p>
        </w:tc>
        <w:tc>
          <w:tcPr>
            <w:tcW w:w="1136" w:type="dxa"/>
            <w:vMerge/>
            <w:tcBorders>
              <w:top w:val="nil"/>
              <w:left w:val="nil"/>
              <w:bottom w:val="nil"/>
              <w:right w:val="nil"/>
            </w:tcBorders>
            <w:vAlign w:val="center"/>
            <w:hideMark/>
          </w:tcPr>
          <w:p w14:paraId="3C8C224D" w14:textId="77777777" w:rsidR="0053380F" w:rsidRPr="000339A2" w:rsidRDefault="0053380F" w:rsidP="0053380F">
            <w:pPr>
              <w:rPr>
                <w:rFonts w:cs="Arial"/>
                <w:b/>
                <w:color w:val="FFFFFF"/>
                <w:sz w:val="18"/>
                <w:szCs w:val="18"/>
              </w:rPr>
            </w:pPr>
          </w:p>
        </w:tc>
        <w:tc>
          <w:tcPr>
            <w:tcW w:w="1219" w:type="dxa"/>
            <w:vMerge/>
            <w:tcBorders>
              <w:top w:val="nil"/>
              <w:left w:val="nil"/>
              <w:bottom w:val="nil"/>
              <w:right w:val="nil"/>
            </w:tcBorders>
            <w:vAlign w:val="center"/>
            <w:hideMark/>
          </w:tcPr>
          <w:p w14:paraId="670CC3A7" w14:textId="77777777" w:rsidR="0053380F" w:rsidRPr="000339A2" w:rsidRDefault="0053380F" w:rsidP="0053380F">
            <w:pPr>
              <w:rPr>
                <w:rFonts w:cs="Arial"/>
                <w:b/>
                <w:color w:val="FFFFFF"/>
                <w:sz w:val="18"/>
                <w:szCs w:val="18"/>
              </w:rPr>
            </w:pPr>
          </w:p>
        </w:tc>
        <w:tc>
          <w:tcPr>
            <w:tcW w:w="1249" w:type="dxa"/>
            <w:vMerge/>
            <w:tcBorders>
              <w:top w:val="nil"/>
              <w:left w:val="nil"/>
              <w:bottom w:val="nil"/>
              <w:right w:val="nil"/>
            </w:tcBorders>
            <w:vAlign w:val="center"/>
            <w:hideMark/>
          </w:tcPr>
          <w:p w14:paraId="6FBADC25" w14:textId="77777777" w:rsidR="0053380F" w:rsidRPr="000339A2" w:rsidRDefault="0053380F" w:rsidP="0053380F">
            <w:pPr>
              <w:rPr>
                <w:rFonts w:cs="Arial"/>
                <w:b/>
                <w:color w:val="FFFFFF"/>
                <w:sz w:val="18"/>
                <w:szCs w:val="18"/>
              </w:rPr>
            </w:pPr>
          </w:p>
        </w:tc>
        <w:tc>
          <w:tcPr>
            <w:tcW w:w="1314" w:type="dxa"/>
            <w:vMerge/>
            <w:tcBorders>
              <w:top w:val="nil"/>
              <w:left w:val="nil"/>
              <w:bottom w:val="nil"/>
              <w:right w:val="nil"/>
            </w:tcBorders>
            <w:vAlign w:val="center"/>
            <w:hideMark/>
          </w:tcPr>
          <w:p w14:paraId="6E9C68A8" w14:textId="77777777" w:rsidR="0053380F" w:rsidRPr="000339A2" w:rsidRDefault="0053380F" w:rsidP="0053380F">
            <w:pPr>
              <w:rPr>
                <w:rFonts w:cs="Arial"/>
                <w:b/>
                <w:color w:val="FFFFFF"/>
                <w:sz w:val="18"/>
                <w:szCs w:val="18"/>
              </w:rPr>
            </w:pPr>
          </w:p>
        </w:tc>
        <w:tc>
          <w:tcPr>
            <w:tcW w:w="995" w:type="dxa"/>
            <w:vMerge/>
            <w:tcBorders>
              <w:top w:val="nil"/>
              <w:left w:val="nil"/>
              <w:bottom w:val="nil"/>
              <w:right w:val="nil"/>
            </w:tcBorders>
            <w:vAlign w:val="center"/>
            <w:hideMark/>
          </w:tcPr>
          <w:p w14:paraId="0167E08F" w14:textId="77777777" w:rsidR="0053380F" w:rsidRPr="000339A2" w:rsidRDefault="0053380F" w:rsidP="0053380F">
            <w:pPr>
              <w:rPr>
                <w:rFonts w:cs="Arial"/>
                <w:b/>
                <w:color w:val="FFFFFF"/>
                <w:sz w:val="18"/>
                <w:szCs w:val="18"/>
              </w:rPr>
            </w:pPr>
          </w:p>
        </w:tc>
        <w:tc>
          <w:tcPr>
            <w:tcW w:w="1159" w:type="dxa"/>
            <w:vMerge/>
            <w:tcBorders>
              <w:top w:val="nil"/>
              <w:left w:val="nil"/>
              <w:bottom w:val="nil"/>
              <w:right w:val="nil"/>
            </w:tcBorders>
            <w:vAlign w:val="center"/>
            <w:hideMark/>
          </w:tcPr>
          <w:p w14:paraId="091E743E" w14:textId="77777777" w:rsidR="0053380F" w:rsidRPr="000339A2" w:rsidRDefault="0053380F" w:rsidP="0053380F">
            <w:pPr>
              <w:rPr>
                <w:rFonts w:cs="Arial"/>
                <w:b/>
                <w:color w:val="FFFFFF"/>
                <w:sz w:val="18"/>
                <w:szCs w:val="18"/>
              </w:rPr>
            </w:pPr>
          </w:p>
        </w:tc>
      </w:tr>
      <w:tr w:rsidR="000339A2" w:rsidRPr="000339A2" w14:paraId="5540CEEF" w14:textId="77777777" w:rsidTr="0053380F">
        <w:trPr>
          <w:trHeight w:val="255"/>
        </w:trPr>
        <w:tc>
          <w:tcPr>
            <w:tcW w:w="2124" w:type="dxa"/>
            <w:tcBorders>
              <w:top w:val="nil"/>
              <w:left w:val="nil"/>
              <w:bottom w:val="nil"/>
              <w:right w:val="nil"/>
            </w:tcBorders>
            <w:shd w:val="clear" w:color="auto" w:fill="auto"/>
            <w:noWrap/>
            <w:vAlign w:val="center"/>
            <w:hideMark/>
          </w:tcPr>
          <w:p w14:paraId="653FE333" w14:textId="52666E1B" w:rsidR="000339A2" w:rsidRPr="000339A2" w:rsidRDefault="000339A2" w:rsidP="000339A2">
            <w:pPr>
              <w:rPr>
                <w:rFonts w:cs="Arial"/>
                <w:sz w:val="18"/>
                <w:szCs w:val="18"/>
              </w:rPr>
            </w:pPr>
            <w:r w:rsidRPr="000339A2">
              <w:rPr>
                <w:rFonts w:cs="Arial"/>
                <w:sz w:val="18"/>
                <w:szCs w:val="18"/>
              </w:rPr>
              <w:t>Bratislavský SK</w:t>
            </w:r>
          </w:p>
        </w:tc>
        <w:tc>
          <w:tcPr>
            <w:tcW w:w="1136" w:type="dxa"/>
            <w:tcBorders>
              <w:top w:val="nil"/>
              <w:left w:val="nil"/>
              <w:bottom w:val="nil"/>
              <w:right w:val="nil"/>
            </w:tcBorders>
            <w:shd w:val="clear" w:color="auto" w:fill="auto"/>
            <w:noWrap/>
            <w:vAlign w:val="center"/>
            <w:hideMark/>
          </w:tcPr>
          <w:p w14:paraId="5EFC034D" w14:textId="4EB642D4" w:rsidR="000339A2" w:rsidRPr="000339A2" w:rsidRDefault="000339A2" w:rsidP="000339A2">
            <w:pPr>
              <w:ind w:firstLineChars="100" w:firstLine="180"/>
              <w:jc w:val="right"/>
              <w:rPr>
                <w:rFonts w:cs="Arial"/>
                <w:sz w:val="18"/>
                <w:szCs w:val="18"/>
              </w:rPr>
            </w:pPr>
            <w:r w:rsidRPr="000339A2">
              <w:rPr>
                <w:rFonts w:cs="Arial"/>
                <w:sz w:val="18"/>
                <w:szCs w:val="18"/>
              </w:rPr>
              <w:t>53 581</w:t>
            </w:r>
          </w:p>
        </w:tc>
        <w:tc>
          <w:tcPr>
            <w:tcW w:w="1219" w:type="dxa"/>
            <w:tcBorders>
              <w:top w:val="nil"/>
              <w:left w:val="nil"/>
              <w:bottom w:val="nil"/>
              <w:right w:val="nil"/>
            </w:tcBorders>
            <w:shd w:val="clear" w:color="auto" w:fill="auto"/>
            <w:noWrap/>
            <w:vAlign w:val="center"/>
            <w:hideMark/>
          </w:tcPr>
          <w:p w14:paraId="051790C5" w14:textId="3500EBD7" w:rsidR="000339A2" w:rsidRPr="000339A2" w:rsidRDefault="000339A2" w:rsidP="000339A2">
            <w:pPr>
              <w:ind w:firstLineChars="200" w:firstLine="360"/>
              <w:jc w:val="right"/>
              <w:rPr>
                <w:rFonts w:cs="Arial"/>
                <w:sz w:val="18"/>
                <w:szCs w:val="18"/>
              </w:rPr>
            </w:pPr>
            <w:r w:rsidRPr="000339A2">
              <w:rPr>
                <w:rFonts w:cs="Arial"/>
                <w:sz w:val="18"/>
                <w:szCs w:val="18"/>
              </w:rPr>
              <w:t>195</w:t>
            </w:r>
          </w:p>
        </w:tc>
        <w:tc>
          <w:tcPr>
            <w:tcW w:w="1249" w:type="dxa"/>
            <w:tcBorders>
              <w:top w:val="nil"/>
              <w:left w:val="nil"/>
              <w:bottom w:val="nil"/>
              <w:right w:val="nil"/>
            </w:tcBorders>
            <w:shd w:val="clear" w:color="auto" w:fill="auto"/>
            <w:noWrap/>
            <w:vAlign w:val="center"/>
            <w:hideMark/>
          </w:tcPr>
          <w:p w14:paraId="74198957" w14:textId="4C7B9802" w:rsidR="000339A2" w:rsidRPr="000339A2" w:rsidRDefault="000339A2" w:rsidP="000339A2">
            <w:pPr>
              <w:ind w:firstLineChars="200" w:firstLine="360"/>
              <w:jc w:val="right"/>
              <w:rPr>
                <w:rFonts w:cs="Arial"/>
                <w:sz w:val="18"/>
                <w:szCs w:val="18"/>
              </w:rPr>
            </w:pPr>
            <w:r w:rsidRPr="000339A2">
              <w:rPr>
                <w:rFonts w:cs="Arial"/>
                <w:sz w:val="18"/>
                <w:szCs w:val="18"/>
              </w:rPr>
              <w:t>3 624</w:t>
            </w:r>
          </w:p>
        </w:tc>
        <w:tc>
          <w:tcPr>
            <w:tcW w:w="1314" w:type="dxa"/>
            <w:tcBorders>
              <w:top w:val="nil"/>
              <w:left w:val="nil"/>
              <w:bottom w:val="nil"/>
              <w:right w:val="nil"/>
            </w:tcBorders>
            <w:shd w:val="clear" w:color="auto" w:fill="auto"/>
            <w:noWrap/>
            <w:vAlign w:val="center"/>
            <w:hideMark/>
          </w:tcPr>
          <w:p w14:paraId="12B6BC27" w14:textId="1526457E" w:rsidR="000339A2" w:rsidRPr="000339A2" w:rsidRDefault="000339A2" w:rsidP="000339A2">
            <w:pPr>
              <w:ind w:firstLineChars="100" w:firstLine="180"/>
              <w:jc w:val="right"/>
              <w:rPr>
                <w:rFonts w:cs="Arial"/>
                <w:sz w:val="18"/>
                <w:szCs w:val="18"/>
              </w:rPr>
            </w:pPr>
            <w:r w:rsidRPr="000339A2">
              <w:rPr>
                <w:rFonts w:cs="Arial"/>
                <w:sz w:val="18"/>
                <w:szCs w:val="18"/>
              </w:rPr>
              <w:t>147 289</w:t>
            </w:r>
          </w:p>
        </w:tc>
        <w:tc>
          <w:tcPr>
            <w:tcW w:w="995" w:type="dxa"/>
            <w:tcBorders>
              <w:top w:val="nil"/>
              <w:left w:val="nil"/>
              <w:bottom w:val="nil"/>
              <w:right w:val="nil"/>
            </w:tcBorders>
            <w:shd w:val="clear" w:color="auto" w:fill="auto"/>
            <w:noWrap/>
            <w:vAlign w:val="center"/>
            <w:hideMark/>
          </w:tcPr>
          <w:p w14:paraId="075CED3A" w14:textId="7C03FE6B" w:rsidR="000339A2" w:rsidRPr="000339A2" w:rsidRDefault="000339A2" w:rsidP="000339A2">
            <w:pPr>
              <w:ind w:firstLineChars="100" w:firstLine="181"/>
              <w:jc w:val="right"/>
              <w:rPr>
                <w:rFonts w:cs="Arial"/>
                <w:b/>
                <w:sz w:val="18"/>
                <w:szCs w:val="18"/>
              </w:rPr>
            </w:pPr>
            <w:r w:rsidRPr="000339A2">
              <w:rPr>
                <w:rFonts w:cs="Arial"/>
                <w:b/>
                <w:sz w:val="18"/>
                <w:szCs w:val="18"/>
              </w:rPr>
              <w:t>36,4</w:t>
            </w:r>
          </w:p>
        </w:tc>
        <w:tc>
          <w:tcPr>
            <w:tcW w:w="1159" w:type="dxa"/>
            <w:tcBorders>
              <w:top w:val="nil"/>
              <w:left w:val="nil"/>
              <w:bottom w:val="nil"/>
              <w:right w:val="nil"/>
            </w:tcBorders>
            <w:shd w:val="clear" w:color="auto" w:fill="auto"/>
            <w:noWrap/>
            <w:vAlign w:val="center"/>
            <w:hideMark/>
          </w:tcPr>
          <w:p w14:paraId="1305815F" w14:textId="18DC4F2B" w:rsidR="000339A2" w:rsidRPr="000339A2" w:rsidRDefault="000339A2" w:rsidP="000339A2">
            <w:pPr>
              <w:ind w:firstLineChars="200" w:firstLine="361"/>
              <w:jc w:val="right"/>
              <w:rPr>
                <w:rFonts w:cs="Arial"/>
                <w:b/>
                <w:sz w:val="18"/>
                <w:szCs w:val="18"/>
              </w:rPr>
            </w:pPr>
            <w:r w:rsidRPr="000339A2">
              <w:rPr>
                <w:rFonts w:cs="Arial"/>
                <w:b/>
                <w:sz w:val="18"/>
                <w:szCs w:val="18"/>
              </w:rPr>
              <w:t>3,</w:t>
            </w:r>
            <w:r w:rsidRPr="000339A2">
              <w:rPr>
                <w:rFonts w:cs="Arial"/>
                <w:b/>
                <w:bCs/>
                <w:sz w:val="18"/>
                <w:szCs w:val="18"/>
              </w:rPr>
              <w:t>8</w:t>
            </w:r>
          </w:p>
        </w:tc>
      </w:tr>
      <w:tr w:rsidR="000339A2" w:rsidRPr="000339A2" w14:paraId="19257E49" w14:textId="77777777" w:rsidTr="0053380F">
        <w:trPr>
          <w:trHeight w:val="255"/>
        </w:trPr>
        <w:tc>
          <w:tcPr>
            <w:tcW w:w="2124" w:type="dxa"/>
            <w:tcBorders>
              <w:top w:val="nil"/>
              <w:left w:val="nil"/>
              <w:bottom w:val="nil"/>
              <w:right w:val="nil"/>
            </w:tcBorders>
            <w:shd w:val="clear" w:color="auto" w:fill="auto"/>
            <w:noWrap/>
            <w:vAlign w:val="center"/>
            <w:hideMark/>
          </w:tcPr>
          <w:p w14:paraId="324F9438" w14:textId="54655825" w:rsidR="000339A2" w:rsidRPr="000339A2" w:rsidRDefault="000339A2" w:rsidP="000339A2">
            <w:pPr>
              <w:rPr>
                <w:rFonts w:cs="Arial"/>
                <w:sz w:val="18"/>
                <w:szCs w:val="18"/>
              </w:rPr>
            </w:pPr>
            <w:r w:rsidRPr="000339A2">
              <w:rPr>
                <w:rFonts w:cs="Arial"/>
                <w:sz w:val="18"/>
                <w:szCs w:val="18"/>
              </w:rPr>
              <w:t>Trnavský SK</w:t>
            </w:r>
          </w:p>
        </w:tc>
        <w:tc>
          <w:tcPr>
            <w:tcW w:w="1136" w:type="dxa"/>
            <w:tcBorders>
              <w:top w:val="nil"/>
              <w:left w:val="nil"/>
              <w:bottom w:val="nil"/>
              <w:right w:val="nil"/>
            </w:tcBorders>
            <w:shd w:val="clear" w:color="auto" w:fill="auto"/>
            <w:noWrap/>
            <w:vAlign w:val="center"/>
            <w:hideMark/>
          </w:tcPr>
          <w:p w14:paraId="31F609AD" w14:textId="659C1F92" w:rsidR="000339A2" w:rsidRPr="000339A2" w:rsidRDefault="000339A2" w:rsidP="000339A2">
            <w:pPr>
              <w:ind w:firstLineChars="100" w:firstLine="180"/>
              <w:jc w:val="right"/>
              <w:rPr>
                <w:rFonts w:cs="Arial"/>
                <w:sz w:val="18"/>
                <w:szCs w:val="18"/>
              </w:rPr>
            </w:pPr>
            <w:r w:rsidRPr="000339A2">
              <w:rPr>
                <w:rFonts w:cs="Arial"/>
                <w:sz w:val="18"/>
                <w:szCs w:val="18"/>
              </w:rPr>
              <w:t>54 541</w:t>
            </w:r>
          </w:p>
        </w:tc>
        <w:tc>
          <w:tcPr>
            <w:tcW w:w="1219" w:type="dxa"/>
            <w:tcBorders>
              <w:top w:val="nil"/>
              <w:left w:val="nil"/>
              <w:bottom w:val="nil"/>
              <w:right w:val="nil"/>
            </w:tcBorders>
            <w:shd w:val="clear" w:color="auto" w:fill="auto"/>
            <w:noWrap/>
            <w:vAlign w:val="center"/>
            <w:hideMark/>
          </w:tcPr>
          <w:p w14:paraId="46DE09D0" w14:textId="4BF33A7C" w:rsidR="000339A2" w:rsidRPr="000339A2" w:rsidRDefault="000339A2" w:rsidP="000339A2">
            <w:pPr>
              <w:ind w:firstLineChars="200" w:firstLine="360"/>
              <w:jc w:val="right"/>
              <w:rPr>
                <w:rFonts w:cs="Arial"/>
                <w:sz w:val="18"/>
                <w:szCs w:val="18"/>
              </w:rPr>
            </w:pPr>
            <w:r w:rsidRPr="000339A2">
              <w:rPr>
                <w:rFonts w:cs="Arial"/>
                <w:sz w:val="18"/>
                <w:szCs w:val="18"/>
              </w:rPr>
              <w:t>771</w:t>
            </w:r>
          </w:p>
        </w:tc>
        <w:tc>
          <w:tcPr>
            <w:tcW w:w="1249" w:type="dxa"/>
            <w:tcBorders>
              <w:top w:val="nil"/>
              <w:left w:val="nil"/>
              <w:bottom w:val="nil"/>
              <w:right w:val="nil"/>
            </w:tcBorders>
            <w:shd w:val="clear" w:color="auto" w:fill="auto"/>
            <w:noWrap/>
            <w:vAlign w:val="center"/>
            <w:hideMark/>
          </w:tcPr>
          <w:p w14:paraId="4F2B53D8" w14:textId="1A61EE82" w:rsidR="000339A2" w:rsidRPr="000339A2" w:rsidRDefault="000339A2" w:rsidP="000339A2">
            <w:pPr>
              <w:ind w:firstLineChars="200" w:firstLine="360"/>
              <w:jc w:val="right"/>
              <w:rPr>
                <w:rFonts w:cs="Arial"/>
                <w:sz w:val="18"/>
                <w:szCs w:val="18"/>
              </w:rPr>
            </w:pPr>
            <w:r w:rsidRPr="000339A2">
              <w:rPr>
                <w:rFonts w:cs="Arial"/>
                <w:sz w:val="18"/>
                <w:szCs w:val="18"/>
              </w:rPr>
              <w:t>4 581</w:t>
            </w:r>
          </w:p>
        </w:tc>
        <w:tc>
          <w:tcPr>
            <w:tcW w:w="1314" w:type="dxa"/>
            <w:tcBorders>
              <w:top w:val="nil"/>
              <w:left w:val="nil"/>
              <w:bottom w:val="nil"/>
              <w:right w:val="nil"/>
            </w:tcBorders>
            <w:shd w:val="clear" w:color="auto" w:fill="auto"/>
            <w:noWrap/>
            <w:vAlign w:val="center"/>
            <w:hideMark/>
          </w:tcPr>
          <w:p w14:paraId="4C3C52CB" w14:textId="560393FF" w:rsidR="000339A2" w:rsidRPr="000339A2" w:rsidRDefault="000339A2" w:rsidP="000339A2">
            <w:pPr>
              <w:ind w:firstLineChars="100" w:firstLine="180"/>
              <w:jc w:val="right"/>
              <w:rPr>
                <w:rFonts w:cs="Arial"/>
                <w:sz w:val="18"/>
                <w:szCs w:val="18"/>
              </w:rPr>
            </w:pPr>
            <w:r w:rsidRPr="000339A2">
              <w:rPr>
                <w:rFonts w:cs="Arial"/>
                <w:sz w:val="18"/>
                <w:szCs w:val="18"/>
              </w:rPr>
              <w:t>144 283</w:t>
            </w:r>
          </w:p>
        </w:tc>
        <w:tc>
          <w:tcPr>
            <w:tcW w:w="995" w:type="dxa"/>
            <w:tcBorders>
              <w:top w:val="nil"/>
              <w:left w:val="nil"/>
              <w:bottom w:val="nil"/>
              <w:right w:val="nil"/>
            </w:tcBorders>
            <w:shd w:val="clear" w:color="auto" w:fill="auto"/>
            <w:noWrap/>
            <w:vAlign w:val="center"/>
            <w:hideMark/>
          </w:tcPr>
          <w:p w14:paraId="414120F8" w14:textId="6BA066A2" w:rsidR="000339A2" w:rsidRPr="000339A2" w:rsidRDefault="000339A2" w:rsidP="000339A2">
            <w:pPr>
              <w:ind w:firstLineChars="100" w:firstLine="181"/>
              <w:jc w:val="right"/>
              <w:rPr>
                <w:rFonts w:cs="Arial"/>
                <w:b/>
                <w:sz w:val="18"/>
                <w:szCs w:val="18"/>
              </w:rPr>
            </w:pPr>
            <w:r w:rsidRPr="000339A2">
              <w:rPr>
                <w:rFonts w:cs="Arial"/>
                <w:b/>
                <w:bCs/>
                <w:sz w:val="18"/>
                <w:szCs w:val="18"/>
              </w:rPr>
              <w:t>37,8</w:t>
            </w:r>
          </w:p>
        </w:tc>
        <w:tc>
          <w:tcPr>
            <w:tcW w:w="1159" w:type="dxa"/>
            <w:tcBorders>
              <w:top w:val="nil"/>
              <w:left w:val="nil"/>
              <w:bottom w:val="nil"/>
              <w:right w:val="nil"/>
            </w:tcBorders>
            <w:shd w:val="clear" w:color="auto" w:fill="auto"/>
            <w:noWrap/>
            <w:vAlign w:val="center"/>
            <w:hideMark/>
          </w:tcPr>
          <w:p w14:paraId="7A9AA128" w14:textId="06C0A77E" w:rsidR="000339A2" w:rsidRPr="000339A2" w:rsidRDefault="000339A2" w:rsidP="000339A2">
            <w:pPr>
              <w:ind w:firstLineChars="200" w:firstLine="361"/>
              <w:jc w:val="right"/>
              <w:rPr>
                <w:rFonts w:cs="Arial"/>
                <w:b/>
                <w:sz w:val="18"/>
                <w:szCs w:val="18"/>
              </w:rPr>
            </w:pPr>
            <w:r w:rsidRPr="000339A2">
              <w:rPr>
                <w:rFonts w:cs="Arial"/>
                <w:b/>
                <w:sz w:val="18"/>
                <w:szCs w:val="18"/>
              </w:rPr>
              <w:t>5,</w:t>
            </w:r>
            <w:r w:rsidRPr="000339A2">
              <w:rPr>
                <w:rFonts w:cs="Arial"/>
                <w:b/>
                <w:bCs/>
                <w:sz w:val="18"/>
                <w:szCs w:val="18"/>
              </w:rPr>
              <w:t>2</w:t>
            </w:r>
          </w:p>
        </w:tc>
      </w:tr>
      <w:tr w:rsidR="000339A2" w:rsidRPr="000339A2" w14:paraId="2EC667B6" w14:textId="77777777" w:rsidTr="0053380F">
        <w:trPr>
          <w:trHeight w:val="255"/>
        </w:trPr>
        <w:tc>
          <w:tcPr>
            <w:tcW w:w="2124" w:type="dxa"/>
            <w:tcBorders>
              <w:top w:val="nil"/>
              <w:left w:val="nil"/>
              <w:bottom w:val="nil"/>
              <w:right w:val="nil"/>
            </w:tcBorders>
            <w:shd w:val="clear" w:color="auto" w:fill="auto"/>
            <w:noWrap/>
            <w:vAlign w:val="center"/>
            <w:hideMark/>
          </w:tcPr>
          <w:p w14:paraId="4E6A68A5" w14:textId="7D494264" w:rsidR="000339A2" w:rsidRPr="000339A2" w:rsidRDefault="000339A2" w:rsidP="000339A2">
            <w:pPr>
              <w:rPr>
                <w:rFonts w:cs="Arial"/>
                <w:sz w:val="18"/>
                <w:szCs w:val="18"/>
              </w:rPr>
            </w:pPr>
            <w:r w:rsidRPr="000339A2">
              <w:rPr>
                <w:rFonts w:cs="Arial"/>
                <w:sz w:val="18"/>
                <w:szCs w:val="18"/>
              </w:rPr>
              <w:t>Trenčiansky SK</w:t>
            </w:r>
          </w:p>
        </w:tc>
        <w:tc>
          <w:tcPr>
            <w:tcW w:w="1136" w:type="dxa"/>
            <w:tcBorders>
              <w:top w:val="nil"/>
              <w:left w:val="nil"/>
              <w:bottom w:val="nil"/>
              <w:right w:val="nil"/>
            </w:tcBorders>
            <w:shd w:val="clear" w:color="auto" w:fill="auto"/>
            <w:noWrap/>
            <w:vAlign w:val="center"/>
            <w:hideMark/>
          </w:tcPr>
          <w:p w14:paraId="633D6FA2" w14:textId="49C82B91" w:rsidR="000339A2" w:rsidRPr="000339A2" w:rsidRDefault="000339A2" w:rsidP="000339A2">
            <w:pPr>
              <w:ind w:firstLineChars="100" w:firstLine="180"/>
              <w:jc w:val="right"/>
              <w:rPr>
                <w:rFonts w:cs="Arial"/>
                <w:sz w:val="18"/>
                <w:szCs w:val="18"/>
              </w:rPr>
            </w:pPr>
            <w:r w:rsidRPr="000339A2">
              <w:rPr>
                <w:rFonts w:cs="Arial"/>
                <w:sz w:val="18"/>
                <w:szCs w:val="18"/>
              </w:rPr>
              <w:t>41 887</w:t>
            </w:r>
          </w:p>
        </w:tc>
        <w:tc>
          <w:tcPr>
            <w:tcW w:w="1219" w:type="dxa"/>
            <w:tcBorders>
              <w:top w:val="nil"/>
              <w:left w:val="nil"/>
              <w:bottom w:val="nil"/>
              <w:right w:val="nil"/>
            </w:tcBorders>
            <w:shd w:val="clear" w:color="auto" w:fill="auto"/>
            <w:noWrap/>
            <w:vAlign w:val="center"/>
            <w:hideMark/>
          </w:tcPr>
          <w:p w14:paraId="46F0970E" w14:textId="61499AE0" w:rsidR="000339A2" w:rsidRPr="000339A2" w:rsidRDefault="000339A2" w:rsidP="000339A2">
            <w:pPr>
              <w:ind w:firstLineChars="200" w:firstLine="360"/>
              <w:jc w:val="right"/>
              <w:rPr>
                <w:rFonts w:cs="Arial"/>
                <w:sz w:val="18"/>
                <w:szCs w:val="18"/>
              </w:rPr>
            </w:pPr>
            <w:r w:rsidRPr="000339A2">
              <w:rPr>
                <w:rFonts w:cs="Arial"/>
                <w:sz w:val="18"/>
                <w:szCs w:val="18"/>
              </w:rPr>
              <w:t>441</w:t>
            </w:r>
          </w:p>
        </w:tc>
        <w:tc>
          <w:tcPr>
            <w:tcW w:w="1249" w:type="dxa"/>
            <w:tcBorders>
              <w:top w:val="nil"/>
              <w:left w:val="nil"/>
              <w:bottom w:val="nil"/>
              <w:right w:val="nil"/>
            </w:tcBorders>
            <w:shd w:val="clear" w:color="auto" w:fill="auto"/>
            <w:noWrap/>
            <w:vAlign w:val="center"/>
            <w:hideMark/>
          </w:tcPr>
          <w:p w14:paraId="16DFE1EF" w14:textId="02E1C405" w:rsidR="000339A2" w:rsidRPr="000339A2" w:rsidRDefault="000339A2" w:rsidP="000339A2">
            <w:pPr>
              <w:ind w:firstLineChars="200" w:firstLine="360"/>
              <w:jc w:val="right"/>
              <w:rPr>
                <w:rFonts w:cs="Arial"/>
                <w:sz w:val="18"/>
                <w:szCs w:val="18"/>
              </w:rPr>
            </w:pPr>
            <w:r w:rsidRPr="000339A2">
              <w:rPr>
                <w:rFonts w:cs="Arial"/>
                <w:sz w:val="18"/>
                <w:szCs w:val="18"/>
              </w:rPr>
              <w:t>2 242</w:t>
            </w:r>
          </w:p>
        </w:tc>
        <w:tc>
          <w:tcPr>
            <w:tcW w:w="1314" w:type="dxa"/>
            <w:tcBorders>
              <w:top w:val="nil"/>
              <w:left w:val="nil"/>
              <w:bottom w:val="nil"/>
              <w:right w:val="nil"/>
            </w:tcBorders>
            <w:shd w:val="clear" w:color="auto" w:fill="auto"/>
            <w:noWrap/>
            <w:vAlign w:val="center"/>
            <w:hideMark/>
          </w:tcPr>
          <w:p w14:paraId="25EB4C3E" w14:textId="1C8D8835" w:rsidR="000339A2" w:rsidRPr="000339A2" w:rsidRDefault="000339A2" w:rsidP="000339A2">
            <w:pPr>
              <w:ind w:firstLineChars="100" w:firstLine="180"/>
              <w:jc w:val="right"/>
              <w:rPr>
                <w:rFonts w:cs="Arial"/>
                <w:sz w:val="18"/>
                <w:szCs w:val="18"/>
              </w:rPr>
            </w:pPr>
            <w:r w:rsidRPr="000339A2">
              <w:rPr>
                <w:rFonts w:cs="Arial"/>
                <w:sz w:val="18"/>
                <w:szCs w:val="18"/>
              </w:rPr>
              <w:t>147 060</w:t>
            </w:r>
          </w:p>
        </w:tc>
        <w:tc>
          <w:tcPr>
            <w:tcW w:w="995" w:type="dxa"/>
            <w:tcBorders>
              <w:top w:val="nil"/>
              <w:left w:val="nil"/>
              <w:bottom w:val="nil"/>
              <w:right w:val="nil"/>
            </w:tcBorders>
            <w:shd w:val="clear" w:color="auto" w:fill="auto"/>
            <w:noWrap/>
            <w:vAlign w:val="center"/>
            <w:hideMark/>
          </w:tcPr>
          <w:p w14:paraId="4ED8A5C3" w14:textId="61CA7C24" w:rsidR="000339A2" w:rsidRPr="000339A2" w:rsidRDefault="000339A2" w:rsidP="000339A2">
            <w:pPr>
              <w:ind w:firstLineChars="100" w:firstLine="181"/>
              <w:jc w:val="right"/>
              <w:rPr>
                <w:rFonts w:cs="Arial"/>
                <w:b/>
                <w:sz w:val="18"/>
                <w:szCs w:val="18"/>
              </w:rPr>
            </w:pPr>
            <w:r w:rsidRPr="000339A2">
              <w:rPr>
                <w:rFonts w:cs="Arial"/>
                <w:b/>
                <w:bCs/>
                <w:sz w:val="18"/>
                <w:szCs w:val="18"/>
              </w:rPr>
              <w:t>28,5</w:t>
            </w:r>
          </w:p>
        </w:tc>
        <w:tc>
          <w:tcPr>
            <w:tcW w:w="1159" w:type="dxa"/>
            <w:tcBorders>
              <w:top w:val="nil"/>
              <w:left w:val="nil"/>
              <w:bottom w:val="nil"/>
              <w:right w:val="nil"/>
            </w:tcBorders>
            <w:shd w:val="clear" w:color="auto" w:fill="auto"/>
            <w:noWrap/>
            <w:vAlign w:val="center"/>
            <w:hideMark/>
          </w:tcPr>
          <w:p w14:paraId="685C0F5E" w14:textId="6FFEE5DE" w:rsidR="000339A2" w:rsidRPr="000339A2" w:rsidRDefault="000339A2" w:rsidP="000339A2">
            <w:pPr>
              <w:ind w:firstLineChars="200" w:firstLine="361"/>
              <w:jc w:val="right"/>
              <w:rPr>
                <w:rFonts w:cs="Arial"/>
                <w:b/>
                <w:sz w:val="18"/>
                <w:szCs w:val="18"/>
              </w:rPr>
            </w:pPr>
            <w:r w:rsidRPr="000339A2">
              <w:rPr>
                <w:rFonts w:cs="Arial"/>
                <w:b/>
                <w:sz w:val="18"/>
                <w:szCs w:val="18"/>
              </w:rPr>
              <w:t>2</w:t>
            </w:r>
            <w:r w:rsidRPr="000339A2">
              <w:rPr>
                <w:rFonts w:cs="Arial"/>
                <w:b/>
                <w:bCs/>
                <w:sz w:val="18"/>
                <w:szCs w:val="18"/>
              </w:rPr>
              <w:t>,7</w:t>
            </w:r>
          </w:p>
        </w:tc>
      </w:tr>
      <w:tr w:rsidR="000339A2" w:rsidRPr="000339A2" w14:paraId="5213325F" w14:textId="77777777" w:rsidTr="0053380F">
        <w:trPr>
          <w:trHeight w:val="255"/>
        </w:trPr>
        <w:tc>
          <w:tcPr>
            <w:tcW w:w="2124" w:type="dxa"/>
            <w:tcBorders>
              <w:top w:val="nil"/>
              <w:left w:val="nil"/>
              <w:bottom w:val="nil"/>
              <w:right w:val="nil"/>
            </w:tcBorders>
            <w:shd w:val="clear" w:color="auto" w:fill="auto"/>
            <w:noWrap/>
            <w:vAlign w:val="center"/>
            <w:hideMark/>
          </w:tcPr>
          <w:p w14:paraId="0C856D70" w14:textId="511D166A" w:rsidR="000339A2" w:rsidRPr="000339A2" w:rsidRDefault="000339A2" w:rsidP="000339A2">
            <w:pPr>
              <w:rPr>
                <w:rFonts w:cs="Arial"/>
                <w:sz w:val="18"/>
                <w:szCs w:val="18"/>
              </w:rPr>
            </w:pPr>
            <w:r w:rsidRPr="000339A2">
              <w:rPr>
                <w:rFonts w:cs="Arial"/>
                <w:sz w:val="18"/>
                <w:szCs w:val="18"/>
              </w:rPr>
              <w:t>Nitriansky SK</w:t>
            </w:r>
          </w:p>
        </w:tc>
        <w:tc>
          <w:tcPr>
            <w:tcW w:w="1136" w:type="dxa"/>
            <w:tcBorders>
              <w:top w:val="nil"/>
              <w:left w:val="nil"/>
              <w:bottom w:val="nil"/>
              <w:right w:val="nil"/>
            </w:tcBorders>
            <w:shd w:val="clear" w:color="auto" w:fill="auto"/>
            <w:noWrap/>
            <w:vAlign w:val="center"/>
            <w:hideMark/>
          </w:tcPr>
          <w:p w14:paraId="75C41DA1" w14:textId="5080D260" w:rsidR="000339A2" w:rsidRPr="000339A2" w:rsidRDefault="000339A2" w:rsidP="000339A2">
            <w:pPr>
              <w:ind w:firstLineChars="100" w:firstLine="180"/>
              <w:jc w:val="right"/>
              <w:rPr>
                <w:rFonts w:cs="Arial"/>
                <w:sz w:val="18"/>
                <w:szCs w:val="18"/>
              </w:rPr>
            </w:pPr>
            <w:r w:rsidRPr="000339A2">
              <w:rPr>
                <w:rFonts w:cs="Arial"/>
                <w:sz w:val="18"/>
                <w:szCs w:val="18"/>
              </w:rPr>
              <w:t>17 361</w:t>
            </w:r>
          </w:p>
        </w:tc>
        <w:tc>
          <w:tcPr>
            <w:tcW w:w="1219" w:type="dxa"/>
            <w:tcBorders>
              <w:top w:val="nil"/>
              <w:left w:val="nil"/>
              <w:bottom w:val="nil"/>
              <w:right w:val="nil"/>
            </w:tcBorders>
            <w:shd w:val="clear" w:color="auto" w:fill="auto"/>
            <w:noWrap/>
            <w:vAlign w:val="center"/>
            <w:hideMark/>
          </w:tcPr>
          <w:p w14:paraId="7FB18F50" w14:textId="7DF5C2B5" w:rsidR="000339A2" w:rsidRPr="000339A2" w:rsidRDefault="000339A2" w:rsidP="000339A2">
            <w:pPr>
              <w:ind w:firstLineChars="200" w:firstLine="360"/>
              <w:jc w:val="right"/>
              <w:rPr>
                <w:rFonts w:cs="Arial"/>
                <w:sz w:val="18"/>
                <w:szCs w:val="18"/>
              </w:rPr>
            </w:pPr>
            <w:r w:rsidRPr="000339A2">
              <w:rPr>
                <w:rFonts w:cs="Arial"/>
                <w:sz w:val="18"/>
                <w:szCs w:val="18"/>
              </w:rPr>
              <w:t>177</w:t>
            </w:r>
          </w:p>
        </w:tc>
        <w:tc>
          <w:tcPr>
            <w:tcW w:w="1249" w:type="dxa"/>
            <w:tcBorders>
              <w:top w:val="nil"/>
              <w:left w:val="nil"/>
              <w:bottom w:val="nil"/>
              <w:right w:val="nil"/>
            </w:tcBorders>
            <w:shd w:val="clear" w:color="auto" w:fill="auto"/>
            <w:noWrap/>
            <w:vAlign w:val="center"/>
            <w:hideMark/>
          </w:tcPr>
          <w:p w14:paraId="59D3EA92" w14:textId="026893ED" w:rsidR="000339A2" w:rsidRPr="000339A2" w:rsidRDefault="000339A2" w:rsidP="000339A2">
            <w:pPr>
              <w:ind w:firstLineChars="200" w:firstLine="360"/>
              <w:jc w:val="right"/>
              <w:rPr>
                <w:rFonts w:cs="Arial"/>
                <w:sz w:val="18"/>
                <w:szCs w:val="18"/>
              </w:rPr>
            </w:pPr>
            <w:r w:rsidRPr="000339A2">
              <w:rPr>
                <w:rFonts w:cs="Arial"/>
                <w:sz w:val="18"/>
                <w:szCs w:val="18"/>
              </w:rPr>
              <w:t>2 467</w:t>
            </w:r>
          </w:p>
        </w:tc>
        <w:tc>
          <w:tcPr>
            <w:tcW w:w="1314" w:type="dxa"/>
            <w:tcBorders>
              <w:top w:val="nil"/>
              <w:left w:val="nil"/>
              <w:bottom w:val="nil"/>
              <w:right w:val="nil"/>
            </w:tcBorders>
            <w:shd w:val="clear" w:color="auto" w:fill="auto"/>
            <w:noWrap/>
            <w:vAlign w:val="center"/>
            <w:hideMark/>
          </w:tcPr>
          <w:p w14:paraId="31DABC48" w14:textId="697BDEB0" w:rsidR="000339A2" w:rsidRPr="000339A2" w:rsidRDefault="000339A2" w:rsidP="000339A2">
            <w:pPr>
              <w:ind w:firstLineChars="100" w:firstLine="180"/>
              <w:jc w:val="right"/>
              <w:rPr>
                <w:rFonts w:cs="Arial"/>
                <w:sz w:val="18"/>
                <w:szCs w:val="18"/>
              </w:rPr>
            </w:pPr>
            <w:r w:rsidRPr="000339A2">
              <w:rPr>
                <w:rFonts w:cs="Arial"/>
                <w:sz w:val="18"/>
                <w:szCs w:val="18"/>
              </w:rPr>
              <w:t>186 621</w:t>
            </w:r>
          </w:p>
        </w:tc>
        <w:tc>
          <w:tcPr>
            <w:tcW w:w="995" w:type="dxa"/>
            <w:tcBorders>
              <w:top w:val="nil"/>
              <w:left w:val="nil"/>
              <w:bottom w:val="nil"/>
              <w:right w:val="nil"/>
            </w:tcBorders>
            <w:shd w:val="clear" w:color="auto" w:fill="auto"/>
            <w:noWrap/>
            <w:vAlign w:val="center"/>
            <w:hideMark/>
          </w:tcPr>
          <w:p w14:paraId="2F75D672" w14:textId="338E5BE8" w:rsidR="000339A2" w:rsidRPr="000339A2" w:rsidRDefault="000339A2" w:rsidP="000339A2">
            <w:pPr>
              <w:ind w:firstLineChars="100" w:firstLine="181"/>
              <w:jc w:val="right"/>
              <w:rPr>
                <w:rFonts w:cs="Arial"/>
                <w:b/>
                <w:sz w:val="18"/>
                <w:szCs w:val="18"/>
              </w:rPr>
            </w:pPr>
            <w:r w:rsidRPr="000339A2">
              <w:rPr>
                <w:rFonts w:cs="Arial"/>
                <w:b/>
                <w:bCs/>
                <w:sz w:val="18"/>
                <w:szCs w:val="18"/>
              </w:rPr>
              <w:t>9</w:t>
            </w:r>
            <w:r w:rsidRPr="000339A2">
              <w:rPr>
                <w:rFonts w:cs="Arial"/>
                <w:b/>
                <w:sz w:val="18"/>
                <w:szCs w:val="18"/>
              </w:rPr>
              <w:t>,3</w:t>
            </w:r>
          </w:p>
        </w:tc>
        <w:tc>
          <w:tcPr>
            <w:tcW w:w="1159" w:type="dxa"/>
            <w:tcBorders>
              <w:top w:val="nil"/>
              <w:left w:val="nil"/>
              <w:bottom w:val="nil"/>
              <w:right w:val="nil"/>
            </w:tcBorders>
            <w:shd w:val="clear" w:color="auto" w:fill="auto"/>
            <w:noWrap/>
            <w:vAlign w:val="center"/>
            <w:hideMark/>
          </w:tcPr>
          <w:p w14:paraId="56B0A768" w14:textId="061F6BEE" w:rsidR="000339A2" w:rsidRPr="000339A2" w:rsidRDefault="000339A2" w:rsidP="000339A2">
            <w:pPr>
              <w:ind w:firstLineChars="200" w:firstLine="361"/>
              <w:jc w:val="right"/>
              <w:rPr>
                <w:rFonts w:cs="Arial"/>
                <w:b/>
                <w:sz w:val="18"/>
                <w:szCs w:val="18"/>
              </w:rPr>
            </w:pPr>
            <w:r w:rsidRPr="000339A2">
              <w:rPr>
                <w:rFonts w:cs="Arial"/>
                <w:b/>
                <w:sz w:val="18"/>
                <w:szCs w:val="18"/>
              </w:rPr>
              <w:t>2,</w:t>
            </w:r>
            <w:r w:rsidRPr="000339A2">
              <w:rPr>
                <w:rFonts w:cs="Arial"/>
                <w:b/>
                <w:bCs/>
                <w:sz w:val="18"/>
                <w:szCs w:val="18"/>
              </w:rPr>
              <w:t>0</w:t>
            </w:r>
          </w:p>
        </w:tc>
      </w:tr>
      <w:tr w:rsidR="000339A2" w:rsidRPr="000339A2" w14:paraId="57D9F813" w14:textId="77777777" w:rsidTr="0053380F">
        <w:trPr>
          <w:trHeight w:val="255"/>
        </w:trPr>
        <w:tc>
          <w:tcPr>
            <w:tcW w:w="2124" w:type="dxa"/>
            <w:tcBorders>
              <w:top w:val="nil"/>
              <w:left w:val="nil"/>
              <w:bottom w:val="nil"/>
              <w:right w:val="nil"/>
            </w:tcBorders>
            <w:shd w:val="clear" w:color="auto" w:fill="auto"/>
            <w:noWrap/>
            <w:vAlign w:val="center"/>
            <w:hideMark/>
          </w:tcPr>
          <w:p w14:paraId="45804E70" w14:textId="0EE96687" w:rsidR="000339A2" w:rsidRPr="000339A2" w:rsidRDefault="000339A2" w:rsidP="000339A2">
            <w:pPr>
              <w:rPr>
                <w:rFonts w:cs="Arial"/>
                <w:sz w:val="18"/>
                <w:szCs w:val="18"/>
              </w:rPr>
            </w:pPr>
            <w:r w:rsidRPr="000339A2">
              <w:rPr>
                <w:rFonts w:cs="Arial"/>
                <w:sz w:val="18"/>
                <w:szCs w:val="18"/>
              </w:rPr>
              <w:t>Žilinský SK</w:t>
            </w:r>
          </w:p>
        </w:tc>
        <w:tc>
          <w:tcPr>
            <w:tcW w:w="1136" w:type="dxa"/>
            <w:tcBorders>
              <w:top w:val="nil"/>
              <w:left w:val="nil"/>
              <w:bottom w:val="nil"/>
              <w:right w:val="nil"/>
            </w:tcBorders>
            <w:shd w:val="clear" w:color="auto" w:fill="auto"/>
            <w:noWrap/>
            <w:vAlign w:val="center"/>
            <w:hideMark/>
          </w:tcPr>
          <w:p w14:paraId="664DF60D" w14:textId="7D466B5C" w:rsidR="000339A2" w:rsidRPr="000339A2" w:rsidRDefault="000339A2" w:rsidP="000339A2">
            <w:pPr>
              <w:ind w:firstLineChars="100" w:firstLine="180"/>
              <w:jc w:val="right"/>
              <w:rPr>
                <w:rFonts w:cs="Arial"/>
                <w:sz w:val="18"/>
                <w:szCs w:val="18"/>
              </w:rPr>
            </w:pPr>
            <w:r w:rsidRPr="000339A2">
              <w:rPr>
                <w:rFonts w:cs="Arial"/>
                <w:sz w:val="18"/>
                <w:szCs w:val="18"/>
              </w:rPr>
              <w:t>55 251</w:t>
            </w:r>
          </w:p>
        </w:tc>
        <w:tc>
          <w:tcPr>
            <w:tcW w:w="1219" w:type="dxa"/>
            <w:tcBorders>
              <w:top w:val="nil"/>
              <w:left w:val="nil"/>
              <w:bottom w:val="nil"/>
              <w:right w:val="nil"/>
            </w:tcBorders>
            <w:shd w:val="clear" w:color="auto" w:fill="auto"/>
            <w:noWrap/>
            <w:vAlign w:val="center"/>
            <w:hideMark/>
          </w:tcPr>
          <w:p w14:paraId="57E548FB" w14:textId="1A276915" w:rsidR="000339A2" w:rsidRPr="000339A2" w:rsidRDefault="000339A2" w:rsidP="000339A2">
            <w:pPr>
              <w:ind w:firstLineChars="200" w:firstLine="360"/>
              <w:jc w:val="right"/>
              <w:rPr>
                <w:rFonts w:cs="Arial"/>
                <w:sz w:val="18"/>
                <w:szCs w:val="18"/>
              </w:rPr>
            </w:pPr>
            <w:r w:rsidRPr="000339A2">
              <w:rPr>
                <w:rFonts w:cs="Arial"/>
                <w:sz w:val="18"/>
                <w:szCs w:val="18"/>
              </w:rPr>
              <w:t>302</w:t>
            </w:r>
          </w:p>
        </w:tc>
        <w:tc>
          <w:tcPr>
            <w:tcW w:w="1249" w:type="dxa"/>
            <w:tcBorders>
              <w:top w:val="nil"/>
              <w:left w:val="nil"/>
              <w:bottom w:val="nil"/>
              <w:right w:val="nil"/>
            </w:tcBorders>
            <w:shd w:val="clear" w:color="auto" w:fill="auto"/>
            <w:noWrap/>
            <w:vAlign w:val="center"/>
            <w:hideMark/>
          </w:tcPr>
          <w:p w14:paraId="122DB37B" w14:textId="47058F5D" w:rsidR="000339A2" w:rsidRPr="000339A2" w:rsidRDefault="000339A2" w:rsidP="000339A2">
            <w:pPr>
              <w:ind w:firstLineChars="200" w:firstLine="360"/>
              <w:jc w:val="right"/>
              <w:rPr>
                <w:rFonts w:cs="Arial"/>
                <w:sz w:val="18"/>
                <w:szCs w:val="18"/>
              </w:rPr>
            </w:pPr>
            <w:r w:rsidRPr="000339A2">
              <w:rPr>
                <w:rFonts w:cs="Arial"/>
                <w:sz w:val="18"/>
                <w:szCs w:val="18"/>
              </w:rPr>
              <w:t>3 334</w:t>
            </w:r>
          </w:p>
        </w:tc>
        <w:tc>
          <w:tcPr>
            <w:tcW w:w="1314" w:type="dxa"/>
            <w:tcBorders>
              <w:top w:val="nil"/>
              <w:left w:val="nil"/>
              <w:bottom w:val="nil"/>
              <w:right w:val="nil"/>
            </w:tcBorders>
            <w:shd w:val="clear" w:color="auto" w:fill="auto"/>
            <w:noWrap/>
            <w:vAlign w:val="center"/>
            <w:hideMark/>
          </w:tcPr>
          <w:p w14:paraId="7E4B378B" w14:textId="7AEB6BB6" w:rsidR="000339A2" w:rsidRPr="000339A2" w:rsidRDefault="000339A2" w:rsidP="000339A2">
            <w:pPr>
              <w:ind w:firstLineChars="100" w:firstLine="180"/>
              <w:jc w:val="right"/>
              <w:rPr>
                <w:rFonts w:cs="Arial"/>
                <w:sz w:val="18"/>
                <w:szCs w:val="18"/>
              </w:rPr>
            </w:pPr>
            <w:r w:rsidRPr="000339A2">
              <w:rPr>
                <w:rFonts w:cs="Arial"/>
                <w:sz w:val="18"/>
                <w:szCs w:val="18"/>
              </w:rPr>
              <w:t>186 890</w:t>
            </w:r>
          </w:p>
        </w:tc>
        <w:tc>
          <w:tcPr>
            <w:tcW w:w="995" w:type="dxa"/>
            <w:tcBorders>
              <w:top w:val="nil"/>
              <w:left w:val="nil"/>
              <w:bottom w:val="nil"/>
              <w:right w:val="nil"/>
            </w:tcBorders>
            <w:shd w:val="clear" w:color="auto" w:fill="auto"/>
            <w:noWrap/>
            <w:vAlign w:val="center"/>
            <w:hideMark/>
          </w:tcPr>
          <w:p w14:paraId="269EC2BD" w14:textId="1642AB94" w:rsidR="000339A2" w:rsidRPr="000339A2" w:rsidRDefault="000339A2" w:rsidP="000339A2">
            <w:pPr>
              <w:ind w:firstLineChars="100" w:firstLine="181"/>
              <w:jc w:val="right"/>
              <w:rPr>
                <w:rFonts w:cs="Arial"/>
                <w:b/>
                <w:sz w:val="18"/>
                <w:szCs w:val="18"/>
              </w:rPr>
            </w:pPr>
            <w:r w:rsidRPr="000339A2">
              <w:rPr>
                <w:rFonts w:cs="Arial"/>
                <w:b/>
                <w:bCs/>
                <w:sz w:val="18"/>
                <w:szCs w:val="18"/>
              </w:rPr>
              <w:t>29,6</w:t>
            </w:r>
          </w:p>
        </w:tc>
        <w:tc>
          <w:tcPr>
            <w:tcW w:w="1159" w:type="dxa"/>
            <w:tcBorders>
              <w:top w:val="nil"/>
              <w:left w:val="nil"/>
              <w:bottom w:val="nil"/>
              <w:right w:val="nil"/>
            </w:tcBorders>
            <w:shd w:val="clear" w:color="auto" w:fill="auto"/>
            <w:noWrap/>
            <w:vAlign w:val="center"/>
            <w:hideMark/>
          </w:tcPr>
          <w:p w14:paraId="33A18E39" w14:textId="6B773F6D" w:rsidR="000339A2" w:rsidRPr="000339A2" w:rsidRDefault="000339A2" w:rsidP="000339A2">
            <w:pPr>
              <w:ind w:firstLineChars="200" w:firstLine="361"/>
              <w:jc w:val="right"/>
              <w:rPr>
                <w:rFonts w:cs="Arial"/>
                <w:b/>
                <w:sz w:val="18"/>
                <w:szCs w:val="18"/>
              </w:rPr>
            </w:pPr>
            <w:r w:rsidRPr="000339A2">
              <w:rPr>
                <w:rFonts w:cs="Arial"/>
                <w:b/>
                <w:sz w:val="18"/>
                <w:szCs w:val="18"/>
              </w:rPr>
              <w:t>2,</w:t>
            </w:r>
            <w:r w:rsidRPr="000339A2">
              <w:rPr>
                <w:rFonts w:cs="Arial"/>
                <w:b/>
                <w:bCs/>
                <w:sz w:val="18"/>
                <w:szCs w:val="18"/>
              </w:rPr>
              <w:t>9</w:t>
            </w:r>
          </w:p>
        </w:tc>
      </w:tr>
      <w:tr w:rsidR="000339A2" w:rsidRPr="000339A2" w14:paraId="0AD2778D" w14:textId="77777777" w:rsidTr="0053380F">
        <w:trPr>
          <w:trHeight w:val="255"/>
        </w:trPr>
        <w:tc>
          <w:tcPr>
            <w:tcW w:w="2124" w:type="dxa"/>
            <w:tcBorders>
              <w:top w:val="nil"/>
              <w:left w:val="nil"/>
              <w:bottom w:val="nil"/>
              <w:right w:val="nil"/>
            </w:tcBorders>
            <w:shd w:val="clear" w:color="auto" w:fill="auto"/>
            <w:noWrap/>
            <w:vAlign w:val="center"/>
            <w:hideMark/>
          </w:tcPr>
          <w:p w14:paraId="600EC2CC" w14:textId="2E8332C1" w:rsidR="000339A2" w:rsidRPr="000339A2" w:rsidRDefault="000339A2" w:rsidP="000339A2">
            <w:pPr>
              <w:rPr>
                <w:rFonts w:cs="Arial"/>
                <w:sz w:val="18"/>
                <w:szCs w:val="18"/>
              </w:rPr>
            </w:pPr>
            <w:r w:rsidRPr="000339A2">
              <w:rPr>
                <w:rFonts w:cs="Arial"/>
                <w:sz w:val="18"/>
                <w:szCs w:val="18"/>
              </w:rPr>
              <w:t>Banskobystrický SK</w:t>
            </w:r>
          </w:p>
        </w:tc>
        <w:tc>
          <w:tcPr>
            <w:tcW w:w="1136" w:type="dxa"/>
            <w:tcBorders>
              <w:top w:val="nil"/>
              <w:left w:val="nil"/>
              <w:bottom w:val="nil"/>
              <w:right w:val="nil"/>
            </w:tcBorders>
            <w:shd w:val="clear" w:color="auto" w:fill="auto"/>
            <w:noWrap/>
            <w:vAlign w:val="center"/>
            <w:hideMark/>
          </w:tcPr>
          <w:p w14:paraId="3153FA68" w14:textId="38B4D7BE" w:rsidR="000339A2" w:rsidRPr="000339A2" w:rsidRDefault="000339A2" w:rsidP="000339A2">
            <w:pPr>
              <w:ind w:firstLineChars="100" w:firstLine="180"/>
              <w:jc w:val="right"/>
              <w:rPr>
                <w:rFonts w:cs="Arial"/>
                <w:sz w:val="18"/>
                <w:szCs w:val="18"/>
              </w:rPr>
            </w:pPr>
            <w:r w:rsidRPr="000339A2">
              <w:rPr>
                <w:rFonts w:cs="Arial"/>
                <w:sz w:val="18"/>
                <w:szCs w:val="18"/>
              </w:rPr>
              <w:t>27 739</w:t>
            </w:r>
          </w:p>
        </w:tc>
        <w:tc>
          <w:tcPr>
            <w:tcW w:w="1219" w:type="dxa"/>
            <w:tcBorders>
              <w:top w:val="nil"/>
              <w:left w:val="nil"/>
              <w:bottom w:val="nil"/>
              <w:right w:val="nil"/>
            </w:tcBorders>
            <w:shd w:val="clear" w:color="auto" w:fill="auto"/>
            <w:noWrap/>
            <w:vAlign w:val="center"/>
            <w:hideMark/>
          </w:tcPr>
          <w:p w14:paraId="7DBA29A4" w14:textId="0CAA2DBF" w:rsidR="000339A2" w:rsidRPr="000339A2" w:rsidRDefault="000339A2" w:rsidP="000339A2">
            <w:pPr>
              <w:ind w:firstLineChars="200" w:firstLine="360"/>
              <w:jc w:val="right"/>
              <w:rPr>
                <w:rFonts w:cs="Arial"/>
                <w:sz w:val="18"/>
                <w:szCs w:val="18"/>
              </w:rPr>
            </w:pPr>
            <w:r w:rsidRPr="000339A2">
              <w:rPr>
                <w:rFonts w:cs="Arial"/>
                <w:sz w:val="18"/>
                <w:szCs w:val="18"/>
              </w:rPr>
              <w:t>321</w:t>
            </w:r>
          </w:p>
        </w:tc>
        <w:tc>
          <w:tcPr>
            <w:tcW w:w="1249" w:type="dxa"/>
            <w:tcBorders>
              <w:top w:val="nil"/>
              <w:left w:val="nil"/>
              <w:bottom w:val="nil"/>
              <w:right w:val="nil"/>
            </w:tcBorders>
            <w:shd w:val="clear" w:color="auto" w:fill="auto"/>
            <w:noWrap/>
            <w:vAlign w:val="center"/>
            <w:hideMark/>
          </w:tcPr>
          <w:p w14:paraId="69DC6BD1" w14:textId="42FC716A" w:rsidR="000339A2" w:rsidRPr="000339A2" w:rsidRDefault="000339A2" w:rsidP="000339A2">
            <w:pPr>
              <w:ind w:firstLineChars="200" w:firstLine="360"/>
              <w:jc w:val="right"/>
              <w:rPr>
                <w:rFonts w:cs="Arial"/>
                <w:sz w:val="18"/>
                <w:szCs w:val="18"/>
              </w:rPr>
            </w:pPr>
            <w:r w:rsidRPr="000339A2">
              <w:rPr>
                <w:rFonts w:cs="Arial"/>
                <w:sz w:val="18"/>
                <w:szCs w:val="18"/>
              </w:rPr>
              <w:t>6 909</w:t>
            </w:r>
          </w:p>
        </w:tc>
        <w:tc>
          <w:tcPr>
            <w:tcW w:w="1314" w:type="dxa"/>
            <w:tcBorders>
              <w:top w:val="nil"/>
              <w:left w:val="nil"/>
              <w:bottom w:val="nil"/>
              <w:right w:val="nil"/>
            </w:tcBorders>
            <w:shd w:val="clear" w:color="auto" w:fill="auto"/>
            <w:noWrap/>
            <w:vAlign w:val="center"/>
            <w:hideMark/>
          </w:tcPr>
          <w:p w14:paraId="482118DA" w14:textId="7F422AEE" w:rsidR="000339A2" w:rsidRPr="000339A2" w:rsidRDefault="000339A2" w:rsidP="000339A2">
            <w:pPr>
              <w:ind w:firstLineChars="100" w:firstLine="180"/>
              <w:jc w:val="right"/>
              <w:rPr>
                <w:rFonts w:cs="Arial"/>
                <w:sz w:val="18"/>
                <w:szCs w:val="18"/>
              </w:rPr>
            </w:pPr>
            <w:r w:rsidRPr="000339A2">
              <w:rPr>
                <w:rFonts w:cs="Arial"/>
                <w:sz w:val="18"/>
                <w:szCs w:val="18"/>
              </w:rPr>
              <w:t>182 737</w:t>
            </w:r>
          </w:p>
        </w:tc>
        <w:tc>
          <w:tcPr>
            <w:tcW w:w="995" w:type="dxa"/>
            <w:tcBorders>
              <w:top w:val="nil"/>
              <w:left w:val="nil"/>
              <w:bottom w:val="nil"/>
              <w:right w:val="nil"/>
            </w:tcBorders>
            <w:shd w:val="clear" w:color="auto" w:fill="auto"/>
            <w:noWrap/>
            <w:vAlign w:val="center"/>
            <w:hideMark/>
          </w:tcPr>
          <w:p w14:paraId="38C33A90" w14:textId="5091B5A8" w:rsidR="000339A2" w:rsidRPr="000339A2" w:rsidRDefault="000339A2" w:rsidP="000339A2">
            <w:pPr>
              <w:ind w:firstLineChars="100" w:firstLine="181"/>
              <w:jc w:val="right"/>
              <w:rPr>
                <w:rFonts w:cs="Arial"/>
                <w:b/>
                <w:sz w:val="18"/>
                <w:szCs w:val="18"/>
              </w:rPr>
            </w:pPr>
            <w:r w:rsidRPr="000339A2">
              <w:rPr>
                <w:rFonts w:cs="Arial"/>
                <w:b/>
                <w:sz w:val="18"/>
                <w:szCs w:val="18"/>
              </w:rPr>
              <w:t>15,</w:t>
            </w:r>
            <w:r w:rsidRPr="000339A2">
              <w:rPr>
                <w:rFonts w:cs="Arial"/>
                <w:b/>
                <w:bCs/>
                <w:sz w:val="18"/>
                <w:szCs w:val="18"/>
              </w:rPr>
              <w:t>2</w:t>
            </w:r>
          </w:p>
        </w:tc>
        <w:tc>
          <w:tcPr>
            <w:tcW w:w="1159" w:type="dxa"/>
            <w:tcBorders>
              <w:top w:val="nil"/>
              <w:left w:val="nil"/>
              <w:bottom w:val="nil"/>
              <w:right w:val="nil"/>
            </w:tcBorders>
            <w:shd w:val="clear" w:color="auto" w:fill="auto"/>
            <w:noWrap/>
            <w:vAlign w:val="center"/>
            <w:hideMark/>
          </w:tcPr>
          <w:p w14:paraId="34AA7836" w14:textId="7EE750CA" w:rsidR="000339A2" w:rsidRPr="000339A2" w:rsidRDefault="000339A2" w:rsidP="000339A2">
            <w:pPr>
              <w:ind w:firstLineChars="200" w:firstLine="361"/>
              <w:jc w:val="right"/>
              <w:rPr>
                <w:rFonts w:cs="Arial"/>
                <w:b/>
                <w:sz w:val="18"/>
                <w:szCs w:val="18"/>
              </w:rPr>
            </w:pPr>
            <w:r w:rsidRPr="000339A2">
              <w:rPr>
                <w:rFonts w:cs="Arial"/>
                <w:b/>
                <w:sz w:val="18"/>
                <w:szCs w:val="18"/>
              </w:rPr>
              <w:t>5,</w:t>
            </w:r>
            <w:r w:rsidRPr="000339A2">
              <w:rPr>
                <w:rFonts w:cs="Arial"/>
                <w:b/>
                <w:bCs/>
                <w:sz w:val="18"/>
                <w:szCs w:val="18"/>
              </w:rPr>
              <w:t>4</w:t>
            </w:r>
          </w:p>
        </w:tc>
      </w:tr>
      <w:tr w:rsidR="000339A2" w:rsidRPr="000339A2" w14:paraId="16606554" w14:textId="77777777" w:rsidTr="0053380F">
        <w:trPr>
          <w:trHeight w:val="255"/>
        </w:trPr>
        <w:tc>
          <w:tcPr>
            <w:tcW w:w="2124" w:type="dxa"/>
            <w:tcBorders>
              <w:top w:val="nil"/>
              <w:left w:val="nil"/>
              <w:bottom w:val="nil"/>
              <w:right w:val="nil"/>
            </w:tcBorders>
            <w:shd w:val="clear" w:color="auto" w:fill="auto"/>
            <w:noWrap/>
            <w:vAlign w:val="center"/>
            <w:hideMark/>
          </w:tcPr>
          <w:p w14:paraId="47411E16" w14:textId="09A8270C" w:rsidR="000339A2" w:rsidRPr="000339A2" w:rsidRDefault="000339A2" w:rsidP="000339A2">
            <w:pPr>
              <w:rPr>
                <w:rFonts w:cs="Arial"/>
                <w:sz w:val="18"/>
                <w:szCs w:val="18"/>
              </w:rPr>
            </w:pPr>
            <w:r w:rsidRPr="000339A2">
              <w:rPr>
                <w:rFonts w:cs="Arial"/>
                <w:sz w:val="18"/>
                <w:szCs w:val="18"/>
              </w:rPr>
              <w:t>Prešovský SK</w:t>
            </w:r>
          </w:p>
        </w:tc>
        <w:tc>
          <w:tcPr>
            <w:tcW w:w="1136" w:type="dxa"/>
            <w:tcBorders>
              <w:top w:val="nil"/>
              <w:left w:val="nil"/>
              <w:bottom w:val="nil"/>
              <w:right w:val="nil"/>
            </w:tcBorders>
            <w:shd w:val="clear" w:color="auto" w:fill="auto"/>
            <w:noWrap/>
            <w:vAlign w:val="center"/>
            <w:hideMark/>
          </w:tcPr>
          <w:p w14:paraId="282BFEDF" w14:textId="7FA1DA61" w:rsidR="000339A2" w:rsidRPr="000339A2" w:rsidRDefault="000339A2" w:rsidP="000339A2">
            <w:pPr>
              <w:ind w:firstLineChars="100" w:firstLine="180"/>
              <w:jc w:val="right"/>
              <w:rPr>
                <w:rFonts w:cs="Arial"/>
                <w:sz w:val="18"/>
                <w:szCs w:val="18"/>
              </w:rPr>
            </w:pPr>
            <w:r w:rsidRPr="000339A2">
              <w:rPr>
                <w:rFonts w:cs="Arial"/>
                <w:sz w:val="18"/>
                <w:szCs w:val="18"/>
              </w:rPr>
              <w:t>66 432</w:t>
            </w:r>
          </w:p>
        </w:tc>
        <w:tc>
          <w:tcPr>
            <w:tcW w:w="1219" w:type="dxa"/>
            <w:tcBorders>
              <w:top w:val="nil"/>
              <w:left w:val="nil"/>
              <w:bottom w:val="nil"/>
              <w:right w:val="nil"/>
            </w:tcBorders>
            <w:shd w:val="clear" w:color="auto" w:fill="auto"/>
            <w:noWrap/>
            <w:vAlign w:val="center"/>
            <w:hideMark/>
          </w:tcPr>
          <w:p w14:paraId="3ADD726D" w14:textId="6688B834" w:rsidR="000339A2" w:rsidRPr="000339A2" w:rsidRDefault="000339A2" w:rsidP="000339A2">
            <w:pPr>
              <w:ind w:firstLineChars="200" w:firstLine="360"/>
              <w:jc w:val="right"/>
              <w:rPr>
                <w:rFonts w:cs="Arial"/>
                <w:sz w:val="18"/>
                <w:szCs w:val="18"/>
              </w:rPr>
            </w:pPr>
            <w:r w:rsidRPr="000339A2">
              <w:rPr>
                <w:rFonts w:cs="Arial"/>
                <w:sz w:val="18"/>
                <w:szCs w:val="18"/>
              </w:rPr>
              <w:t>449</w:t>
            </w:r>
          </w:p>
        </w:tc>
        <w:tc>
          <w:tcPr>
            <w:tcW w:w="1249" w:type="dxa"/>
            <w:tcBorders>
              <w:top w:val="nil"/>
              <w:left w:val="nil"/>
              <w:bottom w:val="nil"/>
              <w:right w:val="nil"/>
            </w:tcBorders>
            <w:shd w:val="clear" w:color="auto" w:fill="auto"/>
            <w:noWrap/>
            <w:vAlign w:val="center"/>
            <w:hideMark/>
          </w:tcPr>
          <w:p w14:paraId="5C7B8907" w14:textId="3F303591" w:rsidR="000339A2" w:rsidRPr="000339A2" w:rsidRDefault="000339A2" w:rsidP="000339A2">
            <w:pPr>
              <w:ind w:firstLineChars="200" w:firstLine="360"/>
              <w:jc w:val="right"/>
              <w:rPr>
                <w:rFonts w:cs="Arial"/>
                <w:sz w:val="18"/>
                <w:szCs w:val="18"/>
              </w:rPr>
            </w:pPr>
            <w:r w:rsidRPr="000339A2">
              <w:rPr>
                <w:rFonts w:cs="Arial"/>
                <w:sz w:val="18"/>
                <w:szCs w:val="18"/>
              </w:rPr>
              <w:t>2 190</w:t>
            </w:r>
          </w:p>
        </w:tc>
        <w:tc>
          <w:tcPr>
            <w:tcW w:w="1314" w:type="dxa"/>
            <w:tcBorders>
              <w:top w:val="nil"/>
              <w:left w:val="nil"/>
              <w:bottom w:val="nil"/>
              <w:right w:val="nil"/>
            </w:tcBorders>
            <w:shd w:val="clear" w:color="auto" w:fill="auto"/>
            <w:noWrap/>
            <w:vAlign w:val="center"/>
            <w:hideMark/>
          </w:tcPr>
          <w:p w14:paraId="0A44ABAF" w14:textId="562D4B70" w:rsidR="000339A2" w:rsidRPr="000339A2" w:rsidRDefault="000339A2" w:rsidP="000339A2">
            <w:pPr>
              <w:ind w:firstLineChars="100" w:firstLine="180"/>
              <w:jc w:val="right"/>
              <w:rPr>
                <w:rFonts w:cs="Arial"/>
                <w:sz w:val="18"/>
                <w:szCs w:val="18"/>
              </w:rPr>
            </w:pPr>
            <w:r w:rsidRPr="000339A2">
              <w:rPr>
                <w:rFonts w:cs="Arial"/>
                <w:sz w:val="18"/>
                <w:szCs w:val="18"/>
              </w:rPr>
              <w:t>210 433</w:t>
            </w:r>
          </w:p>
        </w:tc>
        <w:tc>
          <w:tcPr>
            <w:tcW w:w="995" w:type="dxa"/>
            <w:tcBorders>
              <w:top w:val="nil"/>
              <w:left w:val="nil"/>
              <w:bottom w:val="nil"/>
              <w:right w:val="nil"/>
            </w:tcBorders>
            <w:shd w:val="clear" w:color="auto" w:fill="auto"/>
            <w:noWrap/>
            <w:vAlign w:val="center"/>
            <w:hideMark/>
          </w:tcPr>
          <w:p w14:paraId="077B1FC3" w14:textId="699ACCD1" w:rsidR="000339A2" w:rsidRPr="000339A2" w:rsidRDefault="000339A2" w:rsidP="000339A2">
            <w:pPr>
              <w:ind w:firstLineChars="100" w:firstLine="181"/>
              <w:jc w:val="right"/>
              <w:rPr>
                <w:rFonts w:cs="Arial"/>
                <w:b/>
                <w:sz w:val="18"/>
                <w:szCs w:val="18"/>
              </w:rPr>
            </w:pPr>
            <w:r w:rsidRPr="000339A2">
              <w:rPr>
                <w:rFonts w:cs="Arial"/>
                <w:b/>
                <w:bCs/>
                <w:sz w:val="18"/>
                <w:szCs w:val="18"/>
              </w:rPr>
              <w:t>31,6</w:t>
            </w:r>
          </w:p>
        </w:tc>
        <w:tc>
          <w:tcPr>
            <w:tcW w:w="1159" w:type="dxa"/>
            <w:tcBorders>
              <w:top w:val="nil"/>
              <w:left w:val="nil"/>
              <w:bottom w:val="nil"/>
              <w:right w:val="nil"/>
            </w:tcBorders>
            <w:shd w:val="clear" w:color="auto" w:fill="auto"/>
            <w:noWrap/>
            <w:vAlign w:val="center"/>
            <w:hideMark/>
          </w:tcPr>
          <w:p w14:paraId="197E1E62" w14:textId="72FF965E" w:rsidR="000339A2" w:rsidRPr="000339A2" w:rsidRDefault="000339A2" w:rsidP="000339A2">
            <w:pPr>
              <w:ind w:firstLineChars="200" w:firstLine="361"/>
              <w:jc w:val="right"/>
              <w:rPr>
                <w:rFonts w:cs="Arial"/>
                <w:b/>
                <w:sz w:val="18"/>
                <w:szCs w:val="18"/>
              </w:rPr>
            </w:pPr>
            <w:r w:rsidRPr="000339A2">
              <w:rPr>
                <w:rFonts w:cs="Arial"/>
                <w:b/>
                <w:sz w:val="18"/>
                <w:szCs w:val="18"/>
              </w:rPr>
              <w:t>1,</w:t>
            </w:r>
            <w:r w:rsidRPr="000339A2">
              <w:rPr>
                <w:rFonts w:cs="Arial"/>
                <w:b/>
                <w:bCs/>
                <w:sz w:val="18"/>
                <w:szCs w:val="18"/>
              </w:rPr>
              <w:t>9</w:t>
            </w:r>
          </w:p>
        </w:tc>
      </w:tr>
      <w:tr w:rsidR="000339A2" w:rsidRPr="000339A2" w14:paraId="614A6DAC" w14:textId="77777777" w:rsidTr="0053380F">
        <w:trPr>
          <w:trHeight w:val="255"/>
        </w:trPr>
        <w:tc>
          <w:tcPr>
            <w:tcW w:w="2124" w:type="dxa"/>
            <w:tcBorders>
              <w:top w:val="nil"/>
              <w:left w:val="nil"/>
              <w:bottom w:val="nil"/>
              <w:right w:val="nil"/>
            </w:tcBorders>
            <w:shd w:val="clear" w:color="auto" w:fill="auto"/>
            <w:noWrap/>
            <w:vAlign w:val="center"/>
            <w:hideMark/>
          </w:tcPr>
          <w:p w14:paraId="0B1C052F" w14:textId="5A7F4E75" w:rsidR="000339A2" w:rsidRPr="000339A2" w:rsidRDefault="000339A2" w:rsidP="000339A2">
            <w:pPr>
              <w:rPr>
                <w:rFonts w:cs="Arial"/>
                <w:sz w:val="18"/>
                <w:szCs w:val="18"/>
              </w:rPr>
            </w:pPr>
            <w:r w:rsidRPr="000339A2">
              <w:rPr>
                <w:rFonts w:cs="Arial"/>
                <w:sz w:val="18"/>
                <w:szCs w:val="18"/>
              </w:rPr>
              <w:t>Košický SK</w:t>
            </w:r>
          </w:p>
        </w:tc>
        <w:tc>
          <w:tcPr>
            <w:tcW w:w="1136" w:type="dxa"/>
            <w:tcBorders>
              <w:top w:val="nil"/>
              <w:left w:val="nil"/>
              <w:bottom w:val="nil"/>
              <w:right w:val="nil"/>
            </w:tcBorders>
            <w:shd w:val="clear" w:color="auto" w:fill="auto"/>
            <w:noWrap/>
            <w:vAlign w:val="center"/>
            <w:hideMark/>
          </w:tcPr>
          <w:p w14:paraId="4CFFA25B" w14:textId="5EAE9D4E" w:rsidR="000339A2" w:rsidRPr="000339A2" w:rsidRDefault="000339A2" w:rsidP="000339A2">
            <w:pPr>
              <w:ind w:firstLineChars="100" w:firstLine="180"/>
              <w:jc w:val="right"/>
              <w:rPr>
                <w:rFonts w:cs="Arial"/>
                <w:sz w:val="18"/>
                <w:szCs w:val="18"/>
              </w:rPr>
            </w:pPr>
            <w:r w:rsidRPr="000339A2">
              <w:rPr>
                <w:rFonts w:cs="Arial"/>
                <w:sz w:val="18"/>
                <w:szCs w:val="18"/>
              </w:rPr>
              <w:t>39 877</w:t>
            </w:r>
          </w:p>
        </w:tc>
        <w:tc>
          <w:tcPr>
            <w:tcW w:w="1219" w:type="dxa"/>
            <w:tcBorders>
              <w:top w:val="nil"/>
              <w:left w:val="nil"/>
              <w:bottom w:val="nil"/>
              <w:right w:val="nil"/>
            </w:tcBorders>
            <w:shd w:val="clear" w:color="auto" w:fill="auto"/>
            <w:noWrap/>
            <w:vAlign w:val="center"/>
            <w:hideMark/>
          </w:tcPr>
          <w:p w14:paraId="06046570" w14:textId="7C988A36" w:rsidR="000339A2" w:rsidRPr="000339A2" w:rsidRDefault="000339A2" w:rsidP="000339A2">
            <w:pPr>
              <w:ind w:firstLineChars="200" w:firstLine="360"/>
              <w:jc w:val="right"/>
              <w:rPr>
                <w:rFonts w:cs="Arial"/>
                <w:sz w:val="18"/>
                <w:szCs w:val="18"/>
              </w:rPr>
            </w:pPr>
            <w:r w:rsidRPr="000339A2">
              <w:rPr>
                <w:rFonts w:cs="Arial"/>
                <w:sz w:val="18"/>
                <w:szCs w:val="18"/>
              </w:rPr>
              <w:t>106</w:t>
            </w:r>
          </w:p>
        </w:tc>
        <w:tc>
          <w:tcPr>
            <w:tcW w:w="1249" w:type="dxa"/>
            <w:tcBorders>
              <w:top w:val="nil"/>
              <w:left w:val="nil"/>
              <w:bottom w:val="nil"/>
              <w:right w:val="nil"/>
            </w:tcBorders>
            <w:shd w:val="clear" w:color="auto" w:fill="auto"/>
            <w:noWrap/>
            <w:vAlign w:val="center"/>
            <w:hideMark/>
          </w:tcPr>
          <w:p w14:paraId="71B42E22" w14:textId="7CF1277F" w:rsidR="000339A2" w:rsidRPr="000339A2" w:rsidRDefault="000339A2" w:rsidP="000339A2">
            <w:pPr>
              <w:ind w:firstLineChars="200" w:firstLine="360"/>
              <w:jc w:val="right"/>
              <w:rPr>
                <w:rFonts w:cs="Arial"/>
                <w:sz w:val="18"/>
                <w:szCs w:val="18"/>
              </w:rPr>
            </w:pPr>
            <w:r w:rsidRPr="000339A2">
              <w:rPr>
                <w:rFonts w:cs="Arial"/>
                <w:sz w:val="18"/>
                <w:szCs w:val="18"/>
              </w:rPr>
              <w:t>2 721</w:t>
            </w:r>
          </w:p>
        </w:tc>
        <w:tc>
          <w:tcPr>
            <w:tcW w:w="1314" w:type="dxa"/>
            <w:tcBorders>
              <w:top w:val="nil"/>
              <w:left w:val="nil"/>
              <w:bottom w:val="nil"/>
              <w:right w:val="nil"/>
            </w:tcBorders>
            <w:shd w:val="clear" w:color="auto" w:fill="auto"/>
            <w:noWrap/>
            <w:vAlign w:val="center"/>
            <w:hideMark/>
          </w:tcPr>
          <w:p w14:paraId="285AD440" w14:textId="70DEF292" w:rsidR="000339A2" w:rsidRPr="000339A2" w:rsidRDefault="000339A2" w:rsidP="000339A2">
            <w:pPr>
              <w:ind w:firstLineChars="100" w:firstLine="180"/>
              <w:jc w:val="right"/>
              <w:rPr>
                <w:rFonts w:cs="Arial"/>
                <w:sz w:val="18"/>
                <w:szCs w:val="18"/>
              </w:rPr>
            </w:pPr>
            <w:r w:rsidRPr="000339A2">
              <w:rPr>
                <w:rFonts w:cs="Arial"/>
                <w:sz w:val="18"/>
                <w:szCs w:val="18"/>
              </w:rPr>
              <w:t>199 128</w:t>
            </w:r>
          </w:p>
        </w:tc>
        <w:tc>
          <w:tcPr>
            <w:tcW w:w="995" w:type="dxa"/>
            <w:tcBorders>
              <w:top w:val="nil"/>
              <w:left w:val="nil"/>
              <w:bottom w:val="nil"/>
              <w:right w:val="nil"/>
            </w:tcBorders>
            <w:shd w:val="clear" w:color="auto" w:fill="auto"/>
            <w:noWrap/>
            <w:vAlign w:val="center"/>
            <w:hideMark/>
          </w:tcPr>
          <w:p w14:paraId="3F8D6581" w14:textId="692E833B" w:rsidR="000339A2" w:rsidRPr="000339A2" w:rsidRDefault="000339A2" w:rsidP="000339A2">
            <w:pPr>
              <w:ind w:firstLineChars="100" w:firstLine="181"/>
              <w:jc w:val="right"/>
              <w:rPr>
                <w:rFonts w:cs="Arial"/>
                <w:b/>
                <w:sz w:val="18"/>
                <w:szCs w:val="18"/>
              </w:rPr>
            </w:pPr>
            <w:r w:rsidRPr="000339A2">
              <w:rPr>
                <w:rFonts w:cs="Arial"/>
                <w:b/>
                <w:bCs/>
                <w:sz w:val="18"/>
                <w:szCs w:val="18"/>
              </w:rPr>
              <w:t>20,0</w:t>
            </w:r>
          </w:p>
        </w:tc>
        <w:tc>
          <w:tcPr>
            <w:tcW w:w="1159" w:type="dxa"/>
            <w:tcBorders>
              <w:top w:val="nil"/>
              <w:left w:val="nil"/>
              <w:bottom w:val="nil"/>
              <w:right w:val="nil"/>
            </w:tcBorders>
            <w:shd w:val="clear" w:color="auto" w:fill="auto"/>
            <w:noWrap/>
            <w:vAlign w:val="center"/>
            <w:hideMark/>
          </w:tcPr>
          <w:p w14:paraId="2E7BDFEE" w14:textId="58AD5B39" w:rsidR="000339A2" w:rsidRPr="000339A2" w:rsidRDefault="000339A2" w:rsidP="000339A2">
            <w:pPr>
              <w:ind w:firstLineChars="200" w:firstLine="361"/>
              <w:jc w:val="right"/>
              <w:rPr>
                <w:rFonts w:cs="Arial"/>
                <w:b/>
                <w:sz w:val="18"/>
                <w:szCs w:val="18"/>
              </w:rPr>
            </w:pPr>
            <w:r w:rsidRPr="000339A2">
              <w:rPr>
                <w:rFonts w:cs="Arial"/>
                <w:b/>
                <w:bCs/>
                <w:sz w:val="18"/>
                <w:szCs w:val="18"/>
              </w:rPr>
              <w:t>2,2</w:t>
            </w:r>
          </w:p>
        </w:tc>
      </w:tr>
      <w:tr w:rsidR="000339A2" w:rsidRPr="000339A2" w14:paraId="076981CB" w14:textId="77777777" w:rsidTr="0053380F">
        <w:trPr>
          <w:trHeight w:val="255"/>
        </w:trPr>
        <w:tc>
          <w:tcPr>
            <w:tcW w:w="2124" w:type="dxa"/>
            <w:tcBorders>
              <w:top w:val="single" w:sz="4" w:space="0" w:color="13B5EA"/>
              <w:left w:val="nil"/>
              <w:bottom w:val="single" w:sz="4" w:space="0" w:color="13B5EA"/>
              <w:right w:val="nil"/>
            </w:tcBorders>
            <w:shd w:val="clear" w:color="auto" w:fill="auto"/>
            <w:noWrap/>
            <w:vAlign w:val="center"/>
            <w:hideMark/>
          </w:tcPr>
          <w:p w14:paraId="7F5E52DF" w14:textId="2A149124" w:rsidR="000339A2" w:rsidRPr="000339A2" w:rsidRDefault="000339A2" w:rsidP="000339A2">
            <w:pPr>
              <w:rPr>
                <w:rFonts w:cs="Arial"/>
                <w:sz w:val="18"/>
                <w:szCs w:val="18"/>
              </w:rPr>
            </w:pPr>
            <w:r w:rsidRPr="000339A2">
              <w:rPr>
                <w:rFonts w:cs="Arial"/>
                <w:sz w:val="18"/>
                <w:szCs w:val="18"/>
              </w:rPr>
              <w:t>Spolu</w:t>
            </w:r>
          </w:p>
        </w:tc>
        <w:tc>
          <w:tcPr>
            <w:tcW w:w="1136" w:type="dxa"/>
            <w:tcBorders>
              <w:top w:val="single" w:sz="4" w:space="0" w:color="13B5EA"/>
              <w:left w:val="nil"/>
              <w:bottom w:val="single" w:sz="4" w:space="0" w:color="13B5EA"/>
              <w:right w:val="nil"/>
            </w:tcBorders>
            <w:shd w:val="clear" w:color="auto" w:fill="auto"/>
            <w:noWrap/>
            <w:vAlign w:val="center"/>
            <w:hideMark/>
          </w:tcPr>
          <w:p w14:paraId="609E2AB9" w14:textId="217D62DA" w:rsidR="000339A2" w:rsidRPr="000339A2" w:rsidRDefault="000339A2" w:rsidP="000339A2">
            <w:pPr>
              <w:ind w:firstLineChars="100" w:firstLine="180"/>
              <w:jc w:val="right"/>
              <w:rPr>
                <w:rFonts w:cs="Arial"/>
                <w:sz w:val="18"/>
                <w:szCs w:val="18"/>
              </w:rPr>
            </w:pPr>
            <w:r w:rsidRPr="000339A2">
              <w:rPr>
                <w:rFonts w:cs="Arial"/>
                <w:sz w:val="18"/>
                <w:szCs w:val="18"/>
              </w:rPr>
              <w:t>356 668</w:t>
            </w:r>
          </w:p>
        </w:tc>
        <w:tc>
          <w:tcPr>
            <w:tcW w:w="1219" w:type="dxa"/>
            <w:tcBorders>
              <w:top w:val="single" w:sz="4" w:space="0" w:color="13B5EA"/>
              <w:left w:val="nil"/>
              <w:bottom w:val="single" w:sz="4" w:space="0" w:color="13B5EA"/>
              <w:right w:val="nil"/>
            </w:tcBorders>
            <w:shd w:val="clear" w:color="auto" w:fill="auto"/>
            <w:noWrap/>
            <w:vAlign w:val="center"/>
            <w:hideMark/>
          </w:tcPr>
          <w:p w14:paraId="2ED9E2D6" w14:textId="3222477E" w:rsidR="000339A2" w:rsidRPr="000339A2" w:rsidRDefault="000339A2" w:rsidP="000339A2">
            <w:pPr>
              <w:ind w:firstLineChars="200" w:firstLine="360"/>
              <w:jc w:val="right"/>
              <w:rPr>
                <w:rFonts w:cs="Arial"/>
                <w:sz w:val="18"/>
                <w:szCs w:val="18"/>
              </w:rPr>
            </w:pPr>
            <w:r w:rsidRPr="000339A2">
              <w:rPr>
                <w:rFonts w:cs="Arial"/>
                <w:sz w:val="18"/>
                <w:szCs w:val="18"/>
              </w:rPr>
              <w:t>2 763</w:t>
            </w:r>
          </w:p>
        </w:tc>
        <w:tc>
          <w:tcPr>
            <w:tcW w:w="1249" w:type="dxa"/>
            <w:tcBorders>
              <w:top w:val="single" w:sz="4" w:space="0" w:color="13B5EA"/>
              <w:left w:val="nil"/>
              <w:bottom w:val="single" w:sz="4" w:space="0" w:color="13B5EA"/>
              <w:right w:val="nil"/>
            </w:tcBorders>
            <w:shd w:val="clear" w:color="auto" w:fill="auto"/>
            <w:noWrap/>
            <w:vAlign w:val="center"/>
            <w:hideMark/>
          </w:tcPr>
          <w:p w14:paraId="77DFE73B" w14:textId="4E8E748B" w:rsidR="000339A2" w:rsidRPr="000339A2" w:rsidRDefault="000339A2" w:rsidP="000339A2">
            <w:pPr>
              <w:ind w:firstLineChars="200" w:firstLine="360"/>
              <w:jc w:val="right"/>
              <w:rPr>
                <w:rFonts w:cs="Arial"/>
                <w:sz w:val="18"/>
                <w:szCs w:val="18"/>
              </w:rPr>
            </w:pPr>
            <w:r w:rsidRPr="000339A2">
              <w:rPr>
                <w:rFonts w:cs="Arial"/>
                <w:sz w:val="18"/>
                <w:szCs w:val="18"/>
              </w:rPr>
              <w:t>28 068</w:t>
            </w:r>
          </w:p>
        </w:tc>
        <w:tc>
          <w:tcPr>
            <w:tcW w:w="1314" w:type="dxa"/>
            <w:tcBorders>
              <w:top w:val="single" w:sz="4" w:space="0" w:color="13B5EA"/>
              <w:left w:val="nil"/>
              <w:bottom w:val="single" w:sz="4" w:space="0" w:color="13B5EA"/>
              <w:right w:val="nil"/>
            </w:tcBorders>
            <w:shd w:val="clear" w:color="auto" w:fill="auto"/>
            <w:noWrap/>
            <w:vAlign w:val="center"/>
            <w:hideMark/>
          </w:tcPr>
          <w:p w14:paraId="63B6CB2D" w14:textId="5E6CFEF8" w:rsidR="000339A2" w:rsidRPr="000339A2" w:rsidRDefault="000339A2" w:rsidP="000339A2">
            <w:pPr>
              <w:ind w:firstLineChars="100" w:firstLine="180"/>
              <w:jc w:val="right"/>
              <w:rPr>
                <w:rFonts w:cs="Arial"/>
                <w:sz w:val="18"/>
                <w:szCs w:val="18"/>
              </w:rPr>
            </w:pPr>
            <w:r w:rsidRPr="000339A2">
              <w:rPr>
                <w:rFonts w:cs="Arial"/>
                <w:sz w:val="18"/>
                <w:szCs w:val="18"/>
              </w:rPr>
              <w:t>1 404 441</w:t>
            </w:r>
          </w:p>
        </w:tc>
        <w:tc>
          <w:tcPr>
            <w:tcW w:w="995" w:type="dxa"/>
            <w:tcBorders>
              <w:top w:val="single" w:sz="4" w:space="0" w:color="13B5EA"/>
              <w:left w:val="nil"/>
              <w:bottom w:val="single" w:sz="4" w:space="0" w:color="13B5EA"/>
              <w:right w:val="nil"/>
            </w:tcBorders>
            <w:shd w:val="clear" w:color="auto" w:fill="auto"/>
            <w:noWrap/>
            <w:vAlign w:val="center"/>
            <w:hideMark/>
          </w:tcPr>
          <w:p w14:paraId="769D6A37" w14:textId="0884E95E" w:rsidR="000339A2" w:rsidRPr="000339A2" w:rsidRDefault="000339A2" w:rsidP="000339A2">
            <w:pPr>
              <w:ind w:firstLineChars="100" w:firstLine="181"/>
              <w:jc w:val="right"/>
              <w:rPr>
                <w:rFonts w:cs="Arial"/>
                <w:b/>
                <w:sz w:val="18"/>
                <w:szCs w:val="18"/>
              </w:rPr>
            </w:pPr>
            <w:r w:rsidRPr="000339A2">
              <w:rPr>
                <w:rFonts w:cs="Arial"/>
                <w:b/>
                <w:bCs/>
                <w:sz w:val="18"/>
                <w:szCs w:val="18"/>
              </w:rPr>
              <w:t>25</w:t>
            </w:r>
            <w:r w:rsidRPr="000339A2">
              <w:rPr>
                <w:rFonts w:cs="Arial"/>
                <w:b/>
                <w:sz w:val="18"/>
                <w:szCs w:val="18"/>
              </w:rPr>
              <w:t>,4</w:t>
            </w:r>
          </w:p>
        </w:tc>
        <w:tc>
          <w:tcPr>
            <w:tcW w:w="1159" w:type="dxa"/>
            <w:tcBorders>
              <w:top w:val="single" w:sz="4" w:space="0" w:color="13B5EA"/>
              <w:left w:val="nil"/>
              <w:bottom w:val="single" w:sz="4" w:space="0" w:color="13B5EA"/>
              <w:right w:val="nil"/>
            </w:tcBorders>
            <w:shd w:val="clear" w:color="auto" w:fill="auto"/>
            <w:noWrap/>
            <w:vAlign w:val="center"/>
            <w:hideMark/>
          </w:tcPr>
          <w:p w14:paraId="1000BD44" w14:textId="14D96484" w:rsidR="000339A2" w:rsidRPr="000339A2" w:rsidRDefault="000339A2" w:rsidP="000339A2">
            <w:pPr>
              <w:ind w:firstLineChars="200" w:firstLine="361"/>
              <w:jc w:val="right"/>
              <w:rPr>
                <w:rFonts w:cs="Arial"/>
                <w:b/>
                <w:sz w:val="18"/>
                <w:szCs w:val="18"/>
              </w:rPr>
            </w:pPr>
            <w:r w:rsidRPr="000339A2">
              <w:rPr>
                <w:rFonts w:cs="Arial"/>
                <w:b/>
                <w:sz w:val="18"/>
                <w:szCs w:val="18"/>
              </w:rPr>
              <w:t>3,</w:t>
            </w:r>
            <w:r w:rsidRPr="000339A2">
              <w:rPr>
                <w:rFonts w:cs="Arial"/>
                <w:b/>
                <w:bCs/>
                <w:sz w:val="18"/>
                <w:szCs w:val="18"/>
              </w:rPr>
              <w:t>2</w:t>
            </w:r>
          </w:p>
        </w:tc>
      </w:tr>
      <w:tr w:rsidR="0053380F" w:rsidRPr="000339A2" w14:paraId="01234EC2" w14:textId="77777777" w:rsidTr="0053380F">
        <w:trPr>
          <w:trHeight w:val="255"/>
        </w:trPr>
        <w:tc>
          <w:tcPr>
            <w:tcW w:w="5728" w:type="dxa"/>
            <w:gridSpan w:val="4"/>
            <w:tcBorders>
              <w:top w:val="single" w:sz="4" w:space="0" w:color="13B5EA"/>
              <w:left w:val="nil"/>
              <w:bottom w:val="nil"/>
              <w:right w:val="nil"/>
            </w:tcBorders>
            <w:shd w:val="clear" w:color="auto" w:fill="auto"/>
            <w:noWrap/>
            <w:vAlign w:val="center"/>
            <w:hideMark/>
          </w:tcPr>
          <w:p w14:paraId="346C074C" w14:textId="77777777" w:rsidR="0053380F" w:rsidRPr="000339A2" w:rsidRDefault="0053380F" w:rsidP="0053380F">
            <w:pPr>
              <w:rPr>
                <w:rFonts w:cs="Arial"/>
                <w:i/>
                <w:color w:val="00B0F0"/>
                <w:sz w:val="16"/>
                <w:szCs w:val="16"/>
              </w:rPr>
            </w:pPr>
            <w:r w:rsidRPr="000339A2">
              <w:rPr>
                <w:rFonts w:cs="Arial"/>
                <w:i/>
                <w:color w:val="00B0F0"/>
                <w:sz w:val="16"/>
                <w:szCs w:val="16"/>
              </w:rPr>
              <w:t>Pozn.: SK – samosprávny kraj</w:t>
            </w:r>
          </w:p>
          <w:p w14:paraId="75A5030A" w14:textId="44DBFE1F" w:rsidR="00E12CDC" w:rsidRPr="000339A2" w:rsidRDefault="004A4FFA" w:rsidP="0053380F">
            <w:pPr>
              <w:rPr>
                <w:rFonts w:cs="Arial"/>
                <w:i/>
                <w:color w:val="00B0F0"/>
                <w:sz w:val="16"/>
                <w:szCs w:val="16"/>
              </w:rPr>
            </w:pPr>
            <w:r w:rsidRPr="000339A2">
              <w:rPr>
                <w:rFonts w:cs="Arial"/>
                <w:i/>
                <w:color w:val="00B0F0"/>
                <w:sz w:val="16"/>
                <w:szCs w:val="16"/>
              </w:rPr>
              <w:t>* Pri v</w:t>
            </w:r>
            <w:r w:rsidR="00E12CDC" w:rsidRPr="000339A2">
              <w:rPr>
                <w:rFonts w:cs="Arial"/>
                <w:i/>
                <w:color w:val="00B0F0"/>
                <w:sz w:val="16"/>
                <w:szCs w:val="16"/>
              </w:rPr>
              <w:t>ýp</w:t>
            </w:r>
            <w:r w:rsidRPr="000339A2">
              <w:rPr>
                <w:rFonts w:cs="Arial"/>
                <w:i/>
                <w:color w:val="00B0F0"/>
                <w:sz w:val="16"/>
                <w:szCs w:val="16"/>
              </w:rPr>
              <w:t>očte</w:t>
            </w:r>
            <w:r w:rsidR="00E12CDC" w:rsidRPr="000339A2">
              <w:rPr>
                <w:rFonts w:cs="Arial"/>
                <w:i/>
                <w:color w:val="00B0F0"/>
                <w:sz w:val="16"/>
                <w:szCs w:val="16"/>
              </w:rPr>
              <w:t xml:space="preserve"> pomeru dlhovej služby </w:t>
            </w:r>
            <w:r w:rsidR="00A06DE1" w:rsidRPr="000339A2">
              <w:rPr>
                <w:rFonts w:cs="Arial"/>
                <w:i/>
                <w:color w:val="00B0F0"/>
                <w:sz w:val="16"/>
                <w:szCs w:val="16"/>
              </w:rPr>
              <w:t>sa bežné príjmy upravujú o vybrané transfery</w:t>
            </w:r>
            <w:r w:rsidRPr="000339A2">
              <w:rPr>
                <w:rFonts w:cs="Arial"/>
                <w:i/>
                <w:color w:val="00B0F0"/>
                <w:sz w:val="16"/>
                <w:szCs w:val="16"/>
              </w:rPr>
              <w:t>.</w:t>
            </w:r>
          </w:p>
        </w:tc>
        <w:tc>
          <w:tcPr>
            <w:tcW w:w="3468" w:type="dxa"/>
            <w:gridSpan w:val="3"/>
            <w:tcBorders>
              <w:top w:val="single" w:sz="4" w:space="0" w:color="13B5EA"/>
              <w:left w:val="nil"/>
              <w:bottom w:val="nil"/>
              <w:right w:val="nil"/>
            </w:tcBorders>
            <w:shd w:val="clear" w:color="auto" w:fill="auto"/>
            <w:noWrap/>
            <w:vAlign w:val="center"/>
            <w:hideMark/>
          </w:tcPr>
          <w:p w14:paraId="56727C9C" w14:textId="2F1BE47F" w:rsidR="0053380F" w:rsidRPr="000339A2" w:rsidRDefault="0053380F" w:rsidP="0053380F">
            <w:pPr>
              <w:jc w:val="right"/>
              <w:rPr>
                <w:rFonts w:cs="Arial"/>
                <w:i/>
                <w:color w:val="00B0F0"/>
                <w:sz w:val="16"/>
                <w:szCs w:val="16"/>
              </w:rPr>
            </w:pPr>
            <w:r w:rsidRPr="000339A2">
              <w:rPr>
                <w:rFonts w:cs="Arial"/>
                <w:i/>
                <w:color w:val="00B0F0"/>
                <w:sz w:val="16"/>
                <w:szCs w:val="16"/>
              </w:rPr>
              <w:t xml:space="preserve">Zdroj: Štátna pokladnica, </w:t>
            </w:r>
            <w:r w:rsidR="00960EC3" w:rsidRPr="000339A2">
              <w:rPr>
                <w:rFonts w:cs="Arial"/>
                <w:i/>
                <w:color w:val="00B0F0"/>
                <w:sz w:val="16"/>
                <w:szCs w:val="16"/>
              </w:rPr>
              <w:t xml:space="preserve">MF SR, </w:t>
            </w:r>
            <w:r w:rsidRPr="000339A2">
              <w:rPr>
                <w:rFonts w:cs="Arial"/>
                <w:i/>
                <w:color w:val="00B0F0"/>
                <w:sz w:val="16"/>
                <w:szCs w:val="16"/>
              </w:rPr>
              <w:t>RRZ</w:t>
            </w:r>
          </w:p>
        </w:tc>
      </w:tr>
      <w:bookmarkEnd w:id="1020"/>
    </w:tbl>
    <w:p w14:paraId="70EB192E" w14:textId="067AE478" w:rsidR="00027DFA" w:rsidRPr="000339A2" w:rsidRDefault="00027DFA" w:rsidP="00603057">
      <w:pPr>
        <w:jc w:val="both"/>
        <w:rPr>
          <w:b/>
          <w:color w:val="58595B"/>
          <w:sz w:val="16"/>
          <w:szCs w:val="24"/>
        </w:rPr>
      </w:pPr>
    </w:p>
    <w:p w14:paraId="339B8A44" w14:textId="77777777" w:rsidR="0053380F" w:rsidRPr="000339A2" w:rsidRDefault="0053380F" w:rsidP="00603057">
      <w:pPr>
        <w:jc w:val="both"/>
        <w:rPr>
          <w:b/>
          <w:color w:val="58595B"/>
          <w:sz w:val="16"/>
          <w:szCs w:val="24"/>
        </w:rPr>
      </w:pPr>
    </w:p>
    <w:p w14:paraId="376F4BEE" w14:textId="7189A225" w:rsidR="003D4BC1" w:rsidRPr="000339A2" w:rsidRDefault="003D4BC1" w:rsidP="00603057">
      <w:pPr>
        <w:jc w:val="both"/>
        <w:rPr>
          <w:b/>
          <w:color w:val="58595B"/>
          <w:sz w:val="24"/>
          <w:szCs w:val="24"/>
        </w:rPr>
      </w:pPr>
      <w:r w:rsidRPr="000339A2">
        <w:rPr>
          <w:b/>
          <w:color w:val="58595B"/>
          <w:sz w:val="24"/>
          <w:szCs w:val="24"/>
        </w:rPr>
        <w:t>Obce</w:t>
      </w:r>
    </w:p>
    <w:p w14:paraId="5F32CC27" w14:textId="77777777" w:rsidR="0067370E" w:rsidRPr="000339A2" w:rsidRDefault="0067370E">
      <w:pPr>
        <w:jc w:val="both"/>
        <w:rPr>
          <w:sz w:val="16"/>
        </w:rPr>
      </w:pPr>
    </w:p>
    <w:p w14:paraId="75166925" w14:textId="092B8A25" w:rsidR="00A76A78" w:rsidRPr="004A79A6" w:rsidRDefault="00FE5026" w:rsidP="005364A7">
      <w:pPr>
        <w:jc w:val="both"/>
      </w:pPr>
      <w:r w:rsidRPr="000339A2">
        <w:t>Z celkového posudzovaného</w:t>
      </w:r>
      <w:r w:rsidRPr="008E30E1">
        <w:t xml:space="preserve"> počtu </w:t>
      </w:r>
      <w:r w:rsidR="00A655BC" w:rsidRPr="004A79A6">
        <w:t>29</w:t>
      </w:r>
      <w:r w:rsidR="000C439D" w:rsidRPr="004A79A6">
        <w:t>1</w:t>
      </w:r>
      <w:r w:rsidR="00882495" w:rsidRPr="004A79A6">
        <w:t>4</w:t>
      </w:r>
      <w:r w:rsidRPr="004A79A6">
        <w:t xml:space="preserve"> obcí</w:t>
      </w:r>
      <w:r w:rsidR="00976660" w:rsidRPr="004A79A6">
        <w:rPr>
          <w:rStyle w:val="FootnoteReference"/>
          <w:color w:val="000000" w:themeColor="text1"/>
        </w:rPr>
        <w:footnoteReference w:id="110"/>
      </w:r>
      <w:r w:rsidRPr="004A79A6">
        <w:t xml:space="preserve"> </w:t>
      </w:r>
      <w:r w:rsidRPr="008E30E1">
        <w:t xml:space="preserve">malo </w:t>
      </w:r>
      <w:r w:rsidR="009213FB" w:rsidRPr="008E30E1">
        <w:t>na konci roku 201</w:t>
      </w:r>
      <w:r w:rsidR="008E30E1" w:rsidRPr="008E30E1">
        <w:t>9</w:t>
      </w:r>
      <w:r w:rsidR="006B4197" w:rsidRPr="008E30E1">
        <w:t xml:space="preserve"> </w:t>
      </w:r>
      <w:r w:rsidRPr="008E30E1">
        <w:t>nulový dlh</w:t>
      </w:r>
      <w:r w:rsidR="00D57754" w:rsidRPr="008E30E1">
        <w:t xml:space="preserve"> </w:t>
      </w:r>
      <w:r w:rsidR="00D57754" w:rsidRPr="004A79A6">
        <w:t>1</w:t>
      </w:r>
      <w:r w:rsidR="00306765" w:rsidRPr="004A79A6">
        <w:t>3</w:t>
      </w:r>
      <w:r w:rsidR="00F8323F" w:rsidRPr="004A79A6">
        <w:t>32</w:t>
      </w:r>
      <w:r w:rsidR="00D57754" w:rsidRPr="004A79A6">
        <w:t xml:space="preserve"> obcí</w:t>
      </w:r>
      <w:r w:rsidRPr="004A79A6">
        <w:t>.</w:t>
      </w:r>
      <w:r w:rsidR="00507781" w:rsidRPr="004A79A6">
        <w:t xml:space="preserve"> </w:t>
      </w:r>
      <w:r w:rsidR="00976660" w:rsidRPr="004A79A6">
        <w:t>Početnosť obcí klesá s vyšším pásmom relatívneho zadlženia (s výnimkou tých najzadlženejších</w:t>
      </w:r>
      <w:r w:rsidR="005B0784" w:rsidRPr="004A79A6">
        <w:t>, graf </w:t>
      </w:r>
      <w:r w:rsidR="003E783A" w:rsidRPr="004A79A6">
        <w:t>1</w:t>
      </w:r>
      <w:r w:rsidR="00A76E50" w:rsidRPr="004A79A6">
        <w:t>8</w:t>
      </w:r>
      <w:r w:rsidR="00976660" w:rsidRPr="004A79A6">
        <w:t xml:space="preserve">). Pomer nominálneho zadlženia k celkovému nominálnemu zadlženiu všetkých posudzovaných obcí (graf </w:t>
      </w:r>
      <w:r w:rsidR="003E783A" w:rsidRPr="004A79A6">
        <w:t>1</w:t>
      </w:r>
      <w:r w:rsidR="00A76E50" w:rsidRPr="004A79A6">
        <w:t>9</w:t>
      </w:r>
      <w:r w:rsidR="00890728" w:rsidRPr="004A79A6">
        <w:t>) bol v roku 201</w:t>
      </w:r>
      <w:r w:rsidR="009C3B27" w:rsidRPr="004A79A6">
        <w:t>9</w:t>
      </w:r>
      <w:r w:rsidR="00976660" w:rsidRPr="004A79A6">
        <w:t xml:space="preserve"> najvyšší v pásme </w:t>
      </w:r>
      <w:r w:rsidR="00D251BB">
        <w:t>20</w:t>
      </w:r>
      <w:r w:rsidR="00976660" w:rsidRPr="004A79A6">
        <w:t xml:space="preserve"> % až </w:t>
      </w:r>
      <w:r w:rsidR="00D251BB">
        <w:t>3</w:t>
      </w:r>
      <w:r w:rsidR="00976660" w:rsidRPr="004A79A6">
        <w:t>0 %</w:t>
      </w:r>
      <w:r w:rsidR="00247F67">
        <w:t xml:space="preserve">. Medziročne výrazne poklesol pomer dlhu v pásme </w:t>
      </w:r>
      <w:r w:rsidR="005F26BB">
        <w:t>5</w:t>
      </w:r>
      <w:r w:rsidR="00153661">
        <w:t>0</w:t>
      </w:r>
      <w:r w:rsidR="00976660">
        <w:t xml:space="preserve"> % až </w:t>
      </w:r>
      <w:r w:rsidR="005F26BB">
        <w:t>6</w:t>
      </w:r>
      <w:r w:rsidR="00976660">
        <w:t>0 %</w:t>
      </w:r>
      <w:r w:rsidR="00956306">
        <w:rPr>
          <w:rStyle w:val="FootnoteReference"/>
        </w:rPr>
        <w:footnoteReference w:id="111"/>
      </w:r>
      <w:r w:rsidR="00247F67">
        <w:t xml:space="preserve">, </w:t>
      </w:r>
      <w:r w:rsidR="00712CC9">
        <w:t xml:space="preserve">zároveň </w:t>
      </w:r>
      <w:r w:rsidR="004E7D10">
        <w:t xml:space="preserve">mierne </w:t>
      </w:r>
      <w:r w:rsidR="00712CC9">
        <w:t>poklesol cel</w:t>
      </w:r>
      <w:r w:rsidR="0011728C">
        <w:t>k</w:t>
      </w:r>
      <w:r w:rsidR="00712CC9">
        <w:t>ový vykázaný nominálny dlh obcí</w:t>
      </w:r>
      <w:r w:rsidR="004E7D10">
        <w:t>, ktorý je podkladom pre vyhodnotenie dlhového pravidla</w:t>
      </w:r>
      <w:r w:rsidR="005F26BB" w:rsidRPr="004A79A6">
        <w:t>.</w:t>
      </w:r>
      <w:bookmarkStart w:id="1021" w:name="_Toc428178616"/>
      <w:bookmarkStart w:id="1022" w:name="_Toc428351665"/>
      <w:bookmarkStart w:id="1023" w:name="_Toc428361668"/>
      <w:bookmarkStart w:id="1024" w:name="_Toc490642135"/>
      <w:bookmarkStart w:id="1025" w:name="_Toc522105581"/>
      <w:bookmarkStart w:id="1026" w:name="_Toc522200669"/>
      <w:bookmarkStart w:id="1027" w:name="_Toc489954216"/>
      <w:bookmarkStart w:id="1028" w:name="_Toc490143849"/>
      <w:r w:rsidR="00A76A78" w:rsidRPr="004A79A6">
        <w:br w:type="page"/>
      </w:r>
    </w:p>
    <w:tbl>
      <w:tblPr>
        <w:tblW w:w="9124" w:type="dxa"/>
        <w:tblLayout w:type="fixed"/>
        <w:tblLook w:val="01E0" w:firstRow="1" w:lastRow="1" w:firstColumn="1" w:lastColumn="1" w:noHBand="0" w:noVBand="0"/>
      </w:tblPr>
      <w:tblGrid>
        <w:gridCol w:w="4445"/>
        <w:gridCol w:w="236"/>
        <w:gridCol w:w="4443"/>
      </w:tblGrid>
      <w:tr w:rsidR="00FE5026" w:rsidRPr="00B81300" w14:paraId="20A690B5" w14:textId="77777777" w:rsidTr="00FA67C0">
        <w:tc>
          <w:tcPr>
            <w:tcW w:w="4445" w:type="dxa"/>
            <w:tcBorders>
              <w:top w:val="nil"/>
              <w:left w:val="nil"/>
              <w:bottom w:val="single" w:sz="4" w:space="0" w:color="13B5EA"/>
              <w:right w:val="nil"/>
            </w:tcBorders>
          </w:tcPr>
          <w:p w14:paraId="2C0D72DB" w14:textId="665F7200" w:rsidR="00FE5026" w:rsidRPr="004A79A6" w:rsidRDefault="00FE5026" w:rsidP="000A063C">
            <w:pPr>
              <w:jc w:val="both"/>
              <w:rPr>
                <w:b/>
                <w:color w:val="13B5EA"/>
                <w:sz w:val="20"/>
              </w:rPr>
            </w:pPr>
            <w:bookmarkStart w:id="1029" w:name="_Toc523390254"/>
            <w:bookmarkStart w:id="1030" w:name="_Toc523392857"/>
            <w:bookmarkStart w:id="1031" w:name="_Toc49506930"/>
            <w:r w:rsidRPr="004A79A6">
              <w:rPr>
                <w:rStyle w:val="grafChar"/>
                <w:sz w:val="20"/>
              </w:rPr>
              <w:lastRenderedPageBreak/>
              <w:t xml:space="preserve">Graf </w:t>
            </w:r>
            <w:r w:rsidR="003E783A" w:rsidRPr="004A79A6">
              <w:rPr>
                <w:rStyle w:val="grafChar"/>
                <w:sz w:val="20"/>
              </w:rPr>
              <w:t>1</w:t>
            </w:r>
            <w:r w:rsidR="00A76E50" w:rsidRPr="004A79A6">
              <w:rPr>
                <w:rStyle w:val="grafChar"/>
                <w:sz w:val="20"/>
              </w:rPr>
              <w:t>8</w:t>
            </w:r>
            <w:r w:rsidRPr="004A79A6">
              <w:rPr>
                <w:rStyle w:val="grafChar"/>
                <w:sz w:val="20"/>
              </w:rPr>
              <w:t>: Počty obcí podľa pomeru ich dlhu k príjmom</w:t>
            </w:r>
            <w:bookmarkEnd w:id="1021"/>
            <w:bookmarkEnd w:id="1022"/>
            <w:bookmarkEnd w:id="1023"/>
            <w:bookmarkEnd w:id="1024"/>
            <w:bookmarkEnd w:id="1025"/>
            <w:bookmarkEnd w:id="1026"/>
            <w:bookmarkEnd w:id="1029"/>
            <w:bookmarkEnd w:id="1030"/>
            <w:bookmarkEnd w:id="1031"/>
            <w:r w:rsidRPr="004A79A6">
              <w:rPr>
                <w:rStyle w:val="grafChar"/>
                <w:sz w:val="20"/>
              </w:rPr>
              <w:t xml:space="preserve"> </w:t>
            </w:r>
            <w:r w:rsidRPr="004A79A6">
              <w:rPr>
                <w:b/>
                <w:color w:val="13B5EA"/>
                <w:sz w:val="20"/>
              </w:rPr>
              <w:t>(ľ. os), kumulatívne (p. os)</w:t>
            </w:r>
            <w:bookmarkEnd w:id="1027"/>
            <w:bookmarkEnd w:id="1028"/>
          </w:p>
        </w:tc>
        <w:tc>
          <w:tcPr>
            <w:tcW w:w="236" w:type="dxa"/>
          </w:tcPr>
          <w:p w14:paraId="1AFC0F68" w14:textId="77777777" w:rsidR="00FE5026" w:rsidRPr="004A79A6" w:rsidRDefault="00FE5026" w:rsidP="005D62A6">
            <w:pPr>
              <w:rPr>
                <w:b/>
                <w:color w:val="3366FF"/>
                <w:sz w:val="20"/>
              </w:rPr>
            </w:pPr>
          </w:p>
        </w:tc>
        <w:tc>
          <w:tcPr>
            <w:tcW w:w="4443" w:type="dxa"/>
            <w:tcBorders>
              <w:top w:val="nil"/>
              <w:left w:val="nil"/>
              <w:bottom w:val="single" w:sz="4" w:space="0" w:color="13B5EB"/>
              <w:right w:val="nil"/>
            </w:tcBorders>
          </w:tcPr>
          <w:p w14:paraId="52E7C612" w14:textId="4679D764" w:rsidR="00FE5026" w:rsidRPr="004A79A6" w:rsidRDefault="00FE5026" w:rsidP="00C57E15">
            <w:pPr>
              <w:jc w:val="both"/>
              <w:rPr>
                <w:b/>
                <w:color w:val="13B5EA"/>
                <w:sz w:val="20"/>
              </w:rPr>
            </w:pPr>
            <w:bookmarkStart w:id="1032" w:name="_Toc428178617"/>
            <w:bookmarkStart w:id="1033" w:name="_Toc428351666"/>
            <w:bookmarkStart w:id="1034" w:name="_Toc428361669"/>
            <w:bookmarkStart w:id="1035" w:name="_Toc490642136"/>
            <w:bookmarkStart w:id="1036" w:name="_Toc522105582"/>
            <w:bookmarkStart w:id="1037" w:name="_Toc522200670"/>
            <w:bookmarkStart w:id="1038" w:name="_Toc523390255"/>
            <w:bookmarkStart w:id="1039" w:name="_Toc523392858"/>
            <w:bookmarkStart w:id="1040" w:name="_Toc49506931"/>
            <w:bookmarkStart w:id="1041" w:name="_Toc489954217"/>
            <w:bookmarkStart w:id="1042" w:name="_Toc490143850"/>
            <w:r w:rsidRPr="004A79A6">
              <w:rPr>
                <w:rStyle w:val="grafChar"/>
                <w:sz w:val="20"/>
              </w:rPr>
              <w:t xml:space="preserve">Graf </w:t>
            </w:r>
            <w:r w:rsidR="003E783A" w:rsidRPr="004A79A6">
              <w:rPr>
                <w:rStyle w:val="grafChar"/>
                <w:sz w:val="20"/>
              </w:rPr>
              <w:t>1</w:t>
            </w:r>
            <w:r w:rsidR="00A76E50" w:rsidRPr="004A79A6">
              <w:rPr>
                <w:rStyle w:val="grafChar"/>
                <w:sz w:val="20"/>
              </w:rPr>
              <w:t>9</w:t>
            </w:r>
            <w:r w:rsidRPr="004A79A6">
              <w:rPr>
                <w:rStyle w:val="grafChar"/>
                <w:sz w:val="20"/>
              </w:rPr>
              <w:t>: Podiely jednotlivých dlhových pásiem na celkovom dlhu</w:t>
            </w:r>
            <w:bookmarkEnd w:id="1032"/>
            <w:bookmarkEnd w:id="1033"/>
            <w:bookmarkEnd w:id="1034"/>
            <w:bookmarkEnd w:id="1035"/>
            <w:bookmarkEnd w:id="1036"/>
            <w:bookmarkEnd w:id="1037"/>
            <w:bookmarkEnd w:id="1038"/>
            <w:bookmarkEnd w:id="1039"/>
            <w:bookmarkEnd w:id="1040"/>
            <w:r w:rsidRPr="004A79A6">
              <w:rPr>
                <w:rStyle w:val="grafChar"/>
                <w:sz w:val="20"/>
              </w:rPr>
              <w:t xml:space="preserve"> </w:t>
            </w:r>
            <w:r w:rsidRPr="004A79A6">
              <w:rPr>
                <w:b/>
                <w:color w:val="13B5EA"/>
                <w:sz w:val="20"/>
              </w:rPr>
              <w:t>(ľ. os), kumulatívne (p. os)</w:t>
            </w:r>
            <w:bookmarkEnd w:id="1041"/>
            <w:bookmarkEnd w:id="1042"/>
          </w:p>
        </w:tc>
      </w:tr>
      <w:tr w:rsidR="00FE5026" w:rsidRPr="00B81300" w14:paraId="0F55F301" w14:textId="77777777" w:rsidTr="00FA67C0">
        <w:trPr>
          <w:trHeight w:val="2721"/>
        </w:trPr>
        <w:tc>
          <w:tcPr>
            <w:tcW w:w="4445" w:type="dxa"/>
            <w:tcBorders>
              <w:top w:val="single" w:sz="4" w:space="0" w:color="13B5EA"/>
              <w:left w:val="nil"/>
              <w:bottom w:val="single" w:sz="4" w:space="0" w:color="13B5EA"/>
              <w:right w:val="nil"/>
            </w:tcBorders>
          </w:tcPr>
          <w:p w14:paraId="310A465F" w14:textId="374D24D2" w:rsidR="00FE5026" w:rsidRPr="004A79A6" w:rsidRDefault="1B799491" w:rsidP="005D62A6">
            <w:pPr>
              <w:rPr>
                <w:b/>
                <w:color w:val="13B5EA"/>
                <w:sz w:val="20"/>
                <w:lang w:val="en-US"/>
              </w:rPr>
            </w:pPr>
            <w:r>
              <w:rPr>
                <w:noProof/>
              </w:rPr>
              <w:drawing>
                <wp:inline distT="0" distB="0" distL="0" distR="0" wp14:anchorId="3BF09CE1" wp14:editId="1F93E98E">
                  <wp:extent cx="2794331" cy="1725840"/>
                  <wp:effectExtent l="0" t="0" r="6350" b="8255"/>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2"/>
                          <pic:cNvPicPr/>
                        </pic:nvPicPr>
                        <pic:blipFill>
                          <a:blip r:embed="rId67">
                            <a:extLst>
                              <a:ext uri="{28A0092B-C50C-407E-A947-70E740481C1C}">
                                <a14:useLocalDpi xmlns:a14="http://schemas.microsoft.com/office/drawing/2010/main" val="0"/>
                              </a:ext>
                            </a:extLst>
                          </a:blip>
                          <a:stretch>
                            <a:fillRect/>
                          </a:stretch>
                        </pic:blipFill>
                        <pic:spPr>
                          <a:xfrm>
                            <a:off x="0" y="0"/>
                            <a:ext cx="2794331" cy="1725840"/>
                          </a:xfrm>
                          <a:prstGeom prst="rect">
                            <a:avLst/>
                          </a:prstGeom>
                        </pic:spPr>
                      </pic:pic>
                    </a:graphicData>
                  </a:graphic>
                </wp:inline>
              </w:drawing>
            </w:r>
          </w:p>
        </w:tc>
        <w:tc>
          <w:tcPr>
            <w:tcW w:w="236" w:type="dxa"/>
          </w:tcPr>
          <w:p w14:paraId="723A8373" w14:textId="77777777" w:rsidR="00FE5026" w:rsidRPr="004A79A6" w:rsidRDefault="00FE5026" w:rsidP="005D62A6">
            <w:pPr>
              <w:rPr>
                <w:b/>
                <w:color w:val="3366FF"/>
                <w:sz w:val="20"/>
              </w:rPr>
            </w:pPr>
          </w:p>
        </w:tc>
        <w:tc>
          <w:tcPr>
            <w:tcW w:w="4443" w:type="dxa"/>
            <w:tcBorders>
              <w:top w:val="single" w:sz="4" w:space="0" w:color="13B5EB"/>
              <w:left w:val="nil"/>
              <w:bottom w:val="single" w:sz="4" w:space="0" w:color="13B5EB"/>
              <w:right w:val="nil"/>
            </w:tcBorders>
          </w:tcPr>
          <w:p w14:paraId="49D1C3EB" w14:textId="6F42971E" w:rsidR="00FE5026" w:rsidRPr="004A79A6" w:rsidRDefault="1B799491" w:rsidP="005D62A6">
            <w:pPr>
              <w:rPr>
                <w:b/>
                <w:color w:val="13B5EA"/>
                <w:sz w:val="20"/>
              </w:rPr>
            </w:pPr>
            <w:r>
              <w:rPr>
                <w:noProof/>
              </w:rPr>
              <w:drawing>
                <wp:inline distT="0" distB="0" distL="0" distR="0" wp14:anchorId="0A0AA60B" wp14:editId="7257D834">
                  <wp:extent cx="2786380" cy="1720929"/>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3"/>
                          <pic:cNvPicPr/>
                        </pic:nvPicPr>
                        <pic:blipFill>
                          <a:blip r:embed="rId68">
                            <a:extLst>
                              <a:ext uri="{28A0092B-C50C-407E-A947-70E740481C1C}">
                                <a14:useLocalDpi xmlns:a14="http://schemas.microsoft.com/office/drawing/2010/main" val="0"/>
                              </a:ext>
                            </a:extLst>
                          </a:blip>
                          <a:stretch>
                            <a:fillRect/>
                          </a:stretch>
                        </pic:blipFill>
                        <pic:spPr>
                          <a:xfrm>
                            <a:off x="0" y="0"/>
                            <a:ext cx="2786380" cy="1720929"/>
                          </a:xfrm>
                          <a:prstGeom prst="rect">
                            <a:avLst/>
                          </a:prstGeom>
                        </pic:spPr>
                      </pic:pic>
                    </a:graphicData>
                  </a:graphic>
                </wp:inline>
              </w:drawing>
            </w:r>
          </w:p>
        </w:tc>
      </w:tr>
      <w:tr w:rsidR="00FE5026" w:rsidRPr="00B81300" w14:paraId="2220A1CB" w14:textId="77777777" w:rsidTr="00FA67C0">
        <w:tc>
          <w:tcPr>
            <w:tcW w:w="4445" w:type="dxa"/>
            <w:tcBorders>
              <w:top w:val="single" w:sz="4" w:space="0" w:color="13B5EA"/>
              <w:left w:val="nil"/>
              <w:right w:val="nil"/>
            </w:tcBorders>
          </w:tcPr>
          <w:p w14:paraId="6F581EAA" w14:textId="38E58E4D" w:rsidR="00FE5026" w:rsidRPr="004A79A6" w:rsidRDefault="00FE5026" w:rsidP="005D62A6">
            <w:pPr>
              <w:jc w:val="right"/>
              <w:rPr>
                <w:b/>
                <w:color w:val="13B5EA"/>
                <w:sz w:val="16"/>
                <w:szCs w:val="16"/>
              </w:rPr>
            </w:pPr>
            <w:r w:rsidRPr="004A79A6">
              <w:rPr>
                <w:i/>
                <w:color w:val="13B5EA"/>
                <w:sz w:val="16"/>
                <w:szCs w:val="16"/>
              </w:rPr>
              <w:t xml:space="preserve">Zdroj: Štátna pokladnica, MF SR, RRZ </w:t>
            </w:r>
          </w:p>
        </w:tc>
        <w:tc>
          <w:tcPr>
            <w:tcW w:w="236" w:type="dxa"/>
          </w:tcPr>
          <w:p w14:paraId="229D4D88" w14:textId="77777777" w:rsidR="00FE5026" w:rsidRPr="004A79A6" w:rsidRDefault="00FE5026" w:rsidP="005D62A6">
            <w:pPr>
              <w:rPr>
                <w:b/>
                <w:color w:val="3366FF"/>
                <w:sz w:val="20"/>
              </w:rPr>
            </w:pPr>
          </w:p>
        </w:tc>
        <w:tc>
          <w:tcPr>
            <w:tcW w:w="4443" w:type="dxa"/>
            <w:tcBorders>
              <w:top w:val="single" w:sz="4" w:space="0" w:color="13B5EB"/>
              <w:left w:val="nil"/>
              <w:right w:val="nil"/>
            </w:tcBorders>
          </w:tcPr>
          <w:p w14:paraId="07B411EF" w14:textId="558A2FCD" w:rsidR="00FE5026" w:rsidRPr="004A79A6" w:rsidRDefault="00FE5026" w:rsidP="005D62A6">
            <w:pPr>
              <w:jc w:val="right"/>
              <w:rPr>
                <w:i/>
                <w:color w:val="13B5EA"/>
                <w:sz w:val="20"/>
              </w:rPr>
            </w:pPr>
            <w:r w:rsidRPr="004A79A6">
              <w:rPr>
                <w:i/>
                <w:color w:val="13B5EA"/>
                <w:sz w:val="16"/>
              </w:rPr>
              <w:t>Zdroj: Štátna pokladnica, MF SR, RRZ</w:t>
            </w:r>
          </w:p>
        </w:tc>
      </w:tr>
    </w:tbl>
    <w:p w14:paraId="6DB00CFA" w14:textId="77777777" w:rsidR="00FE5026" w:rsidRPr="004A79A6" w:rsidRDefault="00FE5026" w:rsidP="00CC23BB">
      <w:pPr>
        <w:jc w:val="both"/>
      </w:pPr>
    </w:p>
    <w:p w14:paraId="026703B5" w14:textId="63E44AB2" w:rsidR="000C20EB" w:rsidRPr="00E365BD" w:rsidRDefault="00976660" w:rsidP="00CC23BB">
      <w:pPr>
        <w:jc w:val="both"/>
        <w:rPr>
          <w:szCs w:val="22"/>
        </w:rPr>
      </w:pPr>
      <w:r w:rsidRPr="00BA7D83">
        <w:rPr>
          <w:szCs w:val="22"/>
        </w:rPr>
        <w:t xml:space="preserve">Dlhový limit </w:t>
      </w:r>
      <w:r w:rsidR="0004269C" w:rsidRPr="00BA7D83">
        <w:rPr>
          <w:szCs w:val="22"/>
        </w:rPr>
        <w:t>v</w:t>
      </w:r>
      <w:r w:rsidR="00AD0317" w:rsidRPr="00BA7D83">
        <w:rPr>
          <w:szCs w:val="22"/>
        </w:rPr>
        <w:t xml:space="preserve"> rok</w:t>
      </w:r>
      <w:r w:rsidR="0004269C" w:rsidRPr="00BA7D83">
        <w:rPr>
          <w:szCs w:val="22"/>
        </w:rPr>
        <w:t>u</w:t>
      </w:r>
      <w:r w:rsidR="00AD0317" w:rsidRPr="00BA7D83">
        <w:rPr>
          <w:szCs w:val="22"/>
        </w:rPr>
        <w:t xml:space="preserve"> 201</w:t>
      </w:r>
      <w:r w:rsidR="00BA7D83" w:rsidRPr="00BA7D83">
        <w:rPr>
          <w:szCs w:val="22"/>
        </w:rPr>
        <w:t>9</w:t>
      </w:r>
      <w:r w:rsidR="00AD0317" w:rsidRPr="00BA7D83">
        <w:rPr>
          <w:szCs w:val="22"/>
        </w:rPr>
        <w:t xml:space="preserve"> </w:t>
      </w:r>
      <w:r w:rsidRPr="00BA7D83">
        <w:rPr>
          <w:szCs w:val="22"/>
        </w:rPr>
        <w:t xml:space="preserve">prekročilo </w:t>
      </w:r>
      <w:r w:rsidR="00E365BD" w:rsidRPr="004A79A6">
        <w:rPr>
          <w:szCs w:val="22"/>
        </w:rPr>
        <w:t>46</w:t>
      </w:r>
      <w:r w:rsidRPr="00365E5A">
        <w:rPr>
          <w:szCs w:val="22"/>
        </w:rPr>
        <w:t> </w:t>
      </w:r>
      <w:r w:rsidRPr="00E365BD">
        <w:rPr>
          <w:szCs w:val="22"/>
        </w:rPr>
        <w:t>obcí</w:t>
      </w:r>
      <w:r w:rsidR="005622E8" w:rsidRPr="00E365BD">
        <w:rPr>
          <w:rStyle w:val="FootnoteReference"/>
          <w:szCs w:val="22"/>
        </w:rPr>
        <w:footnoteReference w:id="112"/>
      </w:r>
      <w:r w:rsidRPr="00E365BD">
        <w:rPr>
          <w:szCs w:val="22"/>
        </w:rPr>
        <w:t xml:space="preserve"> a limit</w:t>
      </w:r>
      <w:r w:rsidRPr="00BA7D83">
        <w:rPr>
          <w:szCs w:val="22"/>
        </w:rPr>
        <w:t xml:space="preserve"> dlhovej služby prekročilo </w:t>
      </w:r>
      <w:r w:rsidR="00E365BD" w:rsidRPr="004A79A6">
        <w:rPr>
          <w:szCs w:val="22"/>
        </w:rPr>
        <w:t>260</w:t>
      </w:r>
      <w:r w:rsidR="005622E8" w:rsidRPr="00365E5A">
        <w:rPr>
          <w:szCs w:val="22"/>
        </w:rPr>
        <w:t xml:space="preserve"> </w:t>
      </w:r>
      <w:r w:rsidR="005622E8" w:rsidRPr="00E365BD">
        <w:rPr>
          <w:szCs w:val="22"/>
        </w:rPr>
        <w:t xml:space="preserve">obcí, </w:t>
      </w:r>
      <w:r w:rsidR="00FB5099" w:rsidRPr="00E365BD">
        <w:rPr>
          <w:szCs w:val="22"/>
        </w:rPr>
        <w:t xml:space="preserve">pričom </w:t>
      </w:r>
      <w:r w:rsidR="00BC24E6" w:rsidRPr="00BC24E6">
        <w:rPr>
          <w:szCs w:val="22"/>
        </w:rPr>
        <w:t>6 </w:t>
      </w:r>
      <w:r w:rsidRPr="00E365BD">
        <w:rPr>
          <w:szCs w:val="22"/>
        </w:rPr>
        <w:t xml:space="preserve">z nich prekročilo oba limity. </w:t>
      </w:r>
      <w:r w:rsidR="005622E8" w:rsidRPr="00E365BD">
        <w:rPr>
          <w:szCs w:val="22"/>
        </w:rPr>
        <w:t>Celkovo</w:t>
      </w:r>
      <w:r w:rsidR="005622E8" w:rsidRPr="00BA7D83">
        <w:rPr>
          <w:szCs w:val="22"/>
        </w:rPr>
        <w:t xml:space="preserve"> tak v roku </w:t>
      </w:r>
      <w:r w:rsidR="00FB5099" w:rsidRPr="00BA7D83">
        <w:rPr>
          <w:szCs w:val="22"/>
        </w:rPr>
        <w:t>201</w:t>
      </w:r>
      <w:r w:rsidR="00BA7D83" w:rsidRPr="00BA7D83">
        <w:rPr>
          <w:szCs w:val="22"/>
        </w:rPr>
        <w:t>9</w:t>
      </w:r>
      <w:r w:rsidRPr="00BA7D83">
        <w:rPr>
          <w:szCs w:val="22"/>
        </w:rPr>
        <w:t xml:space="preserve"> prekročilo aspoň </w:t>
      </w:r>
      <w:r w:rsidR="005622E8" w:rsidRPr="00BA7D83">
        <w:rPr>
          <w:szCs w:val="22"/>
        </w:rPr>
        <w:t>jeden lim</w:t>
      </w:r>
      <w:r w:rsidR="00FB5099" w:rsidRPr="00BA7D83">
        <w:rPr>
          <w:szCs w:val="22"/>
        </w:rPr>
        <w:t xml:space="preserve">it </w:t>
      </w:r>
      <w:r w:rsidR="00BC24E6" w:rsidRPr="00BC24E6">
        <w:rPr>
          <w:szCs w:val="22"/>
        </w:rPr>
        <w:t xml:space="preserve">300 </w:t>
      </w:r>
      <w:r w:rsidRPr="00E365BD">
        <w:rPr>
          <w:szCs w:val="22"/>
        </w:rPr>
        <w:t>obcí.</w:t>
      </w:r>
    </w:p>
    <w:p w14:paraId="48DFC9CB" w14:textId="77777777" w:rsidR="000C20EB" w:rsidRPr="00B81300" w:rsidRDefault="000C20EB" w:rsidP="00CC23BB">
      <w:pPr>
        <w:jc w:val="both"/>
        <w:rPr>
          <w:szCs w:val="22"/>
          <w:highlight w:val="yellow"/>
        </w:rPr>
      </w:pPr>
    </w:p>
    <w:p w14:paraId="6AAC1293" w14:textId="67B08DC3" w:rsidR="00167C6A" w:rsidRPr="00B81300" w:rsidRDefault="000C20EB" w:rsidP="000501C4">
      <w:pPr>
        <w:jc w:val="both"/>
        <w:rPr>
          <w:szCs w:val="22"/>
          <w:highlight w:val="yellow"/>
        </w:rPr>
      </w:pPr>
      <w:r w:rsidRPr="002A2CC7">
        <w:rPr>
          <w:szCs w:val="22"/>
        </w:rPr>
        <w:t>Pokuta</w:t>
      </w:r>
      <w:r w:rsidR="00FB5099" w:rsidRPr="002A2CC7">
        <w:rPr>
          <w:szCs w:val="22"/>
        </w:rPr>
        <w:t xml:space="preserve"> za rok 201</w:t>
      </w:r>
      <w:r w:rsidR="002A2CC7" w:rsidRPr="002A2CC7">
        <w:rPr>
          <w:szCs w:val="22"/>
        </w:rPr>
        <w:t>9</w:t>
      </w:r>
      <w:r w:rsidR="004D4B49" w:rsidRPr="002A2CC7">
        <w:rPr>
          <w:szCs w:val="22"/>
        </w:rPr>
        <w:t xml:space="preserve"> môže byť v</w:t>
      </w:r>
      <w:r w:rsidR="00343252" w:rsidRPr="002A2CC7">
        <w:rPr>
          <w:szCs w:val="22"/>
        </w:rPr>
        <w:t> </w:t>
      </w:r>
      <w:r w:rsidR="004D4B49" w:rsidRPr="002A2CC7">
        <w:rPr>
          <w:szCs w:val="22"/>
        </w:rPr>
        <w:t>prípade</w:t>
      </w:r>
      <w:r w:rsidR="00343252" w:rsidRPr="002A2CC7">
        <w:rPr>
          <w:szCs w:val="22"/>
        </w:rPr>
        <w:t xml:space="preserve">, </w:t>
      </w:r>
      <w:r w:rsidR="00C325F8" w:rsidRPr="002A2CC7">
        <w:rPr>
          <w:szCs w:val="22"/>
        </w:rPr>
        <w:t>že sa kontrolami potvrdia vykázané výšky dlhov</w:t>
      </w:r>
      <w:r w:rsidR="009901F2" w:rsidRPr="002A2CC7">
        <w:rPr>
          <w:szCs w:val="22"/>
        </w:rPr>
        <w:t xml:space="preserve">, </w:t>
      </w:r>
      <w:r w:rsidR="004D4B49" w:rsidRPr="002A2CC7">
        <w:rPr>
          <w:szCs w:val="22"/>
        </w:rPr>
        <w:t xml:space="preserve">reálne </w:t>
      </w:r>
      <w:r w:rsidRPr="002A2CC7">
        <w:rPr>
          <w:szCs w:val="22"/>
        </w:rPr>
        <w:t>uložen</w:t>
      </w:r>
      <w:r w:rsidRPr="00365E5A">
        <w:rPr>
          <w:szCs w:val="22"/>
        </w:rPr>
        <w:t xml:space="preserve">á </w:t>
      </w:r>
      <w:r w:rsidR="00BC24E6">
        <w:rPr>
          <w:szCs w:val="22"/>
        </w:rPr>
        <w:t>29</w:t>
      </w:r>
      <w:r w:rsidR="00BC24E6" w:rsidRPr="00365E5A">
        <w:rPr>
          <w:szCs w:val="22"/>
        </w:rPr>
        <w:t xml:space="preserve"> </w:t>
      </w:r>
      <w:r w:rsidRPr="00086A86">
        <w:rPr>
          <w:szCs w:val="22"/>
        </w:rPr>
        <w:t>obciam</w:t>
      </w:r>
      <w:r w:rsidR="00161DFC" w:rsidRPr="00086A86">
        <w:rPr>
          <w:rStyle w:val="FootnoteReference"/>
          <w:szCs w:val="22"/>
        </w:rPr>
        <w:footnoteReference w:id="113"/>
      </w:r>
      <w:r w:rsidRPr="00086A86">
        <w:rPr>
          <w:szCs w:val="22"/>
        </w:rPr>
        <w:t xml:space="preserve"> a </w:t>
      </w:r>
      <w:r w:rsidR="00FC6B30" w:rsidRPr="00086A86">
        <w:rPr>
          <w:szCs w:val="22"/>
        </w:rPr>
        <w:t xml:space="preserve">jej </w:t>
      </w:r>
      <w:r w:rsidR="00367E0B" w:rsidRPr="00086A86">
        <w:rPr>
          <w:szCs w:val="22"/>
        </w:rPr>
        <w:t xml:space="preserve">celková výška </w:t>
      </w:r>
      <w:r w:rsidR="00886A56" w:rsidRPr="00086A86">
        <w:rPr>
          <w:szCs w:val="22"/>
        </w:rPr>
        <w:t>je</w:t>
      </w:r>
      <w:r w:rsidR="00367E0B" w:rsidRPr="00086A86">
        <w:rPr>
          <w:szCs w:val="22"/>
        </w:rPr>
        <w:t xml:space="preserve"> </w:t>
      </w:r>
      <w:r w:rsidR="004C7649" w:rsidRPr="004A79A6">
        <w:rPr>
          <w:szCs w:val="22"/>
        </w:rPr>
        <w:t>342</w:t>
      </w:r>
      <w:r w:rsidR="004813FC" w:rsidRPr="00AD1F6A">
        <w:rPr>
          <w:szCs w:val="22"/>
        </w:rPr>
        <w:t> 490,55</w:t>
      </w:r>
      <w:r w:rsidR="007A02FD" w:rsidRPr="004A79A6">
        <w:rPr>
          <w:szCs w:val="22"/>
        </w:rPr>
        <w:t xml:space="preserve"> </w:t>
      </w:r>
      <w:r w:rsidRPr="004A79A6">
        <w:rPr>
          <w:szCs w:val="22"/>
        </w:rPr>
        <w:t>eur</w:t>
      </w:r>
      <w:r w:rsidRPr="00E365BD">
        <w:rPr>
          <w:szCs w:val="22"/>
        </w:rPr>
        <w:t xml:space="preserve">. </w:t>
      </w:r>
      <w:r w:rsidR="003E11CE" w:rsidRPr="00E365BD">
        <w:rPr>
          <w:szCs w:val="22"/>
        </w:rPr>
        <w:t>Z</w:t>
      </w:r>
      <w:r w:rsidR="002353B3" w:rsidRPr="00E365BD">
        <w:rPr>
          <w:szCs w:val="22"/>
        </w:rPr>
        <w:t xml:space="preserve"> prvotne </w:t>
      </w:r>
      <w:r w:rsidR="003E11CE" w:rsidRPr="00365E5A">
        <w:rPr>
          <w:szCs w:val="22"/>
        </w:rPr>
        <w:t>ident</w:t>
      </w:r>
      <w:r w:rsidR="00FB5099" w:rsidRPr="00365E5A">
        <w:rPr>
          <w:szCs w:val="22"/>
        </w:rPr>
        <w:t xml:space="preserve">ifikovaného počtu </w:t>
      </w:r>
      <w:r w:rsidR="00E365BD" w:rsidRPr="004A79A6">
        <w:rPr>
          <w:szCs w:val="22"/>
        </w:rPr>
        <w:t>46</w:t>
      </w:r>
      <w:r w:rsidR="009901F2" w:rsidRPr="00365E5A">
        <w:rPr>
          <w:szCs w:val="22"/>
        </w:rPr>
        <w:t> </w:t>
      </w:r>
      <w:r w:rsidR="003E11CE" w:rsidRPr="00365E5A">
        <w:rPr>
          <w:szCs w:val="22"/>
        </w:rPr>
        <w:t xml:space="preserve">obcí nad </w:t>
      </w:r>
      <w:r w:rsidR="00EF34FC" w:rsidRPr="00365E5A">
        <w:rPr>
          <w:szCs w:val="22"/>
        </w:rPr>
        <w:t xml:space="preserve">dlhovým </w:t>
      </w:r>
      <w:r w:rsidR="003E11CE" w:rsidRPr="00365E5A">
        <w:rPr>
          <w:szCs w:val="22"/>
        </w:rPr>
        <w:t>limitom</w:t>
      </w:r>
      <w:r w:rsidR="00167C6A" w:rsidRPr="00365E5A">
        <w:rPr>
          <w:szCs w:val="22"/>
        </w:rPr>
        <w:t>:</w:t>
      </w:r>
    </w:p>
    <w:p w14:paraId="32F877B9" w14:textId="77777777" w:rsidR="00167C6A" w:rsidRPr="00B81300" w:rsidRDefault="00167C6A" w:rsidP="000501C4">
      <w:pPr>
        <w:jc w:val="both"/>
        <w:rPr>
          <w:sz w:val="10"/>
          <w:szCs w:val="22"/>
          <w:highlight w:val="yellow"/>
        </w:rPr>
      </w:pPr>
    </w:p>
    <w:p w14:paraId="4C19B5BF" w14:textId="1A4BDAA4" w:rsidR="00EB5B38" w:rsidRPr="00BA7D83" w:rsidRDefault="00BA7D83" w:rsidP="001B451E">
      <w:pPr>
        <w:pStyle w:val="ListParagraph"/>
        <w:numPr>
          <w:ilvl w:val="0"/>
          <w:numId w:val="11"/>
        </w:numPr>
        <w:spacing w:after="0" w:line="240" w:lineRule="auto"/>
        <w:ind w:left="714" w:hanging="357"/>
        <w:jc w:val="both"/>
        <w:rPr>
          <w:rFonts w:ascii="Constantia" w:hAnsi="Constantia"/>
        </w:rPr>
      </w:pPr>
      <w:r>
        <w:rPr>
          <w:rFonts w:ascii="Constantia" w:hAnsi="Constantia"/>
        </w:rPr>
        <w:t>O</w:t>
      </w:r>
      <w:r w:rsidR="00A329D8" w:rsidRPr="00BA7D83">
        <w:rPr>
          <w:rFonts w:ascii="Constantia" w:hAnsi="Constantia"/>
        </w:rPr>
        <w:t>b</w:t>
      </w:r>
      <w:r>
        <w:rPr>
          <w:rFonts w:ascii="Constantia" w:hAnsi="Constantia"/>
        </w:rPr>
        <w:t xml:space="preserve">ec </w:t>
      </w:r>
      <w:r w:rsidR="000501C4" w:rsidRPr="00BA7D83">
        <w:rPr>
          <w:rFonts w:ascii="Constantia" w:hAnsi="Constantia"/>
        </w:rPr>
        <w:t>Bratislava – Devín</w:t>
      </w:r>
      <w:r w:rsidRPr="00BA7D83">
        <w:rPr>
          <w:rFonts w:ascii="Constantia" w:hAnsi="Constantia"/>
        </w:rPr>
        <w:t xml:space="preserve"> </w:t>
      </w:r>
      <w:r>
        <w:rPr>
          <w:rFonts w:ascii="Constantia" w:hAnsi="Constantia"/>
        </w:rPr>
        <w:t>je</w:t>
      </w:r>
      <w:r w:rsidRPr="00BA7D83">
        <w:rPr>
          <w:rFonts w:ascii="Constantia" w:hAnsi="Constantia"/>
        </w:rPr>
        <w:t xml:space="preserve"> v nútenej správe</w:t>
      </w:r>
      <w:r w:rsidR="0067199D" w:rsidRPr="00BA7D83">
        <w:rPr>
          <w:rFonts w:ascii="Constantia" w:hAnsi="Constantia"/>
        </w:rPr>
        <w:t xml:space="preserve">. </w:t>
      </w:r>
      <w:r>
        <w:rPr>
          <w:rFonts w:ascii="Constantia" w:hAnsi="Constantia"/>
        </w:rPr>
        <w:t>U</w:t>
      </w:r>
      <w:r w:rsidR="0067199D" w:rsidRPr="00BA7D83">
        <w:rPr>
          <w:rFonts w:ascii="Constantia" w:hAnsi="Constantia"/>
        </w:rPr>
        <w:t xml:space="preserve">loženie pokuty </w:t>
      </w:r>
      <w:r>
        <w:rPr>
          <w:rFonts w:ascii="Constantia" w:hAnsi="Constantia"/>
        </w:rPr>
        <w:t xml:space="preserve">sa na ňu </w:t>
      </w:r>
      <w:r w:rsidR="0067199D" w:rsidRPr="00BA7D83">
        <w:rPr>
          <w:rFonts w:ascii="Constantia" w:hAnsi="Constantia"/>
        </w:rPr>
        <w:t>nevzťahuje, keďže do dlhu sa na účely výpočtu p</w:t>
      </w:r>
      <w:r w:rsidR="009901F2" w:rsidRPr="00BA7D83">
        <w:rPr>
          <w:rFonts w:ascii="Constantia" w:hAnsi="Constantia"/>
        </w:rPr>
        <w:t>okuty nezahŕňajú záväzky obce v </w:t>
      </w:r>
      <w:r w:rsidR="0067199D" w:rsidRPr="00BA7D83">
        <w:rPr>
          <w:rFonts w:ascii="Constantia" w:hAnsi="Constantia"/>
        </w:rPr>
        <w:t>nútenej správe.</w:t>
      </w:r>
    </w:p>
    <w:p w14:paraId="17589FA0" w14:textId="7B2ECFF3" w:rsidR="00EB5B38" w:rsidRPr="00EA70F9" w:rsidRDefault="00EB5B38" w:rsidP="001B451E">
      <w:pPr>
        <w:pStyle w:val="ListParagraph"/>
        <w:numPr>
          <w:ilvl w:val="0"/>
          <w:numId w:val="11"/>
        </w:numPr>
        <w:spacing w:after="0" w:line="240" w:lineRule="auto"/>
        <w:ind w:left="714" w:hanging="357"/>
        <w:jc w:val="both"/>
        <w:rPr>
          <w:rFonts w:ascii="Constantia" w:hAnsi="Constantia"/>
        </w:rPr>
      </w:pPr>
      <w:r w:rsidRPr="00421DE0">
        <w:rPr>
          <w:rFonts w:ascii="Constantia" w:hAnsi="Constantia"/>
        </w:rPr>
        <w:t>Záväzky obce</w:t>
      </w:r>
      <w:r w:rsidR="00351689" w:rsidRPr="00421DE0">
        <w:rPr>
          <w:rFonts w:ascii="Constantia" w:hAnsi="Constantia"/>
        </w:rPr>
        <w:t xml:space="preserve"> Horná Mičiná </w:t>
      </w:r>
      <w:r w:rsidR="00FB2A0C" w:rsidRPr="00421DE0">
        <w:rPr>
          <w:rFonts w:ascii="Constantia" w:hAnsi="Constantia"/>
        </w:rPr>
        <w:t>sa nezapočítavajú do celkovej sumy dlhu, keďže vznikli reštrukturalizáciou pôvodných úverov počas nútenej správy obce</w:t>
      </w:r>
      <w:r w:rsidR="00917A2E" w:rsidRPr="00421DE0">
        <w:rPr>
          <w:rFonts w:ascii="Constantia" w:hAnsi="Constantia"/>
        </w:rPr>
        <w:t xml:space="preserve"> </w:t>
      </w:r>
      <w:r w:rsidR="00351689" w:rsidRPr="00421DE0">
        <w:rPr>
          <w:rFonts w:ascii="Constantia" w:hAnsi="Constantia"/>
        </w:rPr>
        <w:t>(§17, ods. 12 a</w:t>
      </w:r>
      <w:r w:rsidR="00F856DB" w:rsidRPr="00421DE0">
        <w:rPr>
          <w:rFonts w:ascii="Constantia" w:hAnsi="Constantia"/>
        </w:rPr>
        <w:t> </w:t>
      </w:r>
      <w:r w:rsidR="00351689" w:rsidRPr="00421DE0">
        <w:rPr>
          <w:rFonts w:ascii="Constantia" w:hAnsi="Constantia"/>
        </w:rPr>
        <w:t xml:space="preserve">§19, ods. 25 </w:t>
      </w:r>
      <w:r w:rsidR="00351689" w:rsidRPr="00EA70F9">
        <w:rPr>
          <w:rFonts w:ascii="Constantia" w:hAnsi="Constantia"/>
        </w:rPr>
        <w:t>zákona č. 583/2004 Z.</w:t>
      </w:r>
      <w:r w:rsidR="00D73D52" w:rsidRPr="00EA70F9">
        <w:rPr>
          <w:rFonts w:ascii="Constantia" w:hAnsi="Constantia"/>
        </w:rPr>
        <w:t xml:space="preserve"> </w:t>
      </w:r>
      <w:r w:rsidR="00351689" w:rsidRPr="00EA70F9">
        <w:rPr>
          <w:rFonts w:ascii="Constantia" w:hAnsi="Constantia"/>
        </w:rPr>
        <w:t>z.).</w:t>
      </w:r>
    </w:p>
    <w:p w14:paraId="1CA358B8" w14:textId="295A7A87" w:rsidR="00167C6A" w:rsidRPr="00EA70F9" w:rsidRDefault="00AF479A" w:rsidP="001B451E">
      <w:pPr>
        <w:pStyle w:val="ListParagraph"/>
        <w:numPr>
          <w:ilvl w:val="0"/>
          <w:numId w:val="11"/>
        </w:numPr>
        <w:spacing w:after="0" w:line="240" w:lineRule="auto"/>
        <w:ind w:left="714" w:hanging="357"/>
        <w:jc w:val="both"/>
        <w:rPr>
          <w:rFonts w:ascii="Constantia" w:hAnsi="Constantia"/>
        </w:rPr>
      </w:pPr>
      <w:r w:rsidRPr="00EA70F9">
        <w:rPr>
          <w:rFonts w:ascii="Constantia" w:hAnsi="Constantia"/>
        </w:rPr>
        <w:t>Dve obce</w:t>
      </w:r>
      <w:r w:rsidR="0067199D" w:rsidRPr="00EA70F9">
        <w:rPr>
          <w:rFonts w:ascii="Constantia" w:hAnsi="Constantia"/>
        </w:rPr>
        <w:t xml:space="preserve"> </w:t>
      </w:r>
      <w:r w:rsidR="00EB4C84" w:rsidRPr="00EA70F9">
        <w:rPr>
          <w:rFonts w:ascii="Constantia" w:hAnsi="Constantia"/>
        </w:rPr>
        <w:t>(</w:t>
      </w:r>
      <w:r w:rsidR="003B3666" w:rsidRPr="00EA70F9">
        <w:rPr>
          <w:rFonts w:ascii="Constantia" w:hAnsi="Constantia"/>
        </w:rPr>
        <w:t>Častkov</w:t>
      </w:r>
      <w:r w:rsidRPr="00EA70F9">
        <w:rPr>
          <w:rFonts w:ascii="Constantia" w:hAnsi="Constantia"/>
        </w:rPr>
        <w:t xml:space="preserve"> a</w:t>
      </w:r>
      <w:r w:rsidR="00EA70F9" w:rsidRPr="00EA70F9">
        <w:rPr>
          <w:rFonts w:ascii="Constantia" w:hAnsi="Constantia"/>
        </w:rPr>
        <w:t> Plavecké Podhradie</w:t>
      </w:r>
      <w:r w:rsidR="001A4444" w:rsidRPr="00EA70F9">
        <w:rPr>
          <w:rFonts w:ascii="Constantia" w:hAnsi="Constantia"/>
        </w:rPr>
        <w:t xml:space="preserve">) </w:t>
      </w:r>
      <w:r w:rsidR="00F80D20" w:rsidRPr="00EA70F9">
        <w:rPr>
          <w:rFonts w:ascii="Constantia" w:hAnsi="Constantia"/>
        </w:rPr>
        <w:t xml:space="preserve">už boli </w:t>
      </w:r>
      <w:r w:rsidR="00EA70F9" w:rsidRPr="00EA70F9">
        <w:rPr>
          <w:rFonts w:ascii="Constantia" w:hAnsi="Constantia"/>
        </w:rPr>
        <w:t>v minulosti pokutované</w:t>
      </w:r>
      <w:r w:rsidR="00EB4C84" w:rsidRPr="00EA70F9">
        <w:rPr>
          <w:rFonts w:ascii="Constantia" w:hAnsi="Constantia"/>
        </w:rPr>
        <w:t xml:space="preserve"> a</w:t>
      </w:r>
      <w:r w:rsidR="001A4444" w:rsidRPr="00EA70F9">
        <w:rPr>
          <w:rFonts w:ascii="Constantia" w:hAnsi="Constantia"/>
        </w:rPr>
        <w:t> za rok 201</w:t>
      </w:r>
      <w:r w:rsidR="006F3F88">
        <w:rPr>
          <w:rFonts w:ascii="Constantia" w:hAnsi="Constantia"/>
        </w:rPr>
        <w:t>9</w:t>
      </w:r>
      <w:r w:rsidR="009F63CF" w:rsidRPr="00EA70F9">
        <w:rPr>
          <w:rFonts w:ascii="Constantia" w:hAnsi="Constantia"/>
        </w:rPr>
        <w:t xml:space="preserve"> </w:t>
      </w:r>
      <w:r w:rsidR="001A4444" w:rsidRPr="00EA70F9">
        <w:rPr>
          <w:rFonts w:ascii="Constantia" w:hAnsi="Constantia"/>
        </w:rPr>
        <w:t>ne</w:t>
      </w:r>
      <w:r w:rsidR="000501C4" w:rsidRPr="00EA70F9">
        <w:rPr>
          <w:rFonts w:ascii="Constantia" w:hAnsi="Constantia"/>
        </w:rPr>
        <w:t xml:space="preserve">vykázali </w:t>
      </w:r>
      <w:r w:rsidR="00EB4C84" w:rsidRPr="00EA70F9">
        <w:rPr>
          <w:rFonts w:ascii="Constantia" w:hAnsi="Constantia"/>
        </w:rPr>
        <w:t xml:space="preserve">medziročne </w:t>
      </w:r>
      <w:r w:rsidR="001A4444" w:rsidRPr="00EA70F9">
        <w:rPr>
          <w:rFonts w:ascii="Constantia" w:hAnsi="Constantia"/>
        </w:rPr>
        <w:t>zvýšený</w:t>
      </w:r>
      <w:r w:rsidR="000501C4" w:rsidRPr="00EA70F9">
        <w:rPr>
          <w:rFonts w:ascii="Constantia" w:hAnsi="Constantia"/>
        </w:rPr>
        <w:t xml:space="preserve"> </w:t>
      </w:r>
      <w:r w:rsidR="0063799C" w:rsidRPr="00EA70F9">
        <w:rPr>
          <w:rFonts w:ascii="Constantia" w:hAnsi="Constantia"/>
        </w:rPr>
        <w:t xml:space="preserve">pomer </w:t>
      </w:r>
      <w:r w:rsidR="000501C4" w:rsidRPr="00EA70F9">
        <w:rPr>
          <w:rFonts w:ascii="Constantia" w:hAnsi="Constantia"/>
        </w:rPr>
        <w:t>dlh</w:t>
      </w:r>
      <w:r w:rsidR="0063799C" w:rsidRPr="00EA70F9">
        <w:rPr>
          <w:rFonts w:ascii="Constantia" w:hAnsi="Constantia"/>
        </w:rPr>
        <w:t>u</w:t>
      </w:r>
      <w:r w:rsidR="00EB4C84" w:rsidRPr="00EA70F9">
        <w:rPr>
          <w:rFonts w:ascii="Constantia" w:hAnsi="Constantia"/>
        </w:rPr>
        <w:t>. Pokuta sa ukladá opakovane iba v prípade medziročného rastu pomeru dlhu.</w:t>
      </w:r>
    </w:p>
    <w:p w14:paraId="0E0994A4" w14:textId="0ABE7A54" w:rsidR="008C6117" w:rsidRPr="00421DE0" w:rsidRDefault="00766EAD" w:rsidP="001B451E">
      <w:pPr>
        <w:pStyle w:val="ListParagraph"/>
        <w:numPr>
          <w:ilvl w:val="0"/>
          <w:numId w:val="11"/>
        </w:numPr>
        <w:spacing w:after="0" w:line="240" w:lineRule="auto"/>
        <w:jc w:val="both"/>
        <w:rPr>
          <w:rFonts w:ascii="Constantia" w:hAnsi="Constantia"/>
        </w:rPr>
      </w:pPr>
      <w:r w:rsidRPr="00EA70F9">
        <w:rPr>
          <w:rFonts w:ascii="Constantia" w:hAnsi="Constantia"/>
        </w:rPr>
        <w:t>Vo väzbe na ods. 4 Čl. 6 ústavného</w:t>
      </w:r>
      <w:r w:rsidRPr="00421DE0">
        <w:rPr>
          <w:rFonts w:ascii="Constantia" w:hAnsi="Constantia"/>
        </w:rPr>
        <w:t xml:space="preserve"> zákona o rozpočtovej zodpovednosti </w:t>
      </w:r>
      <w:r w:rsidR="00E10328" w:rsidRPr="00421DE0">
        <w:rPr>
          <w:rFonts w:ascii="Constantia" w:hAnsi="Constantia"/>
        </w:rPr>
        <w:t xml:space="preserve">bolo vylúčených </w:t>
      </w:r>
      <w:r w:rsidR="00421DE0" w:rsidRPr="00421DE0">
        <w:rPr>
          <w:rFonts w:ascii="Constantia" w:hAnsi="Constantia"/>
        </w:rPr>
        <w:t>12</w:t>
      </w:r>
      <w:r w:rsidR="00E10328" w:rsidRPr="00421DE0">
        <w:rPr>
          <w:rFonts w:ascii="Constantia" w:hAnsi="Constantia"/>
        </w:rPr>
        <w:t xml:space="preserve"> obcí, keďže</w:t>
      </w:r>
      <w:r w:rsidR="005E671A" w:rsidRPr="00421DE0">
        <w:rPr>
          <w:rFonts w:ascii="Constantia" w:hAnsi="Constantia"/>
        </w:rPr>
        <w:t xml:space="preserve"> </w:t>
      </w:r>
      <w:r w:rsidR="00555B70" w:rsidRPr="00421DE0">
        <w:rPr>
          <w:rFonts w:ascii="Constantia" w:hAnsi="Constantia"/>
        </w:rPr>
        <w:t xml:space="preserve">ich </w:t>
      </w:r>
      <w:r w:rsidR="005E671A" w:rsidRPr="00421DE0">
        <w:rPr>
          <w:rFonts w:ascii="Constantia" w:hAnsi="Constantia"/>
        </w:rPr>
        <w:t>viedla</w:t>
      </w:r>
      <w:r w:rsidR="00555B70" w:rsidRPr="00421DE0">
        <w:rPr>
          <w:rFonts w:ascii="Constantia" w:hAnsi="Constantia"/>
        </w:rPr>
        <w:t xml:space="preserve"> iná fyzická osoba, ako v predchádzajúcom volebnom období.</w:t>
      </w:r>
    </w:p>
    <w:p w14:paraId="38964569" w14:textId="4AEFEBE6" w:rsidR="007A02FD" w:rsidRPr="00421DE0" w:rsidRDefault="007A02FD" w:rsidP="001B451E">
      <w:pPr>
        <w:pStyle w:val="ListParagraph"/>
        <w:numPr>
          <w:ilvl w:val="0"/>
          <w:numId w:val="11"/>
        </w:numPr>
        <w:spacing w:after="0" w:line="240" w:lineRule="auto"/>
        <w:jc w:val="both"/>
        <w:rPr>
          <w:rFonts w:ascii="Constantia" w:hAnsi="Constantia"/>
        </w:rPr>
      </w:pPr>
      <w:r>
        <w:rPr>
          <w:rFonts w:ascii="Constantia" w:hAnsi="Constantia"/>
        </w:rPr>
        <w:t>Pokuta pre obec Oľka nepresahuje sumu 40 eur</w:t>
      </w:r>
      <w:r w:rsidR="00ED06FC">
        <w:rPr>
          <w:rFonts w:ascii="Constantia" w:hAnsi="Constantia"/>
        </w:rPr>
        <w:t xml:space="preserve"> a </w:t>
      </w:r>
      <w:r w:rsidR="004813FC">
        <w:rPr>
          <w:rFonts w:ascii="Constantia" w:hAnsi="Constantia"/>
        </w:rPr>
        <w:t xml:space="preserve">v takom prípade </w:t>
      </w:r>
      <w:r w:rsidR="00ED06FC">
        <w:rPr>
          <w:rFonts w:ascii="Constantia" w:hAnsi="Constantia"/>
        </w:rPr>
        <w:t xml:space="preserve">sa </w:t>
      </w:r>
      <w:r w:rsidR="004813FC">
        <w:rPr>
          <w:rFonts w:ascii="Constantia" w:hAnsi="Constantia"/>
        </w:rPr>
        <w:t>neukladá.</w:t>
      </w:r>
    </w:p>
    <w:p w14:paraId="59F10010" w14:textId="77777777" w:rsidR="00354F68" w:rsidRPr="00D138A5" w:rsidRDefault="00354F68" w:rsidP="00EB3F20">
      <w:pPr>
        <w:jc w:val="both"/>
        <w:rPr>
          <w:sz w:val="10"/>
          <w:szCs w:val="10"/>
        </w:rPr>
      </w:pPr>
    </w:p>
    <w:p w14:paraId="5771FB20" w14:textId="68CB5A77" w:rsidR="00E365BD" w:rsidRPr="00E70F91" w:rsidRDefault="009901F2" w:rsidP="00E365BD">
      <w:pPr>
        <w:jc w:val="both"/>
        <w:rPr>
          <w:szCs w:val="22"/>
        </w:rPr>
      </w:pPr>
      <w:r w:rsidRPr="00E70F91">
        <w:rPr>
          <w:szCs w:val="22"/>
        </w:rPr>
        <w:t xml:space="preserve">V nasledovnom prehľade sú uvedené hodnoty </w:t>
      </w:r>
      <w:r w:rsidR="00CF7F7E" w:rsidRPr="00E70F91">
        <w:rPr>
          <w:szCs w:val="22"/>
        </w:rPr>
        <w:t xml:space="preserve">pomeru dlhu </w:t>
      </w:r>
      <w:r w:rsidRPr="00E70F91">
        <w:rPr>
          <w:szCs w:val="22"/>
        </w:rPr>
        <w:t>a z nich vyplývajúc</w:t>
      </w:r>
      <w:r w:rsidR="00941B27" w:rsidRPr="00E70F91">
        <w:rPr>
          <w:szCs w:val="22"/>
        </w:rPr>
        <w:t>e</w:t>
      </w:r>
      <w:r w:rsidRPr="00E70F91">
        <w:rPr>
          <w:szCs w:val="22"/>
        </w:rPr>
        <w:t xml:space="preserve"> </w:t>
      </w:r>
      <w:r w:rsidR="00C1187F" w:rsidRPr="00E70F91">
        <w:rPr>
          <w:szCs w:val="22"/>
        </w:rPr>
        <w:t>vypočítan</w:t>
      </w:r>
      <w:r w:rsidR="00941B27" w:rsidRPr="00E70F91">
        <w:rPr>
          <w:szCs w:val="22"/>
        </w:rPr>
        <w:t>é</w:t>
      </w:r>
      <w:r w:rsidR="00C1187F" w:rsidRPr="00E70F91">
        <w:rPr>
          <w:szCs w:val="22"/>
        </w:rPr>
        <w:t xml:space="preserve"> </w:t>
      </w:r>
      <w:r w:rsidRPr="00E70F91">
        <w:rPr>
          <w:szCs w:val="22"/>
        </w:rPr>
        <w:t>pok</w:t>
      </w:r>
      <w:r w:rsidR="001A4444" w:rsidRPr="00E70F91">
        <w:rPr>
          <w:szCs w:val="22"/>
        </w:rPr>
        <w:t>ut</w:t>
      </w:r>
      <w:r w:rsidR="00941B27" w:rsidRPr="00E70F91">
        <w:rPr>
          <w:szCs w:val="22"/>
        </w:rPr>
        <w:t>y</w:t>
      </w:r>
      <w:r w:rsidR="001A4444" w:rsidRPr="00E70F91">
        <w:rPr>
          <w:szCs w:val="22"/>
        </w:rPr>
        <w:t xml:space="preserve"> tých obcí, ktoré za rok 201</w:t>
      </w:r>
      <w:r w:rsidR="00E70F91" w:rsidRPr="00E70F91">
        <w:rPr>
          <w:szCs w:val="22"/>
        </w:rPr>
        <w:t>9</w:t>
      </w:r>
      <w:r w:rsidRPr="00E70F91">
        <w:rPr>
          <w:szCs w:val="22"/>
        </w:rPr>
        <w:t xml:space="preserve"> prekročili limit dlhu</w:t>
      </w:r>
      <w:r w:rsidRPr="00E70F91">
        <w:rPr>
          <w:rStyle w:val="FootnoteReference"/>
          <w:szCs w:val="22"/>
        </w:rPr>
        <w:footnoteReference w:id="114"/>
      </w:r>
      <w:r w:rsidRPr="00E70F91">
        <w:rPr>
          <w:szCs w:val="22"/>
        </w:rPr>
        <w:t xml:space="preserve">. </w:t>
      </w:r>
      <w:r w:rsidR="000C20EB" w:rsidRPr="00E70F91">
        <w:rPr>
          <w:szCs w:val="22"/>
        </w:rPr>
        <w:t>Sumy</w:t>
      </w:r>
      <w:r w:rsidR="007D1302" w:rsidRPr="00E70F91">
        <w:rPr>
          <w:szCs w:val="22"/>
        </w:rPr>
        <w:t xml:space="preserve"> pok</w:t>
      </w:r>
      <w:r w:rsidR="000C20EB" w:rsidRPr="00E70F91">
        <w:rPr>
          <w:szCs w:val="22"/>
        </w:rPr>
        <w:t>út</w:t>
      </w:r>
      <w:r w:rsidR="007D1302" w:rsidRPr="00E70F91">
        <w:rPr>
          <w:szCs w:val="22"/>
        </w:rPr>
        <w:t xml:space="preserve"> </w:t>
      </w:r>
      <w:r w:rsidR="000C20EB" w:rsidRPr="00E70F91">
        <w:rPr>
          <w:szCs w:val="22"/>
        </w:rPr>
        <w:t>sú</w:t>
      </w:r>
      <w:r w:rsidR="007D1302" w:rsidRPr="00E70F91">
        <w:rPr>
          <w:szCs w:val="22"/>
        </w:rPr>
        <w:t xml:space="preserve"> iba ilustratívn</w:t>
      </w:r>
      <w:r w:rsidR="000C20EB" w:rsidRPr="00E70F91">
        <w:rPr>
          <w:szCs w:val="22"/>
        </w:rPr>
        <w:t>e</w:t>
      </w:r>
      <w:r w:rsidR="007D1302" w:rsidRPr="00E70F91">
        <w:rPr>
          <w:szCs w:val="22"/>
        </w:rPr>
        <w:t xml:space="preserve">, keďže v súčasnosti prebieha overovanie </w:t>
      </w:r>
      <w:r w:rsidRPr="00E70F91">
        <w:rPr>
          <w:szCs w:val="22"/>
        </w:rPr>
        <w:t xml:space="preserve">vykázaných </w:t>
      </w:r>
      <w:r w:rsidR="007D1302" w:rsidRPr="00E70F91">
        <w:rPr>
          <w:szCs w:val="22"/>
        </w:rPr>
        <w:t>dlh</w:t>
      </w:r>
      <w:r w:rsidRPr="00E70F91">
        <w:rPr>
          <w:szCs w:val="22"/>
        </w:rPr>
        <w:t>ov</w:t>
      </w:r>
      <w:r w:rsidR="00D25BAC" w:rsidRPr="00E70F91">
        <w:rPr>
          <w:szCs w:val="22"/>
        </w:rPr>
        <w:t>.</w:t>
      </w:r>
      <w:r w:rsidR="000C20EB" w:rsidRPr="00E70F91">
        <w:rPr>
          <w:szCs w:val="22"/>
        </w:rPr>
        <w:t xml:space="preserve"> Až na základe overených údajov začne ministerstvo financií sp</w:t>
      </w:r>
      <w:r w:rsidR="00C21E3B" w:rsidRPr="00E70F91">
        <w:rPr>
          <w:szCs w:val="22"/>
        </w:rPr>
        <w:t>rávne konania</w:t>
      </w:r>
      <w:r w:rsidR="005F5416" w:rsidRPr="00E70F91">
        <w:rPr>
          <w:szCs w:val="22"/>
        </w:rPr>
        <w:t xml:space="preserve"> o uložení pokuty.</w:t>
      </w:r>
    </w:p>
    <w:p w14:paraId="51ABD9DF" w14:textId="6E7230BA" w:rsidR="00DD7C16" w:rsidRPr="00E70F91" w:rsidRDefault="00DD7C16" w:rsidP="00E365BD">
      <w:pPr>
        <w:jc w:val="both"/>
      </w:pPr>
      <w:r w:rsidRPr="00E70F91">
        <w:br w:type="page"/>
      </w:r>
    </w:p>
    <w:tbl>
      <w:tblPr>
        <w:tblW w:w="9072" w:type="dxa"/>
        <w:tblLayout w:type="fixed"/>
        <w:tblCellMar>
          <w:left w:w="70" w:type="dxa"/>
          <w:right w:w="70" w:type="dxa"/>
        </w:tblCellMar>
        <w:tblLook w:val="04A0" w:firstRow="1" w:lastRow="0" w:firstColumn="1" w:lastColumn="0" w:noHBand="0" w:noVBand="1"/>
      </w:tblPr>
      <w:tblGrid>
        <w:gridCol w:w="1936"/>
        <w:gridCol w:w="795"/>
        <w:gridCol w:w="795"/>
        <w:gridCol w:w="795"/>
        <w:gridCol w:w="182"/>
        <w:gridCol w:w="182"/>
        <w:gridCol w:w="1940"/>
        <w:gridCol w:w="815"/>
        <w:gridCol w:w="816"/>
        <w:gridCol w:w="816"/>
      </w:tblGrid>
      <w:tr w:rsidR="008678E1" w:rsidRPr="00B81300" w14:paraId="2804C5C5" w14:textId="77777777" w:rsidTr="00C22251">
        <w:trPr>
          <w:trHeight w:val="300"/>
        </w:trPr>
        <w:tc>
          <w:tcPr>
            <w:tcW w:w="9072" w:type="dxa"/>
            <w:gridSpan w:val="10"/>
            <w:tcBorders>
              <w:top w:val="nil"/>
              <w:left w:val="nil"/>
              <w:bottom w:val="nil"/>
              <w:right w:val="nil"/>
            </w:tcBorders>
            <w:shd w:val="clear" w:color="auto" w:fill="auto"/>
            <w:noWrap/>
            <w:vAlign w:val="center"/>
            <w:hideMark/>
          </w:tcPr>
          <w:p w14:paraId="12998EB7" w14:textId="4B31466E" w:rsidR="008678E1" w:rsidRPr="004A79A6" w:rsidRDefault="008678E1" w:rsidP="00136258">
            <w:pPr>
              <w:rPr>
                <w:rFonts w:cs="Arial"/>
                <w:b/>
                <w:color w:val="00B0F0"/>
                <w:sz w:val="20"/>
              </w:rPr>
            </w:pPr>
            <w:bookmarkStart w:id="1043" w:name="_Toc459275424"/>
            <w:bookmarkStart w:id="1044" w:name="_Toc489954226"/>
            <w:bookmarkStart w:id="1045" w:name="_Toc490143841"/>
            <w:bookmarkStart w:id="1046" w:name="_Toc490642145"/>
            <w:bookmarkStart w:id="1047" w:name="_Toc522105529"/>
            <w:bookmarkStart w:id="1048" w:name="_Toc522200681"/>
            <w:bookmarkStart w:id="1049" w:name="_Toc523390267"/>
            <w:bookmarkStart w:id="1050" w:name="_Toc523392872"/>
            <w:bookmarkStart w:id="1051" w:name="_Toc49506909"/>
            <w:r w:rsidRPr="004A79A6">
              <w:rPr>
                <w:rStyle w:val="tabChar"/>
                <w:sz w:val="20"/>
              </w:rPr>
              <w:lastRenderedPageBreak/>
              <w:t xml:space="preserve">Tab </w:t>
            </w:r>
            <w:r w:rsidR="00210990" w:rsidRPr="004A79A6">
              <w:rPr>
                <w:rStyle w:val="tabChar"/>
                <w:sz w:val="20"/>
              </w:rPr>
              <w:t>10</w:t>
            </w:r>
            <w:r w:rsidRPr="004A79A6">
              <w:rPr>
                <w:rStyle w:val="tabChar"/>
                <w:sz w:val="20"/>
              </w:rPr>
              <w:t>: Vyhodnotenie pravidl</w:t>
            </w:r>
            <w:r w:rsidR="00136258" w:rsidRPr="004A79A6">
              <w:rPr>
                <w:rStyle w:val="tabChar"/>
                <w:sz w:val="20"/>
              </w:rPr>
              <w:t>a o</w:t>
            </w:r>
            <w:r w:rsidR="009F63CF" w:rsidRPr="004A79A6">
              <w:rPr>
                <w:rStyle w:val="tabChar"/>
                <w:sz w:val="20"/>
              </w:rPr>
              <w:t xml:space="preserve"> </w:t>
            </w:r>
            <w:r w:rsidR="00136258" w:rsidRPr="004A79A6">
              <w:rPr>
                <w:rStyle w:val="tabChar"/>
                <w:sz w:val="20"/>
              </w:rPr>
              <w:t>výške dlhu</w:t>
            </w:r>
            <w:r w:rsidRPr="004A79A6">
              <w:rPr>
                <w:rStyle w:val="tabChar"/>
                <w:sz w:val="20"/>
              </w:rPr>
              <w:t xml:space="preserve"> obc</w:t>
            </w:r>
            <w:r w:rsidR="00136258" w:rsidRPr="004A79A6">
              <w:rPr>
                <w:rStyle w:val="tabChar"/>
                <w:sz w:val="20"/>
              </w:rPr>
              <w:t>í</w:t>
            </w:r>
            <w:bookmarkEnd w:id="1043"/>
            <w:bookmarkEnd w:id="1044"/>
            <w:bookmarkEnd w:id="1045"/>
            <w:bookmarkEnd w:id="1046"/>
            <w:bookmarkEnd w:id="1047"/>
            <w:bookmarkEnd w:id="1048"/>
            <w:bookmarkEnd w:id="1049"/>
            <w:bookmarkEnd w:id="1050"/>
            <w:bookmarkEnd w:id="1051"/>
            <w:r w:rsidRPr="004A79A6">
              <w:rPr>
                <w:rStyle w:val="tabChar"/>
                <w:sz w:val="20"/>
              </w:rPr>
              <w:t xml:space="preserve"> </w:t>
            </w:r>
            <w:r w:rsidR="00DB68B2" w:rsidRPr="004A79A6">
              <w:rPr>
                <w:b/>
                <w:color w:val="13B5EA"/>
                <w:sz w:val="20"/>
              </w:rPr>
              <w:t>(rok 201</w:t>
            </w:r>
            <w:r w:rsidR="00BC24E6">
              <w:rPr>
                <w:b/>
                <w:color w:val="13B5EA"/>
                <w:sz w:val="20"/>
              </w:rPr>
              <w:t>9</w:t>
            </w:r>
            <w:r w:rsidRPr="004A79A6">
              <w:rPr>
                <w:b/>
                <w:color w:val="13B5EA"/>
                <w:sz w:val="20"/>
              </w:rPr>
              <w:t xml:space="preserve">, </w:t>
            </w:r>
            <w:r w:rsidR="009F63CF" w:rsidRPr="004A79A6">
              <w:rPr>
                <w:b/>
                <w:color w:val="13B5EA"/>
                <w:sz w:val="20"/>
              </w:rPr>
              <w:t xml:space="preserve">abecedne </w:t>
            </w:r>
            <w:r w:rsidRPr="004A79A6">
              <w:rPr>
                <w:b/>
                <w:color w:val="13B5EA"/>
                <w:sz w:val="20"/>
              </w:rPr>
              <w:t>v %)</w:t>
            </w:r>
          </w:p>
        </w:tc>
      </w:tr>
      <w:tr w:rsidR="008678E1" w:rsidRPr="00B81300" w14:paraId="06AEF3C1" w14:textId="77777777" w:rsidTr="005236C7">
        <w:trPr>
          <w:trHeight w:hRule="exact" w:val="510"/>
        </w:trPr>
        <w:tc>
          <w:tcPr>
            <w:tcW w:w="1936" w:type="dxa"/>
            <w:tcBorders>
              <w:top w:val="nil"/>
              <w:left w:val="nil"/>
              <w:bottom w:val="nil"/>
              <w:right w:val="nil"/>
            </w:tcBorders>
            <w:shd w:val="clear" w:color="000000" w:fill="13B5EA"/>
            <w:noWrap/>
            <w:vAlign w:val="center"/>
            <w:hideMark/>
          </w:tcPr>
          <w:p w14:paraId="5A23CE63" w14:textId="77777777" w:rsidR="008678E1" w:rsidRPr="004A79A6" w:rsidRDefault="008678E1" w:rsidP="008678E1">
            <w:pPr>
              <w:rPr>
                <w:rFonts w:cs="Arial"/>
                <w:b/>
                <w:color w:val="FFFFFF"/>
                <w:sz w:val="16"/>
                <w:szCs w:val="16"/>
              </w:rPr>
            </w:pPr>
            <w:r w:rsidRPr="004A79A6">
              <w:rPr>
                <w:rFonts w:cs="Arial"/>
                <w:b/>
                <w:color w:val="FFFFFF"/>
                <w:sz w:val="16"/>
                <w:szCs w:val="16"/>
              </w:rPr>
              <w:t>Názov obce (Okres)</w:t>
            </w:r>
          </w:p>
        </w:tc>
        <w:tc>
          <w:tcPr>
            <w:tcW w:w="795" w:type="dxa"/>
            <w:tcBorders>
              <w:top w:val="nil"/>
              <w:left w:val="nil"/>
              <w:bottom w:val="nil"/>
              <w:right w:val="nil"/>
            </w:tcBorders>
            <w:shd w:val="clear" w:color="000000" w:fill="13B5EA"/>
            <w:noWrap/>
            <w:vAlign w:val="center"/>
            <w:hideMark/>
          </w:tcPr>
          <w:p w14:paraId="2AB1922B" w14:textId="77777777" w:rsidR="008678E1" w:rsidRPr="004A79A6" w:rsidRDefault="008678E1" w:rsidP="008678E1">
            <w:pPr>
              <w:jc w:val="right"/>
              <w:rPr>
                <w:rFonts w:cs="Arial"/>
                <w:b/>
                <w:color w:val="FFFFFF"/>
                <w:sz w:val="16"/>
                <w:szCs w:val="16"/>
              </w:rPr>
            </w:pPr>
            <w:r w:rsidRPr="004A79A6">
              <w:rPr>
                <w:rFonts w:cs="Arial"/>
                <w:b/>
                <w:color w:val="FFFFFF"/>
                <w:sz w:val="16"/>
                <w:szCs w:val="16"/>
              </w:rPr>
              <w:t>Pomer dlhu</w:t>
            </w:r>
          </w:p>
        </w:tc>
        <w:tc>
          <w:tcPr>
            <w:tcW w:w="795" w:type="dxa"/>
            <w:tcBorders>
              <w:top w:val="nil"/>
              <w:left w:val="nil"/>
              <w:bottom w:val="nil"/>
              <w:right w:val="nil"/>
            </w:tcBorders>
            <w:shd w:val="clear" w:color="000000" w:fill="13B5EA"/>
            <w:noWrap/>
            <w:vAlign w:val="center"/>
            <w:hideMark/>
          </w:tcPr>
          <w:p w14:paraId="79414C2A" w14:textId="77777777" w:rsidR="008678E1" w:rsidRPr="004A79A6" w:rsidRDefault="008678E1" w:rsidP="008678E1">
            <w:pPr>
              <w:jc w:val="right"/>
              <w:rPr>
                <w:rFonts w:cs="Arial"/>
                <w:b/>
                <w:color w:val="FFFFFF"/>
                <w:sz w:val="16"/>
                <w:szCs w:val="16"/>
              </w:rPr>
            </w:pPr>
            <w:r w:rsidRPr="004A79A6">
              <w:rPr>
                <w:rFonts w:cs="Arial"/>
                <w:b/>
                <w:color w:val="FFFFFF"/>
                <w:sz w:val="16"/>
                <w:szCs w:val="16"/>
              </w:rPr>
              <w:t>Pokuta v eurách</w:t>
            </w:r>
          </w:p>
        </w:tc>
        <w:tc>
          <w:tcPr>
            <w:tcW w:w="795" w:type="dxa"/>
            <w:tcBorders>
              <w:top w:val="nil"/>
              <w:left w:val="nil"/>
              <w:bottom w:val="nil"/>
              <w:right w:val="nil"/>
            </w:tcBorders>
            <w:shd w:val="clear" w:color="000000" w:fill="13B5EA"/>
            <w:noWrap/>
            <w:vAlign w:val="center"/>
            <w:hideMark/>
          </w:tcPr>
          <w:p w14:paraId="5913F193" w14:textId="77777777" w:rsidR="008678E1" w:rsidRPr="004A79A6" w:rsidRDefault="008678E1" w:rsidP="008678E1">
            <w:pPr>
              <w:jc w:val="right"/>
              <w:rPr>
                <w:rFonts w:cs="Arial"/>
                <w:b/>
                <w:color w:val="FFFFFF"/>
                <w:sz w:val="16"/>
                <w:szCs w:val="16"/>
              </w:rPr>
            </w:pPr>
            <w:r w:rsidRPr="004A79A6">
              <w:rPr>
                <w:rFonts w:cs="Arial"/>
                <w:b/>
                <w:color w:val="FFFFFF"/>
                <w:sz w:val="16"/>
                <w:szCs w:val="16"/>
              </w:rPr>
              <w:t>Pomer pokuty</w:t>
            </w:r>
          </w:p>
        </w:tc>
        <w:tc>
          <w:tcPr>
            <w:tcW w:w="182" w:type="dxa"/>
            <w:tcBorders>
              <w:top w:val="nil"/>
              <w:left w:val="nil"/>
              <w:bottom w:val="nil"/>
              <w:right w:val="nil"/>
            </w:tcBorders>
            <w:shd w:val="clear" w:color="000000" w:fill="13B5EA"/>
            <w:noWrap/>
            <w:vAlign w:val="center"/>
            <w:hideMark/>
          </w:tcPr>
          <w:p w14:paraId="6D277A3A" w14:textId="77777777" w:rsidR="008678E1" w:rsidRPr="004A79A6" w:rsidRDefault="008678E1" w:rsidP="008678E1">
            <w:pPr>
              <w:jc w:val="right"/>
              <w:rPr>
                <w:rFonts w:cs="Arial"/>
                <w:b/>
                <w:color w:val="FFFFFF"/>
                <w:sz w:val="16"/>
                <w:szCs w:val="16"/>
              </w:rPr>
            </w:pPr>
            <w:r w:rsidRPr="004A79A6">
              <w:rPr>
                <w:rFonts w:cs="Arial"/>
                <w:b/>
                <w:color w:val="FFFFFF"/>
                <w:sz w:val="16"/>
                <w:szCs w:val="16"/>
              </w:rPr>
              <w:t> </w:t>
            </w:r>
          </w:p>
        </w:tc>
        <w:tc>
          <w:tcPr>
            <w:tcW w:w="182" w:type="dxa"/>
            <w:tcBorders>
              <w:top w:val="nil"/>
              <w:left w:val="single" w:sz="4" w:space="0" w:color="13B5EA"/>
              <w:bottom w:val="nil"/>
              <w:right w:val="nil"/>
            </w:tcBorders>
            <w:shd w:val="clear" w:color="000000" w:fill="13B5EA"/>
            <w:noWrap/>
            <w:vAlign w:val="center"/>
            <w:hideMark/>
          </w:tcPr>
          <w:p w14:paraId="1E88FD81" w14:textId="77777777" w:rsidR="008678E1" w:rsidRPr="004A79A6" w:rsidRDefault="008678E1" w:rsidP="008678E1">
            <w:pPr>
              <w:jc w:val="right"/>
              <w:rPr>
                <w:rFonts w:cs="Arial"/>
                <w:b/>
                <w:color w:val="FFFFFF"/>
                <w:sz w:val="16"/>
                <w:szCs w:val="16"/>
              </w:rPr>
            </w:pPr>
            <w:r w:rsidRPr="004A79A6">
              <w:rPr>
                <w:rFonts w:cs="Arial"/>
                <w:b/>
                <w:color w:val="FFFFFF"/>
                <w:sz w:val="16"/>
                <w:szCs w:val="16"/>
              </w:rPr>
              <w:t> </w:t>
            </w:r>
          </w:p>
        </w:tc>
        <w:tc>
          <w:tcPr>
            <w:tcW w:w="1940" w:type="dxa"/>
            <w:tcBorders>
              <w:top w:val="nil"/>
              <w:left w:val="nil"/>
              <w:bottom w:val="nil"/>
              <w:right w:val="nil"/>
            </w:tcBorders>
            <w:shd w:val="clear" w:color="000000" w:fill="13B5EA"/>
            <w:noWrap/>
            <w:vAlign w:val="center"/>
            <w:hideMark/>
          </w:tcPr>
          <w:p w14:paraId="08721037" w14:textId="77777777" w:rsidR="008678E1" w:rsidRPr="004A79A6" w:rsidRDefault="008678E1" w:rsidP="008678E1">
            <w:pPr>
              <w:rPr>
                <w:rFonts w:cs="Arial"/>
                <w:b/>
                <w:color w:val="FFFFFF"/>
                <w:sz w:val="16"/>
                <w:szCs w:val="16"/>
              </w:rPr>
            </w:pPr>
            <w:r w:rsidRPr="004A79A6">
              <w:rPr>
                <w:rFonts w:cs="Arial"/>
                <w:b/>
                <w:color w:val="FFFFFF"/>
                <w:sz w:val="16"/>
                <w:szCs w:val="16"/>
              </w:rPr>
              <w:t>Názov obce (Okres)</w:t>
            </w:r>
          </w:p>
        </w:tc>
        <w:tc>
          <w:tcPr>
            <w:tcW w:w="815" w:type="dxa"/>
            <w:tcBorders>
              <w:top w:val="nil"/>
              <w:left w:val="nil"/>
              <w:bottom w:val="nil"/>
              <w:right w:val="nil"/>
            </w:tcBorders>
            <w:shd w:val="clear" w:color="000000" w:fill="13B5EA"/>
            <w:noWrap/>
            <w:vAlign w:val="center"/>
            <w:hideMark/>
          </w:tcPr>
          <w:p w14:paraId="1AE4B2FF" w14:textId="77777777" w:rsidR="008678E1" w:rsidRPr="004A79A6" w:rsidRDefault="008678E1" w:rsidP="008678E1">
            <w:pPr>
              <w:jc w:val="right"/>
              <w:rPr>
                <w:rFonts w:cs="Arial"/>
                <w:b/>
                <w:color w:val="FFFFFF"/>
                <w:sz w:val="16"/>
                <w:szCs w:val="16"/>
              </w:rPr>
            </w:pPr>
            <w:r w:rsidRPr="004A79A6">
              <w:rPr>
                <w:rFonts w:cs="Arial"/>
                <w:b/>
                <w:color w:val="FFFFFF"/>
                <w:sz w:val="16"/>
                <w:szCs w:val="16"/>
              </w:rPr>
              <w:t>Pomer dlhu</w:t>
            </w:r>
          </w:p>
        </w:tc>
        <w:tc>
          <w:tcPr>
            <w:tcW w:w="816" w:type="dxa"/>
            <w:tcBorders>
              <w:top w:val="nil"/>
              <w:left w:val="nil"/>
              <w:bottom w:val="nil"/>
              <w:right w:val="nil"/>
            </w:tcBorders>
            <w:shd w:val="clear" w:color="000000" w:fill="13B5EA"/>
            <w:noWrap/>
            <w:vAlign w:val="center"/>
            <w:hideMark/>
          </w:tcPr>
          <w:p w14:paraId="52B3B023" w14:textId="2044BE1E" w:rsidR="008678E1" w:rsidRPr="004A79A6" w:rsidRDefault="008678E1" w:rsidP="008678E1">
            <w:pPr>
              <w:jc w:val="right"/>
              <w:rPr>
                <w:rFonts w:cs="Arial"/>
                <w:b/>
                <w:color w:val="FFFFFF"/>
                <w:sz w:val="16"/>
                <w:szCs w:val="16"/>
              </w:rPr>
            </w:pPr>
            <w:r w:rsidRPr="004A79A6">
              <w:rPr>
                <w:rFonts w:cs="Arial"/>
                <w:b/>
                <w:color w:val="FFFFFF"/>
                <w:sz w:val="16"/>
                <w:szCs w:val="16"/>
              </w:rPr>
              <w:t>Pokuta v</w:t>
            </w:r>
            <w:r w:rsidR="00181114" w:rsidRPr="004A79A6">
              <w:rPr>
                <w:rFonts w:cs="Arial"/>
                <w:b/>
                <w:color w:val="FFFFFF"/>
                <w:sz w:val="16"/>
                <w:szCs w:val="16"/>
              </w:rPr>
              <w:t> </w:t>
            </w:r>
            <w:r w:rsidRPr="004A79A6">
              <w:rPr>
                <w:rFonts w:cs="Arial"/>
                <w:b/>
                <w:color w:val="FFFFFF"/>
                <w:sz w:val="16"/>
                <w:szCs w:val="16"/>
              </w:rPr>
              <w:t>eurách</w:t>
            </w:r>
          </w:p>
        </w:tc>
        <w:tc>
          <w:tcPr>
            <w:tcW w:w="816" w:type="dxa"/>
            <w:tcBorders>
              <w:top w:val="nil"/>
              <w:left w:val="nil"/>
              <w:bottom w:val="nil"/>
              <w:right w:val="nil"/>
            </w:tcBorders>
            <w:shd w:val="clear" w:color="000000" w:fill="13B5EA"/>
            <w:noWrap/>
            <w:vAlign w:val="center"/>
            <w:hideMark/>
          </w:tcPr>
          <w:p w14:paraId="5278FDD7" w14:textId="77777777" w:rsidR="008678E1" w:rsidRPr="004A79A6" w:rsidRDefault="008678E1" w:rsidP="008678E1">
            <w:pPr>
              <w:jc w:val="right"/>
              <w:rPr>
                <w:rFonts w:cs="Arial"/>
                <w:b/>
                <w:color w:val="FFFFFF"/>
                <w:sz w:val="16"/>
                <w:szCs w:val="16"/>
              </w:rPr>
            </w:pPr>
            <w:r w:rsidRPr="004A79A6">
              <w:rPr>
                <w:rFonts w:cs="Arial"/>
                <w:b/>
                <w:color w:val="FFFFFF"/>
                <w:sz w:val="16"/>
                <w:szCs w:val="16"/>
              </w:rPr>
              <w:t>Pomer pokuty</w:t>
            </w:r>
          </w:p>
        </w:tc>
      </w:tr>
      <w:tr w:rsidR="00DB68B2" w:rsidRPr="00B81300" w14:paraId="741631EF" w14:textId="77777777" w:rsidTr="004A79A6">
        <w:trPr>
          <w:trHeight w:hRule="exact" w:val="284"/>
        </w:trPr>
        <w:tc>
          <w:tcPr>
            <w:tcW w:w="1936" w:type="dxa"/>
            <w:tcBorders>
              <w:top w:val="nil"/>
              <w:left w:val="nil"/>
              <w:bottom w:val="single" w:sz="4" w:space="0" w:color="D9D9D9"/>
              <w:right w:val="nil"/>
            </w:tcBorders>
            <w:shd w:val="clear" w:color="auto" w:fill="D9D9D9" w:themeFill="background1" w:themeFillShade="D9"/>
            <w:noWrap/>
            <w:vAlign w:val="center"/>
            <w:hideMark/>
          </w:tcPr>
          <w:p w14:paraId="00C9F401" w14:textId="3C67B424" w:rsidR="00DB68B2" w:rsidRPr="004A79A6" w:rsidRDefault="002B7580" w:rsidP="00DB68B2">
            <w:pPr>
              <w:rPr>
                <w:rFonts w:cs="Arial"/>
                <w:color w:val="13B5EA"/>
                <w:sz w:val="16"/>
                <w:szCs w:val="16"/>
              </w:rPr>
            </w:pPr>
            <w:r>
              <w:rPr>
                <w:rFonts w:cs="Arial"/>
                <w:sz w:val="16"/>
                <w:szCs w:val="16"/>
              </w:rPr>
              <w:t>Bertotovce (PO) **</w:t>
            </w:r>
          </w:p>
        </w:tc>
        <w:tc>
          <w:tcPr>
            <w:tcW w:w="795" w:type="dxa"/>
            <w:tcBorders>
              <w:top w:val="nil"/>
              <w:left w:val="nil"/>
              <w:bottom w:val="single" w:sz="4" w:space="0" w:color="D9D9D9"/>
              <w:right w:val="nil"/>
            </w:tcBorders>
            <w:shd w:val="clear" w:color="auto" w:fill="D9D9D9" w:themeFill="background1" w:themeFillShade="D9"/>
            <w:noWrap/>
            <w:vAlign w:val="center"/>
            <w:hideMark/>
          </w:tcPr>
          <w:p w14:paraId="5EA28960" w14:textId="6E522EAE" w:rsidR="00DB68B2" w:rsidRPr="004A79A6" w:rsidRDefault="002B7580" w:rsidP="00DB68B2">
            <w:pPr>
              <w:jc w:val="right"/>
              <w:rPr>
                <w:rFonts w:cs="Arial"/>
                <w:b/>
                <w:color w:val="13B5EA"/>
                <w:sz w:val="16"/>
                <w:szCs w:val="16"/>
              </w:rPr>
            </w:pPr>
            <w:r>
              <w:rPr>
                <w:rFonts w:cs="Arial"/>
                <w:b/>
                <w:bCs/>
                <w:color w:val="13B5EA"/>
                <w:sz w:val="16"/>
                <w:szCs w:val="16"/>
              </w:rPr>
              <w:t>177,9</w:t>
            </w:r>
          </w:p>
        </w:tc>
        <w:tc>
          <w:tcPr>
            <w:tcW w:w="795" w:type="dxa"/>
            <w:tcBorders>
              <w:top w:val="nil"/>
              <w:left w:val="nil"/>
              <w:bottom w:val="single" w:sz="4" w:space="0" w:color="D9D9D9"/>
              <w:right w:val="nil"/>
            </w:tcBorders>
            <w:shd w:val="clear" w:color="auto" w:fill="D9D9D9" w:themeFill="background1" w:themeFillShade="D9"/>
            <w:noWrap/>
            <w:vAlign w:val="center"/>
            <w:hideMark/>
          </w:tcPr>
          <w:p w14:paraId="1C7D1EDD" w14:textId="61D5BC39" w:rsidR="00DB68B2" w:rsidRPr="004A79A6" w:rsidRDefault="002B7580" w:rsidP="00DB68B2">
            <w:pPr>
              <w:jc w:val="right"/>
              <w:rPr>
                <w:rFonts w:cs="Arial"/>
                <w:color w:val="13B5EA"/>
                <w:sz w:val="16"/>
                <w:szCs w:val="16"/>
              </w:rPr>
            </w:pPr>
            <w:r>
              <w:rPr>
                <w:rFonts w:cs="Arial"/>
                <w:sz w:val="16"/>
                <w:szCs w:val="16"/>
              </w:rPr>
              <w:t>19 881</w:t>
            </w:r>
          </w:p>
        </w:tc>
        <w:tc>
          <w:tcPr>
            <w:tcW w:w="795" w:type="dxa"/>
            <w:tcBorders>
              <w:top w:val="nil"/>
              <w:left w:val="nil"/>
              <w:bottom w:val="single" w:sz="4" w:space="0" w:color="D9D9D9"/>
              <w:right w:val="nil"/>
            </w:tcBorders>
            <w:shd w:val="clear" w:color="auto" w:fill="D9D9D9" w:themeFill="background1" w:themeFillShade="D9"/>
            <w:noWrap/>
            <w:vAlign w:val="center"/>
            <w:hideMark/>
          </w:tcPr>
          <w:p w14:paraId="0715D450" w14:textId="5FA2D004" w:rsidR="00DB68B2" w:rsidRPr="004A79A6" w:rsidRDefault="002B7580" w:rsidP="00DB68B2">
            <w:pPr>
              <w:jc w:val="right"/>
              <w:rPr>
                <w:rFonts w:cs="Arial"/>
                <w:color w:val="13B5EA"/>
                <w:sz w:val="16"/>
                <w:szCs w:val="16"/>
              </w:rPr>
            </w:pPr>
            <w:r>
              <w:rPr>
                <w:rFonts w:cs="Arial"/>
                <w:sz w:val="16"/>
                <w:szCs w:val="16"/>
              </w:rPr>
              <w:t>5,9</w:t>
            </w:r>
          </w:p>
        </w:tc>
        <w:tc>
          <w:tcPr>
            <w:tcW w:w="182" w:type="dxa"/>
            <w:tcBorders>
              <w:top w:val="nil"/>
              <w:left w:val="nil"/>
              <w:bottom w:val="single" w:sz="4" w:space="0" w:color="D9D9D9"/>
              <w:right w:val="nil"/>
            </w:tcBorders>
            <w:shd w:val="clear" w:color="auto" w:fill="D9D9D9" w:themeFill="background1" w:themeFillShade="D9"/>
            <w:noWrap/>
            <w:vAlign w:val="center"/>
            <w:hideMark/>
          </w:tcPr>
          <w:p w14:paraId="6B7EB43C" w14:textId="04130638"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76D56452" w14:textId="68E240DF"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737687CF" w14:textId="00901BFA" w:rsidR="00DB68B2" w:rsidRPr="004A79A6" w:rsidRDefault="002B7580" w:rsidP="00DB68B2">
            <w:pPr>
              <w:rPr>
                <w:rFonts w:cs="Arial"/>
                <w:color w:val="13B5EA"/>
                <w:sz w:val="16"/>
                <w:szCs w:val="16"/>
              </w:rPr>
            </w:pPr>
            <w:r>
              <w:rPr>
                <w:rFonts w:cs="Arial"/>
                <w:sz w:val="16"/>
                <w:szCs w:val="16"/>
              </w:rPr>
              <w:t>Michalok (VT)</w:t>
            </w:r>
          </w:p>
        </w:tc>
        <w:tc>
          <w:tcPr>
            <w:tcW w:w="815" w:type="dxa"/>
            <w:tcBorders>
              <w:top w:val="nil"/>
              <w:left w:val="nil"/>
              <w:bottom w:val="single" w:sz="4" w:space="0" w:color="D9D9D9"/>
              <w:right w:val="nil"/>
            </w:tcBorders>
            <w:shd w:val="clear" w:color="auto" w:fill="auto"/>
            <w:noWrap/>
            <w:vAlign w:val="center"/>
          </w:tcPr>
          <w:p w14:paraId="2545114D" w14:textId="338DFB52" w:rsidR="00DB68B2" w:rsidRPr="004A79A6" w:rsidRDefault="002B7580" w:rsidP="00DB68B2">
            <w:pPr>
              <w:jc w:val="right"/>
              <w:rPr>
                <w:rFonts w:cs="Arial"/>
                <w:color w:val="13B5EA"/>
                <w:sz w:val="16"/>
                <w:szCs w:val="16"/>
              </w:rPr>
            </w:pPr>
            <w:r>
              <w:rPr>
                <w:rFonts w:cs="Arial"/>
                <w:b/>
                <w:bCs/>
                <w:color w:val="13B5EA"/>
                <w:sz w:val="16"/>
                <w:szCs w:val="16"/>
              </w:rPr>
              <w:t>63,8</w:t>
            </w:r>
          </w:p>
        </w:tc>
        <w:tc>
          <w:tcPr>
            <w:tcW w:w="816" w:type="dxa"/>
            <w:tcBorders>
              <w:top w:val="nil"/>
              <w:left w:val="nil"/>
              <w:bottom w:val="single" w:sz="4" w:space="0" w:color="D9D9D9"/>
              <w:right w:val="nil"/>
            </w:tcBorders>
            <w:shd w:val="clear" w:color="auto" w:fill="auto"/>
            <w:noWrap/>
            <w:vAlign w:val="center"/>
          </w:tcPr>
          <w:p w14:paraId="65B58F9C" w14:textId="68EF46CA" w:rsidR="00DB68B2" w:rsidRPr="004A79A6" w:rsidRDefault="002B7580" w:rsidP="00DB68B2">
            <w:pPr>
              <w:jc w:val="right"/>
              <w:rPr>
                <w:rFonts w:cs="Arial"/>
                <w:color w:val="13B5EA"/>
                <w:sz w:val="16"/>
                <w:szCs w:val="16"/>
              </w:rPr>
            </w:pPr>
            <w:r>
              <w:rPr>
                <w:rFonts w:cs="Arial"/>
                <w:sz w:val="16"/>
                <w:szCs w:val="16"/>
              </w:rPr>
              <w:t>144</w:t>
            </w:r>
          </w:p>
        </w:tc>
        <w:tc>
          <w:tcPr>
            <w:tcW w:w="816" w:type="dxa"/>
            <w:tcBorders>
              <w:top w:val="nil"/>
              <w:left w:val="nil"/>
              <w:bottom w:val="single" w:sz="4" w:space="0" w:color="D9D9D9"/>
              <w:right w:val="nil"/>
            </w:tcBorders>
            <w:shd w:val="clear" w:color="auto" w:fill="auto"/>
            <w:noWrap/>
            <w:vAlign w:val="center"/>
          </w:tcPr>
          <w:p w14:paraId="01534F4F" w14:textId="27202BAC" w:rsidR="00DB68B2" w:rsidRPr="004A79A6" w:rsidRDefault="002B7580" w:rsidP="00DB68B2">
            <w:pPr>
              <w:jc w:val="right"/>
              <w:rPr>
                <w:rFonts w:cs="Arial"/>
                <w:color w:val="13B5EA"/>
                <w:sz w:val="16"/>
                <w:szCs w:val="16"/>
              </w:rPr>
            </w:pPr>
            <w:r>
              <w:rPr>
                <w:rFonts w:cs="Arial"/>
                <w:sz w:val="16"/>
                <w:szCs w:val="16"/>
              </w:rPr>
              <w:t>0,2</w:t>
            </w:r>
          </w:p>
        </w:tc>
      </w:tr>
      <w:tr w:rsidR="00DB68B2" w:rsidRPr="00B81300" w14:paraId="29190D7B"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hideMark/>
          </w:tcPr>
          <w:p w14:paraId="12868C6C" w14:textId="3E6F8105" w:rsidR="00DB68B2" w:rsidRPr="004A79A6" w:rsidRDefault="002B7580" w:rsidP="00DB68B2">
            <w:pPr>
              <w:rPr>
                <w:rFonts w:cs="Arial"/>
                <w:sz w:val="16"/>
                <w:szCs w:val="16"/>
              </w:rPr>
            </w:pPr>
            <w:r>
              <w:rPr>
                <w:rFonts w:cs="Arial"/>
                <w:sz w:val="16"/>
                <w:szCs w:val="16"/>
              </w:rPr>
              <w:t>Bodzianske Lúky (KN)</w:t>
            </w:r>
          </w:p>
        </w:tc>
        <w:tc>
          <w:tcPr>
            <w:tcW w:w="795" w:type="dxa"/>
            <w:tcBorders>
              <w:top w:val="nil"/>
              <w:left w:val="nil"/>
              <w:bottom w:val="single" w:sz="4" w:space="0" w:color="D9D9D9"/>
              <w:right w:val="nil"/>
            </w:tcBorders>
            <w:shd w:val="clear" w:color="auto" w:fill="auto"/>
            <w:noWrap/>
            <w:vAlign w:val="center"/>
            <w:hideMark/>
          </w:tcPr>
          <w:p w14:paraId="4EC5CE25" w14:textId="56B55FE0" w:rsidR="00DB68B2" w:rsidRPr="004A79A6" w:rsidRDefault="002B7580" w:rsidP="00DB68B2">
            <w:pPr>
              <w:jc w:val="right"/>
              <w:rPr>
                <w:rFonts w:cs="Arial"/>
                <w:b/>
                <w:sz w:val="16"/>
                <w:szCs w:val="16"/>
              </w:rPr>
            </w:pPr>
            <w:r>
              <w:rPr>
                <w:rFonts w:cs="Arial"/>
                <w:b/>
                <w:bCs/>
                <w:color w:val="13B5EA"/>
                <w:sz w:val="16"/>
                <w:szCs w:val="16"/>
              </w:rPr>
              <w:t>135,4</w:t>
            </w:r>
          </w:p>
        </w:tc>
        <w:tc>
          <w:tcPr>
            <w:tcW w:w="795" w:type="dxa"/>
            <w:tcBorders>
              <w:top w:val="nil"/>
              <w:left w:val="nil"/>
              <w:bottom w:val="single" w:sz="4" w:space="0" w:color="D9D9D9"/>
              <w:right w:val="nil"/>
            </w:tcBorders>
            <w:shd w:val="clear" w:color="auto" w:fill="auto"/>
            <w:noWrap/>
            <w:vAlign w:val="center"/>
            <w:hideMark/>
          </w:tcPr>
          <w:p w14:paraId="15824327" w14:textId="072C0406" w:rsidR="00DB68B2" w:rsidRPr="004A79A6" w:rsidRDefault="002B7580" w:rsidP="00DB68B2">
            <w:pPr>
              <w:jc w:val="right"/>
              <w:rPr>
                <w:rFonts w:cs="Arial"/>
                <w:sz w:val="16"/>
                <w:szCs w:val="16"/>
              </w:rPr>
            </w:pPr>
            <w:r>
              <w:rPr>
                <w:rFonts w:cs="Arial"/>
                <w:sz w:val="16"/>
                <w:szCs w:val="16"/>
              </w:rPr>
              <w:t>2 657</w:t>
            </w:r>
          </w:p>
        </w:tc>
        <w:tc>
          <w:tcPr>
            <w:tcW w:w="795" w:type="dxa"/>
            <w:tcBorders>
              <w:top w:val="nil"/>
              <w:left w:val="nil"/>
              <w:bottom w:val="single" w:sz="4" w:space="0" w:color="D9D9D9"/>
              <w:right w:val="nil"/>
            </w:tcBorders>
            <w:shd w:val="clear" w:color="auto" w:fill="auto"/>
            <w:noWrap/>
            <w:vAlign w:val="center"/>
            <w:hideMark/>
          </w:tcPr>
          <w:p w14:paraId="4156DD40" w14:textId="3EA30005" w:rsidR="00DB68B2" w:rsidRPr="004A79A6" w:rsidRDefault="002B7580" w:rsidP="00DB68B2">
            <w:pPr>
              <w:jc w:val="right"/>
              <w:rPr>
                <w:rFonts w:cs="Arial"/>
                <w:sz w:val="16"/>
                <w:szCs w:val="16"/>
              </w:rPr>
            </w:pPr>
            <w:r>
              <w:rPr>
                <w:rFonts w:cs="Arial"/>
                <w:sz w:val="16"/>
                <w:szCs w:val="16"/>
              </w:rPr>
              <w:t>3,8</w:t>
            </w:r>
          </w:p>
        </w:tc>
        <w:tc>
          <w:tcPr>
            <w:tcW w:w="182" w:type="dxa"/>
            <w:tcBorders>
              <w:top w:val="nil"/>
              <w:left w:val="nil"/>
              <w:bottom w:val="single" w:sz="4" w:space="0" w:color="D9D9D9"/>
              <w:right w:val="nil"/>
            </w:tcBorders>
            <w:shd w:val="clear" w:color="auto" w:fill="auto"/>
            <w:noWrap/>
            <w:vAlign w:val="center"/>
            <w:hideMark/>
          </w:tcPr>
          <w:p w14:paraId="3C72AEED" w14:textId="0E448F3E"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16AD894D" w14:textId="773805AD"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1A79023A" w14:textId="3B3EBAFB" w:rsidR="00DB68B2" w:rsidRPr="004A79A6" w:rsidRDefault="002B7580" w:rsidP="00DB68B2">
            <w:pPr>
              <w:rPr>
                <w:rFonts w:cs="Arial"/>
                <w:sz w:val="16"/>
                <w:szCs w:val="16"/>
              </w:rPr>
            </w:pPr>
            <w:r>
              <w:rPr>
                <w:rFonts w:cs="Arial"/>
                <w:sz w:val="16"/>
                <w:szCs w:val="16"/>
              </w:rPr>
              <w:t>Mlynica (PP)</w:t>
            </w:r>
          </w:p>
        </w:tc>
        <w:tc>
          <w:tcPr>
            <w:tcW w:w="815" w:type="dxa"/>
            <w:tcBorders>
              <w:top w:val="nil"/>
              <w:left w:val="nil"/>
              <w:bottom w:val="single" w:sz="4" w:space="0" w:color="D9D9D9"/>
              <w:right w:val="nil"/>
            </w:tcBorders>
            <w:shd w:val="clear" w:color="auto" w:fill="auto"/>
            <w:noWrap/>
            <w:vAlign w:val="center"/>
          </w:tcPr>
          <w:p w14:paraId="2F5727D7" w14:textId="7097EFD8" w:rsidR="00DB68B2" w:rsidRPr="004A79A6" w:rsidRDefault="002B7580" w:rsidP="00DB68B2">
            <w:pPr>
              <w:jc w:val="right"/>
              <w:rPr>
                <w:rFonts w:cs="Arial"/>
                <w:sz w:val="16"/>
                <w:szCs w:val="16"/>
              </w:rPr>
            </w:pPr>
            <w:r>
              <w:rPr>
                <w:rFonts w:cs="Arial"/>
                <w:b/>
                <w:bCs/>
                <w:color w:val="13B5EA"/>
                <w:sz w:val="16"/>
                <w:szCs w:val="16"/>
              </w:rPr>
              <w:t>61,4</w:t>
            </w:r>
          </w:p>
        </w:tc>
        <w:tc>
          <w:tcPr>
            <w:tcW w:w="816" w:type="dxa"/>
            <w:tcBorders>
              <w:top w:val="nil"/>
              <w:left w:val="nil"/>
              <w:bottom w:val="single" w:sz="4" w:space="0" w:color="D9D9D9"/>
              <w:right w:val="nil"/>
            </w:tcBorders>
            <w:shd w:val="clear" w:color="auto" w:fill="auto"/>
            <w:noWrap/>
            <w:vAlign w:val="center"/>
          </w:tcPr>
          <w:p w14:paraId="3DA0227F" w14:textId="0FD9284F" w:rsidR="00DB68B2" w:rsidRPr="004A79A6" w:rsidRDefault="002B7580" w:rsidP="00DB68B2">
            <w:pPr>
              <w:jc w:val="right"/>
              <w:rPr>
                <w:rFonts w:cs="Arial"/>
                <w:sz w:val="16"/>
                <w:szCs w:val="16"/>
              </w:rPr>
            </w:pPr>
            <w:r>
              <w:rPr>
                <w:rFonts w:cs="Arial"/>
                <w:sz w:val="16"/>
                <w:szCs w:val="16"/>
              </w:rPr>
              <w:t>184</w:t>
            </w:r>
          </w:p>
        </w:tc>
        <w:tc>
          <w:tcPr>
            <w:tcW w:w="816" w:type="dxa"/>
            <w:tcBorders>
              <w:top w:val="nil"/>
              <w:left w:val="nil"/>
              <w:bottom w:val="single" w:sz="4" w:space="0" w:color="D9D9D9"/>
              <w:right w:val="nil"/>
            </w:tcBorders>
            <w:shd w:val="clear" w:color="auto" w:fill="auto"/>
            <w:noWrap/>
            <w:vAlign w:val="center"/>
          </w:tcPr>
          <w:p w14:paraId="43582F3D" w14:textId="18EC1579" w:rsidR="00DB68B2" w:rsidRPr="004A79A6" w:rsidRDefault="002B7580" w:rsidP="00DB68B2">
            <w:pPr>
              <w:jc w:val="right"/>
              <w:rPr>
                <w:rFonts w:cs="Arial"/>
                <w:sz w:val="16"/>
                <w:szCs w:val="16"/>
              </w:rPr>
            </w:pPr>
            <w:r>
              <w:rPr>
                <w:rFonts w:cs="Arial"/>
                <w:sz w:val="16"/>
                <w:szCs w:val="16"/>
              </w:rPr>
              <w:t>0,1</w:t>
            </w:r>
          </w:p>
        </w:tc>
      </w:tr>
      <w:tr w:rsidR="00DB68B2" w:rsidRPr="00B81300" w14:paraId="009F9A71" w14:textId="77777777" w:rsidTr="004A79A6">
        <w:trPr>
          <w:trHeight w:hRule="exact" w:val="284"/>
        </w:trPr>
        <w:tc>
          <w:tcPr>
            <w:tcW w:w="1936" w:type="dxa"/>
            <w:tcBorders>
              <w:top w:val="nil"/>
              <w:left w:val="nil"/>
              <w:bottom w:val="single" w:sz="4" w:space="0" w:color="D9D9D9"/>
              <w:right w:val="nil"/>
            </w:tcBorders>
            <w:shd w:val="clear" w:color="auto" w:fill="D9D9D9" w:themeFill="background1" w:themeFillShade="D9"/>
            <w:noWrap/>
            <w:vAlign w:val="center"/>
          </w:tcPr>
          <w:p w14:paraId="4126E4C0" w14:textId="15473E66" w:rsidR="00DB68B2" w:rsidRPr="004A79A6" w:rsidRDefault="002B7580" w:rsidP="00DB68B2">
            <w:pPr>
              <w:rPr>
                <w:rFonts w:cs="Arial"/>
                <w:sz w:val="16"/>
                <w:szCs w:val="16"/>
              </w:rPr>
            </w:pPr>
            <w:r>
              <w:rPr>
                <w:rFonts w:cs="Arial"/>
                <w:sz w:val="16"/>
                <w:szCs w:val="16"/>
              </w:rPr>
              <w:t>Bratislava - Devín (BA) *</w:t>
            </w:r>
          </w:p>
        </w:tc>
        <w:tc>
          <w:tcPr>
            <w:tcW w:w="795" w:type="dxa"/>
            <w:tcBorders>
              <w:top w:val="nil"/>
              <w:left w:val="nil"/>
              <w:bottom w:val="single" w:sz="4" w:space="0" w:color="D9D9D9"/>
              <w:right w:val="nil"/>
            </w:tcBorders>
            <w:shd w:val="clear" w:color="auto" w:fill="D9D9D9" w:themeFill="background1" w:themeFillShade="D9"/>
            <w:noWrap/>
            <w:vAlign w:val="center"/>
          </w:tcPr>
          <w:p w14:paraId="0C227504" w14:textId="69318766" w:rsidR="00DB68B2" w:rsidRPr="004A79A6" w:rsidRDefault="002B7580" w:rsidP="00DB68B2">
            <w:pPr>
              <w:jc w:val="right"/>
              <w:rPr>
                <w:rFonts w:cs="Arial"/>
                <w:sz w:val="16"/>
                <w:szCs w:val="16"/>
              </w:rPr>
            </w:pPr>
            <w:r>
              <w:rPr>
                <w:rFonts w:cs="Arial"/>
                <w:b/>
                <w:bCs/>
                <w:color w:val="13B5EA"/>
                <w:sz w:val="16"/>
                <w:szCs w:val="16"/>
              </w:rPr>
              <w:t>451,7</w:t>
            </w:r>
          </w:p>
        </w:tc>
        <w:tc>
          <w:tcPr>
            <w:tcW w:w="795" w:type="dxa"/>
            <w:tcBorders>
              <w:top w:val="nil"/>
              <w:left w:val="nil"/>
              <w:bottom w:val="single" w:sz="4" w:space="0" w:color="D9D9D9"/>
              <w:right w:val="nil"/>
            </w:tcBorders>
            <w:shd w:val="clear" w:color="auto" w:fill="D9D9D9" w:themeFill="background1" w:themeFillShade="D9"/>
            <w:noWrap/>
            <w:vAlign w:val="center"/>
          </w:tcPr>
          <w:p w14:paraId="20EFD713" w14:textId="2C2444AC" w:rsidR="00DB68B2" w:rsidRPr="004A79A6" w:rsidRDefault="002B7580" w:rsidP="00DB68B2">
            <w:pPr>
              <w:jc w:val="right"/>
              <w:rPr>
                <w:rFonts w:cs="Arial"/>
                <w:sz w:val="16"/>
                <w:szCs w:val="16"/>
              </w:rPr>
            </w:pPr>
            <w:r>
              <w:rPr>
                <w:rFonts w:cs="Arial"/>
                <w:sz w:val="16"/>
                <w:szCs w:val="16"/>
              </w:rPr>
              <w:t>153 403</w:t>
            </w:r>
          </w:p>
        </w:tc>
        <w:tc>
          <w:tcPr>
            <w:tcW w:w="795" w:type="dxa"/>
            <w:tcBorders>
              <w:top w:val="nil"/>
              <w:left w:val="nil"/>
              <w:bottom w:val="single" w:sz="4" w:space="0" w:color="D9D9D9"/>
              <w:right w:val="nil"/>
            </w:tcBorders>
            <w:shd w:val="clear" w:color="auto" w:fill="D9D9D9" w:themeFill="background1" w:themeFillShade="D9"/>
            <w:noWrap/>
            <w:vAlign w:val="center"/>
          </w:tcPr>
          <w:p w14:paraId="2C1AA55B" w14:textId="5E97656F" w:rsidR="00DB68B2" w:rsidRPr="004A79A6" w:rsidRDefault="002B7580" w:rsidP="00DB68B2">
            <w:pPr>
              <w:jc w:val="right"/>
              <w:rPr>
                <w:rFonts w:cs="Arial"/>
                <w:sz w:val="16"/>
                <w:szCs w:val="16"/>
              </w:rPr>
            </w:pPr>
            <w:r>
              <w:rPr>
                <w:rFonts w:cs="Arial"/>
                <w:sz w:val="16"/>
                <w:szCs w:val="16"/>
              </w:rPr>
              <w:t>19,6</w:t>
            </w:r>
          </w:p>
        </w:tc>
        <w:tc>
          <w:tcPr>
            <w:tcW w:w="182" w:type="dxa"/>
            <w:tcBorders>
              <w:top w:val="nil"/>
              <w:left w:val="nil"/>
              <w:bottom w:val="single" w:sz="4" w:space="0" w:color="D9D9D9"/>
              <w:right w:val="nil"/>
            </w:tcBorders>
            <w:shd w:val="clear" w:color="auto" w:fill="D9D9D9" w:themeFill="background1" w:themeFillShade="D9"/>
            <w:noWrap/>
            <w:vAlign w:val="center"/>
            <w:hideMark/>
          </w:tcPr>
          <w:p w14:paraId="15466968" w14:textId="711B46B6"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D9D9D9" w:themeFill="background1" w:themeFillShade="D9"/>
            <w:noWrap/>
            <w:vAlign w:val="center"/>
            <w:hideMark/>
          </w:tcPr>
          <w:p w14:paraId="494669FC" w14:textId="3E74A9D4"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D9D9D9" w:themeFill="background1" w:themeFillShade="D9"/>
            <w:noWrap/>
            <w:vAlign w:val="center"/>
          </w:tcPr>
          <w:p w14:paraId="2D5CD305" w14:textId="1CA411A5" w:rsidR="00DB68B2" w:rsidRPr="004A79A6" w:rsidRDefault="002B7580" w:rsidP="00DB68B2">
            <w:pPr>
              <w:rPr>
                <w:rFonts w:cs="Arial"/>
                <w:sz w:val="16"/>
                <w:szCs w:val="16"/>
              </w:rPr>
            </w:pPr>
            <w:r>
              <w:rPr>
                <w:rFonts w:cs="Arial"/>
                <w:sz w:val="16"/>
                <w:szCs w:val="16"/>
              </w:rPr>
              <w:t>Nižný Komárnik (SK) **</w:t>
            </w:r>
          </w:p>
        </w:tc>
        <w:tc>
          <w:tcPr>
            <w:tcW w:w="815" w:type="dxa"/>
            <w:tcBorders>
              <w:top w:val="nil"/>
              <w:left w:val="nil"/>
              <w:bottom w:val="single" w:sz="4" w:space="0" w:color="D9D9D9"/>
              <w:right w:val="nil"/>
            </w:tcBorders>
            <w:shd w:val="clear" w:color="auto" w:fill="D9D9D9" w:themeFill="background1" w:themeFillShade="D9"/>
            <w:noWrap/>
            <w:vAlign w:val="center"/>
          </w:tcPr>
          <w:p w14:paraId="5D1844ED" w14:textId="5D45A26F" w:rsidR="00DB68B2" w:rsidRPr="004A79A6" w:rsidRDefault="002B7580" w:rsidP="00DB68B2">
            <w:pPr>
              <w:jc w:val="right"/>
              <w:rPr>
                <w:rFonts w:cs="Arial"/>
                <w:sz w:val="16"/>
                <w:szCs w:val="16"/>
              </w:rPr>
            </w:pPr>
            <w:r>
              <w:rPr>
                <w:rFonts w:cs="Arial"/>
                <w:b/>
                <w:bCs/>
                <w:color w:val="13B5EA"/>
                <w:sz w:val="16"/>
                <w:szCs w:val="16"/>
              </w:rPr>
              <w:t>61,2</w:t>
            </w:r>
          </w:p>
        </w:tc>
        <w:tc>
          <w:tcPr>
            <w:tcW w:w="816" w:type="dxa"/>
            <w:tcBorders>
              <w:top w:val="nil"/>
              <w:left w:val="nil"/>
              <w:bottom w:val="single" w:sz="4" w:space="0" w:color="D9D9D9"/>
              <w:right w:val="nil"/>
            </w:tcBorders>
            <w:shd w:val="clear" w:color="auto" w:fill="D9D9D9" w:themeFill="background1" w:themeFillShade="D9"/>
            <w:noWrap/>
            <w:vAlign w:val="center"/>
          </w:tcPr>
          <w:p w14:paraId="07191756" w14:textId="53755EB4" w:rsidR="00DB68B2" w:rsidRPr="004A79A6" w:rsidRDefault="002B7580" w:rsidP="00DB68B2">
            <w:pPr>
              <w:jc w:val="right"/>
              <w:rPr>
                <w:rFonts w:cs="Arial"/>
                <w:sz w:val="16"/>
                <w:szCs w:val="16"/>
              </w:rPr>
            </w:pPr>
            <w:r>
              <w:rPr>
                <w:rFonts w:cs="Arial"/>
                <w:sz w:val="16"/>
                <w:szCs w:val="16"/>
              </w:rPr>
              <w:t>40</w:t>
            </w:r>
          </w:p>
        </w:tc>
        <w:tc>
          <w:tcPr>
            <w:tcW w:w="816" w:type="dxa"/>
            <w:tcBorders>
              <w:top w:val="nil"/>
              <w:left w:val="nil"/>
              <w:bottom w:val="single" w:sz="4" w:space="0" w:color="D9D9D9"/>
              <w:right w:val="nil"/>
            </w:tcBorders>
            <w:shd w:val="clear" w:color="auto" w:fill="D9D9D9" w:themeFill="background1" w:themeFillShade="D9"/>
            <w:noWrap/>
            <w:vAlign w:val="center"/>
          </w:tcPr>
          <w:p w14:paraId="68A0EC8C" w14:textId="34435D63" w:rsidR="00DB68B2" w:rsidRPr="004A79A6" w:rsidRDefault="002B7580" w:rsidP="00DB68B2">
            <w:pPr>
              <w:jc w:val="right"/>
              <w:rPr>
                <w:rFonts w:cs="Arial"/>
                <w:sz w:val="16"/>
                <w:szCs w:val="16"/>
              </w:rPr>
            </w:pPr>
            <w:r>
              <w:rPr>
                <w:rFonts w:cs="Arial"/>
                <w:sz w:val="16"/>
                <w:szCs w:val="16"/>
              </w:rPr>
              <w:t>0,1</w:t>
            </w:r>
          </w:p>
        </w:tc>
      </w:tr>
      <w:tr w:rsidR="00DB68B2" w:rsidRPr="00B81300" w14:paraId="7A410AD2"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05F4A3E4" w14:textId="36AA750E" w:rsidR="00DB68B2" w:rsidRPr="004A79A6" w:rsidRDefault="002B7580" w:rsidP="00DB68B2">
            <w:pPr>
              <w:rPr>
                <w:rFonts w:cs="Arial"/>
                <w:sz w:val="16"/>
                <w:szCs w:val="16"/>
              </w:rPr>
            </w:pPr>
            <w:r>
              <w:rPr>
                <w:rFonts w:cs="Arial"/>
                <w:sz w:val="16"/>
                <w:szCs w:val="16"/>
              </w:rPr>
              <w:t>Brieštie (TR)</w:t>
            </w:r>
          </w:p>
        </w:tc>
        <w:tc>
          <w:tcPr>
            <w:tcW w:w="795" w:type="dxa"/>
            <w:tcBorders>
              <w:top w:val="nil"/>
              <w:left w:val="nil"/>
              <w:bottom w:val="single" w:sz="4" w:space="0" w:color="D9D9D9"/>
              <w:right w:val="nil"/>
            </w:tcBorders>
            <w:shd w:val="clear" w:color="auto" w:fill="auto"/>
            <w:noWrap/>
            <w:vAlign w:val="center"/>
          </w:tcPr>
          <w:p w14:paraId="15401635" w14:textId="44595D39" w:rsidR="00DB68B2" w:rsidRPr="004A79A6" w:rsidRDefault="002B7580" w:rsidP="00DB68B2">
            <w:pPr>
              <w:jc w:val="right"/>
              <w:rPr>
                <w:rFonts w:cs="Arial"/>
                <w:sz w:val="16"/>
                <w:szCs w:val="16"/>
              </w:rPr>
            </w:pPr>
            <w:r>
              <w:rPr>
                <w:rFonts w:cs="Arial"/>
                <w:b/>
                <w:bCs/>
                <w:color w:val="13B5EA"/>
                <w:sz w:val="16"/>
                <w:szCs w:val="16"/>
              </w:rPr>
              <w:t>114,4</w:t>
            </w:r>
          </w:p>
        </w:tc>
        <w:tc>
          <w:tcPr>
            <w:tcW w:w="795" w:type="dxa"/>
            <w:tcBorders>
              <w:top w:val="nil"/>
              <w:left w:val="nil"/>
              <w:bottom w:val="single" w:sz="4" w:space="0" w:color="D9D9D9"/>
              <w:right w:val="nil"/>
            </w:tcBorders>
            <w:shd w:val="clear" w:color="auto" w:fill="auto"/>
            <w:noWrap/>
            <w:vAlign w:val="center"/>
          </w:tcPr>
          <w:p w14:paraId="56A0ACF4" w14:textId="335A23F5" w:rsidR="00DB68B2" w:rsidRPr="004A79A6" w:rsidRDefault="002B7580" w:rsidP="00DB68B2">
            <w:pPr>
              <w:jc w:val="right"/>
              <w:rPr>
                <w:rFonts w:cs="Arial"/>
                <w:sz w:val="16"/>
                <w:szCs w:val="16"/>
              </w:rPr>
            </w:pPr>
            <w:r>
              <w:rPr>
                <w:rFonts w:cs="Arial"/>
                <w:sz w:val="16"/>
                <w:szCs w:val="16"/>
              </w:rPr>
              <w:t>1 444</w:t>
            </w:r>
          </w:p>
        </w:tc>
        <w:tc>
          <w:tcPr>
            <w:tcW w:w="795" w:type="dxa"/>
            <w:tcBorders>
              <w:top w:val="nil"/>
              <w:left w:val="nil"/>
              <w:bottom w:val="single" w:sz="4" w:space="0" w:color="D9D9D9"/>
              <w:right w:val="nil"/>
            </w:tcBorders>
            <w:shd w:val="clear" w:color="auto" w:fill="auto"/>
            <w:noWrap/>
            <w:vAlign w:val="center"/>
          </w:tcPr>
          <w:p w14:paraId="6D17E1F6" w14:textId="4F81B9CA" w:rsidR="00DB68B2" w:rsidRPr="004A79A6" w:rsidRDefault="002B7580" w:rsidP="00DB68B2">
            <w:pPr>
              <w:jc w:val="right"/>
              <w:rPr>
                <w:rFonts w:cs="Arial"/>
                <w:sz w:val="16"/>
                <w:szCs w:val="16"/>
              </w:rPr>
            </w:pPr>
            <w:r>
              <w:rPr>
                <w:rFonts w:cs="Arial"/>
                <w:sz w:val="16"/>
                <w:szCs w:val="16"/>
              </w:rPr>
              <w:t>2,7</w:t>
            </w:r>
          </w:p>
        </w:tc>
        <w:tc>
          <w:tcPr>
            <w:tcW w:w="182" w:type="dxa"/>
            <w:tcBorders>
              <w:top w:val="nil"/>
              <w:left w:val="nil"/>
              <w:bottom w:val="single" w:sz="4" w:space="0" w:color="D9D9D9"/>
              <w:right w:val="nil"/>
            </w:tcBorders>
            <w:shd w:val="clear" w:color="auto" w:fill="auto"/>
            <w:noWrap/>
            <w:vAlign w:val="center"/>
            <w:hideMark/>
          </w:tcPr>
          <w:p w14:paraId="48449E2A" w14:textId="3EC16561"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0B749E95" w14:textId="1C5B22C4"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13F46E22" w14:textId="6F517B96" w:rsidR="00DB68B2" w:rsidRPr="004A79A6" w:rsidRDefault="002B7580" w:rsidP="00DB68B2">
            <w:pPr>
              <w:rPr>
                <w:rFonts w:cs="Arial"/>
                <w:sz w:val="16"/>
                <w:szCs w:val="16"/>
              </w:rPr>
            </w:pPr>
            <w:r>
              <w:rPr>
                <w:rFonts w:cs="Arial"/>
                <w:sz w:val="16"/>
                <w:szCs w:val="16"/>
              </w:rPr>
              <w:t>Oborín (MI)</w:t>
            </w:r>
          </w:p>
        </w:tc>
        <w:tc>
          <w:tcPr>
            <w:tcW w:w="815" w:type="dxa"/>
            <w:tcBorders>
              <w:top w:val="nil"/>
              <w:left w:val="nil"/>
              <w:bottom w:val="single" w:sz="4" w:space="0" w:color="D9D9D9"/>
              <w:right w:val="nil"/>
            </w:tcBorders>
            <w:shd w:val="clear" w:color="auto" w:fill="auto"/>
            <w:noWrap/>
            <w:vAlign w:val="center"/>
          </w:tcPr>
          <w:p w14:paraId="2331C414" w14:textId="23FF2726" w:rsidR="00DB68B2" w:rsidRPr="004A79A6" w:rsidRDefault="002B7580" w:rsidP="00DB68B2">
            <w:pPr>
              <w:jc w:val="right"/>
              <w:rPr>
                <w:rFonts w:cs="Arial"/>
                <w:sz w:val="16"/>
                <w:szCs w:val="16"/>
              </w:rPr>
            </w:pPr>
            <w:r>
              <w:rPr>
                <w:rFonts w:cs="Arial"/>
                <w:b/>
                <w:bCs/>
                <w:color w:val="13B5EA"/>
                <w:sz w:val="16"/>
                <w:szCs w:val="16"/>
              </w:rPr>
              <w:t>104,1</w:t>
            </w:r>
          </w:p>
        </w:tc>
        <w:tc>
          <w:tcPr>
            <w:tcW w:w="816" w:type="dxa"/>
            <w:tcBorders>
              <w:top w:val="nil"/>
              <w:left w:val="nil"/>
              <w:bottom w:val="single" w:sz="4" w:space="0" w:color="D9D9D9"/>
              <w:right w:val="nil"/>
            </w:tcBorders>
            <w:shd w:val="clear" w:color="auto" w:fill="auto"/>
            <w:noWrap/>
            <w:vAlign w:val="center"/>
          </w:tcPr>
          <w:p w14:paraId="473BEFCF" w14:textId="0E8DA7D0" w:rsidR="00DB68B2" w:rsidRPr="004A79A6" w:rsidRDefault="002B7580" w:rsidP="00DB68B2">
            <w:pPr>
              <w:jc w:val="right"/>
              <w:rPr>
                <w:rFonts w:cs="Arial"/>
                <w:sz w:val="16"/>
                <w:szCs w:val="16"/>
              </w:rPr>
            </w:pPr>
            <w:r>
              <w:rPr>
                <w:rFonts w:cs="Arial"/>
                <w:sz w:val="16"/>
                <w:szCs w:val="16"/>
              </w:rPr>
              <w:t>8 173</w:t>
            </w:r>
          </w:p>
        </w:tc>
        <w:tc>
          <w:tcPr>
            <w:tcW w:w="816" w:type="dxa"/>
            <w:tcBorders>
              <w:top w:val="nil"/>
              <w:left w:val="nil"/>
              <w:bottom w:val="single" w:sz="4" w:space="0" w:color="D9D9D9"/>
              <w:right w:val="nil"/>
            </w:tcBorders>
            <w:shd w:val="clear" w:color="auto" w:fill="auto"/>
            <w:noWrap/>
            <w:vAlign w:val="center"/>
          </w:tcPr>
          <w:p w14:paraId="616BA90C" w14:textId="6B6B8338" w:rsidR="00DB68B2" w:rsidRPr="004A79A6" w:rsidRDefault="002B7580" w:rsidP="00DB68B2">
            <w:pPr>
              <w:jc w:val="right"/>
              <w:rPr>
                <w:rFonts w:cs="Arial"/>
                <w:sz w:val="16"/>
                <w:szCs w:val="16"/>
              </w:rPr>
            </w:pPr>
            <w:r>
              <w:rPr>
                <w:rFonts w:cs="Arial"/>
                <w:sz w:val="16"/>
                <w:szCs w:val="16"/>
              </w:rPr>
              <w:t>2,2</w:t>
            </w:r>
          </w:p>
        </w:tc>
      </w:tr>
      <w:tr w:rsidR="00DB68B2" w:rsidRPr="00B81300" w14:paraId="63A1D7FA" w14:textId="77777777" w:rsidTr="004A79A6">
        <w:trPr>
          <w:trHeight w:hRule="exact" w:val="284"/>
        </w:trPr>
        <w:tc>
          <w:tcPr>
            <w:tcW w:w="1936" w:type="dxa"/>
            <w:tcBorders>
              <w:top w:val="nil"/>
              <w:left w:val="nil"/>
              <w:bottom w:val="single" w:sz="4" w:space="0" w:color="D9D9D9"/>
              <w:right w:val="nil"/>
            </w:tcBorders>
            <w:shd w:val="clear" w:color="auto" w:fill="D9D9D9" w:themeFill="background1" w:themeFillShade="D9"/>
            <w:noWrap/>
            <w:vAlign w:val="center"/>
          </w:tcPr>
          <w:p w14:paraId="2C4915D9" w14:textId="1695DF13" w:rsidR="00DB68B2" w:rsidRPr="004A79A6" w:rsidRDefault="002B7580" w:rsidP="00DB68B2">
            <w:pPr>
              <w:rPr>
                <w:rFonts w:cs="Arial"/>
                <w:sz w:val="16"/>
                <w:szCs w:val="16"/>
              </w:rPr>
            </w:pPr>
            <w:r>
              <w:rPr>
                <w:rFonts w:cs="Arial"/>
                <w:sz w:val="16"/>
                <w:szCs w:val="16"/>
              </w:rPr>
              <w:t>Častkov (SE) ****</w:t>
            </w:r>
          </w:p>
        </w:tc>
        <w:tc>
          <w:tcPr>
            <w:tcW w:w="795" w:type="dxa"/>
            <w:tcBorders>
              <w:top w:val="nil"/>
              <w:left w:val="nil"/>
              <w:bottom w:val="single" w:sz="4" w:space="0" w:color="D9D9D9"/>
              <w:right w:val="nil"/>
            </w:tcBorders>
            <w:shd w:val="clear" w:color="auto" w:fill="D9D9D9" w:themeFill="background1" w:themeFillShade="D9"/>
            <w:noWrap/>
            <w:vAlign w:val="center"/>
          </w:tcPr>
          <w:p w14:paraId="0AD7ED8B" w14:textId="0E9BACC1" w:rsidR="00DB68B2" w:rsidRPr="004A79A6" w:rsidRDefault="002B7580" w:rsidP="00DB68B2">
            <w:pPr>
              <w:jc w:val="right"/>
              <w:rPr>
                <w:rFonts w:cs="Arial"/>
                <w:sz w:val="16"/>
                <w:szCs w:val="16"/>
              </w:rPr>
            </w:pPr>
            <w:r>
              <w:rPr>
                <w:rFonts w:cs="Arial"/>
                <w:b/>
                <w:bCs/>
                <w:color w:val="13B5EA"/>
                <w:sz w:val="16"/>
                <w:szCs w:val="16"/>
              </w:rPr>
              <w:t>62,7</w:t>
            </w:r>
          </w:p>
        </w:tc>
        <w:tc>
          <w:tcPr>
            <w:tcW w:w="795" w:type="dxa"/>
            <w:tcBorders>
              <w:top w:val="nil"/>
              <w:left w:val="nil"/>
              <w:bottom w:val="single" w:sz="4" w:space="0" w:color="D9D9D9"/>
              <w:right w:val="nil"/>
            </w:tcBorders>
            <w:shd w:val="clear" w:color="auto" w:fill="D9D9D9" w:themeFill="background1" w:themeFillShade="D9"/>
            <w:noWrap/>
            <w:vAlign w:val="center"/>
          </w:tcPr>
          <w:p w14:paraId="18C09A75" w14:textId="6103E22C" w:rsidR="00DB68B2" w:rsidRPr="004A79A6" w:rsidRDefault="002B7580" w:rsidP="00DB68B2">
            <w:pPr>
              <w:jc w:val="right"/>
              <w:rPr>
                <w:rFonts w:cs="Arial"/>
                <w:sz w:val="16"/>
                <w:szCs w:val="16"/>
              </w:rPr>
            </w:pPr>
            <w:r>
              <w:rPr>
                <w:rFonts w:cs="Arial"/>
                <w:sz w:val="16"/>
                <w:szCs w:val="16"/>
              </w:rPr>
              <w:t>514</w:t>
            </w:r>
          </w:p>
        </w:tc>
        <w:tc>
          <w:tcPr>
            <w:tcW w:w="795" w:type="dxa"/>
            <w:tcBorders>
              <w:top w:val="nil"/>
              <w:left w:val="nil"/>
              <w:bottom w:val="single" w:sz="4" w:space="0" w:color="D9D9D9"/>
              <w:right w:val="nil"/>
            </w:tcBorders>
            <w:shd w:val="clear" w:color="auto" w:fill="D9D9D9" w:themeFill="background1" w:themeFillShade="D9"/>
            <w:noWrap/>
            <w:vAlign w:val="center"/>
          </w:tcPr>
          <w:p w14:paraId="2FF22D62" w14:textId="6D089FFA" w:rsidR="00DB68B2" w:rsidRPr="004A79A6" w:rsidRDefault="002B7580" w:rsidP="00DB68B2">
            <w:pPr>
              <w:jc w:val="right"/>
              <w:rPr>
                <w:rFonts w:cs="Arial"/>
                <w:sz w:val="16"/>
                <w:szCs w:val="16"/>
              </w:rPr>
            </w:pPr>
            <w:r>
              <w:rPr>
                <w:rFonts w:cs="Arial"/>
                <w:sz w:val="16"/>
                <w:szCs w:val="16"/>
              </w:rPr>
              <w:t>0,1</w:t>
            </w:r>
          </w:p>
        </w:tc>
        <w:tc>
          <w:tcPr>
            <w:tcW w:w="182" w:type="dxa"/>
            <w:tcBorders>
              <w:top w:val="nil"/>
              <w:left w:val="nil"/>
              <w:bottom w:val="single" w:sz="4" w:space="0" w:color="D9D9D9"/>
              <w:right w:val="nil"/>
            </w:tcBorders>
            <w:shd w:val="clear" w:color="auto" w:fill="D9D9D9" w:themeFill="background1" w:themeFillShade="D9"/>
            <w:noWrap/>
            <w:vAlign w:val="center"/>
            <w:hideMark/>
          </w:tcPr>
          <w:p w14:paraId="78C3C8E3" w14:textId="7EEE2C88"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D9D9D9" w:themeFill="background1" w:themeFillShade="D9"/>
            <w:noWrap/>
            <w:vAlign w:val="center"/>
            <w:hideMark/>
          </w:tcPr>
          <w:p w14:paraId="09FEA6D4" w14:textId="122F6135"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D9D9D9" w:themeFill="background1" w:themeFillShade="D9"/>
            <w:noWrap/>
            <w:vAlign w:val="center"/>
          </w:tcPr>
          <w:p w14:paraId="0952B7F5" w14:textId="3EB0F536" w:rsidR="00DB68B2" w:rsidRPr="004A79A6" w:rsidRDefault="002B7580" w:rsidP="00DB68B2">
            <w:pPr>
              <w:rPr>
                <w:rFonts w:cs="Arial"/>
                <w:sz w:val="16"/>
                <w:szCs w:val="16"/>
              </w:rPr>
            </w:pPr>
            <w:r>
              <w:rPr>
                <w:rFonts w:cs="Arial"/>
                <w:sz w:val="16"/>
                <w:szCs w:val="16"/>
              </w:rPr>
              <w:t>Oľka (ML) *****</w:t>
            </w:r>
          </w:p>
        </w:tc>
        <w:tc>
          <w:tcPr>
            <w:tcW w:w="815" w:type="dxa"/>
            <w:tcBorders>
              <w:top w:val="nil"/>
              <w:left w:val="nil"/>
              <w:bottom w:val="single" w:sz="4" w:space="0" w:color="D9D9D9"/>
              <w:right w:val="nil"/>
            </w:tcBorders>
            <w:shd w:val="clear" w:color="auto" w:fill="D9D9D9" w:themeFill="background1" w:themeFillShade="D9"/>
            <w:noWrap/>
            <w:vAlign w:val="center"/>
          </w:tcPr>
          <w:p w14:paraId="4567FA89" w14:textId="25BBF2FC" w:rsidR="00DB68B2" w:rsidRPr="004A79A6" w:rsidRDefault="002B7580" w:rsidP="00DB68B2">
            <w:pPr>
              <w:jc w:val="right"/>
              <w:rPr>
                <w:rFonts w:cs="Arial"/>
                <w:b/>
                <w:sz w:val="16"/>
                <w:szCs w:val="16"/>
              </w:rPr>
            </w:pPr>
            <w:r>
              <w:rPr>
                <w:rFonts w:cs="Arial"/>
                <w:b/>
                <w:bCs/>
                <w:color w:val="13B5EA"/>
                <w:sz w:val="16"/>
                <w:szCs w:val="16"/>
              </w:rPr>
              <w:t>60,4</w:t>
            </w:r>
          </w:p>
        </w:tc>
        <w:tc>
          <w:tcPr>
            <w:tcW w:w="816" w:type="dxa"/>
            <w:tcBorders>
              <w:top w:val="nil"/>
              <w:left w:val="nil"/>
              <w:bottom w:val="single" w:sz="4" w:space="0" w:color="D9D9D9"/>
              <w:right w:val="nil"/>
            </w:tcBorders>
            <w:shd w:val="clear" w:color="auto" w:fill="D9D9D9" w:themeFill="background1" w:themeFillShade="D9"/>
            <w:noWrap/>
            <w:vAlign w:val="center"/>
          </w:tcPr>
          <w:p w14:paraId="41032D04" w14:textId="36656345" w:rsidR="00DB68B2" w:rsidRPr="004A79A6" w:rsidRDefault="002B7580" w:rsidP="00DB68B2">
            <w:pPr>
              <w:jc w:val="right"/>
              <w:rPr>
                <w:rFonts w:cs="Arial"/>
                <w:sz w:val="16"/>
                <w:szCs w:val="16"/>
              </w:rPr>
            </w:pPr>
            <w:r>
              <w:rPr>
                <w:rFonts w:cs="Arial"/>
                <w:sz w:val="16"/>
                <w:szCs w:val="16"/>
              </w:rPr>
              <w:t>21</w:t>
            </w:r>
          </w:p>
        </w:tc>
        <w:tc>
          <w:tcPr>
            <w:tcW w:w="816" w:type="dxa"/>
            <w:tcBorders>
              <w:top w:val="nil"/>
              <w:left w:val="nil"/>
              <w:bottom w:val="single" w:sz="4" w:space="0" w:color="D9D9D9"/>
              <w:right w:val="nil"/>
            </w:tcBorders>
            <w:shd w:val="clear" w:color="auto" w:fill="D9D9D9" w:themeFill="background1" w:themeFillShade="D9"/>
            <w:noWrap/>
            <w:vAlign w:val="center"/>
          </w:tcPr>
          <w:p w14:paraId="31E2C4BA" w14:textId="51C9914E" w:rsidR="00DB68B2" w:rsidRPr="004A79A6" w:rsidRDefault="002B7580" w:rsidP="00DB68B2">
            <w:pPr>
              <w:jc w:val="right"/>
              <w:rPr>
                <w:rFonts w:cs="Arial"/>
                <w:sz w:val="16"/>
                <w:szCs w:val="16"/>
              </w:rPr>
            </w:pPr>
            <w:r>
              <w:rPr>
                <w:rFonts w:cs="Arial"/>
                <w:sz w:val="16"/>
                <w:szCs w:val="16"/>
              </w:rPr>
              <w:t>0,0</w:t>
            </w:r>
          </w:p>
        </w:tc>
      </w:tr>
      <w:tr w:rsidR="00DB68B2" w:rsidRPr="00B81300" w14:paraId="7BBCA631" w14:textId="77777777" w:rsidTr="00DB68B2">
        <w:trPr>
          <w:trHeight w:hRule="exact" w:val="284"/>
        </w:trPr>
        <w:tc>
          <w:tcPr>
            <w:tcW w:w="1936" w:type="dxa"/>
            <w:tcBorders>
              <w:top w:val="nil"/>
              <w:left w:val="nil"/>
              <w:bottom w:val="single" w:sz="4" w:space="0" w:color="D9D9D9"/>
              <w:right w:val="nil"/>
            </w:tcBorders>
            <w:shd w:val="clear" w:color="auto" w:fill="auto"/>
            <w:noWrap/>
            <w:vAlign w:val="center"/>
          </w:tcPr>
          <w:p w14:paraId="52E78BCE" w14:textId="3CD836CD" w:rsidR="00DB68B2" w:rsidRPr="004A79A6" w:rsidRDefault="002B7580" w:rsidP="00DB68B2">
            <w:pPr>
              <w:rPr>
                <w:rFonts w:cs="Arial"/>
                <w:color w:val="13B5EA"/>
                <w:sz w:val="16"/>
                <w:szCs w:val="16"/>
              </w:rPr>
            </w:pPr>
            <w:r>
              <w:rPr>
                <w:rFonts w:cs="Arial"/>
                <w:sz w:val="16"/>
                <w:szCs w:val="16"/>
              </w:rPr>
              <w:t>Čermany (TO)</w:t>
            </w:r>
          </w:p>
        </w:tc>
        <w:tc>
          <w:tcPr>
            <w:tcW w:w="795" w:type="dxa"/>
            <w:tcBorders>
              <w:top w:val="nil"/>
              <w:left w:val="nil"/>
              <w:bottom w:val="single" w:sz="4" w:space="0" w:color="D9D9D9"/>
              <w:right w:val="nil"/>
            </w:tcBorders>
            <w:shd w:val="clear" w:color="auto" w:fill="auto"/>
            <w:noWrap/>
            <w:vAlign w:val="center"/>
          </w:tcPr>
          <w:p w14:paraId="17EB2C97" w14:textId="4DBB2BAA" w:rsidR="00DB68B2" w:rsidRPr="004A79A6" w:rsidRDefault="002B7580" w:rsidP="00DB68B2">
            <w:pPr>
              <w:jc w:val="right"/>
              <w:rPr>
                <w:rFonts w:cs="Arial"/>
                <w:color w:val="13B5EA"/>
                <w:sz w:val="16"/>
                <w:szCs w:val="16"/>
              </w:rPr>
            </w:pPr>
            <w:r>
              <w:rPr>
                <w:rFonts w:cs="Arial"/>
                <w:b/>
                <w:bCs/>
                <w:color w:val="13B5EA"/>
                <w:sz w:val="16"/>
                <w:szCs w:val="16"/>
              </w:rPr>
              <w:t>129,6</w:t>
            </w:r>
          </w:p>
        </w:tc>
        <w:tc>
          <w:tcPr>
            <w:tcW w:w="795" w:type="dxa"/>
            <w:tcBorders>
              <w:top w:val="nil"/>
              <w:left w:val="nil"/>
              <w:bottom w:val="single" w:sz="4" w:space="0" w:color="D9D9D9"/>
              <w:right w:val="nil"/>
            </w:tcBorders>
            <w:shd w:val="clear" w:color="auto" w:fill="auto"/>
            <w:noWrap/>
            <w:vAlign w:val="center"/>
          </w:tcPr>
          <w:p w14:paraId="341A4CA9" w14:textId="208706C1" w:rsidR="00DB68B2" w:rsidRPr="004A79A6" w:rsidRDefault="002B7580" w:rsidP="00DB68B2">
            <w:pPr>
              <w:jc w:val="right"/>
              <w:rPr>
                <w:rFonts w:cs="Arial"/>
                <w:color w:val="13B5EA"/>
                <w:sz w:val="16"/>
                <w:szCs w:val="16"/>
              </w:rPr>
            </w:pPr>
            <w:r>
              <w:rPr>
                <w:rFonts w:cs="Arial"/>
                <w:sz w:val="16"/>
                <w:szCs w:val="16"/>
              </w:rPr>
              <w:t>4 752</w:t>
            </w:r>
          </w:p>
        </w:tc>
        <w:tc>
          <w:tcPr>
            <w:tcW w:w="795" w:type="dxa"/>
            <w:tcBorders>
              <w:top w:val="nil"/>
              <w:left w:val="nil"/>
              <w:bottom w:val="single" w:sz="4" w:space="0" w:color="D9D9D9"/>
              <w:right w:val="nil"/>
            </w:tcBorders>
            <w:shd w:val="clear" w:color="auto" w:fill="auto"/>
            <w:noWrap/>
            <w:vAlign w:val="center"/>
          </w:tcPr>
          <w:p w14:paraId="6FFBC4E3" w14:textId="771AE676" w:rsidR="00DB68B2" w:rsidRPr="004A79A6" w:rsidRDefault="002B7580" w:rsidP="00DB68B2">
            <w:pPr>
              <w:jc w:val="right"/>
              <w:rPr>
                <w:rFonts w:cs="Arial"/>
                <w:color w:val="13B5EA"/>
                <w:sz w:val="16"/>
                <w:szCs w:val="16"/>
              </w:rPr>
            </w:pPr>
            <w:r>
              <w:rPr>
                <w:rFonts w:cs="Arial"/>
                <w:sz w:val="16"/>
                <w:szCs w:val="16"/>
              </w:rPr>
              <w:t>3,5</w:t>
            </w:r>
          </w:p>
        </w:tc>
        <w:tc>
          <w:tcPr>
            <w:tcW w:w="182" w:type="dxa"/>
            <w:tcBorders>
              <w:top w:val="nil"/>
              <w:left w:val="nil"/>
              <w:bottom w:val="single" w:sz="4" w:space="0" w:color="D9D9D9"/>
              <w:right w:val="nil"/>
            </w:tcBorders>
            <w:shd w:val="clear" w:color="auto" w:fill="auto"/>
            <w:noWrap/>
            <w:vAlign w:val="center"/>
            <w:hideMark/>
          </w:tcPr>
          <w:p w14:paraId="28BD1BF9" w14:textId="5E084097"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79E6DB52" w14:textId="7DA2C747"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2878DE03" w14:textId="68C3FA9B" w:rsidR="00DB68B2" w:rsidRPr="004A79A6" w:rsidRDefault="002B7580" w:rsidP="00DB68B2">
            <w:pPr>
              <w:rPr>
                <w:rFonts w:cs="Arial"/>
                <w:sz w:val="16"/>
                <w:szCs w:val="16"/>
              </w:rPr>
            </w:pPr>
            <w:r>
              <w:rPr>
                <w:rFonts w:cs="Arial"/>
                <w:sz w:val="16"/>
                <w:szCs w:val="16"/>
              </w:rPr>
              <w:t>Oľšavica (LE)</w:t>
            </w:r>
          </w:p>
        </w:tc>
        <w:tc>
          <w:tcPr>
            <w:tcW w:w="815" w:type="dxa"/>
            <w:tcBorders>
              <w:top w:val="nil"/>
              <w:left w:val="nil"/>
              <w:bottom w:val="single" w:sz="4" w:space="0" w:color="D9D9D9"/>
              <w:right w:val="nil"/>
            </w:tcBorders>
            <w:shd w:val="clear" w:color="auto" w:fill="auto"/>
            <w:noWrap/>
            <w:vAlign w:val="center"/>
          </w:tcPr>
          <w:p w14:paraId="3FE9F16E" w14:textId="41720A6A" w:rsidR="00DB68B2" w:rsidRPr="004A79A6" w:rsidRDefault="002B7580" w:rsidP="00DB68B2">
            <w:pPr>
              <w:jc w:val="right"/>
              <w:rPr>
                <w:rFonts w:cs="Arial"/>
                <w:b/>
                <w:sz w:val="16"/>
                <w:szCs w:val="16"/>
              </w:rPr>
            </w:pPr>
            <w:r>
              <w:rPr>
                <w:rFonts w:cs="Arial"/>
                <w:b/>
                <w:bCs/>
                <w:color w:val="13B5EA"/>
                <w:sz w:val="16"/>
                <w:szCs w:val="16"/>
              </w:rPr>
              <w:t>84,3</w:t>
            </w:r>
          </w:p>
        </w:tc>
        <w:tc>
          <w:tcPr>
            <w:tcW w:w="816" w:type="dxa"/>
            <w:tcBorders>
              <w:top w:val="nil"/>
              <w:left w:val="nil"/>
              <w:bottom w:val="single" w:sz="4" w:space="0" w:color="D9D9D9"/>
              <w:right w:val="nil"/>
            </w:tcBorders>
            <w:shd w:val="clear" w:color="auto" w:fill="auto"/>
            <w:noWrap/>
            <w:vAlign w:val="center"/>
          </w:tcPr>
          <w:p w14:paraId="0CDFE8B9" w14:textId="4F0652E2" w:rsidR="00DB68B2" w:rsidRPr="004A79A6" w:rsidRDefault="002B7580" w:rsidP="00DB68B2">
            <w:pPr>
              <w:jc w:val="right"/>
              <w:rPr>
                <w:rFonts w:cs="Arial"/>
                <w:sz w:val="16"/>
                <w:szCs w:val="16"/>
              </w:rPr>
            </w:pPr>
            <w:r>
              <w:rPr>
                <w:rFonts w:cs="Arial"/>
                <w:sz w:val="16"/>
                <w:szCs w:val="16"/>
              </w:rPr>
              <w:t>1 615</w:t>
            </w:r>
          </w:p>
        </w:tc>
        <w:tc>
          <w:tcPr>
            <w:tcW w:w="816" w:type="dxa"/>
            <w:tcBorders>
              <w:top w:val="nil"/>
              <w:left w:val="nil"/>
              <w:bottom w:val="single" w:sz="4" w:space="0" w:color="D9D9D9"/>
              <w:right w:val="nil"/>
            </w:tcBorders>
            <w:shd w:val="clear" w:color="auto" w:fill="auto"/>
            <w:noWrap/>
            <w:vAlign w:val="center"/>
          </w:tcPr>
          <w:p w14:paraId="04EFB9EF" w14:textId="40A681CA" w:rsidR="00DB68B2" w:rsidRPr="004A79A6" w:rsidRDefault="002B7580" w:rsidP="00DB68B2">
            <w:pPr>
              <w:jc w:val="right"/>
              <w:rPr>
                <w:rFonts w:cs="Arial"/>
                <w:sz w:val="16"/>
                <w:szCs w:val="16"/>
              </w:rPr>
            </w:pPr>
            <w:r>
              <w:rPr>
                <w:rFonts w:cs="Arial"/>
                <w:sz w:val="16"/>
                <w:szCs w:val="16"/>
              </w:rPr>
              <w:t>1,2</w:t>
            </w:r>
          </w:p>
        </w:tc>
      </w:tr>
      <w:tr w:rsidR="00DB68B2" w:rsidRPr="00B81300" w14:paraId="409F8F0D" w14:textId="77777777" w:rsidTr="004A79A6">
        <w:trPr>
          <w:trHeight w:hRule="exact" w:val="284"/>
        </w:trPr>
        <w:tc>
          <w:tcPr>
            <w:tcW w:w="1936" w:type="dxa"/>
            <w:tcBorders>
              <w:top w:val="nil"/>
              <w:left w:val="nil"/>
              <w:bottom w:val="single" w:sz="4" w:space="0" w:color="D9D9D9"/>
              <w:right w:val="nil"/>
            </w:tcBorders>
            <w:shd w:val="clear" w:color="auto" w:fill="D9D9D9" w:themeFill="background1" w:themeFillShade="D9"/>
            <w:noWrap/>
            <w:vAlign w:val="center"/>
          </w:tcPr>
          <w:p w14:paraId="0F4091A0" w14:textId="51C1AC50" w:rsidR="00DB68B2" w:rsidRPr="004A79A6" w:rsidRDefault="002B7580" w:rsidP="00DB68B2">
            <w:pPr>
              <w:rPr>
                <w:rFonts w:cs="Arial"/>
                <w:sz w:val="16"/>
                <w:szCs w:val="16"/>
              </w:rPr>
            </w:pPr>
            <w:r>
              <w:rPr>
                <w:rFonts w:cs="Arial"/>
                <w:sz w:val="16"/>
                <w:szCs w:val="16"/>
              </w:rPr>
              <w:t>Dolné Naštice (BN) **</w:t>
            </w:r>
          </w:p>
        </w:tc>
        <w:tc>
          <w:tcPr>
            <w:tcW w:w="795" w:type="dxa"/>
            <w:tcBorders>
              <w:top w:val="nil"/>
              <w:left w:val="nil"/>
              <w:bottom w:val="single" w:sz="4" w:space="0" w:color="D9D9D9"/>
              <w:right w:val="nil"/>
            </w:tcBorders>
            <w:shd w:val="clear" w:color="auto" w:fill="D9D9D9" w:themeFill="background1" w:themeFillShade="D9"/>
            <w:noWrap/>
            <w:vAlign w:val="center"/>
          </w:tcPr>
          <w:p w14:paraId="3B1F694A" w14:textId="0DFC6CE8" w:rsidR="00DB68B2" w:rsidRPr="004A79A6" w:rsidRDefault="002B7580" w:rsidP="00DB68B2">
            <w:pPr>
              <w:jc w:val="right"/>
              <w:rPr>
                <w:rFonts w:cs="Arial"/>
                <w:b/>
                <w:sz w:val="16"/>
                <w:szCs w:val="16"/>
              </w:rPr>
            </w:pPr>
            <w:r>
              <w:rPr>
                <w:rFonts w:cs="Arial"/>
                <w:b/>
                <w:bCs/>
                <w:color w:val="13B5EA"/>
                <w:sz w:val="16"/>
                <w:szCs w:val="16"/>
              </w:rPr>
              <w:t>431,1</w:t>
            </w:r>
          </w:p>
        </w:tc>
        <w:tc>
          <w:tcPr>
            <w:tcW w:w="795" w:type="dxa"/>
            <w:tcBorders>
              <w:top w:val="nil"/>
              <w:left w:val="nil"/>
              <w:bottom w:val="single" w:sz="4" w:space="0" w:color="D9D9D9"/>
              <w:right w:val="nil"/>
            </w:tcBorders>
            <w:shd w:val="clear" w:color="auto" w:fill="D9D9D9" w:themeFill="background1" w:themeFillShade="D9"/>
            <w:noWrap/>
            <w:vAlign w:val="center"/>
          </w:tcPr>
          <w:p w14:paraId="3F16FE45" w14:textId="27EAACB7" w:rsidR="00DB68B2" w:rsidRPr="004A79A6" w:rsidRDefault="002B7580" w:rsidP="00DB68B2">
            <w:pPr>
              <w:jc w:val="right"/>
              <w:rPr>
                <w:rFonts w:cs="Arial"/>
                <w:sz w:val="16"/>
                <w:szCs w:val="16"/>
              </w:rPr>
            </w:pPr>
            <w:r>
              <w:rPr>
                <w:rFonts w:cs="Arial"/>
                <w:sz w:val="16"/>
                <w:szCs w:val="16"/>
              </w:rPr>
              <w:t>64 712</w:t>
            </w:r>
          </w:p>
        </w:tc>
        <w:tc>
          <w:tcPr>
            <w:tcW w:w="795" w:type="dxa"/>
            <w:tcBorders>
              <w:top w:val="nil"/>
              <w:left w:val="nil"/>
              <w:bottom w:val="single" w:sz="4" w:space="0" w:color="D9D9D9"/>
              <w:right w:val="nil"/>
            </w:tcBorders>
            <w:shd w:val="clear" w:color="auto" w:fill="D9D9D9" w:themeFill="background1" w:themeFillShade="D9"/>
            <w:noWrap/>
            <w:vAlign w:val="center"/>
          </w:tcPr>
          <w:p w14:paraId="7025745B" w14:textId="70F0B74D" w:rsidR="00DB68B2" w:rsidRPr="004A79A6" w:rsidRDefault="002B7580" w:rsidP="00DB68B2">
            <w:pPr>
              <w:jc w:val="right"/>
              <w:rPr>
                <w:rFonts w:cs="Arial"/>
                <w:sz w:val="16"/>
                <w:szCs w:val="16"/>
              </w:rPr>
            </w:pPr>
            <w:r>
              <w:rPr>
                <w:rFonts w:cs="Arial"/>
                <w:sz w:val="16"/>
                <w:szCs w:val="16"/>
              </w:rPr>
              <w:t>18,6</w:t>
            </w:r>
          </w:p>
        </w:tc>
        <w:tc>
          <w:tcPr>
            <w:tcW w:w="182" w:type="dxa"/>
            <w:tcBorders>
              <w:top w:val="nil"/>
              <w:left w:val="nil"/>
              <w:bottom w:val="single" w:sz="4" w:space="0" w:color="D9D9D9"/>
              <w:right w:val="nil"/>
            </w:tcBorders>
            <w:shd w:val="clear" w:color="auto" w:fill="D9D9D9" w:themeFill="background1" w:themeFillShade="D9"/>
            <w:noWrap/>
            <w:vAlign w:val="center"/>
            <w:hideMark/>
          </w:tcPr>
          <w:p w14:paraId="67EDB859" w14:textId="5DB50878"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25C620C0" w14:textId="0512DB68"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3CE3273D" w14:textId="3F77E944" w:rsidR="00DB68B2" w:rsidRPr="004A79A6" w:rsidRDefault="002B7580" w:rsidP="00DB68B2">
            <w:pPr>
              <w:rPr>
                <w:rFonts w:cs="Arial"/>
                <w:sz w:val="16"/>
                <w:szCs w:val="16"/>
              </w:rPr>
            </w:pPr>
            <w:r>
              <w:rPr>
                <w:rFonts w:cs="Arial"/>
                <w:sz w:val="16"/>
                <w:szCs w:val="16"/>
              </w:rPr>
              <w:t>Ostrov (SO)</w:t>
            </w:r>
          </w:p>
        </w:tc>
        <w:tc>
          <w:tcPr>
            <w:tcW w:w="815" w:type="dxa"/>
            <w:tcBorders>
              <w:top w:val="nil"/>
              <w:left w:val="nil"/>
              <w:bottom w:val="single" w:sz="4" w:space="0" w:color="D9D9D9"/>
              <w:right w:val="nil"/>
            </w:tcBorders>
            <w:shd w:val="clear" w:color="auto" w:fill="auto"/>
            <w:noWrap/>
            <w:vAlign w:val="center"/>
          </w:tcPr>
          <w:p w14:paraId="71651F8E" w14:textId="1143F7E1" w:rsidR="00DB68B2" w:rsidRPr="004A79A6" w:rsidRDefault="002B7580" w:rsidP="00DB68B2">
            <w:pPr>
              <w:jc w:val="right"/>
              <w:rPr>
                <w:rFonts w:cs="Arial"/>
                <w:b/>
                <w:sz w:val="16"/>
                <w:szCs w:val="16"/>
              </w:rPr>
            </w:pPr>
            <w:r>
              <w:rPr>
                <w:rFonts w:cs="Arial"/>
                <w:b/>
                <w:bCs/>
                <w:color w:val="13B5EA"/>
                <w:sz w:val="16"/>
                <w:szCs w:val="16"/>
              </w:rPr>
              <w:t>96,9</w:t>
            </w:r>
          </w:p>
        </w:tc>
        <w:tc>
          <w:tcPr>
            <w:tcW w:w="816" w:type="dxa"/>
            <w:tcBorders>
              <w:top w:val="nil"/>
              <w:left w:val="nil"/>
              <w:bottom w:val="single" w:sz="4" w:space="0" w:color="D9D9D9"/>
              <w:right w:val="nil"/>
            </w:tcBorders>
            <w:shd w:val="clear" w:color="auto" w:fill="auto"/>
            <w:noWrap/>
            <w:vAlign w:val="center"/>
          </w:tcPr>
          <w:p w14:paraId="4F7886F7" w14:textId="778922EA" w:rsidR="00DB68B2" w:rsidRPr="004A79A6" w:rsidRDefault="002B7580" w:rsidP="00DB68B2">
            <w:pPr>
              <w:jc w:val="right"/>
              <w:rPr>
                <w:rFonts w:cs="Arial"/>
                <w:sz w:val="16"/>
                <w:szCs w:val="16"/>
              </w:rPr>
            </w:pPr>
            <w:r>
              <w:rPr>
                <w:rFonts w:cs="Arial"/>
                <w:sz w:val="16"/>
                <w:szCs w:val="16"/>
              </w:rPr>
              <w:t>2 860</w:t>
            </w:r>
          </w:p>
        </w:tc>
        <w:tc>
          <w:tcPr>
            <w:tcW w:w="816" w:type="dxa"/>
            <w:tcBorders>
              <w:top w:val="nil"/>
              <w:left w:val="nil"/>
              <w:bottom w:val="single" w:sz="4" w:space="0" w:color="D9D9D9"/>
              <w:right w:val="nil"/>
            </w:tcBorders>
            <w:shd w:val="clear" w:color="auto" w:fill="auto"/>
            <w:noWrap/>
            <w:vAlign w:val="center"/>
          </w:tcPr>
          <w:p w14:paraId="5DDE9FA6" w14:textId="630D6357" w:rsidR="00DB68B2" w:rsidRPr="004A79A6" w:rsidRDefault="002B7580" w:rsidP="00DB68B2">
            <w:pPr>
              <w:jc w:val="right"/>
              <w:rPr>
                <w:rFonts w:cs="Arial"/>
                <w:sz w:val="16"/>
                <w:szCs w:val="16"/>
              </w:rPr>
            </w:pPr>
            <w:r>
              <w:rPr>
                <w:rFonts w:cs="Arial"/>
                <w:sz w:val="16"/>
                <w:szCs w:val="16"/>
              </w:rPr>
              <w:t>1,8</w:t>
            </w:r>
          </w:p>
        </w:tc>
      </w:tr>
      <w:tr w:rsidR="00DB68B2" w:rsidRPr="00B81300" w14:paraId="6040B052"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443FC734" w14:textId="53F2E97E" w:rsidR="00DB68B2" w:rsidRPr="004A79A6" w:rsidRDefault="002B7580" w:rsidP="00DB68B2">
            <w:pPr>
              <w:rPr>
                <w:rFonts w:cs="Arial"/>
                <w:sz w:val="16"/>
                <w:szCs w:val="16"/>
              </w:rPr>
            </w:pPr>
            <w:r>
              <w:rPr>
                <w:rFonts w:cs="Arial"/>
                <w:sz w:val="16"/>
                <w:szCs w:val="16"/>
              </w:rPr>
              <w:t>Dunajský Klátov (DS)</w:t>
            </w:r>
          </w:p>
        </w:tc>
        <w:tc>
          <w:tcPr>
            <w:tcW w:w="795" w:type="dxa"/>
            <w:tcBorders>
              <w:top w:val="nil"/>
              <w:left w:val="nil"/>
              <w:bottom w:val="single" w:sz="4" w:space="0" w:color="D9D9D9"/>
              <w:right w:val="nil"/>
            </w:tcBorders>
            <w:shd w:val="clear" w:color="auto" w:fill="auto"/>
            <w:noWrap/>
            <w:vAlign w:val="center"/>
          </w:tcPr>
          <w:p w14:paraId="5DC9FBCB" w14:textId="28F47226" w:rsidR="00DB68B2" w:rsidRPr="004A79A6" w:rsidRDefault="002B7580" w:rsidP="00DB68B2">
            <w:pPr>
              <w:jc w:val="right"/>
              <w:rPr>
                <w:rFonts w:cs="Arial"/>
                <w:b/>
                <w:sz w:val="16"/>
                <w:szCs w:val="16"/>
              </w:rPr>
            </w:pPr>
            <w:r>
              <w:rPr>
                <w:rFonts w:cs="Arial"/>
                <w:b/>
                <w:bCs/>
                <w:color w:val="13B5EA"/>
                <w:sz w:val="16"/>
                <w:szCs w:val="16"/>
              </w:rPr>
              <w:t>419,2</w:t>
            </w:r>
          </w:p>
        </w:tc>
        <w:tc>
          <w:tcPr>
            <w:tcW w:w="795" w:type="dxa"/>
            <w:tcBorders>
              <w:top w:val="nil"/>
              <w:left w:val="nil"/>
              <w:bottom w:val="single" w:sz="4" w:space="0" w:color="D9D9D9"/>
              <w:right w:val="nil"/>
            </w:tcBorders>
            <w:shd w:val="clear" w:color="auto" w:fill="auto"/>
            <w:noWrap/>
            <w:vAlign w:val="center"/>
          </w:tcPr>
          <w:p w14:paraId="28CD75C9" w14:textId="5B881B8F" w:rsidR="00DB68B2" w:rsidRPr="004A79A6" w:rsidRDefault="002B7580" w:rsidP="00DB68B2">
            <w:pPr>
              <w:jc w:val="right"/>
              <w:rPr>
                <w:rFonts w:cs="Arial"/>
                <w:sz w:val="16"/>
                <w:szCs w:val="16"/>
              </w:rPr>
            </w:pPr>
            <w:r>
              <w:rPr>
                <w:rFonts w:cs="Arial"/>
                <w:sz w:val="16"/>
                <w:szCs w:val="16"/>
              </w:rPr>
              <w:t>72 397</w:t>
            </w:r>
          </w:p>
        </w:tc>
        <w:tc>
          <w:tcPr>
            <w:tcW w:w="795" w:type="dxa"/>
            <w:tcBorders>
              <w:top w:val="nil"/>
              <w:left w:val="nil"/>
              <w:bottom w:val="single" w:sz="4" w:space="0" w:color="D9D9D9"/>
              <w:right w:val="nil"/>
            </w:tcBorders>
            <w:shd w:val="clear" w:color="auto" w:fill="auto"/>
            <w:noWrap/>
            <w:vAlign w:val="center"/>
          </w:tcPr>
          <w:p w14:paraId="6D2C6E18" w14:textId="0BDB3639" w:rsidR="00DB68B2" w:rsidRPr="004A79A6" w:rsidRDefault="002B7580" w:rsidP="00DB68B2">
            <w:pPr>
              <w:jc w:val="right"/>
              <w:rPr>
                <w:rFonts w:cs="Arial"/>
                <w:sz w:val="16"/>
                <w:szCs w:val="16"/>
              </w:rPr>
            </w:pPr>
            <w:r>
              <w:rPr>
                <w:rFonts w:cs="Arial"/>
                <w:sz w:val="16"/>
                <w:szCs w:val="16"/>
              </w:rPr>
              <w:t>18,0</w:t>
            </w:r>
          </w:p>
        </w:tc>
        <w:tc>
          <w:tcPr>
            <w:tcW w:w="182" w:type="dxa"/>
            <w:tcBorders>
              <w:top w:val="nil"/>
              <w:left w:val="nil"/>
              <w:bottom w:val="single" w:sz="4" w:space="0" w:color="D9D9D9"/>
              <w:right w:val="nil"/>
            </w:tcBorders>
            <w:shd w:val="clear" w:color="auto" w:fill="auto"/>
            <w:noWrap/>
            <w:vAlign w:val="center"/>
            <w:hideMark/>
          </w:tcPr>
          <w:p w14:paraId="5C8872E5" w14:textId="73BBDA75"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D9D9D9" w:themeFill="background1" w:themeFillShade="D9"/>
            <w:noWrap/>
            <w:vAlign w:val="center"/>
            <w:hideMark/>
          </w:tcPr>
          <w:p w14:paraId="79ACB5D9" w14:textId="08B8ABB9"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D9D9D9" w:themeFill="background1" w:themeFillShade="D9"/>
            <w:noWrap/>
            <w:vAlign w:val="center"/>
          </w:tcPr>
          <w:p w14:paraId="71C92CEE" w14:textId="2FA09D5E" w:rsidR="00DB68B2" w:rsidRPr="004A79A6" w:rsidRDefault="002B7580" w:rsidP="00DB68B2">
            <w:pPr>
              <w:rPr>
                <w:rFonts w:cs="Arial"/>
                <w:color w:val="13B5EA"/>
                <w:sz w:val="16"/>
                <w:szCs w:val="16"/>
              </w:rPr>
            </w:pPr>
            <w:r>
              <w:rPr>
                <w:rFonts w:cs="Arial"/>
                <w:sz w:val="16"/>
                <w:szCs w:val="16"/>
              </w:rPr>
              <w:t>Plavecké Podhradie (MA) ****</w:t>
            </w:r>
          </w:p>
        </w:tc>
        <w:tc>
          <w:tcPr>
            <w:tcW w:w="815" w:type="dxa"/>
            <w:tcBorders>
              <w:top w:val="nil"/>
              <w:left w:val="nil"/>
              <w:bottom w:val="single" w:sz="4" w:space="0" w:color="D9D9D9"/>
              <w:right w:val="nil"/>
            </w:tcBorders>
            <w:shd w:val="clear" w:color="auto" w:fill="D9D9D9" w:themeFill="background1" w:themeFillShade="D9"/>
            <w:noWrap/>
            <w:vAlign w:val="center"/>
          </w:tcPr>
          <w:p w14:paraId="4DCDA444" w14:textId="3FC1EBBA" w:rsidR="00DB68B2" w:rsidRPr="004A79A6" w:rsidRDefault="002B7580" w:rsidP="00DB68B2">
            <w:pPr>
              <w:jc w:val="right"/>
              <w:rPr>
                <w:rFonts w:cs="Arial"/>
                <w:color w:val="13B5EA"/>
                <w:sz w:val="16"/>
                <w:szCs w:val="16"/>
              </w:rPr>
            </w:pPr>
            <w:r>
              <w:rPr>
                <w:rFonts w:cs="Arial"/>
                <w:b/>
                <w:bCs/>
                <w:color w:val="13B5EA"/>
                <w:sz w:val="16"/>
                <w:szCs w:val="16"/>
              </w:rPr>
              <w:t>64,3</w:t>
            </w:r>
          </w:p>
        </w:tc>
        <w:tc>
          <w:tcPr>
            <w:tcW w:w="816" w:type="dxa"/>
            <w:tcBorders>
              <w:top w:val="nil"/>
              <w:left w:val="nil"/>
              <w:bottom w:val="single" w:sz="4" w:space="0" w:color="D9D9D9"/>
              <w:right w:val="nil"/>
            </w:tcBorders>
            <w:shd w:val="clear" w:color="auto" w:fill="D9D9D9" w:themeFill="background1" w:themeFillShade="D9"/>
            <w:noWrap/>
            <w:vAlign w:val="center"/>
          </w:tcPr>
          <w:p w14:paraId="65239DA4" w14:textId="0D7D0A7A" w:rsidR="00DB68B2" w:rsidRPr="004A79A6" w:rsidRDefault="002B7580" w:rsidP="00DB68B2">
            <w:pPr>
              <w:jc w:val="right"/>
              <w:rPr>
                <w:rFonts w:cs="Arial"/>
                <w:color w:val="13B5EA"/>
                <w:sz w:val="16"/>
                <w:szCs w:val="16"/>
              </w:rPr>
            </w:pPr>
            <w:r>
              <w:rPr>
                <w:rFonts w:cs="Arial"/>
                <w:sz w:val="16"/>
                <w:szCs w:val="16"/>
              </w:rPr>
              <w:t>695</w:t>
            </w:r>
          </w:p>
        </w:tc>
        <w:tc>
          <w:tcPr>
            <w:tcW w:w="816" w:type="dxa"/>
            <w:tcBorders>
              <w:top w:val="nil"/>
              <w:left w:val="nil"/>
              <w:bottom w:val="single" w:sz="4" w:space="0" w:color="D9D9D9"/>
              <w:right w:val="nil"/>
            </w:tcBorders>
            <w:shd w:val="clear" w:color="auto" w:fill="D9D9D9" w:themeFill="background1" w:themeFillShade="D9"/>
            <w:noWrap/>
            <w:vAlign w:val="center"/>
          </w:tcPr>
          <w:p w14:paraId="22638DB9" w14:textId="11079DE0" w:rsidR="00DB68B2" w:rsidRPr="004A79A6" w:rsidRDefault="002B7580" w:rsidP="00DB68B2">
            <w:pPr>
              <w:jc w:val="right"/>
              <w:rPr>
                <w:rFonts w:cs="Arial"/>
                <w:color w:val="13B5EA"/>
                <w:sz w:val="16"/>
                <w:szCs w:val="16"/>
              </w:rPr>
            </w:pPr>
            <w:r>
              <w:rPr>
                <w:rFonts w:cs="Arial"/>
                <w:sz w:val="16"/>
                <w:szCs w:val="16"/>
              </w:rPr>
              <w:t>0,2</w:t>
            </w:r>
          </w:p>
        </w:tc>
      </w:tr>
      <w:tr w:rsidR="00DB68B2" w:rsidRPr="00B81300" w14:paraId="1B586DB3" w14:textId="77777777" w:rsidTr="004A79A6">
        <w:trPr>
          <w:trHeight w:hRule="exact" w:val="284"/>
        </w:trPr>
        <w:tc>
          <w:tcPr>
            <w:tcW w:w="1936" w:type="dxa"/>
            <w:tcBorders>
              <w:top w:val="nil"/>
              <w:left w:val="nil"/>
              <w:bottom w:val="single" w:sz="4" w:space="0" w:color="D9D9D9"/>
              <w:right w:val="nil"/>
            </w:tcBorders>
            <w:shd w:val="clear" w:color="auto" w:fill="D9D9D9" w:themeFill="background1" w:themeFillShade="D9"/>
            <w:noWrap/>
            <w:vAlign w:val="center"/>
          </w:tcPr>
          <w:p w14:paraId="2CB929E2" w14:textId="6C404CA6" w:rsidR="00DB68B2" w:rsidRPr="004A79A6" w:rsidRDefault="002B7580" w:rsidP="00DB68B2">
            <w:pPr>
              <w:rPr>
                <w:rFonts w:cs="Arial"/>
                <w:sz w:val="16"/>
                <w:szCs w:val="16"/>
              </w:rPr>
            </w:pPr>
            <w:r>
              <w:rPr>
                <w:rFonts w:cs="Arial"/>
                <w:sz w:val="16"/>
                <w:szCs w:val="16"/>
              </w:rPr>
              <w:t>Dvorianky (TV) **</w:t>
            </w:r>
          </w:p>
        </w:tc>
        <w:tc>
          <w:tcPr>
            <w:tcW w:w="795" w:type="dxa"/>
            <w:tcBorders>
              <w:top w:val="nil"/>
              <w:left w:val="nil"/>
              <w:bottom w:val="single" w:sz="4" w:space="0" w:color="D9D9D9"/>
              <w:right w:val="nil"/>
            </w:tcBorders>
            <w:shd w:val="clear" w:color="auto" w:fill="D9D9D9" w:themeFill="background1" w:themeFillShade="D9"/>
            <w:noWrap/>
            <w:vAlign w:val="center"/>
          </w:tcPr>
          <w:p w14:paraId="568892C0" w14:textId="79C977EF" w:rsidR="00DB68B2" w:rsidRPr="004A79A6" w:rsidRDefault="002B7580" w:rsidP="00DB68B2">
            <w:pPr>
              <w:jc w:val="right"/>
              <w:rPr>
                <w:rFonts w:cs="Arial"/>
                <w:sz w:val="16"/>
                <w:szCs w:val="16"/>
              </w:rPr>
            </w:pPr>
            <w:r>
              <w:rPr>
                <w:rFonts w:cs="Arial"/>
                <w:b/>
                <w:bCs/>
                <w:color w:val="13B5EA"/>
                <w:sz w:val="16"/>
                <w:szCs w:val="16"/>
              </w:rPr>
              <w:t>61,1</w:t>
            </w:r>
          </w:p>
        </w:tc>
        <w:tc>
          <w:tcPr>
            <w:tcW w:w="795" w:type="dxa"/>
            <w:tcBorders>
              <w:top w:val="nil"/>
              <w:left w:val="nil"/>
              <w:bottom w:val="single" w:sz="4" w:space="0" w:color="D9D9D9"/>
              <w:right w:val="nil"/>
            </w:tcBorders>
            <w:shd w:val="clear" w:color="auto" w:fill="D9D9D9" w:themeFill="background1" w:themeFillShade="D9"/>
            <w:noWrap/>
            <w:vAlign w:val="center"/>
          </w:tcPr>
          <w:p w14:paraId="5072ACCF" w14:textId="410B00F0" w:rsidR="00DB68B2" w:rsidRPr="004A79A6" w:rsidRDefault="002B7580" w:rsidP="00DB68B2">
            <w:pPr>
              <w:jc w:val="right"/>
              <w:rPr>
                <w:rFonts w:cs="Arial"/>
                <w:sz w:val="16"/>
                <w:szCs w:val="16"/>
              </w:rPr>
            </w:pPr>
            <w:r>
              <w:rPr>
                <w:rFonts w:cs="Arial"/>
                <w:sz w:val="16"/>
                <w:szCs w:val="16"/>
              </w:rPr>
              <w:t>157</w:t>
            </w:r>
          </w:p>
        </w:tc>
        <w:tc>
          <w:tcPr>
            <w:tcW w:w="795" w:type="dxa"/>
            <w:tcBorders>
              <w:top w:val="nil"/>
              <w:left w:val="nil"/>
              <w:bottom w:val="single" w:sz="4" w:space="0" w:color="D9D9D9"/>
              <w:right w:val="nil"/>
            </w:tcBorders>
            <w:shd w:val="clear" w:color="auto" w:fill="D9D9D9" w:themeFill="background1" w:themeFillShade="D9"/>
            <w:noWrap/>
            <w:vAlign w:val="center"/>
          </w:tcPr>
          <w:p w14:paraId="5A5C71F7" w14:textId="5E2FCD6E" w:rsidR="00DB68B2" w:rsidRPr="004A79A6" w:rsidRDefault="002B7580" w:rsidP="00DB68B2">
            <w:pPr>
              <w:jc w:val="right"/>
              <w:rPr>
                <w:rFonts w:cs="Arial"/>
                <w:sz w:val="16"/>
                <w:szCs w:val="16"/>
              </w:rPr>
            </w:pPr>
            <w:r>
              <w:rPr>
                <w:rFonts w:cs="Arial"/>
                <w:sz w:val="16"/>
                <w:szCs w:val="16"/>
              </w:rPr>
              <w:t>0,1</w:t>
            </w:r>
          </w:p>
        </w:tc>
        <w:tc>
          <w:tcPr>
            <w:tcW w:w="182" w:type="dxa"/>
            <w:tcBorders>
              <w:top w:val="nil"/>
              <w:left w:val="nil"/>
              <w:bottom w:val="single" w:sz="4" w:space="0" w:color="D9D9D9"/>
              <w:right w:val="nil"/>
            </w:tcBorders>
            <w:shd w:val="clear" w:color="auto" w:fill="D9D9D9" w:themeFill="background1" w:themeFillShade="D9"/>
            <w:noWrap/>
            <w:vAlign w:val="center"/>
            <w:hideMark/>
          </w:tcPr>
          <w:p w14:paraId="278CF8BC" w14:textId="6AE8D16C"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D9D9D9" w:themeFill="background1" w:themeFillShade="D9"/>
            <w:noWrap/>
            <w:vAlign w:val="center"/>
            <w:hideMark/>
          </w:tcPr>
          <w:p w14:paraId="662EFC44" w14:textId="00B6FB9F"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D9D9D9" w:themeFill="background1" w:themeFillShade="D9"/>
            <w:noWrap/>
            <w:vAlign w:val="center"/>
          </w:tcPr>
          <w:p w14:paraId="3390B0D8" w14:textId="06DFBF15" w:rsidR="00DB68B2" w:rsidRPr="004A79A6" w:rsidRDefault="002B7580" w:rsidP="00DB68B2">
            <w:pPr>
              <w:rPr>
                <w:rFonts w:cs="Arial"/>
                <w:sz w:val="16"/>
                <w:szCs w:val="16"/>
              </w:rPr>
            </w:pPr>
            <w:r>
              <w:rPr>
                <w:rFonts w:cs="Arial"/>
                <w:sz w:val="16"/>
                <w:szCs w:val="16"/>
              </w:rPr>
              <w:t>Pohranice (NR) **</w:t>
            </w:r>
          </w:p>
        </w:tc>
        <w:tc>
          <w:tcPr>
            <w:tcW w:w="815" w:type="dxa"/>
            <w:tcBorders>
              <w:top w:val="nil"/>
              <w:left w:val="nil"/>
              <w:bottom w:val="single" w:sz="4" w:space="0" w:color="D9D9D9"/>
              <w:right w:val="nil"/>
            </w:tcBorders>
            <w:shd w:val="clear" w:color="auto" w:fill="D9D9D9" w:themeFill="background1" w:themeFillShade="D9"/>
            <w:noWrap/>
            <w:vAlign w:val="center"/>
          </w:tcPr>
          <w:p w14:paraId="50DD16C6" w14:textId="50B24492" w:rsidR="00DB68B2" w:rsidRPr="004A79A6" w:rsidRDefault="002B7580" w:rsidP="00DB68B2">
            <w:pPr>
              <w:jc w:val="right"/>
              <w:rPr>
                <w:rFonts w:cs="Arial"/>
                <w:b/>
                <w:sz w:val="16"/>
                <w:szCs w:val="16"/>
              </w:rPr>
            </w:pPr>
            <w:r>
              <w:rPr>
                <w:rFonts w:cs="Arial"/>
                <w:b/>
                <w:bCs/>
                <w:color w:val="13B5EA"/>
                <w:sz w:val="16"/>
                <w:szCs w:val="16"/>
              </w:rPr>
              <w:t>138,9</w:t>
            </w:r>
          </w:p>
        </w:tc>
        <w:tc>
          <w:tcPr>
            <w:tcW w:w="816" w:type="dxa"/>
            <w:tcBorders>
              <w:top w:val="nil"/>
              <w:left w:val="nil"/>
              <w:bottom w:val="single" w:sz="4" w:space="0" w:color="D9D9D9"/>
              <w:right w:val="nil"/>
            </w:tcBorders>
            <w:shd w:val="clear" w:color="auto" w:fill="D9D9D9" w:themeFill="background1" w:themeFillShade="D9"/>
            <w:noWrap/>
            <w:vAlign w:val="center"/>
          </w:tcPr>
          <w:p w14:paraId="4CBF8EA2" w14:textId="61FD865E" w:rsidR="00DB68B2" w:rsidRPr="004A79A6" w:rsidRDefault="002B7580" w:rsidP="00DB68B2">
            <w:pPr>
              <w:jc w:val="right"/>
              <w:rPr>
                <w:rFonts w:cs="Arial"/>
                <w:sz w:val="16"/>
                <w:szCs w:val="16"/>
              </w:rPr>
            </w:pPr>
            <w:r>
              <w:rPr>
                <w:rFonts w:cs="Arial"/>
                <w:sz w:val="16"/>
                <w:szCs w:val="16"/>
              </w:rPr>
              <w:t>26 606</w:t>
            </w:r>
          </w:p>
        </w:tc>
        <w:tc>
          <w:tcPr>
            <w:tcW w:w="816" w:type="dxa"/>
            <w:tcBorders>
              <w:top w:val="nil"/>
              <w:left w:val="nil"/>
              <w:bottom w:val="single" w:sz="4" w:space="0" w:color="D9D9D9"/>
              <w:right w:val="nil"/>
            </w:tcBorders>
            <w:shd w:val="clear" w:color="auto" w:fill="D9D9D9" w:themeFill="background1" w:themeFillShade="D9"/>
            <w:noWrap/>
            <w:vAlign w:val="center"/>
          </w:tcPr>
          <w:p w14:paraId="6BCFBB7C" w14:textId="0AC7D532" w:rsidR="00DB68B2" w:rsidRPr="004A79A6" w:rsidRDefault="002B7580" w:rsidP="00DB68B2">
            <w:pPr>
              <w:jc w:val="right"/>
              <w:rPr>
                <w:rFonts w:cs="Arial"/>
                <w:sz w:val="16"/>
                <w:szCs w:val="16"/>
              </w:rPr>
            </w:pPr>
            <w:r>
              <w:rPr>
                <w:rFonts w:cs="Arial"/>
                <w:sz w:val="16"/>
                <w:szCs w:val="16"/>
              </w:rPr>
              <w:t>3,9</w:t>
            </w:r>
          </w:p>
        </w:tc>
      </w:tr>
      <w:tr w:rsidR="00DB68B2" w:rsidRPr="00B81300" w14:paraId="754DB24B"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2A752400" w14:textId="2F4A9A82" w:rsidR="00DB68B2" w:rsidRPr="004A79A6" w:rsidRDefault="002B7580" w:rsidP="00DB68B2">
            <w:pPr>
              <w:rPr>
                <w:rFonts w:cs="Arial"/>
                <w:sz w:val="16"/>
                <w:szCs w:val="16"/>
              </w:rPr>
            </w:pPr>
            <w:r>
              <w:rPr>
                <w:rFonts w:cs="Arial"/>
                <w:sz w:val="16"/>
                <w:szCs w:val="16"/>
              </w:rPr>
              <w:t>Hatalov (MI)</w:t>
            </w:r>
          </w:p>
        </w:tc>
        <w:tc>
          <w:tcPr>
            <w:tcW w:w="795" w:type="dxa"/>
            <w:tcBorders>
              <w:top w:val="nil"/>
              <w:left w:val="nil"/>
              <w:bottom w:val="single" w:sz="4" w:space="0" w:color="D9D9D9"/>
              <w:right w:val="nil"/>
            </w:tcBorders>
            <w:shd w:val="clear" w:color="auto" w:fill="auto"/>
            <w:noWrap/>
            <w:vAlign w:val="center"/>
          </w:tcPr>
          <w:p w14:paraId="6AF2E1C6" w14:textId="5C1641AB" w:rsidR="00DB68B2" w:rsidRPr="004A79A6" w:rsidRDefault="002B7580" w:rsidP="00DB68B2">
            <w:pPr>
              <w:jc w:val="right"/>
              <w:rPr>
                <w:rFonts w:cs="Arial"/>
                <w:sz w:val="16"/>
                <w:szCs w:val="16"/>
              </w:rPr>
            </w:pPr>
            <w:r>
              <w:rPr>
                <w:rFonts w:cs="Arial"/>
                <w:b/>
                <w:bCs/>
                <w:color w:val="13B5EA"/>
                <w:sz w:val="16"/>
                <w:szCs w:val="16"/>
              </w:rPr>
              <w:t>71,7</w:t>
            </w:r>
          </w:p>
        </w:tc>
        <w:tc>
          <w:tcPr>
            <w:tcW w:w="795" w:type="dxa"/>
            <w:tcBorders>
              <w:top w:val="nil"/>
              <w:left w:val="nil"/>
              <w:bottom w:val="single" w:sz="4" w:space="0" w:color="D9D9D9"/>
              <w:right w:val="nil"/>
            </w:tcBorders>
            <w:shd w:val="clear" w:color="auto" w:fill="auto"/>
            <w:noWrap/>
            <w:vAlign w:val="center"/>
          </w:tcPr>
          <w:p w14:paraId="02CC579A" w14:textId="5CE23228" w:rsidR="00DB68B2" w:rsidRPr="004A79A6" w:rsidRDefault="002B7580" w:rsidP="00DB68B2">
            <w:pPr>
              <w:jc w:val="right"/>
              <w:rPr>
                <w:rFonts w:cs="Arial"/>
                <w:sz w:val="16"/>
                <w:szCs w:val="16"/>
              </w:rPr>
            </w:pPr>
            <w:r>
              <w:rPr>
                <w:rFonts w:cs="Arial"/>
                <w:sz w:val="16"/>
                <w:szCs w:val="16"/>
              </w:rPr>
              <w:t>2 424</w:t>
            </w:r>
          </w:p>
        </w:tc>
        <w:tc>
          <w:tcPr>
            <w:tcW w:w="795" w:type="dxa"/>
            <w:tcBorders>
              <w:top w:val="nil"/>
              <w:left w:val="nil"/>
              <w:bottom w:val="single" w:sz="4" w:space="0" w:color="D9D9D9"/>
              <w:right w:val="nil"/>
            </w:tcBorders>
            <w:shd w:val="clear" w:color="auto" w:fill="auto"/>
            <w:noWrap/>
            <w:vAlign w:val="center"/>
          </w:tcPr>
          <w:p w14:paraId="74496D5C" w14:textId="7BAE5854" w:rsidR="00DB68B2" w:rsidRPr="004A79A6" w:rsidRDefault="002B7580" w:rsidP="00DB68B2">
            <w:pPr>
              <w:jc w:val="right"/>
              <w:rPr>
                <w:rFonts w:cs="Arial"/>
                <w:sz w:val="16"/>
                <w:szCs w:val="16"/>
              </w:rPr>
            </w:pPr>
            <w:r>
              <w:rPr>
                <w:rFonts w:cs="Arial"/>
                <w:sz w:val="16"/>
                <w:szCs w:val="16"/>
              </w:rPr>
              <w:t>0,6</w:t>
            </w:r>
          </w:p>
        </w:tc>
        <w:tc>
          <w:tcPr>
            <w:tcW w:w="182" w:type="dxa"/>
            <w:tcBorders>
              <w:top w:val="nil"/>
              <w:left w:val="nil"/>
              <w:bottom w:val="single" w:sz="4" w:space="0" w:color="D9D9D9"/>
              <w:right w:val="nil"/>
            </w:tcBorders>
            <w:shd w:val="clear" w:color="auto" w:fill="auto"/>
            <w:noWrap/>
            <w:vAlign w:val="center"/>
            <w:hideMark/>
          </w:tcPr>
          <w:p w14:paraId="3FF54807" w14:textId="6A7F9802"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D9D9D9" w:themeFill="background1" w:themeFillShade="D9"/>
            <w:noWrap/>
            <w:vAlign w:val="center"/>
            <w:hideMark/>
          </w:tcPr>
          <w:p w14:paraId="3FD90AC9" w14:textId="3BF76A8E"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D9D9D9" w:themeFill="background1" w:themeFillShade="D9"/>
            <w:noWrap/>
            <w:vAlign w:val="center"/>
          </w:tcPr>
          <w:p w14:paraId="047F9D7C" w14:textId="5B10083A" w:rsidR="00DB68B2" w:rsidRPr="004A79A6" w:rsidRDefault="002B7580" w:rsidP="00DB68B2">
            <w:pPr>
              <w:rPr>
                <w:rFonts w:cs="Arial"/>
                <w:color w:val="13B5EA"/>
                <w:sz w:val="16"/>
                <w:szCs w:val="16"/>
              </w:rPr>
            </w:pPr>
            <w:r>
              <w:rPr>
                <w:rFonts w:cs="Arial"/>
                <w:sz w:val="16"/>
                <w:szCs w:val="16"/>
              </w:rPr>
              <w:t>Potônske Lúky (DS) **</w:t>
            </w:r>
          </w:p>
        </w:tc>
        <w:tc>
          <w:tcPr>
            <w:tcW w:w="815" w:type="dxa"/>
            <w:tcBorders>
              <w:top w:val="nil"/>
              <w:left w:val="nil"/>
              <w:bottom w:val="single" w:sz="4" w:space="0" w:color="D9D9D9"/>
              <w:right w:val="nil"/>
            </w:tcBorders>
            <w:shd w:val="clear" w:color="auto" w:fill="D9D9D9" w:themeFill="background1" w:themeFillShade="D9"/>
            <w:noWrap/>
            <w:vAlign w:val="center"/>
          </w:tcPr>
          <w:p w14:paraId="2EC95712" w14:textId="11187CE1" w:rsidR="00DB68B2" w:rsidRPr="004A79A6" w:rsidRDefault="002B7580" w:rsidP="00DB68B2">
            <w:pPr>
              <w:jc w:val="right"/>
              <w:rPr>
                <w:rFonts w:cs="Arial"/>
                <w:b/>
                <w:color w:val="13B5EA"/>
                <w:sz w:val="16"/>
                <w:szCs w:val="16"/>
              </w:rPr>
            </w:pPr>
            <w:r>
              <w:rPr>
                <w:rFonts w:cs="Arial"/>
                <w:b/>
                <w:bCs/>
                <w:color w:val="13B5EA"/>
                <w:sz w:val="16"/>
                <w:szCs w:val="16"/>
              </w:rPr>
              <w:t>200,9</w:t>
            </w:r>
          </w:p>
        </w:tc>
        <w:tc>
          <w:tcPr>
            <w:tcW w:w="816" w:type="dxa"/>
            <w:tcBorders>
              <w:top w:val="nil"/>
              <w:left w:val="nil"/>
              <w:bottom w:val="single" w:sz="4" w:space="0" w:color="D9D9D9"/>
              <w:right w:val="nil"/>
            </w:tcBorders>
            <w:shd w:val="clear" w:color="auto" w:fill="D9D9D9" w:themeFill="background1" w:themeFillShade="D9"/>
            <w:noWrap/>
            <w:vAlign w:val="center"/>
          </w:tcPr>
          <w:p w14:paraId="7D1E09C7" w14:textId="737B751D" w:rsidR="00DB68B2" w:rsidRPr="004A79A6" w:rsidRDefault="002B7580" w:rsidP="00DB68B2">
            <w:pPr>
              <w:jc w:val="right"/>
              <w:rPr>
                <w:rFonts w:cs="Arial"/>
                <w:color w:val="13B5EA"/>
                <w:sz w:val="16"/>
                <w:szCs w:val="16"/>
              </w:rPr>
            </w:pPr>
            <w:r>
              <w:rPr>
                <w:rFonts w:cs="Arial"/>
                <w:sz w:val="16"/>
                <w:szCs w:val="16"/>
              </w:rPr>
              <w:t>9 883</w:t>
            </w:r>
          </w:p>
        </w:tc>
        <w:tc>
          <w:tcPr>
            <w:tcW w:w="816" w:type="dxa"/>
            <w:tcBorders>
              <w:top w:val="nil"/>
              <w:left w:val="nil"/>
              <w:bottom w:val="single" w:sz="4" w:space="0" w:color="D9D9D9"/>
              <w:right w:val="nil"/>
            </w:tcBorders>
            <w:shd w:val="clear" w:color="auto" w:fill="D9D9D9" w:themeFill="background1" w:themeFillShade="D9"/>
            <w:noWrap/>
            <w:vAlign w:val="center"/>
          </w:tcPr>
          <w:p w14:paraId="046A18FF" w14:textId="6248CE46" w:rsidR="00DB68B2" w:rsidRPr="004A79A6" w:rsidRDefault="002B7580" w:rsidP="00DB68B2">
            <w:pPr>
              <w:jc w:val="right"/>
              <w:rPr>
                <w:rFonts w:cs="Arial"/>
                <w:color w:val="13B5EA"/>
                <w:sz w:val="16"/>
                <w:szCs w:val="16"/>
              </w:rPr>
            </w:pPr>
            <w:r>
              <w:rPr>
                <w:rFonts w:cs="Arial"/>
                <w:sz w:val="16"/>
                <w:szCs w:val="16"/>
              </w:rPr>
              <w:t>7,0</w:t>
            </w:r>
          </w:p>
        </w:tc>
      </w:tr>
      <w:tr w:rsidR="00DB68B2" w:rsidRPr="00B81300" w14:paraId="4C066E6E" w14:textId="77777777" w:rsidTr="004A79A6">
        <w:trPr>
          <w:trHeight w:hRule="exact" w:val="284"/>
        </w:trPr>
        <w:tc>
          <w:tcPr>
            <w:tcW w:w="1936" w:type="dxa"/>
            <w:tcBorders>
              <w:top w:val="nil"/>
              <w:left w:val="nil"/>
              <w:bottom w:val="single" w:sz="4" w:space="0" w:color="D9D9D9"/>
              <w:right w:val="nil"/>
            </w:tcBorders>
            <w:shd w:val="clear" w:color="auto" w:fill="D9D9D9" w:themeFill="background1" w:themeFillShade="D9"/>
            <w:noWrap/>
            <w:vAlign w:val="center"/>
          </w:tcPr>
          <w:p w14:paraId="40BDE846" w14:textId="06BB81BE" w:rsidR="00DB68B2" w:rsidRPr="004A79A6" w:rsidRDefault="002B7580" w:rsidP="00DB68B2">
            <w:pPr>
              <w:rPr>
                <w:rFonts w:cs="Arial"/>
                <w:color w:val="13B5EA"/>
                <w:sz w:val="16"/>
                <w:szCs w:val="16"/>
              </w:rPr>
            </w:pPr>
            <w:r>
              <w:rPr>
                <w:rFonts w:cs="Arial"/>
                <w:sz w:val="16"/>
                <w:szCs w:val="16"/>
              </w:rPr>
              <w:t>Horná Mičiná (BB) ***</w:t>
            </w:r>
          </w:p>
        </w:tc>
        <w:tc>
          <w:tcPr>
            <w:tcW w:w="795" w:type="dxa"/>
            <w:tcBorders>
              <w:top w:val="nil"/>
              <w:left w:val="nil"/>
              <w:bottom w:val="single" w:sz="4" w:space="0" w:color="D9D9D9"/>
              <w:right w:val="nil"/>
            </w:tcBorders>
            <w:shd w:val="clear" w:color="auto" w:fill="D9D9D9" w:themeFill="background1" w:themeFillShade="D9"/>
            <w:noWrap/>
            <w:vAlign w:val="center"/>
          </w:tcPr>
          <w:p w14:paraId="5084972D" w14:textId="626D090C" w:rsidR="00DB68B2" w:rsidRPr="004A79A6" w:rsidRDefault="002B7580" w:rsidP="00DB68B2">
            <w:pPr>
              <w:jc w:val="right"/>
              <w:rPr>
                <w:rFonts w:cs="Arial"/>
                <w:b/>
                <w:color w:val="13B5EA"/>
                <w:sz w:val="16"/>
                <w:szCs w:val="16"/>
              </w:rPr>
            </w:pPr>
            <w:r>
              <w:rPr>
                <w:rFonts w:cs="Arial"/>
                <w:b/>
                <w:bCs/>
                <w:color w:val="13B5EA"/>
                <w:sz w:val="16"/>
                <w:szCs w:val="16"/>
              </w:rPr>
              <w:t>84,6</w:t>
            </w:r>
          </w:p>
        </w:tc>
        <w:tc>
          <w:tcPr>
            <w:tcW w:w="795" w:type="dxa"/>
            <w:tcBorders>
              <w:top w:val="nil"/>
              <w:left w:val="nil"/>
              <w:bottom w:val="single" w:sz="4" w:space="0" w:color="D9D9D9"/>
              <w:right w:val="nil"/>
            </w:tcBorders>
            <w:shd w:val="clear" w:color="auto" w:fill="D9D9D9" w:themeFill="background1" w:themeFillShade="D9"/>
            <w:noWrap/>
            <w:vAlign w:val="center"/>
          </w:tcPr>
          <w:p w14:paraId="09A879B6" w14:textId="0C0105F4" w:rsidR="00DB68B2" w:rsidRPr="004A79A6" w:rsidRDefault="002B7580" w:rsidP="00DB68B2">
            <w:pPr>
              <w:jc w:val="right"/>
              <w:rPr>
                <w:rFonts w:cs="Arial"/>
                <w:color w:val="13B5EA"/>
                <w:sz w:val="16"/>
                <w:szCs w:val="16"/>
              </w:rPr>
            </w:pPr>
            <w:r>
              <w:rPr>
                <w:rFonts w:cs="Arial"/>
                <w:sz w:val="16"/>
                <w:szCs w:val="16"/>
              </w:rPr>
              <w:t>2 325</w:t>
            </w:r>
          </w:p>
        </w:tc>
        <w:tc>
          <w:tcPr>
            <w:tcW w:w="795" w:type="dxa"/>
            <w:tcBorders>
              <w:top w:val="nil"/>
              <w:left w:val="nil"/>
              <w:bottom w:val="single" w:sz="4" w:space="0" w:color="D9D9D9"/>
              <w:right w:val="nil"/>
            </w:tcBorders>
            <w:shd w:val="clear" w:color="auto" w:fill="D9D9D9" w:themeFill="background1" w:themeFillShade="D9"/>
            <w:noWrap/>
            <w:vAlign w:val="center"/>
          </w:tcPr>
          <w:p w14:paraId="1F51DEDC" w14:textId="1E4E0708" w:rsidR="00DB68B2" w:rsidRPr="004A79A6" w:rsidRDefault="002B7580" w:rsidP="00DB68B2">
            <w:pPr>
              <w:jc w:val="right"/>
              <w:rPr>
                <w:rFonts w:cs="Arial"/>
                <w:color w:val="13B5EA"/>
                <w:sz w:val="16"/>
                <w:szCs w:val="16"/>
              </w:rPr>
            </w:pPr>
            <w:r>
              <w:rPr>
                <w:rFonts w:cs="Arial"/>
                <w:sz w:val="16"/>
                <w:szCs w:val="16"/>
              </w:rPr>
              <w:t>1,2</w:t>
            </w:r>
          </w:p>
        </w:tc>
        <w:tc>
          <w:tcPr>
            <w:tcW w:w="182" w:type="dxa"/>
            <w:tcBorders>
              <w:top w:val="nil"/>
              <w:left w:val="nil"/>
              <w:bottom w:val="single" w:sz="4" w:space="0" w:color="D9D9D9"/>
              <w:right w:val="nil"/>
            </w:tcBorders>
            <w:shd w:val="clear" w:color="auto" w:fill="D9D9D9" w:themeFill="background1" w:themeFillShade="D9"/>
            <w:noWrap/>
            <w:vAlign w:val="center"/>
            <w:hideMark/>
          </w:tcPr>
          <w:p w14:paraId="22DF6A0D" w14:textId="327089E2"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D9D9D9" w:themeFill="background1" w:themeFillShade="D9"/>
            <w:noWrap/>
            <w:vAlign w:val="center"/>
            <w:hideMark/>
          </w:tcPr>
          <w:p w14:paraId="6FF43D2D" w14:textId="226683FC"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D9D9D9" w:themeFill="background1" w:themeFillShade="D9"/>
            <w:noWrap/>
            <w:vAlign w:val="center"/>
          </w:tcPr>
          <w:p w14:paraId="07DBD9FE" w14:textId="51E22F11" w:rsidR="00DB68B2" w:rsidRPr="004A79A6" w:rsidRDefault="002B7580" w:rsidP="00DB68B2">
            <w:pPr>
              <w:rPr>
                <w:rFonts w:cs="Arial"/>
                <w:color w:val="13B5EA"/>
                <w:sz w:val="16"/>
                <w:szCs w:val="16"/>
              </w:rPr>
            </w:pPr>
            <w:r>
              <w:rPr>
                <w:rFonts w:cs="Arial"/>
                <w:sz w:val="16"/>
                <w:szCs w:val="16"/>
              </w:rPr>
              <w:t>Remeniny (VT) **</w:t>
            </w:r>
          </w:p>
        </w:tc>
        <w:tc>
          <w:tcPr>
            <w:tcW w:w="815" w:type="dxa"/>
            <w:tcBorders>
              <w:top w:val="nil"/>
              <w:left w:val="nil"/>
              <w:bottom w:val="single" w:sz="4" w:space="0" w:color="D9D9D9"/>
              <w:right w:val="nil"/>
            </w:tcBorders>
            <w:shd w:val="clear" w:color="auto" w:fill="D9D9D9" w:themeFill="background1" w:themeFillShade="D9"/>
            <w:noWrap/>
            <w:vAlign w:val="center"/>
          </w:tcPr>
          <w:p w14:paraId="18469575" w14:textId="6D3474D1" w:rsidR="00DB68B2" w:rsidRPr="004A79A6" w:rsidRDefault="002B7580" w:rsidP="00DB68B2">
            <w:pPr>
              <w:jc w:val="right"/>
              <w:rPr>
                <w:rFonts w:cs="Arial"/>
                <w:b/>
                <w:color w:val="13B5EA"/>
                <w:sz w:val="16"/>
                <w:szCs w:val="16"/>
              </w:rPr>
            </w:pPr>
            <w:r>
              <w:rPr>
                <w:rFonts w:cs="Arial"/>
                <w:b/>
                <w:bCs/>
                <w:color w:val="13B5EA"/>
                <w:sz w:val="16"/>
                <w:szCs w:val="16"/>
              </w:rPr>
              <w:t>99,6</w:t>
            </w:r>
          </w:p>
        </w:tc>
        <w:tc>
          <w:tcPr>
            <w:tcW w:w="816" w:type="dxa"/>
            <w:tcBorders>
              <w:top w:val="nil"/>
              <w:left w:val="nil"/>
              <w:bottom w:val="single" w:sz="4" w:space="0" w:color="D9D9D9"/>
              <w:right w:val="nil"/>
            </w:tcBorders>
            <w:shd w:val="clear" w:color="auto" w:fill="D9D9D9" w:themeFill="background1" w:themeFillShade="D9"/>
            <w:noWrap/>
            <w:vAlign w:val="center"/>
          </w:tcPr>
          <w:p w14:paraId="66E0551C" w14:textId="1072675F" w:rsidR="00DB68B2" w:rsidRPr="004A79A6" w:rsidRDefault="002B7580" w:rsidP="00DB68B2">
            <w:pPr>
              <w:jc w:val="right"/>
              <w:rPr>
                <w:rFonts w:cs="Arial"/>
                <w:color w:val="13B5EA"/>
                <w:sz w:val="16"/>
                <w:szCs w:val="16"/>
              </w:rPr>
            </w:pPr>
            <w:r>
              <w:rPr>
                <w:rFonts w:cs="Arial"/>
                <w:sz w:val="16"/>
                <w:szCs w:val="16"/>
              </w:rPr>
              <w:t>3 070</w:t>
            </w:r>
          </w:p>
        </w:tc>
        <w:tc>
          <w:tcPr>
            <w:tcW w:w="816" w:type="dxa"/>
            <w:tcBorders>
              <w:top w:val="nil"/>
              <w:left w:val="nil"/>
              <w:bottom w:val="single" w:sz="4" w:space="0" w:color="D9D9D9"/>
              <w:right w:val="nil"/>
            </w:tcBorders>
            <w:shd w:val="clear" w:color="auto" w:fill="D9D9D9" w:themeFill="background1" w:themeFillShade="D9"/>
            <w:noWrap/>
            <w:vAlign w:val="center"/>
          </w:tcPr>
          <w:p w14:paraId="472E086F" w14:textId="0FF45B4A" w:rsidR="00DB68B2" w:rsidRPr="004A79A6" w:rsidRDefault="002B7580" w:rsidP="00DB68B2">
            <w:pPr>
              <w:jc w:val="right"/>
              <w:rPr>
                <w:rFonts w:cs="Arial"/>
                <w:color w:val="13B5EA"/>
                <w:sz w:val="16"/>
                <w:szCs w:val="16"/>
              </w:rPr>
            </w:pPr>
            <w:r>
              <w:rPr>
                <w:rFonts w:cs="Arial"/>
                <w:sz w:val="16"/>
                <w:szCs w:val="16"/>
              </w:rPr>
              <w:t>2,0</w:t>
            </w:r>
          </w:p>
        </w:tc>
      </w:tr>
      <w:tr w:rsidR="00DB68B2" w:rsidRPr="00B81300" w14:paraId="309C3EA0"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2DC73F37" w14:textId="2C5EED11" w:rsidR="00DB68B2" w:rsidRPr="004A79A6" w:rsidRDefault="002B7580" w:rsidP="00DB68B2">
            <w:pPr>
              <w:rPr>
                <w:rFonts w:cs="Arial"/>
                <w:sz w:val="16"/>
                <w:szCs w:val="16"/>
              </w:rPr>
            </w:pPr>
            <w:r>
              <w:rPr>
                <w:rFonts w:cs="Arial"/>
                <w:sz w:val="16"/>
                <w:szCs w:val="16"/>
              </w:rPr>
              <w:t>Hronovce (LV)</w:t>
            </w:r>
          </w:p>
        </w:tc>
        <w:tc>
          <w:tcPr>
            <w:tcW w:w="795" w:type="dxa"/>
            <w:tcBorders>
              <w:top w:val="nil"/>
              <w:left w:val="nil"/>
              <w:bottom w:val="single" w:sz="4" w:space="0" w:color="D9D9D9"/>
              <w:right w:val="nil"/>
            </w:tcBorders>
            <w:shd w:val="clear" w:color="auto" w:fill="auto"/>
            <w:noWrap/>
            <w:vAlign w:val="center"/>
          </w:tcPr>
          <w:p w14:paraId="4FD0DEDF" w14:textId="50B96E15" w:rsidR="00DB68B2" w:rsidRPr="004A79A6" w:rsidRDefault="002B7580" w:rsidP="00DB68B2">
            <w:pPr>
              <w:jc w:val="right"/>
              <w:rPr>
                <w:rFonts w:cs="Arial"/>
                <w:sz w:val="16"/>
                <w:szCs w:val="16"/>
              </w:rPr>
            </w:pPr>
            <w:r>
              <w:rPr>
                <w:rFonts w:cs="Arial"/>
                <w:b/>
                <w:bCs/>
                <w:color w:val="13B5EA"/>
                <w:sz w:val="16"/>
                <w:szCs w:val="16"/>
              </w:rPr>
              <w:t>256,2</w:t>
            </w:r>
          </w:p>
        </w:tc>
        <w:tc>
          <w:tcPr>
            <w:tcW w:w="795" w:type="dxa"/>
            <w:tcBorders>
              <w:top w:val="nil"/>
              <w:left w:val="nil"/>
              <w:bottom w:val="single" w:sz="4" w:space="0" w:color="D9D9D9"/>
              <w:right w:val="nil"/>
            </w:tcBorders>
            <w:shd w:val="clear" w:color="auto" w:fill="auto"/>
            <w:noWrap/>
            <w:vAlign w:val="center"/>
          </w:tcPr>
          <w:p w14:paraId="1B02EC34" w14:textId="74C0EB5A" w:rsidR="00DB68B2" w:rsidRPr="004A79A6" w:rsidRDefault="002B7580" w:rsidP="00DB68B2">
            <w:pPr>
              <w:jc w:val="right"/>
              <w:rPr>
                <w:rFonts w:cs="Arial"/>
                <w:sz w:val="16"/>
                <w:szCs w:val="16"/>
              </w:rPr>
            </w:pPr>
            <w:r>
              <w:rPr>
                <w:rFonts w:cs="Arial"/>
                <w:sz w:val="16"/>
                <w:szCs w:val="16"/>
              </w:rPr>
              <w:t>63 467</w:t>
            </w:r>
          </w:p>
        </w:tc>
        <w:tc>
          <w:tcPr>
            <w:tcW w:w="795" w:type="dxa"/>
            <w:tcBorders>
              <w:top w:val="nil"/>
              <w:left w:val="nil"/>
              <w:bottom w:val="single" w:sz="4" w:space="0" w:color="D9D9D9"/>
              <w:right w:val="nil"/>
            </w:tcBorders>
            <w:shd w:val="clear" w:color="auto" w:fill="auto"/>
            <w:noWrap/>
            <w:vAlign w:val="center"/>
          </w:tcPr>
          <w:p w14:paraId="5A2C3C8A" w14:textId="2811BFBA" w:rsidR="00DB68B2" w:rsidRPr="004A79A6" w:rsidRDefault="002B7580" w:rsidP="00DB68B2">
            <w:pPr>
              <w:jc w:val="right"/>
              <w:rPr>
                <w:rFonts w:cs="Arial"/>
                <w:sz w:val="16"/>
                <w:szCs w:val="16"/>
              </w:rPr>
            </w:pPr>
            <w:r>
              <w:rPr>
                <w:rFonts w:cs="Arial"/>
                <w:sz w:val="16"/>
                <w:szCs w:val="16"/>
              </w:rPr>
              <w:t>9,8</w:t>
            </w:r>
          </w:p>
        </w:tc>
        <w:tc>
          <w:tcPr>
            <w:tcW w:w="182" w:type="dxa"/>
            <w:tcBorders>
              <w:top w:val="nil"/>
              <w:left w:val="nil"/>
              <w:bottom w:val="single" w:sz="4" w:space="0" w:color="D9D9D9"/>
              <w:right w:val="nil"/>
            </w:tcBorders>
            <w:shd w:val="clear" w:color="auto" w:fill="auto"/>
            <w:noWrap/>
            <w:vAlign w:val="center"/>
            <w:hideMark/>
          </w:tcPr>
          <w:p w14:paraId="6E1B5611" w14:textId="4BF508ED"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29C1C582" w14:textId="12645B72"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09C2E578" w14:textId="4D325CEE" w:rsidR="00DB68B2" w:rsidRPr="004A79A6" w:rsidRDefault="002B7580" w:rsidP="00DB68B2">
            <w:pPr>
              <w:rPr>
                <w:rFonts w:cs="Arial"/>
                <w:sz w:val="16"/>
                <w:szCs w:val="16"/>
              </w:rPr>
            </w:pPr>
            <w:r>
              <w:rPr>
                <w:rFonts w:cs="Arial"/>
                <w:sz w:val="16"/>
                <w:szCs w:val="16"/>
              </w:rPr>
              <w:t>Súlovce (TO)</w:t>
            </w:r>
          </w:p>
        </w:tc>
        <w:tc>
          <w:tcPr>
            <w:tcW w:w="815" w:type="dxa"/>
            <w:tcBorders>
              <w:top w:val="nil"/>
              <w:left w:val="nil"/>
              <w:bottom w:val="single" w:sz="4" w:space="0" w:color="D9D9D9"/>
              <w:right w:val="nil"/>
            </w:tcBorders>
            <w:shd w:val="clear" w:color="auto" w:fill="auto"/>
            <w:noWrap/>
            <w:vAlign w:val="center"/>
          </w:tcPr>
          <w:p w14:paraId="14E9ECE3" w14:textId="2024037C" w:rsidR="00DB68B2" w:rsidRPr="004A79A6" w:rsidRDefault="002B7580" w:rsidP="00DB68B2">
            <w:pPr>
              <w:jc w:val="right"/>
              <w:rPr>
                <w:rFonts w:cs="Arial"/>
                <w:b/>
                <w:sz w:val="16"/>
                <w:szCs w:val="16"/>
              </w:rPr>
            </w:pPr>
            <w:r>
              <w:rPr>
                <w:rFonts w:cs="Arial"/>
                <w:b/>
                <w:bCs/>
                <w:color w:val="13B5EA"/>
                <w:sz w:val="16"/>
                <w:szCs w:val="16"/>
              </w:rPr>
              <w:t>92,9</w:t>
            </w:r>
          </w:p>
        </w:tc>
        <w:tc>
          <w:tcPr>
            <w:tcW w:w="816" w:type="dxa"/>
            <w:tcBorders>
              <w:top w:val="nil"/>
              <w:left w:val="nil"/>
              <w:bottom w:val="single" w:sz="4" w:space="0" w:color="D9D9D9"/>
              <w:right w:val="nil"/>
            </w:tcBorders>
            <w:shd w:val="clear" w:color="auto" w:fill="auto"/>
            <w:noWrap/>
            <w:vAlign w:val="center"/>
          </w:tcPr>
          <w:p w14:paraId="6D316E18" w14:textId="20A66A8A" w:rsidR="00DB68B2" w:rsidRPr="004A79A6" w:rsidRDefault="002B7580" w:rsidP="00DB68B2">
            <w:pPr>
              <w:jc w:val="right"/>
              <w:rPr>
                <w:rFonts w:cs="Arial"/>
                <w:sz w:val="16"/>
                <w:szCs w:val="16"/>
              </w:rPr>
            </w:pPr>
            <w:r>
              <w:rPr>
                <w:rFonts w:cs="Arial"/>
                <w:sz w:val="16"/>
                <w:szCs w:val="16"/>
              </w:rPr>
              <w:t>3 602</w:t>
            </w:r>
          </w:p>
        </w:tc>
        <w:tc>
          <w:tcPr>
            <w:tcW w:w="816" w:type="dxa"/>
            <w:tcBorders>
              <w:top w:val="nil"/>
              <w:left w:val="nil"/>
              <w:bottom w:val="single" w:sz="4" w:space="0" w:color="D9D9D9"/>
              <w:right w:val="nil"/>
            </w:tcBorders>
            <w:shd w:val="clear" w:color="auto" w:fill="auto"/>
            <w:noWrap/>
            <w:vAlign w:val="center"/>
          </w:tcPr>
          <w:p w14:paraId="1C598050" w14:textId="2B51F658" w:rsidR="00DB68B2" w:rsidRPr="004A79A6" w:rsidRDefault="002B7580" w:rsidP="00DB68B2">
            <w:pPr>
              <w:jc w:val="right"/>
              <w:rPr>
                <w:rFonts w:cs="Arial"/>
                <w:sz w:val="16"/>
                <w:szCs w:val="16"/>
              </w:rPr>
            </w:pPr>
            <w:r>
              <w:rPr>
                <w:rFonts w:cs="Arial"/>
                <w:sz w:val="16"/>
                <w:szCs w:val="16"/>
              </w:rPr>
              <w:t>1,6</w:t>
            </w:r>
          </w:p>
        </w:tc>
      </w:tr>
      <w:tr w:rsidR="00DB68B2" w:rsidRPr="00B81300" w14:paraId="61A712BD" w14:textId="77777777" w:rsidTr="00DB68B2">
        <w:trPr>
          <w:trHeight w:hRule="exact" w:val="284"/>
        </w:trPr>
        <w:tc>
          <w:tcPr>
            <w:tcW w:w="1936" w:type="dxa"/>
            <w:tcBorders>
              <w:top w:val="nil"/>
              <w:left w:val="nil"/>
              <w:bottom w:val="single" w:sz="4" w:space="0" w:color="D9D9D9"/>
              <w:right w:val="nil"/>
            </w:tcBorders>
            <w:shd w:val="clear" w:color="auto" w:fill="auto"/>
            <w:noWrap/>
            <w:vAlign w:val="center"/>
          </w:tcPr>
          <w:p w14:paraId="751B577D" w14:textId="02644904" w:rsidR="00DB68B2" w:rsidRPr="004A79A6" w:rsidRDefault="002B7580" w:rsidP="00DB68B2">
            <w:pPr>
              <w:rPr>
                <w:rFonts w:cs="Arial"/>
                <w:sz w:val="16"/>
                <w:szCs w:val="16"/>
              </w:rPr>
            </w:pPr>
            <w:r>
              <w:rPr>
                <w:rFonts w:cs="Arial"/>
                <w:sz w:val="16"/>
                <w:szCs w:val="16"/>
              </w:rPr>
              <w:t>Husák (SO)</w:t>
            </w:r>
          </w:p>
        </w:tc>
        <w:tc>
          <w:tcPr>
            <w:tcW w:w="795" w:type="dxa"/>
            <w:tcBorders>
              <w:top w:val="nil"/>
              <w:left w:val="nil"/>
              <w:bottom w:val="single" w:sz="4" w:space="0" w:color="D9D9D9"/>
              <w:right w:val="nil"/>
            </w:tcBorders>
            <w:shd w:val="clear" w:color="auto" w:fill="auto"/>
            <w:noWrap/>
            <w:vAlign w:val="center"/>
          </w:tcPr>
          <w:p w14:paraId="34F84EAC" w14:textId="5C51D706" w:rsidR="00DB68B2" w:rsidRPr="004A79A6" w:rsidRDefault="002B7580" w:rsidP="00DB68B2">
            <w:pPr>
              <w:jc w:val="right"/>
              <w:rPr>
                <w:rFonts w:cs="Arial"/>
                <w:b/>
                <w:sz w:val="16"/>
                <w:szCs w:val="16"/>
              </w:rPr>
            </w:pPr>
            <w:r>
              <w:rPr>
                <w:rFonts w:cs="Arial"/>
                <w:b/>
                <w:bCs/>
                <w:color w:val="13B5EA"/>
                <w:sz w:val="16"/>
                <w:szCs w:val="16"/>
              </w:rPr>
              <w:t>78,4</w:t>
            </w:r>
          </w:p>
        </w:tc>
        <w:tc>
          <w:tcPr>
            <w:tcW w:w="795" w:type="dxa"/>
            <w:tcBorders>
              <w:top w:val="nil"/>
              <w:left w:val="nil"/>
              <w:bottom w:val="single" w:sz="4" w:space="0" w:color="D9D9D9"/>
              <w:right w:val="nil"/>
            </w:tcBorders>
            <w:shd w:val="clear" w:color="auto" w:fill="auto"/>
            <w:noWrap/>
            <w:vAlign w:val="center"/>
          </w:tcPr>
          <w:p w14:paraId="34EEE47E" w14:textId="4B554E4F" w:rsidR="00DB68B2" w:rsidRPr="004A79A6" w:rsidRDefault="002B7580" w:rsidP="00DB68B2">
            <w:pPr>
              <w:jc w:val="right"/>
              <w:rPr>
                <w:rFonts w:cs="Arial"/>
                <w:sz w:val="16"/>
                <w:szCs w:val="16"/>
              </w:rPr>
            </w:pPr>
            <w:r>
              <w:rPr>
                <w:rFonts w:cs="Arial"/>
                <w:sz w:val="16"/>
                <w:szCs w:val="16"/>
              </w:rPr>
              <w:t>797</w:t>
            </w:r>
          </w:p>
        </w:tc>
        <w:tc>
          <w:tcPr>
            <w:tcW w:w="795" w:type="dxa"/>
            <w:tcBorders>
              <w:top w:val="nil"/>
              <w:left w:val="nil"/>
              <w:bottom w:val="single" w:sz="4" w:space="0" w:color="D9D9D9"/>
              <w:right w:val="nil"/>
            </w:tcBorders>
            <w:shd w:val="clear" w:color="auto" w:fill="auto"/>
            <w:noWrap/>
            <w:vAlign w:val="center"/>
          </w:tcPr>
          <w:p w14:paraId="4BC07E9A" w14:textId="7081A586" w:rsidR="00DB68B2" w:rsidRPr="004A79A6" w:rsidRDefault="002B7580" w:rsidP="00DB68B2">
            <w:pPr>
              <w:jc w:val="right"/>
              <w:rPr>
                <w:rFonts w:cs="Arial"/>
                <w:sz w:val="16"/>
                <w:szCs w:val="16"/>
              </w:rPr>
            </w:pPr>
            <w:r>
              <w:rPr>
                <w:rFonts w:cs="Arial"/>
                <w:sz w:val="16"/>
                <w:szCs w:val="16"/>
              </w:rPr>
              <w:t>0,9</w:t>
            </w:r>
          </w:p>
        </w:tc>
        <w:tc>
          <w:tcPr>
            <w:tcW w:w="182" w:type="dxa"/>
            <w:tcBorders>
              <w:top w:val="nil"/>
              <w:left w:val="nil"/>
              <w:bottom w:val="single" w:sz="4" w:space="0" w:color="D9D9D9"/>
              <w:right w:val="nil"/>
            </w:tcBorders>
            <w:shd w:val="clear" w:color="auto" w:fill="auto"/>
            <w:noWrap/>
            <w:vAlign w:val="center"/>
            <w:hideMark/>
          </w:tcPr>
          <w:p w14:paraId="32C5C911" w14:textId="38B80A3B"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68BF52F6" w14:textId="076D395A"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0EDE93A4" w14:textId="043DE2DA" w:rsidR="00DB68B2" w:rsidRPr="004A79A6" w:rsidRDefault="002B7580" w:rsidP="00DB68B2">
            <w:pPr>
              <w:rPr>
                <w:rFonts w:cs="Arial"/>
                <w:sz w:val="16"/>
                <w:szCs w:val="16"/>
              </w:rPr>
            </w:pPr>
            <w:r>
              <w:rPr>
                <w:rFonts w:cs="Arial"/>
                <w:sz w:val="16"/>
                <w:szCs w:val="16"/>
              </w:rPr>
              <w:t>Tajná (NR)</w:t>
            </w:r>
          </w:p>
        </w:tc>
        <w:tc>
          <w:tcPr>
            <w:tcW w:w="815" w:type="dxa"/>
            <w:tcBorders>
              <w:top w:val="nil"/>
              <w:left w:val="nil"/>
              <w:bottom w:val="single" w:sz="4" w:space="0" w:color="D9D9D9"/>
              <w:right w:val="nil"/>
            </w:tcBorders>
            <w:shd w:val="clear" w:color="auto" w:fill="auto"/>
            <w:noWrap/>
            <w:vAlign w:val="center"/>
          </w:tcPr>
          <w:p w14:paraId="0BD2C01D" w14:textId="55347EAA" w:rsidR="00DB68B2" w:rsidRPr="004A79A6" w:rsidRDefault="002B7580" w:rsidP="00DB68B2">
            <w:pPr>
              <w:jc w:val="right"/>
              <w:rPr>
                <w:rFonts w:cs="Arial"/>
                <w:sz w:val="16"/>
                <w:szCs w:val="16"/>
              </w:rPr>
            </w:pPr>
            <w:r>
              <w:rPr>
                <w:rFonts w:cs="Arial"/>
                <w:b/>
                <w:bCs/>
                <w:color w:val="13B5EA"/>
                <w:sz w:val="16"/>
                <w:szCs w:val="16"/>
              </w:rPr>
              <w:t>78,9</w:t>
            </w:r>
          </w:p>
        </w:tc>
        <w:tc>
          <w:tcPr>
            <w:tcW w:w="816" w:type="dxa"/>
            <w:tcBorders>
              <w:top w:val="nil"/>
              <w:left w:val="nil"/>
              <w:bottom w:val="single" w:sz="4" w:space="0" w:color="D9D9D9"/>
              <w:right w:val="nil"/>
            </w:tcBorders>
            <w:shd w:val="clear" w:color="auto" w:fill="auto"/>
            <w:noWrap/>
            <w:vAlign w:val="center"/>
          </w:tcPr>
          <w:p w14:paraId="2F20E197" w14:textId="59EC25CF" w:rsidR="00DB68B2" w:rsidRPr="004A79A6" w:rsidRDefault="002B7580" w:rsidP="00DB68B2">
            <w:pPr>
              <w:jc w:val="right"/>
              <w:rPr>
                <w:rFonts w:cs="Arial"/>
                <w:sz w:val="16"/>
                <w:szCs w:val="16"/>
              </w:rPr>
            </w:pPr>
            <w:r>
              <w:rPr>
                <w:rFonts w:cs="Arial"/>
                <w:sz w:val="16"/>
                <w:szCs w:val="16"/>
              </w:rPr>
              <w:t>1 764</w:t>
            </w:r>
          </w:p>
        </w:tc>
        <w:tc>
          <w:tcPr>
            <w:tcW w:w="816" w:type="dxa"/>
            <w:tcBorders>
              <w:top w:val="nil"/>
              <w:left w:val="nil"/>
              <w:bottom w:val="single" w:sz="4" w:space="0" w:color="D9D9D9"/>
              <w:right w:val="nil"/>
            </w:tcBorders>
            <w:shd w:val="clear" w:color="auto" w:fill="auto"/>
            <w:noWrap/>
            <w:vAlign w:val="center"/>
          </w:tcPr>
          <w:p w14:paraId="1B7B3B85" w14:textId="0C17072F" w:rsidR="00DB68B2" w:rsidRPr="004A79A6" w:rsidRDefault="002B7580" w:rsidP="00DB68B2">
            <w:pPr>
              <w:jc w:val="right"/>
              <w:rPr>
                <w:rFonts w:cs="Arial"/>
                <w:sz w:val="16"/>
                <w:szCs w:val="16"/>
              </w:rPr>
            </w:pPr>
            <w:r>
              <w:rPr>
                <w:rFonts w:cs="Arial"/>
                <w:sz w:val="16"/>
                <w:szCs w:val="16"/>
              </w:rPr>
              <w:t>0,9</w:t>
            </w:r>
          </w:p>
        </w:tc>
      </w:tr>
      <w:tr w:rsidR="00DB68B2" w:rsidRPr="00B81300" w14:paraId="0DDA744D"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6186CA0E" w14:textId="186AE4C2" w:rsidR="00DB68B2" w:rsidRPr="004A79A6" w:rsidRDefault="002B7580" w:rsidP="00DB68B2">
            <w:pPr>
              <w:rPr>
                <w:rFonts w:cs="Arial"/>
                <w:sz w:val="16"/>
                <w:szCs w:val="16"/>
              </w:rPr>
            </w:pPr>
            <w:r>
              <w:rPr>
                <w:rFonts w:cs="Arial"/>
                <w:sz w:val="16"/>
                <w:szCs w:val="16"/>
              </w:rPr>
              <w:t>Jarabá (BR)</w:t>
            </w:r>
          </w:p>
        </w:tc>
        <w:tc>
          <w:tcPr>
            <w:tcW w:w="795" w:type="dxa"/>
            <w:tcBorders>
              <w:top w:val="nil"/>
              <w:left w:val="nil"/>
              <w:bottom w:val="single" w:sz="4" w:space="0" w:color="D9D9D9"/>
              <w:right w:val="nil"/>
            </w:tcBorders>
            <w:shd w:val="clear" w:color="auto" w:fill="auto"/>
            <w:noWrap/>
            <w:vAlign w:val="center"/>
          </w:tcPr>
          <w:p w14:paraId="0B025C6C" w14:textId="57D69D66" w:rsidR="00DB68B2" w:rsidRPr="004A79A6" w:rsidRDefault="002B7580" w:rsidP="00DB68B2">
            <w:pPr>
              <w:jc w:val="right"/>
              <w:rPr>
                <w:rFonts w:cs="Arial"/>
                <w:sz w:val="16"/>
                <w:szCs w:val="16"/>
              </w:rPr>
            </w:pPr>
            <w:r>
              <w:rPr>
                <w:rFonts w:cs="Arial"/>
                <w:b/>
                <w:bCs/>
                <w:color w:val="13B5EA"/>
                <w:sz w:val="16"/>
                <w:szCs w:val="16"/>
              </w:rPr>
              <w:t>236,1</w:t>
            </w:r>
          </w:p>
        </w:tc>
        <w:tc>
          <w:tcPr>
            <w:tcW w:w="795" w:type="dxa"/>
            <w:tcBorders>
              <w:top w:val="nil"/>
              <w:left w:val="nil"/>
              <w:bottom w:val="single" w:sz="4" w:space="0" w:color="D9D9D9"/>
              <w:right w:val="nil"/>
            </w:tcBorders>
            <w:shd w:val="clear" w:color="auto" w:fill="auto"/>
            <w:noWrap/>
            <w:vAlign w:val="center"/>
          </w:tcPr>
          <w:p w14:paraId="74A04CD6" w14:textId="5F61315D" w:rsidR="00DB68B2" w:rsidRPr="004A79A6" w:rsidRDefault="002B7580" w:rsidP="00DB68B2">
            <w:pPr>
              <w:jc w:val="right"/>
              <w:rPr>
                <w:rFonts w:cs="Arial"/>
                <w:sz w:val="16"/>
                <w:szCs w:val="16"/>
              </w:rPr>
            </w:pPr>
            <w:r>
              <w:rPr>
                <w:rFonts w:cs="Arial"/>
                <w:sz w:val="16"/>
                <w:szCs w:val="16"/>
              </w:rPr>
              <w:t>5 471</w:t>
            </w:r>
          </w:p>
        </w:tc>
        <w:tc>
          <w:tcPr>
            <w:tcW w:w="795" w:type="dxa"/>
            <w:tcBorders>
              <w:top w:val="nil"/>
              <w:left w:val="nil"/>
              <w:bottom w:val="single" w:sz="4" w:space="0" w:color="D9D9D9"/>
              <w:right w:val="nil"/>
            </w:tcBorders>
            <w:shd w:val="clear" w:color="auto" w:fill="auto"/>
            <w:noWrap/>
            <w:vAlign w:val="center"/>
          </w:tcPr>
          <w:p w14:paraId="44B09106" w14:textId="2EAF986D" w:rsidR="00DB68B2" w:rsidRPr="004A79A6" w:rsidRDefault="002B7580" w:rsidP="00DB68B2">
            <w:pPr>
              <w:jc w:val="right"/>
              <w:rPr>
                <w:rFonts w:cs="Arial"/>
                <w:sz w:val="16"/>
                <w:szCs w:val="16"/>
              </w:rPr>
            </w:pPr>
            <w:r>
              <w:rPr>
                <w:rFonts w:cs="Arial"/>
                <w:sz w:val="16"/>
                <w:szCs w:val="16"/>
              </w:rPr>
              <w:t>8,8</w:t>
            </w:r>
          </w:p>
        </w:tc>
        <w:tc>
          <w:tcPr>
            <w:tcW w:w="182" w:type="dxa"/>
            <w:tcBorders>
              <w:top w:val="nil"/>
              <w:left w:val="nil"/>
              <w:bottom w:val="single" w:sz="4" w:space="0" w:color="D9D9D9"/>
              <w:right w:val="nil"/>
            </w:tcBorders>
            <w:shd w:val="clear" w:color="auto" w:fill="auto"/>
            <w:noWrap/>
            <w:vAlign w:val="center"/>
            <w:hideMark/>
          </w:tcPr>
          <w:p w14:paraId="44B86095" w14:textId="217746B2"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705DFFF4" w14:textId="77DFDDDF"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61312CF3" w14:textId="265CD82E" w:rsidR="00DB68B2" w:rsidRPr="004A79A6" w:rsidRDefault="002B7580" w:rsidP="00DB68B2">
            <w:pPr>
              <w:rPr>
                <w:rFonts w:cs="Arial"/>
                <w:color w:val="13B5EA"/>
                <w:sz w:val="16"/>
                <w:szCs w:val="16"/>
              </w:rPr>
            </w:pPr>
            <w:r>
              <w:rPr>
                <w:rFonts w:cs="Arial"/>
                <w:sz w:val="16"/>
                <w:szCs w:val="16"/>
              </w:rPr>
              <w:t>Tekovský Hrádok (LV)</w:t>
            </w:r>
          </w:p>
        </w:tc>
        <w:tc>
          <w:tcPr>
            <w:tcW w:w="815" w:type="dxa"/>
            <w:tcBorders>
              <w:top w:val="nil"/>
              <w:left w:val="nil"/>
              <w:bottom w:val="single" w:sz="4" w:space="0" w:color="D9D9D9"/>
              <w:right w:val="nil"/>
            </w:tcBorders>
            <w:shd w:val="clear" w:color="auto" w:fill="auto"/>
            <w:noWrap/>
            <w:vAlign w:val="center"/>
          </w:tcPr>
          <w:p w14:paraId="3696431D" w14:textId="52DE2CE2" w:rsidR="00DB68B2" w:rsidRPr="004A79A6" w:rsidRDefault="002B7580" w:rsidP="00DB68B2">
            <w:pPr>
              <w:jc w:val="right"/>
              <w:rPr>
                <w:rFonts w:cs="Arial"/>
                <w:b/>
                <w:color w:val="13B5EA"/>
                <w:sz w:val="16"/>
                <w:szCs w:val="16"/>
              </w:rPr>
            </w:pPr>
            <w:r>
              <w:rPr>
                <w:rFonts w:cs="Arial"/>
                <w:b/>
                <w:bCs/>
                <w:color w:val="13B5EA"/>
                <w:sz w:val="16"/>
                <w:szCs w:val="16"/>
              </w:rPr>
              <w:t>66,9</w:t>
            </w:r>
          </w:p>
        </w:tc>
        <w:tc>
          <w:tcPr>
            <w:tcW w:w="816" w:type="dxa"/>
            <w:tcBorders>
              <w:top w:val="nil"/>
              <w:left w:val="nil"/>
              <w:bottom w:val="single" w:sz="4" w:space="0" w:color="D9D9D9"/>
              <w:right w:val="nil"/>
            </w:tcBorders>
            <w:shd w:val="clear" w:color="auto" w:fill="auto"/>
            <w:noWrap/>
            <w:vAlign w:val="center"/>
          </w:tcPr>
          <w:p w14:paraId="3D998B66" w14:textId="306CC194" w:rsidR="00DB68B2" w:rsidRPr="004A79A6" w:rsidRDefault="002B7580" w:rsidP="00DB68B2">
            <w:pPr>
              <w:jc w:val="right"/>
              <w:rPr>
                <w:rFonts w:cs="Arial"/>
                <w:color w:val="13B5EA"/>
                <w:sz w:val="16"/>
                <w:szCs w:val="16"/>
              </w:rPr>
            </w:pPr>
            <w:r>
              <w:rPr>
                <w:rFonts w:cs="Arial"/>
                <w:sz w:val="16"/>
                <w:szCs w:val="16"/>
              </w:rPr>
              <w:t>514</w:t>
            </w:r>
          </w:p>
        </w:tc>
        <w:tc>
          <w:tcPr>
            <w:tcW w:w="816" w:type="dxa"/>
            <w:tcBorders>
              <w:top w:val="nil"/>
              <w:left w:val="nil"/>
              <w:bottom w:val="single" w:sz="4" w:space="0" w:color="D9D9D9"/>
              <w:right w:val="nil"/>
            </w:tcBorders>
            <w:shd w:val="clear" w:color="auto" w:fill="auto"/>
            <w:noWrap/>
            <w:vAlign w:val="center"/>
          </w:tcPr>
          <w:p w14:paraId="4685960E" w14:textId="574B1EAF" w:rsidR="00DB68B2" w:rsidRPr="004A79A6" w:rsidRDefault="002B7580" w:rsidP="00DB68B2">
            <w:pPr>
              <w:jc w:val="right"/>
              <w:rPr>
                <w:rFonts w:cs="Arial"/>
                <w:color w:val="13B5EA"/>
                <w:sz w:val="16"/>
                <w:szCs w:val="16"/>
              </w:rPr>
            </w:pPr>
            <w:r>
              <w:rPr>
                <w:rFonts w:cs="Arial"/>
                <w:sz w:val="16"/>
                <w:szCs w:val="16"/>
              </w:rPr>
              <w:t>0,3</w:t>
            </w:r>
          </w:p>
        </w:tc>
      </w:tr>
      <w:tr w:rsidR="00DB68B2" w:rsidRPr="00B81300" w14:paraId="588EF02D"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10AC5FF4" w14:textId="28C50C36" w:rsidR="00DB68B2" w:rsidRPr="004A79A6" w:rsidRDefault="002B7580" w:rsidP="00DB68B2">
            <w:pPr>
              <w:rPr>
                <w:rFonts w:cs="Arial"/>
                <w:sz w:val="16"/>
                <w:szCs w:val="16"/>
              </w:rPr>
            </w:pPr>
            <w:r>
              <w:rPr>
                <w:rFonts w:cs="Arial"/>
                <w:sz w:val="16"/>
                <w:szCs w:val="16"/>
              </w:rPr>
              <w:t>Jur nad Hronom (LV)</w:t>
            </w:r>
          </w:p>
        </w:tc>
        <w:tc>
          <w:tcPr>
            <w:tcW w:w="795" w:type="dxa"/>
            <w:tcBorders>
              <w:top w:val="nil"/>
              <w:left w:val="nil"/>
              <w:bottom w:val="single" w:sz="4" w:space="0" w:color="D9D9D9"/>
              <w:right w:val="nil"/>
            </w:tcBorders>
            <w:shd w:val="clear" w:color="auto" w:fill="auto"/>
            <w:noWrap/>
            <w:vAlign w:val="center"/>
          </w:tcPr>
          <w:p w14:paraId="3FE9CD09" w14:textId="2A724AC3" w:rsidR="00DB68B2" w:rsidRPr="004A79A6" w:rsidRDefault="002B7580" w:rsidP="00DB68B2">
            <w:pPr>
              <w:jc w:val="right"/>
              <w:rPr>
                <w:rFonts w:cs="Arial"/>
                <w:b/>
                <w:sz w:val="16"/>
                <w:szCs w:val="16"/>
              </w:rPr>
            </w:pPr>
            <w:r>
              <w:rPr>
                <w:rFonts w:cs="Arial"/>
                <w:b/>
                <w:bCs/>
                <w:color w:val="13B5EA"/>
                <w:sz w:val="16"/>
                <w:szCs w:val="16"/>
              </w:rPr>
              <w:t>80,1</w:t>
            </w:r>
          </w:p>
        </w:tc>
        <w:tc>
          <w:tcPr>
            <w:tcW w:w="795" w:type="dxa"/>
            <w:tcBorders>
              <w:top w:val="nil"/>
              <w:left w:val="nil"/>
              <w:bottom w:val="single" w:sz="4" w:space="0" w:color="D9D9D9"/>
              <w:right w:val="nil"/>
            </w:tcBorders>
            <w:shd w:val="clear" w:color="auto" w:fill="auto"/>
            <w:noWrap/>
            <w:vAlign w:val="center"/>
          </w:tcPr>
          <w:p w14:paraId="076BB15B" w14:textId="7DAAD7D4" w:rsidR="00DB68B2" w:rsidRPr="004A79A6" w:rsidRDefault="002B7580" w:rsidP="00DB68B2">
            <w:pPr>
              <w:jc w:val="right"/>
              <w:rPr>
                <w:rFonts w:cs="Arial"/>
                <w:sz w:val="16"/>
                <w:szCs w:val="16"/>
              </w:rPr>
            </w:pPr>
            <w:r>
              <w:rPr>
                <w:rFonts w:cs="Arial"/>
                <w:sz w:val="16"/>
                <w:szCs w:val="16"/>
              </w:rPr>
              <w:t>7 591</w:t>
            </w:r>
          </w:p>
        </w:tc>
        <w:tc>
          <w:tcPr>
            <w:tcW w:w="795" w:type="dxa"/>
            <w:tcBorders>
              <w:top w:val="nil"/>
              <w:left w:val="nil"/>
              <w:bottom w:val="single" w:sz="4" w:space="0" w:color="D9D9D9"/>
              <w:right w:val="nil"/>
            </w:tcBorders>
            <w:shd w:val="clear" w:color="auto" w:fill="auto"/>
            <w:noWrap/>
            <w:vAlign w:val="center"/>
          </w:tcPr>
          <w:p w14:paraId="497FB6CA" w14:textId="539FDFA9" w:rsidR="00DB68B2" w:rsidRPr="004A79A6" w:rsidRDefault="002B7580" w:rsidP="00DB68B2">
            <w:pPr>
              <w:jc w:val="right"/>
              <w:rPr>
                <w:rFonts w:cs="Arial"/>
                <w:sz w:val="16"/>
                <w:szCs w:val="16"/>
              </w:rPr>
            </w:pPr>
            <w:r>
              <w:rPr>
                <w:rFonts w:cs="Arial"/>
                <w:sz w:val="16"/>
                <w:szCs w:val="16"/>
              </w:rPr>
              <w:t>1,0</w:t>
            </w:r>
          </w:p>
        </w:tc>
        <w:tc>
          <w:tcPr>
            <w:tcW w:w="182" w:type="dxa"/>
            <w:tcBorders>
              <w:top w:val="nil"/>
              <w:left w:val="nil"/>
              <w:bottom w:val="single" w:sz="4" w:space="0" w:color="D9D9D9"/>
              <w:right w:val="nil"/>
            </w:tcBorders>
            <w:shd w:val="clear" w:color="auto" w:fill="auto"/>
            <w:noWrap/>
            <w:vAlign w:val="center"/>
            <w:hideMark/>
          </w:tcPr>
          <w:p w14:paraId="43944F34" w14:textId="375434CE"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2BAF6658" w14:textId="347A9795"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02F5F964" w14:textId="5E15F350" w:rsidR="00DB68B2" w:rsidRPr="004A79A6" w:rsidRDefault="002B7580" w:rsidP="00DB68B2">
            <w:pPr>
              <w:rPr>
                <w:rFonts w:cs="Arial"/>
                <w:color w:val="13B5EA"/>
                <w:sz w:val="16"/>
                <w:szCs w:val="16"/>
              </w:rPr>
            </w:pPr>
            <w:r>
              <w:rPr>
                <w:rFonts w:cs="Arial"/>
                <w:sz w:val="16"/>
                <w:szCs w:val="16"/>
              </w:rPr>
              <w:t>Tupá (LV)</w:t>
            </w:r>
          </w:p>
        </w:tc>
        <w:tc>
          <w:tcPr>
            <w:tcW w:w="815" w:type="dxa"/>
            <w:tcBorders>
              <w:top w:val="nil"/>
              <w:left w:val="nil"/>
              <w:bottom w:val="single" w:sz="4" w:space="0" w:color="D9D9D9"/>
              <w:right w:val="nil"/>
            </w:tcBorders>
            <w:shd w:val="clear" w:color="auto" w:fill="auto"/>
            <w:noWrap/>
            <w:vAlign w:val="center"/>
          </w:tcPr>
          <w:p w14:paraId="316D2661" w14:textId="0B242925" w:rsidR="00DB68B2" w:rsidRPr="004A79A6" w:rsidRDefault="002B7580" w:rsidP="00DB68B2">
            <w:pPr>
              <w:jc w:val="right"/>
              <w:rPr>
                <w:rFonts w:cs="Arial"/>
                <w:b/>
                <w:color w:val="13B5EA"/>
                <w:sz w:val="16"/>
                <w:szCs w:val="16"/>
              </w:rPr>
            </w:pPr>
            <w:r>
              <w:rPr>
                <w:rFonts w:cs="Arial"/>
                <w:b/>
                <w:bCs/>
                <w:color w:val="13B5EA"/>
                <w:sz w:val="16"/>
                <w:szCs w:val="16"/>
              </w:rPr>
              <w:t>64,0</w:t>
            </w:r>
          </w:p>
        </w:tc>
        <w:tc>
          <w:tcPr>
            <w:tcW w:w="816" w:type="dxa"/>
            <w:tcBorders>
              <w:top w:val="nil"/>
              <w:left w:val="nil"/>
              <w:bottom w:val="single" w:sz="4" w:space="0" w:color="D9D9D9"/>
              <w:right w:val="nil"/>
            </w:tcBorders>
            <w:shd w:val="clear" w:color="auto" w:fill="auto"/>
            <w:noWrap/>
            <w:vAlign w:val="center"/>
          </w:tcPr>
          <w:p w14:paraId="436621CB" w14:textId="054B2532" w:rsidR="00DB68B2" w:rsidRPr="004A79A6" w:rsidRDefault="002B7580" w:rsidP="00DB68B2">
            <w:pPr>
              <w:jc w:val="right"/>
              <w:rPr>
                <w:rFonts w:cs="Arial"/>
                <w:color w:val="13B5EA"/>
                <w:sz w:val="16"/>
                <w:szCs w:val="16"/>
              </w:rPr>
            </w:pPr>
            <w:r>
              <w:rPr>
                <w:rFonts w:cs="Arial"/>
                <w:sz w:val="16"/>
                <w:szCs w:val="16"/>
              </w:rPr>
              <w:t>592</w:t>
            </w:r>
          </w:p>
        </w:tc>
        <w:tc>
          <w:tcPr>
            <w:tcW w:w="816" w:type="dxa"/>
            <w:tcBorders>
              <w:top w:val="nil"/>
              <w:left w:val="nil"/>
              <w:bottom w:val="single" w:sz="4" w:space="0" w:color="D9D9D9"/>
              <w:right w:val="nil"/>
            </w:tcBorders>
            <w:shd w:val="clear" w:color="auto" w:fill="auto"/>
            <w:noWrap/>
            <w:vAlign w:val="center"/>
          </w:tcPr>
          <w:p w14:paraId="402B4F53" w14:textId="2EDE9DD9" w:rsidR="00DB68B2" w:rsidRPr="004A79A6" w:rsidRDefault="002B7580" w:rsidP="00DB68B2">
            <w:pPr>
              <w:jc w:val="right"/>
              <w:rPr>
                <w:rFonts w:cs="Arial"/>
                <w:color w:val="13B5EA"/>
                <w:sz w:val="16"/>
                <w:szCs w:val="16"/>
              </w:rPr>
            </w:pPr>
            <w:r>
              <w:rPr>
                <w:rFonts w:cs="Arial"/>
                <w:sz w:val="16"/>
                <w:szCs w:val="16"/>
              </w:rPr>
              <w:t>0,2</w:t>
            </w:r>
          </w:p>
        </w:tc>
      </w:tr>
      <w:tr w:rsidR="00DB68B2" w:rsidRPr="00B81300" w14:paraId="4CFCC863"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7EA0E40E" w14:textId="2D5A4787" w:rsidR="00DB68B2" w:rsidRPr="004A79A6" w:rsidRDefault="002B7580" w:rsidP="00DB68B2">
            <w:pPr>
              <w:rPr>
                <w:rFonts w:cs="Arial"/>
                <w:sz w:val="16"/>
                <w:szCs w:val="16"/>
              </w:rPr>
            </w:pPr>
            <w:r>
              <w:rPr>
                <w:rFonts w:cs="Arial"/>
                <w:sz w:val="16"/>
                <w:szCs w:val="16"/>
              </w:rPr>
              <w:t>Kolibabovce (SO)</w:t>
            </w:r>
          </w:p>
        </w:tc>
        <w:tc>
          <w:tcPr>
            <w:tcW w:w="795" w:type="dxa"/>
            <w:tcBorders>
              <w:top w:val="nil"/>
              <w:left w:val="nil"/>
              <w:bottom w:val="single" w:sz="4" w:space="0" w:color="D9D9D9"/>
              <w:right w:val="nil"/>
            </w:tcBorders>
            <w:shd w:val="clear" w:color="auto" w:fill="auto"/>
            <w:noWrap/>
            <w:vAlign w:val="center"/>
          </w:tcPr>
          <w:p w14:paraId="7D59FAFF" w14:textId="7B76DAA2" w:rsidR="00DB68B2" w:rsidRPr="004A79A6" w:rsidRDefault="002B7580" w:rsidP="00DB68B2">
            <w:pPr>
              <w:jc w:val="right"/>
              <w:rPr>
                <w:rFonts w:cs="Arial"/>
                <w:sz w:val="16"/>
                <w:szCs w:val="16"/>
              </w:rPr>
            </w:pPr>
            <w:r>
              <w:rPr>
                <w:rFonts w:cs="Arial"/>
                <w:b/>
                <w:bCs/>
                <w:color w:val="13B5EA"/>
                <w:sz w:val="16"/>
                <w:szCs w:val="16"/>
              </w:rPr>
              <w:t>494,7</w:t>
            </w:r>
          </w:p>
        </w:tc>
        <w:tc>
          <w:tcPr>
            <w:tcW w:w="795" w:type="dxa"/>
            <w:tcBorders>
              <w:top w:val="nil"/>
              <w:left w:val="nil"/>
              <w:bottom w:val="single" w:sz="4" w:space="0" w:color="D9D9D9"/>
              <w:right w:val="nil"/>
            </w:tcBorders>
            <w:shd w:val="clear" w:color="auto" w:fill="auto"/>
            <w:noWrap/>
            <w:vAlign w:val="center"/>
          </w:tcPr>
          <w:p w14:paraId="7FFF0A09" w14:textId="19AE7BD4" w:rsidR="00DB68B2" w:rsidRPr="004A79A6" w:rsidRDefault="002B7580" w:rsidP="00DB68B2">
            <w:pPr>
              <w:jc w:val="right"/>
              <w:rPr>
                <w:rFonts w:cs="Arial"/>
                <w:sz w:val="16"/>
                <w:szCs w:val="16"/>
              </w:rPr>
            </w:pPr>
            <w:r>
              <w:rPr>
                <w:rFonts w:cs="Arial"/>
                <w:sz w:val="16"/>
                <w:szCs w:val="16"/>
              </w:rPr>
              <w:t>13 454</w:t>
            </w:r>
          </w:p>
        </w:tc>
        <w:tc>
          <w:tcPr>
            <w:tcW w:w="795" w:type="dxa"/>
            <w:tcBorders>
              <w:top w:val="nil"/>
              <w:left w:val="nil"/>
              <w:bottom w:val="single" w:sz="4" w:space="0" w:color="D9D9D9"/>
              <w:right w:val="nil"/>
            </w:tcBorders>
            <w:shd w:val="clear" w:color="auto" w:fill="auto"/>
            <w:noWrap/>
            <w:vAlign w:val="center"/>
          </w:tcPr>
          <w:p w14:paraId="7630EFC8" w14:textId="55D13AF9" w:rsidR="00DB68B2" w:rsidRPr="004A79A6" w:rsidRDefault="002B7580" w:rsidP="00DB68B2">
            <w:pPr>
              <w:jc w:val="right"/>
              <w:rPr>
                <w:rFonts w:cs="Arial"/>
                <w:sz w:val="16"/>
                <w:szCs w:val="16"/>
              </w:rPr>
            </w:pPr>
            <w:r>
              <w:rPr>
                <w:rFonts w:cs="Arial"/>
                <w:sz w:val="16"/>
                <w:szCs w:val="16"/>
              </w:rPr>
              <w:t>21,7</w:t>
            </w:r>
          </w:p>
        </w:tc>
        <w:tc>
          <w:tcPr>
            <w:tcW w:w="182" w:type="dxa"/>
            <w:tcBorders>
              <w:top w:val="nil"/>
              <w:left w:val="nil"/>
              <w:bottom w:val="single" w:sz="4" w:space="0" w:color="D9D9D9"/>
              <w:right w:val="nil"/>
            </w:tcBorders>
            <w:shd w:val="clear" w:color="auto" w:fill="auto"/>
            <w:noWrap/>
            <w:vAlign w:val="center"/>
            <w:hideMark/>
          </w:tcPr>
          <w:p w14:paraId="4E6BB6E1" w14:textId="56D03CD2"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D9D9D9" w:themeFill="background1" w:themeFillShade="D9"/>
            <w:noWrap/>
            <w:vAlign w:val="center"/>
            <w:hideMark/>
          </w:tcPr>
          <w:p w14:paraId="1553ACE2" w14:textId="0DBA2061"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D9D9D9" w:themeFill="background1" w:themeFillShade="D9"/>
            <w:noWrap/>
            <w:vAlign w:val="center"/>
          </w:tcPr>
          <w:p w14:paraId="461C1718" w14:textId="3878E5C8" w:rsidR="00DB68B2" w:rsidRPr="004A79A6" w:rsidRDefault="002B7580" w:rsidP="00DB68B2">
            <w:pPr>
              <w:rPr>
                <w:rFonts w:cs="Arial"/>
                <w:sz w:val="16"/>
                <w:szCs w:val="16"/>
              </w:rPr>
            </w:pPr>
            <w:r>
              <w:rPr>
                <w:rFonts w:cs="Arial"/>
                <w:sz w:val="16"/>
                <w:szCs w:val="16"/>
              </w:rPr>
              <w:t>Údol (SL) **</w:t>
            </w:r>
          </w:p>
        </w:tc>
        <w:tc>
          <w:tcPr>
            <w:tcW w:w="815" w:type="dxa"/>
            <w:tcBorders>
              <w:top w:val="nil"/>
              <w:left w:val="nil"/>
              <w:bottom w:val="single" w:sz="4" w:space="0" w:color="D9D9D9"/>
              <w:right w:val="nil"/>
            </w:tcBorders>
            <w:shd w:val="clear" w:color="auto" w:fill="D9D9D9" w:themeFill="background1" w:themeFillShade="D9"/>
            <w:noWrap/>
            <w:vAlign w:val="center"/>
          </w:tcPr>
          <w:p w14:paraId="3EAEC803" w14:textId="1113FA82" w:rsidR="00DB68B2" w:rsidRPr="004A79A6" w:rsidRDefault="002B7580" w:rsidP="00DB68B2">
            <w:pPr>
              <w:jc w:val="right"/>
              <w:rPr>
                <w:rFonts w:cs="Arial"/>
                <w:sz w:val="16"/>
                <w:szCs w:val="16"/>
              </w:rPr>
            </w:pPr>
            <w:r>
              <w:rPr>
                <w:rFonts w:cs="Arial"/>
                <w:b/>
                <w:bCs/>
                <w:color w:val="13B5EA"/>
                <w:sz w:val="16"/>
                <w:szCs w:val="16"/>
              </w:rPr>
              <w:t>74,9</w:t>
            </w:r>
          </w:p>
        </w:tc>
        <w:tc>
          <w:tcPr>
            <w:tcW w:w="816" w:type="dxa"/>
            <w:tcBorders>
              <w:top w:val="nil"/>
              <w:left w:val="nil"/>
              <w:bottom w:val="single" w:sz="4" w:space="0" w:color="D9D9D9"/>
              <w:right w:val="nil"/>
            </w:tcBorders>
            <w:shd w:val="clear" w:color="auto" w:fill="D9D9D9" w:themeFill="background1" w:themeFillShade="D9"/>
            <w:noWrap/>
            <w:vAlign w:val="center"/>
          </w:tcPr>
          <w:p w14:paraId="523C0231" w14:textId="467E0054" w:rsidR="00DB68B2" w:rsidRPr="004A79A6" w:rsidRDefault="002B7580" w:rsidP="00DB68B2">
            <w:pPr>
              <w:jc w:val="right"/>
              <w:rPr>
                <w:rFonts w:cs="Arial"/>
                <w:sz w:val="16"/>
                <w:szCs w:val="16"/>
              </w:rPr>
            </w:pPr>
            <w:r>
              <w:rPr>
                <w:rFonts w:cs="Arial"/>
                <w:sz w:val="16"/>
                <w:szCs w:val="16"/>
              </w:rPr>
              <w:t>1 364</w:t>
            </w:r>
          </w:p>
        </w:tc>
        <w:tc>
          <w:tcPr>
            <w:tcW w:w="816" w:type="dxa"/>
            <w:tcBorders>
              <w:top w:val="nil"/>
              <w:left w:val="nil"/>
              <w:bottom w:val="single" w:sz="4" w:space="0" w:color="D9D9D9"/>
              <w:right w:val="nil"/>
            </w:tcBorders>
            <w:shd w:val="clear" w:color="auto" w:fill="D9D9D9" w:themeFill="background1" w:themeFillShade="D9"/>
            <w:noWrap/>
            <w:vAlign w:val="center"/>
          </w:tcPr>
          <w:p w14:paraId="632CE93E" w14:textId="6ADF6BB5" w:rsidR="00DB68B2" w:rsidRPr="004A79A6" w:rsidRDefault="002B7580" w:rsidP="00DB68B2">
            <w:pPr>
              <w:jc w:val="right"/>
              <w:rPr>
                <w:rFonts w:cs="Arial"/>
                <w:sz w:val="16"/>
                <w:szCs w:val="16"/>
              </w:rPr>
            </w:pPr>
            <w:r>
              <w:rPr>
                <w:rFonts w:cs="Arial"/>
                <w:sz w:val="16"/>
                <w:szCs w:val="16"/>
              </w:rPr>
              <w:t>0,7</w:t>
            </w:r>
          </w:p>
        </w:tc>
      </w:tr>
      <w:tr w:rsidR="00DB68B2" w:rsidRPr="00B81300" w14:paraId="2E5966F6" w14:textId="77777777" w:rsidTr="00DB68B2">
        <w:trPr>
          <w:trHeight w:hRule="exact" w:val="284"/>
        </w:trPr>
        <w:tc>
          <w:tcPr>
            <w:tcW w:w="1936" w:type="dxa"/>
            <w:tcBorders>
              <w:top w:val="nil"/>
              <w:left w:val="nil"/>
              <w:bottom w:val="single" w:sz="4" w:space="0" w:color="D9D9D9"/>
              <w:right w:val="nil"/>
            </w:tcBorders>
            <w:shd w:val="clear" w:color="auto" w:fill="auto"/>
            <w:noWrap/>
            <w:vAlign w:val="center"/>
          </w:tcPr>
          <w:p w14:paraId="18A06824" w14:textId="1833ECC0" w:rsidR="00DB68B2" w:rsidRPr="004A79A6" w:rsidRDefault="002B7580" w:rsidP="00DB68B2">
            <w:pPr>
              <w:rPr>
                <w:rFonts w:cs="Arial"/>
                <w:color w:val="13B5EA"/>
                <w:sz w:val="16"/>
                <w:szCs w:val="16"/>
              </w:rPr>
            </w:pPr>
            <w:r>
              <w:rPr>
                <w:rFonts w:cs="Arial"/>
                <w:sz w:val="16"/>
                <w:szCs w:val="16"/>
              </w:rPr>
              <w:t>Lehnice (DS)</w:t>
            </w:r>
          </w:p>
        </w:tc>
        <w:tc>
          <w:tcPr>
            <w:tcW w:w="795" w:type="dxa"/>
            <w:tcBorders>
              <w:top w:val="nil"/>
              <w:left w:val="nil"/>
              <w:bottom w:val="single" w:sz="4" w:space="0" w:color="D9D9D9"/>
              <w:right w:val="nil"/>
            </w:tcBorders>
            <w:shd w:val="clear" w:color="auto" w:fill="auto"/>
            <w:noWrap/>
            <w:vAlign w:val="center"/>
          </w:tcPr>
          <w:p w14:paraId="5CC7EF50" w14:textId="0ED718CF" w:rsidR="00DB68B2" w:rsidRPr="004A79A6" w:rsidRDefault="002B7580" w:rsidP="00DB68B2">
            <w:pPr>
              <w:jc w:val="right"/>
              <w:rPr>
                <w:rFonts w:cs="Arial"/>
                <w:color w:val="13B5EA"/>
                <w:sz w:val="16"/>
                <w:szCs w:val="16"/>
              </w:rPr>
            </w:pPr>
            <w:r>
              <w:rPr>
                <w:rFonts w:cs="Arial"/>
                <w:b/>
                <w:bCs/>
                <w:color w:val="13B5EA"/>
                <w:sz w:val="16"/>
                <w:szCs w:val="16"/>
              </w:rPr>
              <w:t>117,6</w:t>
            </w:r>
          </w:p>
        </w:tc>
        <w:tc>
          <w:tcPr>
            <w:tcW w:w="795" w:type="dxa"/>
            <w:tcBorders>
              <w:top w:val="nil"/>
              <w:left w:val="nil"/>
              <w:bottom w:val="single" w:sz="4" w:space="0" w:color="D9D9D9"/>
              <w:right w:val="nil"/>
            </w:tcBorders>
            <w:shd w:val="clear" w:color="auto" w:fill="auto"/>
            <w:noWrap/>
            <w:vAlign w:val="center"/>
          </w:tcPr>
          <w:p w14:paraId="7D34BFC7" w14:textId="54CF990D" w:rsidR="00DB68B2" w:rsidRPr="004A79A6" w:rsidRDefault="002B7580" w:rsidP="00DB68B2">
            <w:pPr>
              <w:jc w:val="right"/>
              <w:rPr>
                <w:rFonts w:cs="Arial"/>
                <w:color w:val="13B5EA"/>
                <w:sz w:val="16"/>
                <w:szCs w:val="16"/>
              </w:rPr>
            </w:pPr>
            <w:r>
              <w:rPr>
                <w:rFonts w:cs="Arial"/>
                <w:sz w:val="16"/>
                <w:szCs w:val="16"/>
              </w:rPr>
              <w:t>70 012</w:t>
            </w:r>
          </w:p>
        </w:tc>
        <w:tc>
          <w:tcPr>
            <w:tcW w:w="795" w:type="dxa"/>
            <w:tcBorders>
              <w:top w:val="nil"/>
              <w:left w:val="nil"/>
              <w:bottom w:val="single" w:sz="4" w:space="0" w:color="D9D9D9"/>
              <w:right w:val="nil"/>
            </w:tcBorders>
            <w:shd w:val="clear" w:color="auto" w:fill="auto"/>
            <w:noWrap/>
            <w:vAlign w:val="center"/>
          </w:tcPr>
          <w:p w14:paraId="6BAE2ED3" w14:textId="3B2F678E" w:rsidR="00DB68B2" w:rsidRPr="004A79A6" w:rsidRDefault="002B7580" w:rsidP="00DB68B2">
            <w:pPr>
              <w:jc w:val="right"/>
              <w:rPr>
                <w:rFonts w:cs="Arial"/>
                <w:color w:val="13B5EA"/>
                <w:sz w:val="16"/>
                <w:szCs w:val="16"/>
              </w:rPr>
            </w:pPr>
            <w:r>
              <w:rPr>
                <w:rFonts w:cs="Arial"/>
                <w:sz w:val="16"/>
                <w:szCs w:val="16"/>
              </w:rPr>
              <w:t>2,9</w:t>
            </w:r>
          </w:p>
        </w:tc>
        <w:tc>
          <w:tcPr>
            <w:tcW w:w="182" w:type="dxa"/>
            <w:tcBorders>
              <w:top w:val="nil"/>
              <w:left w:val="nil"/>
              <w:bottom w:val="single" w:sz="4" w:space="0" w:color="D9D9D9"/>
              <w:right w:val="nil"/>
            </w:tcBorders>
            <w:shd w:val="clear" w:color="auto" w:fill="auto"/>
            <w:noWrap/>
            <w:vAlign w:val="center"/>
            <w:hideMark/>
          </w:tcPr>
          <w:p w14:paraId="14474679" w14:textId="24A498A4"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0D674024" w14:textId="59808E30"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4D1450B0" w14:textId="33DBB3A3" w:rsidR="00DB68B2" w:rsidRPr="004A79A6" w:rsidRDefault="002B7580" w:rsidP="00DB68B2">
            <w:pPr>
              <w:rPr>
                <w:rFonts w:cs="Arial"/>
                <w:sz w:val="16"/>
                <w:szCs w:val="16"/>
              </w:rPr>
            </w:pPr>
            <w:r>
              <w:rPr>
                <w:rFonts w:cs="Arial"/>
                <w:sz w:val="16"/>
                <w:szCs w:val="16"/>
              </w:rPr>
              <w:t>Uzovce (SB)</w:t>
            </w:r>
          </w:p>
        </w:tc>
        <w:tc>
          <w:tcPr>
            <w:tcW w:w="815" w:type="dxa"/>
            <w:tcBorders>
              <w:top w:val="nil"/>
              <w:left w:val="nil"/>
              <w:bottom w:val="single" w:sz="4" w:space="0" w:color="D9D9D9"/>
              <w:right w:val="nil"/>
            </w:tcBorders>
            <w:shd w:val="clear" w:color="auto" w:fill="auto"/>
            <w:noWrap/>
            <w:vAlign w:val="center"/>
          </w:tcPr>
          <w:p w14:paraId="1F683ED7" w14:textId="0E8732C9" w:rsidR="00DB68B2" w:rsidRPr="004A79A6" w:rsidRDefault="002B7580" w:rsidP="00DB68B2">
            <w:pPr>
              <w:jc w:val="right"/>
              <w:rPr>
                <w:rFonts w:cs="Arial"/>
                <w:b/>
                <w:sz w:val="16"/>
                <w:szCs w:val="16"/>
              </w:rPr>
            </w:pPr>
            <w:r>
              <w:rPr>
                <w:rFonts w:cs="Arial"/>
                <w:b/>
                <w:bCs/>
                <w:color w:val="13B5EA"/>
                <w:sz w:val="16"/>
                <w:szCs w:val="16"/>
              </w:rPr>
              <w:t>80,3</w:t>
            </w:r>
          </w:p>
        </w:tc>
        <w:tc>
          <w:tcPr>
            <w:tcW w:w="816" w:type="dxa"/>
            <w:tcBorders>
              <w:top w:val="nil"/>
              <w:left w:val="nil"/>
              <w:bottom w:val="single" w:sz="4" w:space="0" w:color="D9D9D9"/>
              <w:right w:val="nil"/>
            </w:tcBorders>
            <w:shd w:val="clear" w:color="auto" w:fill="auto"/>
            <w:noWrap/>
            <w:vAlign w:val="center"/>
          </w:tcPr>
          <w:p w14:paraId="7D3F7BD8" w14:textId="73B3EFD4" w:rsidR="00DB68B2" w:rsidRPr="004A79A6" w:rsidRDefault="002B7580" w:rsidP="00DB68B2">
            <w:pPr>
              <w:jc w:val="right"/>
              <w:rPr>
                <w:rFonts w:cs="Arial"/>
                <w:sz w:val="16"/>
                <w:szCs w:val="16"/>
              </w:rPr>
            </w:pPr>
            <w:r>
              <w:rPr>
                <w:rFonts w:cs="Arial"/>
                <w:sz w:val="16"/>
                <w:szCs w:val="16"/>
              </w:rPr>
              <w:t>2 772</w:t>
            </w:r>
          </w:p>
        </w:tc>
        <w:tc>
          <w:tcPr>
            <w:tcW w:w="816" w:type="dxa"/>
            <w:tcBorders>
              <w:top w:val="nil"/>
              <w:left w:val="nil"/>
              <w:bottom w:val="single" w:sz="4" w:space="0" w:color="D9D9D9"/>
              <w:right w:val="nil"/>
            </w:tcBorders>
            <w:shd w:val="clear" w:color="auto" w:fill="auto"/>
            <w:noWrap/>
            <w:vAlign w:val="center"/>
          </w:tcPr>
          <w:p w14:paraId="077F0116" w14:textId="59049BAA" w:rsidR="00DB68B2" w:rsidRPr="004A79A6" w:rsidRDefault="002B7580" w:rsidP="00DB68B2">
            <w:pPr>
              <w:jc w:val="right"/>
              <w:rPr>
                <w:rFonts w:cs="Arial"/>
                <w:sz w:val="16"/>
                <w:szCs w:val="16"/>
              </w:rPr>
            </w:pPr>
            <w:r>
              <w:rPr>
                <w:rFonts w:cs="Arial"/>
                <w:sz w:val="16"/>
                <w:szCs w:val="16"/>
              </w:rPr>
              <w:t>1,0</w:t>
            </w:r>
          </w:p>
        </w:tc>
      </w:tr>
      <w:tr w:rsidR="00DB68B2" w:rsidRPr="00B81300" w14:paraId="231BD0DB"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36CFA729" w14:textId="4654C7E9" w:rsidR="00DB68B2" w:rsidRPr="004A79A6" w:rsidRDefault="002B7580" w:rsidP="00DB68B2">
            <w:pPr>
              <w:rPr>
                <w:rFonts w:cs="Arial"/>
                <w:color w:val="13B5EA"/>
                <w:sz w:val="16"/>
                <w:szCs w:val="16"/>
              </w:rPr>
            </w:pPr>
            <w:r>
              <w:rPr>
                <w:rFonts w:cs="Arial"/>
                <w:sz w:val="16"/>
                <w:szCs w:val="16"/>
              </w:rPr>
              <w:t>Ľubá (NZ)</w:t>
            </w:r>
          </w:p>
        </w:tc>
        <w:tc>
          <w:tcPr>
            <w:tcW w:w="795" w:type="dxa"/>
            <w:tcBorders>
              <w:top w:val="nil"/>
              <w:left w:val="nil"/>
              <w:bottom w:val="single" w:sz="4" w:space="0" w:color="D9D9D9"/>
              <w:right w:val="nil"/>
            </w:tcBorders>
            <w:shd w:val="clear" w:color="auto" w:fill="auto"/>
            <w:noWrap/>
            <w:vAlign w:val="center"/>
          </w:tcPr>
          <w:p w14:paraId="574CA7C9" w14:textId="3D861F98" w:rsidR="00DB68B2" w:rsidRPr="004A79A6" w:rsidRDefault="002B7580" w:rsidP="00DB68B2">
            <w:pPr>
              <w:jc w:val="right"/>
              <w:rPr>
                <w:rFonts w:cs="Arial"/>
                <w:color w:val="13B5EA"/>
                <w:sz w:val="16"/>
                <w:szCs w:val="16"/>
              </w:rPr>
            </w:pPr>
            <w:r>
              <w:rPr>
                <w:rFonts w:cs="Arial"/>
                <w:b/>
                <w:bCs/>
                <w:color w:val="13B5EA"/>
                <w:sz w:val="16"/>
                <w:szCs w:val="16"/>
              </w:rPr>
              <w:t>80,0</w:t>
            </w:r>
          </w:p>
        </w:tc>
        <w:tc>
          <w:tcPr>
            <w:tcW w:w="795" w:type="dxa"/>
            <w:tcBorders>
              <w:top w:val="nil"/>
              <w:left w:val="nil"/>
              <w:bottom w:val="single" w:sz="4" w:space="0" w:color="D9D9D9"/>
              <w:right w:val="nil"/>
            </w:tcBorders>
            <w:shd w:val="clear" w:color="auto" w:fill="auto"/>
            <w:noWrap/>
            <w:vAlign w:val="center"/>
          </w:tcPr>
          <w:p w14:paraId="32CDA655" w14:textId="5D76DDEA" w:rsidR="00DB68B2" w:rsidRPr="004A79A6" w:rsidRDefault="002B7580" w:rsidP="00DB68B2">
            <w:pPr>
              <w:jc w:val="right"/>
              <w:rPr>
                <w:rFonts w:cs="Arial"/>
                <w:color w:val="13B5EA"/>
                <w:sz w:val="16"/>
                <w:szCs w:val="16"/>
              </w:rPr>
            </w:pPr>
            <w:r>
              <w:rPr>
                <w:rFonts w:cs="Arial"/>
                <w:sz w:val="16"/>
                <w:szCs w:val="16"/>
              </w:rPr>
              <w:t>1 861</w:t>
            </w:r>
          </w:p>
        </w:tc>
        <w:tc>
          <w:tcPr>
            <w:tcW w:w="795" w:type="dxa"/>
            <w:tcBorders>
              <w:top w:val="nil"/>
              <w:left w:val="nil"/>
              <w:bottom w:val="single" w:sz="4" w:space="0" w:color="D9D9D9"/>
              <w:right w:val="nil"/>
            </w:tcBorders>
            <w:shd w:val="clear" w:color="auto" w:fill="auto"/>
            <w:noWrap/>
            <w:vAlign w:val="center"/>
          </w:tcPr>
          <w:p w14:paraId="1672DC54" w14:textId="1E2FC49F" w:rsidR="00DB68B2" w:rsidRPr="004A79A6" w:rsidRDefault="002B7580" w:rsidP="00DB68B2">
            <w:pPr>
              <w:jc w:val="right"/>
              <w:rPr>
                <w:rFonts w:cs="Arial"/>
                <w:color w:val="13B5EA"/>
                <w:sz w:val="16"/>
                <w:szCs w:val="16"/>
              </w:rPr>
            </w:pPr>
            <w:r>
              <w:rPr>
                <w:rFonts w:cs="Arial"/>
                <w:sz w:val="16"/>
                <w:szCs w:val="16"/>
              </w:rPr>
              <w:t>1,0</w:t>
            </w:r>
          </w:p>
        </w:tc>
        <w:tc>
          <w:tcPr>
            <w:tcW w:w="182" w:type="dxa"/>
            <w:tcBorders>
              <w:top w:val="nil"/>
              <w:left w:val="nil"/>
              <w:bottom w:val="single" w:sz="4" w:space="0" w:color="D9D9D9"/>
              <w:right w:val="nil"/>
            </w:tcBorders>
            <w:shd w:val="clear" w:color="auto" w:fill="auto"/>
            <w:noWrap/>
            <w:vAlign w:val="center"/>
            <w:hideMark/>
          </w:tcPr>
          <w:p w14:paraId="4F7B4700" w14:textId="2996B745"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475FA597" w14:textId="16018BB0"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3B605C7C" w14:textId="68E0F10B" w:rsidR="00DB68B2" w:rsidRPr="004A79A6" w:rsidRDefault="002B7580" w:rsidP="00DB68B2">
            <w:pPr>
              <w:rPr>
                <w:rFonts w:cs="Arial"/>
                <w:sz w:val="16"/>
                <w:szCs w:val="16"/>
              </w:rPr>
            </w:pPr>
            <w:r>
              <w:rPr>
                <w:rFonts w:cs="Arial"/>
                <w:sz w:val="16"/>
                <w:szCs w:val="16"/>
              </w:rPr>
              <w:t>Veľká Čausa (PD)</w:t>
            </w:r>
          </w:p>
        </w:tc>
        <w:tc>
          <w:tcPr>
            <w:tcW w:w="815" w:type="dxa"/>
            <w:tcBorders>
              <w:top w:val="nil"/>
              <w:left w:val="nil"/>
              <w:bottom w:val="single" w:sz="4" w:space="0" w:color="D9D9D9"/>
              <w:right w:val="nil"/>
            </w:tcBorders>
            <w:shd w:val="clear" w:color="auto" w:fill="auto"/>
            <w:noWrap/>
            <w:vAlign w:val="center"/>
          </w:tcPr>
          <w:p w14:paraId="7AC8D796" w14:textId="188C1FF2" w:rsidR="00DB68B2" w:rsidRPr="004A79A6" w:rsidRDefault="002B7580" w:rsidP="00DB68B2">
            <w:pPr>
              <w:jc w:val="right"/>
              <w:rPr>
                <w:rFonts w:cs="Arial"/>
                <w:sz w:val="16"/>
                <w:szCs w:val="16"/>
              </w:rPr>
            </w:pPr>
            <w:r>
              <w:rPr>
                <w:rFonts w:cs="Arial"/>
                <w:b/>
                <w:bCs/>
                <w:color w:val="13B5EA"/>
                <w:sz w:val="16"/>
                <w:szCs w:val="16"/>
              </w:rPr>
              <w:t>113,4</w:t>
            </w:r>
          </w:p>
        </w:tc>
        <w:tc>
          <w:tcPr>
            <w:tcW w:w="816" w:type="dxa"/>
            <w:tcBorders>
              <w:top w:val="nil"/>
              <w:left w:val="nil"/>
              <w:bottom w:val="single" w:sz="4" w:space="0" w:color="D9D9D9"/>
              <w:right w:val="nil"/>
            </w:tcBorders>
            <w:shd w:val="clear" w:color="auto" w:fill="auto"/>
            <w:noWrap/>
            <w:vAlign w:val="center"/>
          </w:tcPr>
          <w:p w14:paraId="06038DD5" w14:textId="52B23E6F" w:rsidR="00DB68B2" w:rsidRPr="004A79A6" w:rsidRDefault="002B7580" w:rsidP="00DB68B2">
            <w:pPr>
              <w:jc w:val="right"/>
              <w:rPr>
                <w:rFonts w:cs="Arial"/>
                <w:sz w:val="16"/>
                <w:szCs w:val="16"/>
              </w:rPr>
            </w:pPr>
            <w:r>
              <w:rPr>
                <w:rFonts w:cs="Arial"/>
                <w:sz w:val="16"/>
                <w:szCs w:val="16"/>
              </w:rPr>
              <w:t>5 303</w:t>
            </w:r>
          </w:p>
        </w:tc>
        <w:tc>
          <w:tcPr>
            <w:tcW w:w="816" w:type="dxa"/>
            <w:tcBorders>
              <w:top w:val="nil"/>
              <w:left w:val="nil"/>
              <w:bottom w:val="single" w:sz="4" w:space="0" w:color="D9D9D9"/>
              <w:right w:val="nil"/>
            </w:tcBorders>
            <w:shd w:val="clear" w:color="auto" w:fill="auto"/>
            <w:noWrap/>
            <w:vAlign w:val="center"/>
          </w:tcPr>
          <w:p w14:paraId="5164CD10" w14:textId="20568F7D" w:rsidR="00DB68B2" w:rsidRPr="004A79A6" w:rsidRDefault="002B7580" w:rsidP="00DB68B2">
            <w:pPr>
              <w:jc w:val="right"/>
              <w:rPr>
                <w:rFonts w:cs="Arial"/>
                <w:sz w:val="16"/>
                <w:szCs w:val="16"/>
              </w:rPr>
            </w:pPr>
            <w:r>
              <w:rPr>
                <w:rFonts w:cs="Arial"/>
                <w:sz w:val="16"/>
                <w:szCs w:val="16"/>
              </w:rPr>
              <w:t>2,7</w:t>
            </w:r>
          </w:p>
        </w:tc>
      </w:tr>
      <w:tr w:rsidR="00DB68B2" w:rsidRPr="00B81300" w14:paraId="029F222C"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7D282690" w14:textId="33CB6A81" w:rsidR="00DB68B2" w:rsidRPr="004A79A6" w:rsidRDefault="002B7580" w:rsidP="00DB68B2">
            <w:pPr>
              <w:rPr>
                <w:rFonts w:cs="Arial"/>
                <w:sz w:val="16"/>
                <w:szCs w:val="16"/>
              </w:rPr>
            </w:pPr>
            <w:r>
              <w:rPr>
                <w:rFonts w:cs="Arial"/>
                <w:sz w:val="16"/>
                <w:szCs w:val="16"/>
              </w:rPr>
              <w:t>Luhyňa (TV)</w:t>
            </w:r>
          </w:p>
        </w:tc>
        <w:tc>
          <w:tcPr>
            <w:tcW w:w="795" w:type="dxa"/>
            <w:tcBorders>
              <w:top w:val="nil"/>
              <w:left w:val="nil"/>
              <w:bottom w:val="single" w:sz="4" w:space="0" w:color="D9D9D9"/>
              <w:right w:val="nil"/>
            </w:tcBorders>
            <w:shd w:val="clear" w:color="auto" w:fill="auto"/>
            <w:noWrap/>
            <w:vAlign w:val="center"/>
          </w:tcPr>
          <w:p w14:paraId="085C6DAF" w14:textId="1DC1A444" w:rsidR="00DB68B2" w:rsidRPr="004A79A6" w:rsidRDefault="002B7580" w:rsidP="00DB68B2">
            <w:pPr>
              <w:jc w:val="right"/>
              <w:rPr>
                <w:rFonts w:cs="Arial"/>
                <w:b/>
                <w:sz w:val="16"/>
                <w:szCs w:val="16"/>
              </w:rPr>
            </w:pPr>
            <w:r>
              <w:rPr>
                <w:rFonts w:cs="Arial"/>
                <w:b/>
                <w:bCs/>
                <w:color w:val="13B5EA"/>
                <w:sz w:val="16"/>
                <w:szCs w:val="16"/>
              </w:rPr>
              <w:t>116,8</w:t>
            </w:r>
          </w:p>
        </w:tc>
        <w:tc>
          <w:tcPr>
            <w:tcW w:w="795" w:type="dxa"/>
            <w:tcBorders>
              <w:top w:val="nil"/>
              <w:left w:val="nil"/>
              <w:bottom w:val="single" w:sz="4" w:space="0" w:color="D9D9D9"/>
              <w:right w:val="nil"/>
            </w:tcBorders>
            <w:shd w:val="clear" w:color="auto" w:fill="auto"/>
            <w:noWrap/>
            <w:vAlign w:val="center"/>
          </w:tcPr>
          <w:p w14:paraId="5CE8805B" w14:textId="28C79088" w:rsidR="00DB68B2" w:rsidRPr="004A79A6" w:rsidRDefault="002B7580" w:rsidP="00DB68B2">
            <w:pPr>
              <w:jc w:val="right"/>
              <w:rPr>
                <w:rFonts w:cs="Arial"/>
                <w:sz w:val="16"/>
                <w:szCs w:val="16"/>
              </w:rPr>
            </w:pPr>
            <w:r>
              <w:rPr>
                <w:rFonts w:cs="Arial"/>
                <w:sz w:val="16"/>
                <w:szCs w:val="16"/>
              </w:rPr>
              <w:t>2 495</w:t>
            </w:r>
          </w:p>
        </w:tc>
        <w:tc>
          <w:tcPr>
            <w:tcW w:w="795" w:type="dxa"/>
            <w:tcBorders>
              <w:top w:val="nil"/>
              <w:left w:val="nil"/>
              <w:bottom w:val="single" w:sz="4" w:space="0" w:color="D9D9D9"/>
              <w:right w:val="nil"/>
            </w:tcBorders>
            <w:shd w:val="clear" w:color="auto" w:fill="auto"/>
            <w:noWrap/>
            <w:vAlign w:val="center"/>
          </w:tcPr>
          <w:p w14:paraId="5E90FC39" w14:textId="2DE24D75" w:rsidR="00DB68B2" w:rsidRPr="004A79A6" w:rsidRDefault="002B7580" w:rsidP="00DB68B2">
            <w:pPr>
              <w:jc w:val="right"/>
              <w:rPr>
                <w:rFonts w:cs="Arial"/>
                <w:sz w:val="16"/>
                <w:szCs w:val="16"/>
              </w:rPr>
            </w:pPr>
            <w:r>
              <w:rPr>
                <w:rFonts w:cs="Arial"/>
                <w:sz w:val="16"/>
                <w:szCs w:val="16"/>
              </w:rPr>
              <w:t>2,8</w:t>
            </w:r>
          </w:p>
        </w:tc>
        <w:tc>
          <w:tcPr>
            <w:tcW w:w="182" w:type="dxa"/>
            <w:tcBorders>
              <w:top w:val="nil"/>
              <w:left w:val="nil"/>
              <w:bottom w:val="single" w:sz="4" w:space="0" w:color="D9D9D9"/>
              <w:right w:val="nil"/>
            </w:tcBorders>
            <w:shd w:val="clear" w:color="auto" w:fill="auto"/>
            <w:noWrap/>
            <w:vAlign w:val="center"/>
            <w:hideMark/>
          </w:tcPr>
          <w:p w14:paraId="7B28F663" w14:textId="5DC25665"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D9D9D9" w:themeFill="background1" w:themeFillShade="D9"/>
            <w:noWrap/>
            <w:vAlign w:val="center"/>
            <w:hideMark/>
          </w:tcPr>
          <w:p w14:paraId="6D813271" w14:textId="0379592E"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D9D9D9" w:themeFill="background1" w:themeFillShade="D9"/>
            <w:noWrap/>
            <w:vAlign w:val="center"/>
          </w:tcPr>
          <w:p w14:paraId="10790A45" w14:textId="615EF02F" w:rsidR="00DB68B2" w:rsidRPr="004A79A6" w:rsidRDefault="002B7580" w:rsidP="00DB68B2">
            <w:pPr>
              <w:rPr>
                <w:rFonts w:cs="Arial"/>
                <w:color w:val="13B5EA"/>
                <w:sz w:val="16"/>
                <w:szCs w:val="16"/>
              </w:rPr>
            </w:pPr>
            <w:r>
              <w:rPr>
                <w:rFonts w:cs="Arial"/>
                <w:sz w:val="16"/>
                <w:szCs w:val="16"/>
              </w:rPr>
              <w:t>Veľká Paka (DS) **</w:t>
            </w:r>
          </w:p>
        </w:tc>
        <w:tc>
          <w:tcPr>
            <w:tcW w:w="815" w:type="dxa"/>
            <w:tcBorders>
              <w:top w:val="nil"/>
              <w:left w:val="nil"/>
              <w:bottom w:val="single" w:sz="4" w:space="0" w:color="D9D9D9"/>
              <w:right w:val="nil"/>
            </w:tcBorders>
            <w:shd w:val="clear" w:color="auto" w:fill="D9D9D9" w:themeFill="background1" w:themeFillShade="D9"/>
            <w:noWrap/>
            <w:vAlign w:val="center"/>
          </w:tcPr>
          <w:p w14:paraId="0E8BBE3B" w14:textId="123116F0" w:rsidR="00DB68B2" w:rsidRPr="004A79A6" w:rsidRDefault="002B7580" w:rsidP="00DB68B2">
            <w:pPr>
              <w:jc w:val="right"/>
              <w:rPr>
                <w:rFonts w:cs="Arial"/>
                <w:b/>
                <w:color w:val="13B5EA"/>
                <w:sz w:val="16"/>
                <w:szCs w:val="16"/>
              </w:rPr>
            </w:pPr>
            <w:r>
              <w:rPr>
                <w:rFonts w:cs="Arial"/>
                <w:b/>
                <w:bCs/>
                <w:color w:val="13B5EA"/>
                <w:sz w:val="16"/>
                <w:szCs w:val="16"/>
              </w:rPr>
              <w:t>77,4</w:t>
            </w:r>
          </w:p>
        </w:tc>
        <w:tc>
          <w:tcPr>
            <w:tcW w:w="816" w:type="dxa"/>
            <w:tcBorders>
              <w:top w:val="nil"/>
              <w:left w:val="nil"/>
              <w:bottom w:val="single" w:sz="4" w:space="0" w:color="D9D9D9"/>
              <w:right w:val="nil"/>
            </w:tcBorders>
            <w:shd w:val="clear" w:color="auto" w:fill="D9D9D9" w:themeFill="background1" w:themeFillShade="D9"/>
            <w:noWrap/>
            <w:vAlign w:val="center"/>
          </w:tcPr>
          <w:p w14:paraId="220D83A6" w14:textId="0049C331" w:rsidR="00DB68B2" w:rsidRPr="004A79A6" w:rsidRDefault="002B7580" w:rsidP="00DB68B2">
            <w:pPr>
              <w:jc w:val="right"/>
              <w:rPr>
                <w:rFonts w:cs="Arial"/>
                <w:color w:val="13B5EA"/>
                <w:sz w:val="16"/>
                <w:szCs w:val="16"/>
              </w:rPr>
            </w:pPr>
            <w:r>
              <w:rPr>
                <w:rFonts w:cs="Arial"/>
                <w:sz w:val="16"/>
                <w:szCs w:val="16"/>
              </w:rPr>
              <w:t>6 112</w:t>
            </w:r>
          </w:p>
        </w:tc>
        <w:tc>
          <w:tcPr>
            <w:tcW w:w="816" w:type="dxa"/>
            <w:tcBorders>
              <w:top w:val="nil"/>
              <w:left w:val="nil"/>
              <w:bottom w:val="single" w:sz="4" w:space="0" w:color="D9D9D9"/>
              <w:right w:val="nil"/>
            </w:tcBorders>
            <w:shd w:val="clear" w:color="auto" w:fill="D9D9D9" w:themeFill="background1" w:themeFillShade="D9"/>
            <w:noWrap/>
            <w:vAlign w:val="center"/>
          </w:tcPr>
          <w:p w14:paraId="7B804334" w14:textId="28D1E5A6" w:rsidR="00DB68B2" w:rsidRPr="004A79A6" w:rsidRDefault="002B7580" w:rsidP="00DB68B2">
            <w:pPr>
              <w:jc w:val="right"/>
              <w:rPr>
                <w:rFonts w:cs="Arial"/>
                <w:color w:val="13B5EA"/>
                <w:sz w:val="16"/>
                <w:szCs w:val="16"/>
              </w:rPr>
            </w:pPr>
            <w:r>
              <w:rPr>
                <w:rFonts w:cs="Arial"/>
                <w:sz w:val="16"/>
                <w:szCs w:val="16"/>
              </w:rPr>
              <w:t>0,9</w:t>
            </w:r>
          </w:p>
        </w:tc>
      </w:tr>
      <w:tr w:rsidR="00DB68B2" w:rsidRPr="00B81300" w14:paraId="2278ED3E" w14:textId="77777777" w:rsidTr="004A79A6">
        <w:trPr>
          <w:trHeight w:hRule="exact" w:val="284"/>
        </w:trPr>
        <w:tc>
          <w:tcPr>
            <w:tcW w:w="1936" w:type="dxa"/>
            <w:tcBorders>
              <w:top w:val="nil"/>
              <w:left w:val="nil"/>
              <w:bottom w:val="single" w:sz="4" w:space="0" w:color="D9D9D9"/>
              <w:right w:val="nil"/>
            </w:tcBorders>
            <w:shd w:val="clear" w:color="auto" w:fill="D9D9D9" w:themeFill="background1" w:themeFillShade="D9"/>
            <w:noWrap/>
            <w:vAlign w:val="center"/>
          </w:tcPr>
          <w:p w14:paraId="2DEEA443" w14:textId="1763E9A6" w:rsidR="00DB68B2" w:rsidRPr="004A79A6" w:rsidRDefault="002B7580" w:rsidP="00DB68B2">
            <w:pPr>
              <w:rPr>
                <w:rFonts w:cs="Arial"/>
                <w:color w:val="13B5EA"/>
                <w:sz w:val="16"/>
                <w:szCs w:val="16"/>
              </w:rPr>
            </w:pPr>
            <w:r>
              <w:rPr>
                <w:rFonts w:cs="Arial"/>
                <w:sz w:val="16"/>
                <w:szCs w:val="16"/>
              </w:rPr>
              <w:t>Ľutov (BN) **</w:t>
            </w:r>
          </w:p>
        </w:tc>
        <w:tc>
          <w:tcPr>
            <w:tcW w:w="795" w:type="dxa"/>
            <w:tcBorders>
              <w:top w:val="nil"/>
              <w:left w:val="nil"/>
              <w:bottom w:val="single" w:sz="4" w:space="0" w:color="D9D9D9"/>
              <w:right w:val="nil"/>
            </w:tcBorders>
            <w:shd w:val="clear" w:color="auto" w:fill="D9D9D9" w:themeFill="background1" w:themeFillShade="D9"/>
            <w:noWrap/>
            <w:vAlign w:val="center"/>
          </w:tcPr>
          <w:p w14:paraId="3720739D" w14:textId="06251F49" w:rsidR="00DB68B2" w:rsidRPr="004A79A6" w:rsidRDefault="002B7580" w:rsidP="00DB68B2">
            <w:pPr>
              <w:jc w:val="right"/>
              <w:rPr>
                <w:rFonts w:cs="Arial"/>
                <w:b/>
                <w:color w:val="13B5EA"/>
                <w:sz w:val="16"/>
                <w:szCs w:val="16"/>
              </w:rPr>
            </w:pPr>
            <w:r>
              <w:rPr>
                <w:rFonts w:cs="Arial"/>
                <w:b/>
                <w:bCs/>
                <w:color w:val="13B5EA"/>
                <w:sz w:val="16"/>
                <w:szCs w:val="16"/>
              </w:rPr>
              <w:t>196,4</w:t>
            </w:r>
          </w:p>
        </w:tc>
        <w:tc>
          <w:tcPr>
            <w:tcW w:w="795" w:type="dxa"/>
            <w:tcBorders>
              <w:top w:val="nil"/>
              <w:left w:val="nil"/>
              <w:bottom w:val="single" w:sz="4" w:space="0" w:color="D9D9D9"/>
              <w:right w:val="nil"/>
            </w:tcBorders>
            <w:shd w:val="clear" w:color="auto" w:fill="D9D9D9" w:themeFill="background1" w:themeFillShade="D9"/>
            <w:noWrap/>
            <w:vAlign w:val="center"/>
          </w:tcPr>
          <w:p w14:paraId="73000D46" w14:textId="50515E53" w:rsidR="00DB68B2" w:rsidRPr="004A79A6" w:rsidRDefault="002B7580" w:rsidP="00DB68B2">
            <w:pPr>
              <w:jc w:val="right"/>
              <w:rPr>
                <w:rFonts w:cs="Arial"/>
                <w:color w:val="13B5EA"/>
                <w:sz w:val="16"/>
                <w:szCs w:val="16"/>
              </w:rPr>
            </w:pPr>
            <w:r>
              <w:rPr>
                <w:rFonts w:cs="Arial"/>
                <w:sz w:val="16"/>
                <w:szCs w:val="16"/>
              </w:rPr>
              <w:t>5 078</w:t>
            </w:r>
          </w:p>
        </w:tc>
        <w:tc>
          <w:tcPr>
            <w:tcW w:w="795" w:type="dxa"/>
            <w:tcBorders>
              <w:top w:val="nil"/>
              <w:left w:val="nil"/>
              <w:bottom w:val="single" w:sz="4" w:space="0" w:color="D9D9D9"/>
              <w:right w:val="nil"/>
            </w:tcBorders>
            <w:shd w:val="clear" w:color="auto" w:fill="D9D9D9" w:themeFill="background1" w:themeFillShade="D9"/>
            <w:noWrap/>
            <w:vAlign w:val="center"/>
          </w:tcPr>
          <w:p w14:paraId="640A1BF5" w14:textId="7C3B8A01" w:rsidR="00DB68B2" w:rsidRPr="004A79A6" w:rsidRDefault="002B7580" w:rsidP="00DB68B2">
            <w:pPr>
              <w:jc w:val="right"/>
              <w:rPr>
                <w:rFonts w:cs="Arial"/>
                <w:color w:val="13B5EA"/>
                <w:sz w:val="16"/>
                <w:szCs w:val="16"/>
              </w:rPr>
            </w:pPr>
            <w:r>
              <w:rPr>
                <w:rFonts w:cs="Arial"/>
                <w:sz w:val="16"/>
                <w:szCs w:val="16"/>
              </w:rPr>
              <w:t>6,8</w:t>
            </w:r>
          </w:p>
        </w:tc>
        <w:tc>
          <w:tcPr>
            <w:tcW w:w="182" w:type="dxa"/>
            <w:tcBorders>
              <w:top w:val="nil"/>
              <w:left w:val="nil"/>
              <w:bottom w:val="single" w:sz="4" w:space="0" w:color="D9D9D9"/>
              <w:right w:val="nil"/>
            </w:tcBorders>
            <w:shd w:val="clear" w:color="auto" w:fill="D9D9D9" w:themeFill="background1" w:themeFillShade="D9"/>
            <w:noWrap/>
            <w:vAlign w:val="center"/>
            <w:hideMark/>
          </w:tcPr>
          <w:p w14:paraId="72DF64A3" w14:textId="132A5502"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hideMark/>
          </w:tcPr>
          <w:p w14:paraId="7F24AADC" w14:textId="5A0BDEF4" w:rsidR="00DB68B2" w:rsidRPr="004A79A6" w:rsidRDefault="002B7580" w:rsidP="00DB68B2">
            <w:pPr>
              <w:rPr>
                <w:rFonts w:ascii="Calibri" w:hAnsi="Calibri" w:cs="Arial"/>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3CBBBE9F" w14:textId="6BF759FB" w:rsidR="00DB68B2" w:rsidRPr="004A79A6" w:rsidRDefault="002B7580" w:rsidP="00DB68B2">
            <w:pPr>
              <w:rPr>
                <w:rFonts w:cs="Arial"/>
                <w:sz w:val="16"/>
                <w:szCs w:val="16"/>
              </w:rPr>
            </w:pPr>
            <w:r>
              <w:rPr>
                <w:rFonts w:cs="Arial"/>
                <w:sz w:val="16"/>
                <w:szCs w:val="16"/>
              </w:rPr>
              <w:t>Veľký Čepčín (TR)</w:t>
            </w:r>
          </w:p>
        </w:tc>
        <w:tc>
          <w:tcPr>
            <w:tcW w:w="815" w:type="dxa"/>
            <w:tcBorders>
              <w:top w:val="nil"/>
              <w:left w:val="nil"/>
              <w:bottom w:val="single" w:sz="4" w:space="0" w:color="D9D9D9"/>
              <w:right w:val="nil"/>
            </w:tcBorders>
            <w:shd w:val="clear" w:color="auto" w:fill="auto"/>
            <w:noWrap/>
            <w:vAlign w:val="center"/>
          </w:tcPr>
          <w:p w14:paraId="098CA79E" w14:textId="4549D93B" w:rsidR="00DB68B2" w:rsidRPr="004A79A6" w:rsidRDefault="002B7580" w:rsidP="00DB68B2">
            <w:pPr>
              <w:jc w:val="right"/>
              <w:rPr>
                <w:rFonts w:cs="Arial"/>
                <w:sz w:val="16"/>
                <w:szCs w:val="16"/>
              </w:rPr>
            </w:pPr>
            <w:r>
              <w:rPr>
                <w:rFonts w:cs="Arial"/>
                <w:b/>
                <w:bCs/>
                <w:color w:val="13B5EA"/>
                <w:sz w:val="16"/>
                <w:szCs w:val="16"/>
              </w:rPr>
              <w:t>173,9</w:t>
            </w:r>
          </w:p>
        </w:tc>
        <w:tc>
          <w:tcPr>
            <w:tcW w:w="816" w:type="dxa"/>
            <w:tcBorders>
              <w:top w:val="nil"/>
              <w:left w:val="nil"/>
              <w:bottom w:val="single" w:sz="4" w:space="0" w:color="D9D9D9"/>
              <w:right w:val="nil"/>
            </w:tcBorders>
            <w:shd w:val="clear" w:color="auto" w:fill="auto"/>
            <w:noWrap/>
            <w:vAlign w:val="center"/>
          </w:tcPr>
          <w:p w14:paraId="7407014E" w14:textId="3D1F8AB2" w:rsidR="00DB68B2" w:rsidRPr="004A79A6" w:rsidRDefault="002B7580" w:rsidP="00DB68B2">
            <w:pPr>
              <w:jc w:val="right"/>
              <w:rPr>
                <w:rFonts w:cs="Arial"/>
                <w:sz w:val="16"/>
                <w:szCs w:val="16"/>
              </w:rPr>
            </w:pPr>
            <w:r>
              <w:rPr>
                <w:rFonts w:cs="Arial"/>
                <w:sz w:val="16"/>
                <w:szCs w:val="16"/>
              </w:rPr>
              <w:t>4 689</w:t>
            </w:r>
          </w:p>
        </w:tc>
        <w:tc>
          <w:tcPr>
            <w:tcW w:w="816" w:type="dxa"/>
            <w:tcBorders>
              <w:top w:val="nil"/>
              <w:left w:val="nil"/>
              <w:bottom w:val="single" w:sz="4" w:space="0" w:color="D9D9D9"/>
              <w:right w:val="nil"/>
            </w:tcBorders>
            <w:shd w:val="clear" w:color="auto" w:fill="auto"/>
            <w:noWrap/>
            <w:vAlign w:val="center"/>
          </w:tcPr>
          <w:p w14:paraId="4BCA1448" w14:textId="7E189578" w:rsidR="00DB68B2" w:rsidRPr="004A79A6" w:rsidRDefault="002B7580" w:rsidP="00DB68B2">
            <w:pPr>
              <w:jc w:val="right"/>
              <w:rPr>
                <w:rFonts w:cs="Arial"/>
                <w:sz w:val="16"/>
                <w:szCs w:val="16"/>
              </w:rPr>
            </w:pPr>
            <w:r>
              <w:rPr>
                <w:rFonts w:cs="Arial"/>
                <w:sz w:val="16"/>
                <w:szCs w:val="16"/>
              </w:rPr>
              <w:t>5,7</w:t>
            </w:r>
          </w:p>
        </w:tc>
      </w:tr>
      <w:tr w:rsidR="00F62E8B" w:rsidRPr="00B81300" w14:paraId="2564BD2C" w14:textId="77777777" w:rsidTr="004A79A6">
        <w:trPr>
          <w:trHeight w:hRule="exact" w:val="284"/>
        </w:trPr>
        <w:tc>
          <w:tcPr>
            <w:tcW w:w="1936" w:type="dxa"/>
            <w:tcBorders>
              <w:top w:val="nil"/>
              <w:left w:val="nil"/>
              <w:bottom w:val="single" w:sz="4" w:space="0" w:color="D9D9D9"/>
              <w:right w:val="nil"/>
            </w:tcBorders>
            <w:shd w:val="clear" w:color="auto" w:fill="auto"/>
            <w:noWrap/>
            <w:vAlign w:val="center"/>
          </w:tcPr>
          <w:p w14:paraId="0229DFFD" w14:textId="102B0F63" w:rsidR="00F62E8B" w:rsidRPr="004A79A6" w:rsidRDefault="002B7580" w:rsidP="00F62E8B">
            <w:pPr>
              <w:rPr>
                <w:rFonts w:cs="Arial"/>
                <w:sz w:val="16"/>
                <w:szCs w:val="16"/>
              </w:rPr>
            </w:pPr>
            <w:r>
              <w:rPr>
                <w:rFonts w:cs="Arial"/>
                <w:sz w:val="16"/>
                <w:szCs w:val="16"/>
              </w:rPr>
              <w:t>Madunice (HC)</w:t>
            </w:r>
          </w:p>
        </w:tc>
        <w:tc>
          <w:tcPr>
            <w:tcW w:w="795" w:type="dxa"/>
            <w:tcBorders>
              <w:top w:val="nil"/>
              <w:left w:val="nil"/>
              <w:bottom w:val="single" w:sz="4" w:space="0" w:color="D9D9D9"/>
              <w:right w:val="nil"/>
            </w:tcBorders>
            <w:shd w:val="clear" w:color="auto" w:fill="auto"/>
            <w:noWrap/>
            <w:vAlign w:val="center"/>
          </w:tcPr>
          <w:p w14:paraId="1B829992" w14:textId="5EFA06EE" w:rsidR="00F62E8B" w:rsidRPr="004A79A6" w:rsidRDefault="002B7580" w:rsidP="00F62E8B">
            <w:pPr>
              <w:jc w:val="right"/>
              <w:rPr>
                <w:rFonts w:cs="Arial"/>
                <w:b/>
                <w:color w:val="13B5EA"/>
                <w:sz w:val="16"/>
                <w:szCs w:val="16"/>
              </w:rPr>
            </w:pPr>
            <w:r>
              <w:rPr>
                <w:rFonts w:cs="Arial"/>
                <w:b/>
                <w:bCs/>
                <w:color w:val="13B5EA"/>
                <w:sz w:val="16"/>
                <w:szCs w:val="16"/>
              </w:rPr>
              <w:t>122,9</w:t>
            </w:r>
          </w:p>
        </w:tc>
        <w:tc>
          <w:tcPr>
            <w:tcW w:w="795" w:type="dxa"/>
            <w:tcBorders>
              <w:top w:val="nil"/>
              <w:left w:val="nil"/>
              <w:bottom w:val="single" w:sz="4" w:space="0" w:color="D9D9D9"/>
              <w:right w:val="nil"/>
            </w:tcBorders>
            <w:shd w:val="clear" w:color="auto" w:fill="auto"/>
            <w:noWrap/>
            <w:vAlign w:val="center"/>
          </w:tcPr>
          <w:p w14:paraId="7C4A3368" w14:textId="38E8BA9E" w:rsidR="00F62E8B" w:rsidRPr="004A79A6" w:rsidRDefault="002B7580" w:rsidP="00F62E8B">
            <w:pPr>
              <w:jc w:val="right"/>
              <w:rPr>
                <w:rFonts w:cs="Arial"/>
                <w:sz w:val="16"/>
                <w:szCs w:val="16"/>
              </w:rPr>
            </w:pPr>
            <w:r>
              <w:rPr>
                <w:rFonts w:cs="Arial"/>
                <w:sz w:val="16"/>
                <w:szCs w:val="16"/>
              </w:rPr>
              <w:t>52 152</w:t>
            </w:r>
          </w:p>
        </w:tc>
        <w:tc>
          <w:tcPr>
            <w:tcW w:w="795" w:type="dxa"/>
            <w:tcBorders>
              <w:top w:val="nil"/>
              <w:left w:val="nil"/>
              <w:bottom w:val="single" w:sz="4" w:space="0" w:color="D9D9D9"/>
              <w:right w:val="nil"/>
            </w:tcBorders>
            <w:shd w:val="clear" w:color="auto" w:fill="auto"/>
            <w:noWrap/>
            <w:vAlign w:val="center"/>
          </w:tcPr>
          <w:p w14:paraId="45A3048F" w14:textId="534C174A" w:rsidR="00F62E8B" w:rsidRPr="004A79A6" w:rsidRDefault="002B7580" w:rsidP="00F62E8B">
            <w:pPr>
              <w:jc w:val="right"/>
              <w:rPr>
                <w:rFonts w:cs="Arial"/>
                <w:sz w:val="16"/>
                <w:szCs w:val="16"/>
              </w:rPr>
            </w:pPr>
            <w:r>
              <w:rPr>
                <w:rFonts w:cs="Arial"/>
                <w:sz w:val="16"/>
                <w:szCs w:val="16"/>
              </w:rPr>
              <w:t>3,1</w:t>
            </w:r>
          </w:p>
        </w:tc>
        <w:tc>
          <w:tcPr>
            <w:tcW w:w="182" w:type="dxa"/>
            <w:tcBorders>
              <w:top w:val="nil"/>
              <w:left w:val="nil"/>
              <w:bottom w:val="single" w:sz="4" w:space="0" w:color="D9D9D9"/>
              <w:right w:val="nil"/>
            </w:tcBorders>
            <w:shd w:val="clear" w:color="auto" w:fill="auto"/>
            <w:noWrap/>
            <w:vAlign w:val="center"/>
          </w:tcPr>
          <w:p w14:paraId="19F2AB75" w14:textId="29264E32" w:rsidR="00F62E8B" w:rsidRPr="004A79A6" w:rsidRDefault="002B7580" w:rsidP="00F62E8B">
            <w:pPr>
              <w:rPr>
                <w:rFonts w:ascii="Calibri" w:hAnsi="Calibri" w:cs="Calibri"/>
                <w:color w:val="000000"/>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D9D9D9" w:themeFill="background1" w:themeFillShade="D9"/>
            <w:noWrap/>
            <w:vAlign w:val="center"/>
          </w:tcPr>
          <w:p w14:paraId="0DA86240" w14:textId="3D92A59D" w:rsidR="00F62E8B" w:rsidRPr="004A79A6" w:rsidRDefault="002B7580" w:rsidP="00F62E8B">
            <w:pPr>
              <w:rPr>
                <w:rFonts w:ascii="Calibri" w:hAnsi="Calibri" w:cs="Calibri"/>
                <w:color w:val="000000"/>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D9D9D9" w:themeFill="background1" w:themeFillShade="D9"/>
            <w:noWrap/>
            <w:vAlign w:val="center"/>
          </w:tcPr>
          <w:p w14:paraId="0FCDF450" w14:textId="116694E8" w:rsidR="00F62E8B" w:rsidRPr="004A79A6" w:rsidRDefault="002B7580" w:rsidP="00F62E8B">
            <w:pPr>
              <w:rPr>
                <w:rFonts w:cs="Arial"/>
                <w:sz w:val="16"/>
                <w:szCs w:val="16"/>
              </w:rPr>
            </w:pPr>
            <w:r>
              <w:rPr>
                <w:rFonts w:cs="Arial"/>
                <w:sz w:val="16"/>
                <w:szCs w:val="16"/>
              </w:rPr>
              <w:t>Víťazovce (HE) **</w:t>
            </w:r>
          </w:p>
        </w:tc>
        <w:tc>
          <w:tcPr>
            <w:tcW w:w="815" w:type="dxa"/>
            <w:tcBorders>
              <w:top w:val="nil"/>
              <w:left w:val="nil"/>
              <w:bottom w:val="single" w:sz="4" w:space="0" w:color="D9D9D9"/>
              <w:right w:val="nil"/>
            </w:tcBorders>
            <w:shd w:val="clear" w:color="auto" w:fill="D9D9D9" w:themeFill="background1" w:themeFillShade="D9"/>
            <w:noWrap/>
            <w:vAlign w:val="center"/>
          </w:tcPr>
          <w:p w14:paraId="6B226A57" w14:textId="276B52E9" w:rsidR="00F62E8B" w:rsidRPr="004A79A6" w:rsidRDefault="002B7580" w:rsidP="00F62E8B">
            <w:pPr>
              <w:jc w:val="right"/>
              <w:rPr>
                <w:rFonts w:cs="Arial"/>
                <w:b/>
                <w:color w:val="13B5EA"/>
                <w:sz w:val="16"/>
                <w:szCs w:val="16"/>
              </w:rPr>
            </w:pPr>
            <w:r>
              <w:rPr>
                <w:rFonts w:cs="Arial"/>
                <w:b/>
                <w:bCs/>
                <w:color w:val="13B5EA"/>
                <w:sz w:val="16"/>
                <w:szCs w:val="16"/>
              </w:rPr>
              <w:t>130,2</w:t>
            </w:r>
          </w:p>
        </w:tc>
        <w:tc>
          <w:tcPr>
            <w:tcW w:w="816" w:type="dxa"/>
            <w:tcBorders>
              <w:top w:val="nil"/>
              <w:left w:val="nil"/>
              <w:bottom w:val="single" w:sz="4" w:space="0" w:color="D9D9D9"/>
              <w:right w:val="nil"/>
            </w:tcBorders>
            <w:shd w:val="clear" w:color="auto" w:fill="D9D9D9" w:themeFill="background1" w:themeFillShade="D9"/>
            <w:noWrap/>
            <w:vAlign w:val="center"/>
          </w:tcPr>
          <w:p w14:paraId="22567E2C" w14:textId="5B588B2F" w:rsidR="00F62E8B" w:rsidRPr="004A79A6" w:rsidRDefault="002B7580" w:rsidP="00F62E8B">
            <w:pPr>
              <w:jc w:val="right"/>
              <w:rPr>
                <w:rFonts w:cs="Arial"/>
                <w:sz w:val="16"/>
                <w:szCs w:val="16"/>
              </w:rPr>
            </w:pPr>
            <w:r>
              <w:rPr>
                <w:rFonts w:cs="Arial"/>
                <w:sz w:val="16"/>
                <w:szCs w:val="16"/>
              </w:rPr>
              <w:t>2 909</w:t>
            </w:r>
          </w:p>
        </w:tc>
        <w:tc>
          <w:tcPr>
            <w:tcW w:w="816" w:type="dxa"/>
            <w:tcBorders>
              <w:top w:val="nil"/>
              <w:left w:val="nil"/>
              <w:bottom w:val="single" w:sz="4" w:space="0" w:color="D9D9D9"/>
              <w:right w:val="nil"/>
            </w:tcBorders>
            <w:shd w:val="clear" w:color="auto" w:fill="D9D9D9" w:themeFill="background1" w:themeFillShade="D9"/>
            <w:noWrap/>
            <w:vAlign w:val="center"/>
          </w:tcPr>
          <w:p w14:paraId="6B332D7B" w14:textId="6EE08268" w:rsidR="00F62E8B" w:rsidRPr="004A79A6" w:rsidRDefault="002B7580" w:rsidP="00F62E8B">
            <w:pPr>
              <w:jc w:val="right"/>
              <w:rPr>
                <w:rFonts w:cs="Arial"/>
                <w:sz w:val="16"/>
                <w:szCs w:val="16"/>
              </w:rPr>
            </w:pPr>
            <w:r>
              <w:rPr>
                <w:rFonts w:cs="Arial"/>
                <w:sz w:val="16"/>
                <w:szCs w:val="16"/>
              </w:rPr>
              <w:t>3,5</w:t>
            </w:r>
          </w:p>
        </w:tc>
      </w:tr>
      <w:tr w:rsidR="00F62E8B" w:rsidRPr="00B81300" w14:paraId="561D9AA7" w14:textId="77777777" w:rsidTr="00F62E8B">
        <w:trPr>
          <w:trHeight w:hRule="exact" w:val="284"/>
        </w:trPr>
        <w:tc>
          <w:tcPr>
            <w:tcW w:w="1936" w:type="dxa"/>
            <w:tcBorders>
              <w:top w:val="nil"/>
              <w:left w:val="nil"/>
              <w:bottom w:val="single" w:sz="4" w:space="0" w:color="D9D9D9"/>
              <w:right w:val="nil"/>
            </w:tcBorders>
            <w:shd w:val="clear" w:color="auto" w:fill="auto"/>
            <w:noWrap/>
            <w:vAlign w:val="center"/>
          </w:tcPr>
          <w:p w14:paraId="323B7430" w14:textId="35F7C50C" w:rsidR="00F62E8B" w:rsidRPr="004A79A6" w:rsidRDefault="002B7580" w:rsidP="00F62E8B">
            <w:pPr>
              <w:rPr>
                <w:rFonts w:cs="Arial"/>
                <w:sz w:val="16"/>
                <w:szCs w:val="16"/>
              </w:rPr>
            </w:pPr>
            <w:r>
              <w:rPr>
                <w:rFonts w:cs="Arial"/>
                <w:sz w:val="16"/>
                <w:szCs w:val="16"/>
              </w:rPr>
              <w:t>Malý Slivník (PO)</w:t>
            </w:r>
          </w:p>
        </w:tc>
        <w:tc>
          <w:tcPr>
            <w:tcW w:w="795" w:type="dxa"/>
            <w:tcBorders>
              <w:top w:val="nil"/>
              <w:left w:val="nil"/>
              <w:bottom w:val="single" w:sz="4" w:space="0" w:color="D9D9D9"/>
              <w:right w:val="nil"/>
            </w:tcBorders>
            <w:shd w:val="clear" w:color="auto" w:fill="auto"/>
            <w:noWrap/>
            <w:vAlign w:val="center"/>
          </w:tcPr>
          <w:p w14:paraId="2DE519D9" w14:textId="7D4F1B2C" w:rsidR="00F62E8B" w:rsidRPr="004A79A6" w:rsidRDefault="002B7580" w:rsidP="00F62E8B">
            <w:pPr>
              <w:jc w:val="right"/>
              <w:rPr>
                <w:rFonts w:cs="Arial"/>
                <w:b/>
                <w:color w:val="13B5EA"/>
                <w:sz w:val="16"/>
                <w:szCs w:val="16"/>
              </w:rPr>
            </w:pPr>
            <w:r>
              <w:rPr>
                <w:rFonts w:cs="Arial"/>
                <w:b/>
                <w:bCs/>
                <w:color w:val="13B5EA"/>
                <w:sz w:val="16"/>
                <w:szCs w:val="16"/>
              </w:rPr>
              <w:t>79,8</w:t>
            </w:r>
          </w:p>
        </w:tc>
        <w:tc>
          <w:tcPr>
            <w:tcW w:w="795" w:type="dxa"/>
            <w:tcBorders>
              <w:top w:val="nil"/>
              <w:left w:val="nil"/>
              <w:bottom w:val="single" w:sz="4" w:space="0" w:color="D9D9D9"/>
              <w:right w:val="nil"/>
            </w:tcBorders>
            <w:shd w:val="clear" w:color="auto" w:fill="auto"/>
            <w:noWrap/>
            <w:vAlign w:val="center"/>
          </w:tcPr>
          <w:p w14:paraId="491D6D74" w14:textId="5ED26191" w:rsidR="00F62E8B" w:rsidRPr="004A79A6" w:rsidRDefault="002B7580" w:rsidP="00F62E8B">
            <w:pPr>
              <w:jc w:val="right"/>
              <w:rPr>
                <w:rFonts w:cs="Arial"/>
                <w:sz w:val="16"/>
                <w:szCs w:val="16"/>
              </w:rPr>
            </w:pPr>
            <w:r>
              <w:rPr>
                <w:rFonts w:cs="Arial"/>
                <w:sz w:val="16"/>
                <w:szCs w:val="16"/>
              </w:rPr>
              <w:t>3 193</w:t>
            </w:r>
          </w:p>
        </w:tc>
        <w:tc>
          <w:tcPr>
            <w:tcW w:w="795" w:type="dxa"/>
            <w:tcBorders>
              <w:top w:val="nil"/>
              <w:left w:val="nil"/>
              <w:bottom w:val="single" w:sz="4" w:space="0" w:color="D9D9D9"/>
              <w:right w:val="nil"/>
            </w:tcBorders>
            <w:shd w:val="clear" w:color="auto" w:fill="auto"/>
            <w:noWrap/>
            <w:vAlign w:val="center"/>
          </w:tcPr>
          <w:p w14:paraId="08FCC9E5" w14:textId="47F5D7CF" w:rsidR="00F62E8B" w:rsidRPr="004A79A6" w:rsidRDefault="002B7580" w:rsidP="00F62E8B">
            <w:pPr>
              <w:jc w:val="right"/>
              <w:rPr>
                <w:rFonts w:cs="Arial"/>
                <w:sz w:val="16"/>
                <w:szCs w:val="16"/>
              </w:rPr>
            </w:pPr>
            <w:r>
              <w:rPr>
                <w:rFonts w:cs="Arial"/>
                <w:sz w:val="16"/>
                <w:szCs w:val="16"/>
              </w:rPr>
              <w:t>1,0</w:t>
            </w:r>
          </w:p>
        </w:tc>
        <w:tc>
          <w:tcPr>
            <w:tcW w:w="182" w:type="dxa"/>
            <w:tcBorders>
              <w:top w:val="nil"/>
              <w:left w:val="nil"/>
              <w:bottom w:val="single" w:sz="4" w:space="0" w:color="D9D9D9"/>
              <w:right w:val="nil"/>
            </w:tcBorders>
            <w:shd w:val="clear" w:color="auto" w:fill="auto"/>
            <w:noWrap/>
            <w:vAlign w:val="center"/>
          </w:tcPr>
          <w:p w14:paraId="64DA05FE" w14:textId="3D64FBC3" w:rsidR="00F62E8B" w:rsidRPr="004A79A6" w:rsidRDefault="002B7580" w:rsidP="00F62E8B">
            <w:pPr>
              <w:rPr>
                <w:rFonts w:ascii="Calibri" w:hAnsi="Calibri" w:cs="Calibri"/>
                <w:color w:val="000000"/>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tcPr>
          <w:p w14:paraId="1B24DD22" w14:textId="661B4054" w:rsidR="00F62E8B" w:rsidRPr="004A79A6" w:rsidRDefault="002B7580" w:rsidP="00F62E8B">
            <w:pPr>
              <w:rPr>
                <w:rFonts w:ascii="Calibri" w:hAnsi="Calibri" w:cs="Calibri"/>
                <w:color w:val="000000"/>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70441E7E" w14:textId="3E7FC436" w:rsidR="00F62E8B" w:rsidRPr="004A79A6" w:rsidRDefault="002B7580" w:rsidP="00F62E8B">
            <w:pPr>
              <w:rPr>
                <w:rFonts w:cs="Arial"/>
                <w:sz w:val="16"/>
                <w:szCs w:val="16"/>
              </w:rPr>
            </w:pPr>
            <w:r>
              <w:rPr>
                <w:rFonts w:cs="Arial"/>
                <w:sz w:val="16"/>
                <w:szCs w:val="16"/>
              </w:rPr>
              <w:t>Vyšný Skálnik (RS)</w:t>
            </w:r>
          </w:p>
        </w:tc>
        <w:tc>
          <w:tcPr>
            <w:tcW w:w="815" w:type="dxa"/>
            <w:tcBorders>
              <w:top w:val="nil"/>
              <w:left w:val="nil"/>
              <w:bottom w:val="single" w:sz="4" w:space="0" w:color="D9D9D9"/>
              <w:right w:val="nil"/>
            </w:tcBorders>
            <w:shd w:val="clear" w:color="auto" w:fill="auto"/>
            <w:noWrap/>
            <w:vAlign w:val="center"/>
          </w:tcPr>
          <w:p w14:paraId="0052AA02" w14:textId="46972276" w:rsidR="00F62E8B" w:rsidRPr="004A79A6" w:rsidRDefault="002B7580" w:rsidP="00F62E8B">
            <w:pPr>
              <w:jc w:val="right"/>
              <w:rPr>
                <w:rFonts w:cs="Arial"/>
                <w:b/>
                <w:color w:val="13B5EA"/>
                <w:sz w:val="16"/>
                <w:szCs w:val="16"/>
              </w:rPr>
            </w:pPr>
            <w:r>
              <w:rPr>
                <w:rFonts w:cs="Arial"/>
                <w:b/>
                <w:bCs/>
                <w:color w:val="13B5EA"/>
                <w:sz w:val="16"/>
                <w:szCs w:val="16"/>
              </w:rPr>
              <w:t>282,5</w:t>
            </w:r>
          </w:p>
        </w:tc>
        <w:tc>
          <w:tcPr>
            <w:tcW w:w="816" w:type="dxa"/>
            <w:tcBorders>
              <w:top w:val="nil"/>
              <w:left w:val="nil"/>
              <w:bottom w:val="single" w:sz="4" w:space="0" w:color="D9D9D9"/>
              <w:right w:val="nil"/>
            </w:tcBorders>
            <w:shd w:val="clear" w:color="auto" w:fill="auto"/>
            <w:noWrap/>
            <w:vAlign w:val="center"/>
          </w:tcPr>
          <w:p w14:paraId="7E50C74B" w14:textId="2F11D05A" w:rsidR="00F62E8B" w:rsidRPr="004A79A6" w:rsidRDefault="002B7580" w:rsidP="00F62E8B">
            <w:pPr>
              <w:jc w:val="right"/>
              <w:rPr>
                <w:rFonts w:cs="Arial"/>
                <w:sz w:val="16"/>
                <w:szCs w:val="16"/>
              </w:rPr>
            </w:pPr>
            <w:r>
              <w:rPr>
                <w:rFonts w:cs="Arial"/>
                <w:sz w:val="16"/>
                <w:szCs w:val="16"/>
              </w:rPr>
              <w:t>4 014</w:t>
            </w:r>
          </w:p>
        </w:tc>
        <w:tc>
          <w:tcPr>
            <w:tcW w:w="816" w:type="dxa"/>
            <w:tcBorders>
              <w:top w:val="nil"/>
              <w:left w:val="nil"/>
              <w:bottom w:val="single" w:sz="4" w:space="0" w:color="D9D9D9"/>
              <w:right w:val="nil"/>
            </w:tcBorders>
            <w:shd w:val="clear" w:color="auto" w:fill="auto"/>
            <w:noWrap/>
            <w:vAlign w:val="center"/>
          </w:tcPr>
          <w:p w14:paraId="7BFA8DC4" w14:textId="5972CB1C" w:rsidR="00F62E8B" w:rsidRPr="004A79A6" w:rsidRDefault="002B7580" w:rsidP="00F62E8B">
            <w:pPr>
              <w:jc w:val="right"/>
              <w:rPr>
                <w:rFonts w:cs="Arial"/>
                <w:sz w:val="16"/>
                <w:szCs w:val="16"/>
              </w:rPr>
            </w:pPr>
            <w:r>
              <w:rPr>
                <w:rFonts w:cs="Arial"/>
                <w:sz w:val="16"/>
                <w:szCs w:val="16"/>
              </w:rPr>
              <w:t>11,1</w:t>
            </w:r>
          </w:p>
        </w:tc>
      </w:tr>
      <w:tr w:rsidR="00F62E8B" w:rsidRPr="00B81300" w14:paraId="6444868D" w14:textId="77777777" w:rsidTr="004A79A6">
        <w:trPr>
          <w:trHeight w:hRule="exact" w:val="284"/>
        </w:trPr>
        <w:tc>
          <w:tcPr>
            <w:tcW w:w="1936" w:type="dxa"/>
            <w:tcBorders>
              <w:top w:val="nil"/>
              <w:left w:val="nil"/>
              <w:bottom w:val="single" w:sz="4" w:space="0" w:color="D9D9D9"/>
              <w:right w:val="nil"/>
            </w:tcBorders>
            <w:shd w:val="clear" w:color="auto" w:fill="D9D9D9" w:themeFill="background1" w:themeFillShade="D9"/>
            <w:noWrap/>
            <w:vAlign w:val="center"/>
          </w:tcPr>
          <w:p w14:paraId="3555A6BD" w14:textId="69CA4F75" w:rsidR="00F62E8B" w:rsidRPr="004A79A6" w:rsidRDefault="002B7580" w:rsidP="00F62E8B">
            <w:pPr>
              <w:rPr>
                <w:rFonts w:cs="Arial"/>
                <w:sz w:val="16"/>
                <w:szCs w:val="16"/>
              </w:rPr>
            </w:pPr>
            <w:r>
              <w:rPr>
                <w:rFonts w:cs="Arial"/>
                <w:sz w:val="16"/>
                <w:szCs w:val="16"/>
              </w:rPr>
              <w:t>Mankovce (ZM) **</w:t>
            </w:r>
          </w:p>
        </w:tc>
        <w:tc>
          <w:tcPr>
            <w:tcW w:w="795" w:type="dxa"/>
            <w:tcBorders>
              <w:top w:val="nil"/>
              <w:left w:val="nil"/>
              <w:bottom w:val="single" w:sz="4" w:space="0" w:color="D9D9D9"/>
              <w:right w:val="nil"/>
            </w:tcBorders>
            <w:shd w:val="clear" w:color="auto" w:fill="D9D9D9" w:themeFill="background1" w:themeFillShade="D9"/>
            <w:noWrap/>
            <w:vAlign w:val="center"/>
          </w:tcPr>
          <w:p w14:paraId="31EA6406" w14:textId="11571A11" w:rsidR="00F62E8B" w:rsidRPr="004A79A6" w:rsidRDefault="002B7580" w:rsidP="00F62E8B">
            <w:pPr>
              <w:jc w:val="right"/>
              <w:rPr>
                <w:rFonts w:cs="Arial"/>
                <w:b/>
                <w:color w:val="13B5EA"/>
                <w:sz w:val="16"/>
                <w:szCs w:val="16"/>
              </w:rPr>
            </w:pPr>
            <w:r>
              <w:rPr>
                <w:rFonts w:cs="Arial"/>
                <w:b/>
                <w:bCs/>
                <w:color w:val="13B5EA"/>
                <w:sz w:val="16"/>
                <w:szCs w:val="16"/>
              </w:rPr>
              <w:t>66,6</w:t>
            </w:r>
          </w:p>
        </w:tc>
        <w:tc>
          <w:tcPr>
            <w:tcW w:w="795" w:type="dxa"/>
            <w:tcBorders>
              <w:top w:val="nil"/>
              <w:left w:val="nil"/>
              <w:bottom w:val="single" w:sz="4" w:space="0" w:color="D9D9D9"/>
              <w:right w:val="nil"/>
            </w:tcBorders>
            <w:shd w:val="clear" w:color="auto" w:fill="D9D9D9" w:themeFill="background1" w:themeFillShade="D9"/>
            <w:noWrap/>
            <w:vAlign w:val="center"/>
          </w:tcPr>
          <w:p w14:paraId="080BF8F9" w14:textId="558FBA7E" w:rsidR="00F62E8B" w:rsidRPr="004A79A6" w:rsidRDefault="002B7580" w:rsidP="00F62E8B">
            <w:pPr>
              <w:jc w:val="right"/>
              <w:rPr>
                <w:rFonts w:cs="Arial"/>
                <w:sz w:val="16"/>
                <w:szCs w:val="16"/>
              </w:rPr>
            </w:pPr>
            <w:r>
              <w:rPr>
                <w:rFonts w:cs="Arial"/>
                <w:sz w:val="16"/>
                <w:szCs w:val="16"/>
              </w:rPr>
              <w:t>719</w:t>
            </w:r>
          </w:p>
        </w:tc>
        <w:tc>
          <w:tcPr>
            <w:tcW w:w="795" w:type="dxa"/>
            <w:tcBorders>
              <w:top w:val="nil"/>
              <w:left w:val="nil"/>
              <w:bottom w:val="single" w:sz="4" w:space="0" w:color="D9D9D9"/>
              <w:right w:val="nil"/>
            </w:tcBorders>
            <w:shd w:val="clear" w:color="auto" w:fill="D9D9D9" w:themeFill="background1" w:themeFillShade="D9"/>
            <w:noWrap/>
            <w:vAlign w:val="center"/>
          </w:tcPr>
          <w:p w14:paraId="4E5B242D" w14:textId="05F25615" w:rsidR="00F62E8B" w:rsidRPr="004A79A6" w:rsidRDefault="002B7580" w:rsidP="00F62E8B">
            <w:pPr>
              <w:jc w:val="right"/>
              <w:rPr>
                <w:rFonts w:cs="Arial"/>
                <w:sz w:val="16"/>
                <w:szCs w:val="16"/>
              </w:rPr>
            </w:pPr>
            <w:r>
              <w:rPr>
                <w:rFonts w:cs="Arial"/>
                <w:sz w:val="16"/>
                <w:szCs w:val="16"/>
              </w:rPr>
              <w:t>0,3</w:t>
            </w:r>
          </w:p>
        </w:tc>
        <w:tc>
          <w:tcPr>
            <w:tcW w:w="182" w:type="dxa"/>
            <w:tcBorders>
              <w:top w:val="nil"/>
              <w:left w:val="nil"/>
              <w:bottom w:val="single" w:sz="4" w:space="0" w:color="D9D9D9"/>
              <w:right w:val="nil"/>
            </w:tcBorders>
            <w:shd w:val="clear" w:color="auto" w:fill="D9D9D9" w:themeFill="background1" w:themeFillShade="D9"/>
            <w:noWrap/>
            <w:vAlign w:val="center"/>
          </w:tcPr>
          <w:p w14:paraId="1987A346" w14:textId="3CDD2318" w:rsidR="00F62E8B" w:rsidRPr="004A79A6" w:rsidRDefault="002B7580" w:rsidP="00F62E8B">
            <w:pPr>
              <w:rPr>
                <w:rFonts w:ascii="Calibri" w:hAnsi="Calibri" w:cs="Calibri"/>
                <w:color w:val="000000"/>
                <w:sz w:val="16"/>
                <w:szCs w:val="16"/>
              </w:rPr>
            </w:pPr>
            <w:r>
              <w:rPr>
                <w:rFonts w:ascii="Calibri" w:hAnsi="Calibri" w:cs="Calibri"/>
                <w:color w:val="000000"/>
                <w:sz w:val="16"/>
                <w:szCs w:val="16"/>
              </w:rPr>
              <w:t> </w:t>
            </w:r>
          </w:p>
        </w:tc>
        <w:tc>
          <w:tcPr>
            <w:tcW w:w="182" w:type="dxa"/>
            <w:tcBorders>
              <w:top w:val="nil"/>
              <w:left w:val="single" w:sz="4" w:space="0" w:color="13B5EA"/>
              <w:bottom w:val="single" w:sz="4" w:space="0" w:color="D9D9D9"/>
              <w:right w:val="nil"/>
            </w:tcBorders>
            <w:shd w:val="clear" w:color="auto" w:fill="auto"/>
            <w:noWrap/>
            <w:vAlign w:val="center"/>
          </w:tcPr>
          <w:p w14:paraId="038F6E81" w14:textId="0A9823CB" w:rsidR="00F62E8B" w:rsidRPr="004A79A6" w:rsidRDefault="002B7580" w:rsidP="00F62E8B">
            <w:pPr>
              <w:rPr>
                <w:rFonts w:ascii="Calibri" w:hAnsi="Calibri" w:cs="Calibri"/>
                <w:color w:val="000000"/>
                <w:sz w:val="16"/>
                <w:szCs w:val="16"/>
              </w:rPr>
            </w:pPr>
            <w:r>
              <w:rPr>
                <w:rFonts w:ascii="Calibri" w:hAnsi="Calibri" w:cs="Calibri"/>
                <w:color w:val="000000"/>
                <w:sz w:val="16"/>
                <w:szCs w:val="16"/>
              </w:rPr>
              <w:t> </w:t>
            </w:r>
          </w:p>
        </w:tc>
        <w:tc>
          <w:tcPr>
            <w:tcW w:w="1940" w:type="dxa"/>
            <w:tcBorders>
              <w:top w:val="nil"/>
              <w:left w:val="nil"/>
              <w:bottom w:val="single" w:sz="4" w:space="0" w:color="D9D9D9"/>
              <w:right w:val="nil"/>
            </w:tcBorders>
            <w:shd w:val="clear" w:color="auto" w:fill="auto"/>
            <w:noWrap/>
            <w:vAlign w:val="center"/>
          </w:tcPr>
          <w:p w14:paraId="308EF593" w14:textId="09A1CE95" w:rsidR="00F62E8B" w:rsidRPr="004A79A6" w:rsidRDefault="002B7580" w:rsidP="00F62E8B">
            <w:pPr>
              <w:rPr>
                <w:rFonts w:cs="Arial"/>
                <w:sz w:val="16"/>
                <w:szCs w:val="16"/>
              </w:rPr>
            </w:pPr>
            <w:r>
              <w:rPr>
                <w:rFonts w:cs="Arial"/>
                <w:sz w:val="16"/>
                <w:szCs w:val="16"/>
              </w:rPr>
              <w:t>Žemliare (LV)</w:t>
            </w:r>
          </w:p>
        </w:tc>
        <w:tc>
          <w:tcPr>
            <w:tcW w:w="815" w:type="dxa"/>
            <w:tcBorders>
              <w:top w:val="nil"/>
              <w:left w:val="nil"/>
              <w:bottom w:val="single" w:sz="4" w:space="0" w:color="D9D9D9"/>
              <w:right w:val="nil"/>
            </w:tcBorders>
            <w:shd w:val="clear" w:color="auto" w:fill="auto"/>
            <w:noWrap/>
            <w:vAlign w:val="center"/>
          </w:tcPr>
          <w:p w14:paraId="776FD068" w14:textId="1F7EE793" w:rsidR="00F62E8B" w:rsidRPr="004A79A6" w:rsidRDefault="002B7580" w:rsidP="00F62E8B">
            <w:pPr>
              <w:jc w:val="right"/>
              <w:rPr>
                <w:rFonts w:cs="Arial"/>
                <w:b/>
                <w:color w:val="13B5EA"/>
                <w:sz w:val="16"/>
                <w:szCs w:val="16"/>
              </w:rPr>
            </w:pPr>
            <w:r>
              <w:rPr>
                <w:rFonts w:cs="Arial"/>
                <w:b/>
                <w:bCs/>
                <w:color w:val="13B5EA"/>
                <w:sz w:val="16"/>
                <w:szCs w:val="16"/>
              </w:rPr>
              <w:t>135,4</w:t>
            </w:r>
          </w:p>
        </w:tc>
        <w:tc>
          <w:tcPr>
            <w:tcW w:w="816" w:type="dxa"/>
            <w:tcBorders>
              <w:top w:val="nil"/>
              <w:left w:val="nil"/>
              <w:bottom w:val="single" w:sz="4" w:space="0" w:color="D9D9D9"/>
              <w:right w:val="nil"/>
            </w:tcBorders>
            <w:shd w:val="clear" w:color="auto" w:fill="auto"/>
            <w:noWrap/>
            <w:vAlign w:val="center"/>
          </w:tcPr>
          <w:p w14:paraId="179B14FA" w14:textId="6286A3C7" w:rsidR="00F62E8B" w:rsidRPr="004A79A6" w:rsidRDefault="002B7580" w:rsidP="00F62E8B">
            <w:pPr>
              <w:jc w:val="right"/>
              <w:rPr>
                <w:rFonts w:cs="Arial"/>
                <w:sz w:val="16"/>
                <w:szCs w:val="16"/>
              </w:rPr>
            </w:pPr>
            <w:r>
              <w:rPr>
                <w:rFonts w:cs="Arial"/>
                <w:sz w:val="16"/>
                <w:szCs w:val="16"/>
              </w:rPr>
              <w:t>2 096</w:t>
            </w:r>
          </w:p>
        </w:tc>
        <w:tc>
          <w:tcPr>
            <w:tcW w:w="816" w:type="dxa"/>
            <w:tcBorders>
              <w:top w:val="nil"/>
              <w:left w:val="nil"/>
              <w:bottom w:val="single" w:sz="4" w:space="0" w:color="D9D9D9"/>
              <w:right w:val="nil"/>
            </w:tcBorders>
            <w:shd w:val="clear" w:color="auto" w:fill="auto"/>
            <w:noWrap/>
            <w:vAlign w:val="center"/>
          </w:tcPr>
          <w:p w14:paraId="33808394" w14:textId="6245FE08" w:rsidR="00F62E8B" w:rsidRPr="004A79A6" w:rsidRDefault="002B7580" w:rsidP="00F62E8B">
            <w:pPr>
              <w:jc w:val="right"/>
              <w:rPr>
                <w:rFonts w:cs="Arial"/>
                <w:sz w:val="16"/>
                <w:szCs w:val="16"/>
              </w:rPr>
            </w:pPr>
            <w:r>
              <w:rPr>
                <w:rFonts w:cs="Arial"/>
                <w:sz w:val="16"/>
                <w:szCs w:val="16"/>
              </w:rPr>
              <w:t>3,8</w:t>
            </w:r>
          </w:p>
        </w:tc>
      </w:tr>
      <w:tr w:rsidR="00C22251" w:rsidRPr="00B81300" w14:paraId="2EB75E8A" w14:textId="77777777" w:rsidTr="00AE1B85">
        <w:trPr>
          <w:trHeight w:val="300"/>
        </w:trPr>
        <w:tc>
          <w:tcPr>
            <w:tcW w:w="9072" w:type="dxa"/>
            <w:gridSpan w:val="10"/>
            <w:tcBorders>
              <w:top w:val="single" w:sz="4" w:space="0" w:color="13B5EA"/>
              <w:left w:val="nil"/>
              <w:bottom w:val="nil"/>
              <w:right w:val="nil"/>
            </w:tcBorders>
            <w:shd w:val="clear" w:color="auto" w:fill="auto"/>
            <w:noWrap/>
            <w:vAlign w:val="center"/>
            <w:hideMark/>
          </w:tcPr>
          <w:tbl>
            <w:tblPr>
              <w:tblW w:w="9738" w:type="dxa"/>
              <w:tblLayout w:type="fixed"/>
              <w:tblCellMar>
                <w:left w:w="70" w:type="dxa"/>
                <w:right w:w="70" w:type="dxa"/>
              </w:tblCellMar>
              <w:tblLook w:val="04A0" w:firstRow="1" w:lastRow="0" w:firstColumn="1" w:lastColumn="0" w:noHBand="0" w:noVBand="1"/>
            </w:tblPr>
            <w:tblGrid>
              <w:gridCol w:w="8778"/>
              <w:gridCol w:w="160"/>
              <w:gridCol w:w="160"/>
              <w:gridCol w:w="160"/>
              <w:gridCol w:w="160"/>
              <w:gridCol w:w="160"/>
              <w:gridCol w:w="160"/>
            </w:tblGrid>
            <w:tr w:rsidR="00442D57" w:rsidRPr="00B81300" w14:paraId="792E7149" w14:textId="77777777" w:rsidTr="002E2CB0">
              <w:trPr>
                <w:trHeight w:hRule="exact" w:val="418"/>
              </w:trPr>
              <w:tc>
                <w:tcPr>
                  <w:tcW w:w="9738" w:type="dxa"/>
                  <w:gridSpan w:val="7"/>
                  <w:tcBorders>
                    <w:top w:val="nil"/>
                    <w:left w:val="nil"/>
                    <w:bottom w:val="nil"/>
                    <w:right w:val="nil"/>
                  </w:tcBorders>
                  <w:shd w:val="clear" w:color="auto" w:fill="auto"/>
                  <w:noWrap/>
                  <w:hideMark/>
                </w:tcPr>
                <w:p w14:paraId="37A50056" w14:textId="7AAD7D5D" w:rsidR="002E2CB0" w:rsidRPr="004A79A6" w:rsidRDefault="00442D57" w:rsidP="00442D57">
                  <w:pPr>
                    <w:rPr>
                      <w:rFonts w:cs="Arial"/>
                      <w:i/>
                      <w:color w:val="13B5EA"/>
                      <w:sz w:val="16"/>
                      <w:szCs w:val="16"/>
                    </w:rPr>
                  </w:pPr>
                  <w:r w:rsidRPr="004A79A6">
                    <w:rPr>
                      <w:rFonts w:cs="Arial"/>
                      <w:i/>
                      <w:color w:val="13B5EA"/>
                      <w:sz w:val="16"/>
                      <w:szCs w:val="16"/>
                    </w:rPr>
                    <w:t xml:space="preserve">Pozn.: </w:t>
                  </w:r>
                  <w:r w:rsidR="002E2CB0" w:rsidRPr="004A79A6">
                    <w:rPr>
                      <w:rFonts w:cs="Arial"/>
                      <w:i/>
                      <w:color w:val="13B5EA"/>
                      <w:sz w:val="16"/>
                      <w:szCs w:val="16"/>
                    </w:rPr>
                    <w:t xml:space="preserve">Údaj Pomer pokuty vyjadruje </w:t>
                  </w:r>
                  <w:r w:rsidR="009A7DBA" w:rsidRPr="004A79A6">
                    <w:rPr>
                      <w:rFonts w:cs="Arial"/>
                      <w:i/>
                      <w:color w:val="13B5EA"/>
                      <w:sz w:val="16"/>
                      <w:szCs w:val="16"/>
                    </w:rPr>
                    <w:t xml:space="preserve">percentuálny </w:t>
                  </w:r>
                  <w:r w:rsidR="002E2CB0" w:rsidRPr="004A79A6">
                    <w:rPr>
                      <w:rFonts w:cs="Arial"/>
                      <w:i/>
                      <w:color w:val="13B5EA"/>
                      <w:sz w:val="16"/>
                      <w:szCs w:val="16"/>
                    </w:rPr>
                    <w:t xml:space="preserve">pomer potenciálnej pokuty </w:t>
                  </w:r>
                  <w:r w:rsidR="0086145C" w:rsidRPr="004A79A6">
                    <w:rPr>
                      <w:rFonts w:cs="Arial"/>
                      <w:i/>
                      <w:color w:val="13B5EA"/>
                      <w:sz w:val="16"/>
                      <w:szCs w:val="16"/>
                    </w:rPr>
                    <w:t xml:space="preserve">voči </w:t>
                  </w:r>
                  <w:r w:rsidR="005945D0" w:rsidRPr="004A79A6">
                    <w:rPr>
                      <w:rFonts w:cs="Arial"/>
                      <w:i/>
                      <w:color w:val="13B5EA"/>
                      <w:sz w:val="16"/>
                      <w:szCs w:val="16"/>
                    </w:rPr>
                    <w:t xml:space="preserve">bežným </w:t>
                  </w:r>
                  <w:r w:rsidR="0086145C" w:rsidRPr="004A79A6">
                    <w:rPr>
                      <w:rFonts w:cs="Arial"/>
                      <w:i/>
                      <w:color w:val="13B5EA"/>
                      <w:sz w:val="16"/>
                      <w:szCs w:val="16"/>
                    </w:rPr>
                    <w:t xml:space="preserve">príjmom obce </w:t>
                  </w:r>
                  <w:r w:rsidR="00A81642" w:rsidRPr="004A79A6">
                    <w:rPr>
                      <w:rFonts w:cs="Arial"/>
                      <w:i/>
                      <w:color w:val="13B5EA"/>
                      <w:sz w:val="16"/>
                      <w:szCs w:val="16"/>
                    </w:rPr>
                    <w:t>z</w:t>
                  </w:r>
                  <w:r w:rsidR="0086145C" w:rsidRPr="004A79A6">
                    <w:rPr>
                      <w:rFonts w:cs="Arial"/>
                      <w:i/>
                      <w:color w:val="13B5EA"/>
                      <w:sz w:val="16"/>
                      <w:szCs w:val="16"/>
                    </w:rPr>
                    <w:t xml:space="preserve"> </w:t>
                  </w:r>
                  <w:r w:rsidR="001A5D33" w:rsidRPr="004A79A6">
                    <w:rPr>
                      <w:rFonts w:cs="Arial"/>
                      <w:i/>
                      <w:color w:val="13B5EA"/>
                      <w:sz w:val="16"/>
                      <w:szCs w:val="16"/>
                    </w:rPr>
                    <w:t>pred</w:t>
                  </w:r>
                  <w:r w:rsidR="00A127A4" w:rsidRPr="004A79A6">
                    <w:rPr>
                      <w:rFonts w:cs="Arial"/>
                      <w:i/>
                      <w:color w:val="13B5EA"/>
                      <w:sz w:val="16"/>
                      <w:szCs w:val="16"/>
                    </w:rPr>
                    <w:t>chádzajúceho</w:t>
                  </w:r>
                  <w:r w:rsidR="001A5D33" w:rsidRPr="004A79A6">
                    <w:rPr>
                      <w:rFonts w:cs="Arial"/>
                      <w:i/>
                      <w:color w:val="13B5EA"/>
                      <w:sz w:val="16"/>
                      <w:szCs w:val="16"/>
                    </w:rPr>
                    <w:t xml:space="preserve"> roka.</w:t>
                  </w:r>
                </w:p>
                <w:p w14:paraId="12D464DF" w14:textId="7084F482" w:rsidR="00442D57" w:rsidRPr="004A79A6" w:rsidRDefault="00442D57" w:rsidP="00442D57">
                  <w:pPr>
                    <w:rPr>
                      <w:rFonts w:cs="Arial"/>
                      <w:i/>
                      <w:color w:val="13B5EA"/>
                      <w:sz w:val="16"/>
                      <w:szCs w:val="16"/>
                    </w:rPr>
                  </w:pPr>
                  <w:r w:rsidRPr="004A79A6">
                    <w:rPr>
                      <w:rFonts w:cs="Arial"/>
                      <w:i/>
                      <w:color w:val="13B5EA"/>
                      <w:sz w:val="16"/>
                      <w:szCs w:val="16"/>
                    </w:rPr>
                    <w:t>Na obce zvýraznené sivou výplňou sa nevzťahuje potenciálna pokuta. Ich parametre uvedené v tabuľke sú iba informačné.</w:t>
                  </w:r>
                </w:p>
              </w:tc>
            </w:tr>
            <w:tr w:rsidR="00442D57" w:rsidRPr="00B81300" w14:paraId="3DAF1BEB" w14:textId="77777777" w:rsidTr="00F62E8B">
              <w:trPr>
                <w:trHeight w:hRule="exact" w:val="431"/>
              </w:trPr>
              <w:tc>
                <w:tcPr>
                  <w:tcW w:w="9738" w:type="dxa"/>
                  <w:gridSpan w:val="7"/>
                  <w:tcBorders>
                    <w:top w:val="nil"/>
                    <w:left w:val="nil"/>
                    <w:bottom w:val="nil"/>
                    <w:right w:val="nil"/>
                  </w:tcBorders>
                  <w:shd w:val="clear" w:color="auto" w:fill="auto"/>
                  <w:noWrap/>
                  <w:hideMark/>
                </w:tcPr>
                <w:p w14:paraId="75F3BC42" w14:textId="77777777" w:rsidR="00442D57" w:rsidRPr="004A79A6" w:rsidRDefault="00442D57" w:rsidP="00442D57">
                  <w:pPr>
                    <w:rPr>
                      <w:rFonts w:cs="Arial"/>
                      <w:i/>
                      <w:color w:val="13B5EA"/>
                      <w:sz w:val="16"/>
                      <w:szCs w:val="16"/>
                    </w:rPr>
                  </w:pPr>
                  <w:r w:rsidRPr="004A79A6">
                    <w:rPr>
                      <w:rFonts w:cs="Arial"/>
                      <w:i/>
                      <w:color w:val="13B5EA"/>
                      <w:sz w:val="16"/>
                      <w:szCs w:val="16"/>
                    </w:rPr>
                    <w:t>* Obec je v nútenej správe, pričom do sumy dlhu na účely uloženia pokuty sa nezapočítavajú záväzky obcí v nútenej správe.</w:t>
                  </w:r>
                </w:p>
                <w:p w14:paraId="05BCF928" w14:textId="728D6AB1" w:rsidR="00442D57" w:rsidRPr="004A79A6" w:rsidRDefault="00F62E8B" w:rsidP="00442D57">
                  <w:pPr>
                    <w:rPr>
                      <w:rFonts w:cs="Arial"/>
                      <w:i/>
                      <w:color w:val="13B5EA"/>
                      <w:sz w:val="16"/>
                      <w:szCs w:val="16"/>
                    </w:rPr>
                  </w:pPr>
                  <w:r w:rsidRPr="004A79A6">
                    <w:rPr>
                      <w:rFonts w:cs="Arial"/>
                      <w:i/>
                      <w:color w:val="13B5EA"/>
                      <w:sz w:val="16"/>
                      <w:szCs w:val="16"/>
                    </w:rPr>
                    <w:t xml:space="preserve">** Obec má nového starostu/primátora </w:t>
                  </w:r>
                  <w:r w:rsidR="006C74FC" w:rsidRPr="004A79A6">
                    <w:rPr>
                      <w:rFonts w:cs="Arial"/>
                      <w:i/>
                      <w:color w:val="13B5EA"/>
                      <w:sz w:val="16"/>
                      <w:szCs w:val="16"/>
                    </w:rPr>
                    <w:t xml:space="preserve">a teda sa </w:t>
                  </w:r>
                  <w:r w:rsidRPr="004A79A6">
                    <w:rPr>
                      <w:rFonts w:cs="Arial"/>
                      <w:i/>
                      <w:color w:val="13B5EA"/>
                      <w:sz w:val="16"/>
                      <w:szCs w:val="16"/>
                    </w:rPr>
                    <w:t>počas 24 mesiacov neuplatňuje pokuta.</w:t>
                  </w:r>
                </w:p>
              </w:tc>
            </w:tr>
            <w:tr w:rsidR="00442D57" w:rsidRPr="00B81300" w14:paraId="339C4041" w14:textId="77777777" w:rsidTr="00F9590E">
              <w:trPr>
                <w:trHeight w:hRule="exact" w:val="238"/>
              </w:trPr>
              <w:tc>
                <w:tcPr>
                  <w:tcW w:w="8778" w:type="dxa"/>
                  <w:tcBorders>
                    <w:top w:val="nil"/>
                    <w:left w:val="nil"/>
                    <w:bottom w:val="nil"/>
                    <w:right w:val="nil"/>
                  </w:tcBorders>
                  <w:shd w:val="clear" w:color="auto" w:fill="auto"/>
                  <w:noWrap/>
                  <w:hideMark/>
                </w:tcPr>
                <w:p w14:paraId="01CEDC8B" w14:textId="4984B071" w:rsidR="00442D57" w:rsidRPr="004A79A6" w:rsidRDefault="00442D57" w:rsidP="00442D57">
                  <w:pPr>
                    <w:rPr>
                      <w:rFonts w:cs="Arial"/>
                      <w:i/>
                      <w:color w:val="13B5EA"/>
                      <w:sz w:val="16"/>
                      <w:szCs w:val="16"/>
                    </w:rPr>
                  </w:pPr>
                  <w:r w:rsidRPr="004A79A6">
                    <w:rPr>
                      <w:rFonts w:cs="Arial"/>
                      <w:i/>
                      <w:color w:val="13B5EA"/>
                      <w:sz w:val="16"/>
                      <w:szCs w:val="16"/>
                    </w:rPr>
                    <w:t>**</w:t>
                  </w:r>
                  <w:r w:rsidR="00F62E8B" w:rsidRPr="004A79A6">
                    <w:rPr>
                      <w:rFonts w:cs="Arial"/>
                      <w:i/>
                      <w:color w:val="13B5EA"/>
                      <w:sz w:val="16"/>
                      <w:szCs w:val="16"/>
                    </w:rPr>
                    <w:t>*</w:t>
                  </w:r>
                  <w:r w:rsidRPr="004A79A6">
                    <w:rPr>
                      <w:rFonts w:cs="Arial"/>
                      <w:i/>
                      <w:color w:val="13B5EA"/>
                      <w:sz w:val="16"/>
                      <w:szCs w:val="16"/>
                    </w:rPr>
                    <w:t xml:space="preserve"> </w:t>
                  </w:r>
                  <w:r w:rsidR="00F9590E" w:rsidRPr="004A79A6">
                    <w:rPr>
                      <w:rFonts w:cs="Arial"/>
                      <w:i/>
                      <w:color w:val="13B5EA"/>
                      <w:sz w:val="16"/>
                      <w:szCs w:val="16"/>
                    </w:rPr>
                    <w:t>Záväzky obce sa nezapočítavajú do sumy dlhu, keďže vznikli reštrukturalizáciou pôvodných úverov počas nútenej správy.</w:t>
                  </w:r>
                </w:p>
              </w:tc>
              <w:tc>
                <w:tcPr>
                  <w:tcW w:w="160" w:type="dxa"/>
                  <w:tcBorders>
                    <w:top w:val="nil"/>
                    <w:left w:val="nil"/>
                    <w:bottom w:val="nil"/>
                    <w:right w:val="nil"/>
                  </w:tcBorders>
                  <w:shd w:val="clear" w:color="auto" w:fill="auto"/>
                  <w:noWrap/>
                  <w:hideMark/>
                </w:tcPr>
                <w:p w14:paraId="77EF6F9F" w14:textId="77777777" w:rsidR="00442D57" w:rsidRPr="00B81300" w:rsidRDefault="00442D57" w:rsidP="00442D57">
                  <w:pPr>
                    <w:rPr>
                      <w:rFonts w:cs="Arial"/>
                      <w:i/>
                      <w:iCs/>
                      <w:color w:val="13B5EA"/>
                      <w:sz w:val="16"/>
                      <w:szCs w:val="16"/>
                      <w:highlight w:val="yellow"/>
                    </w:rPr>
                  </w:pPr>
                </w:p>
              </w:tc>
              <w:tc>
                <w:tcPr>
                  <w:tcW w:w="160" w:type="dxa"/>
                  <w:tcBorders>
                    <w:top w:val="nil"/>
                    <w:left w:val="nil"/>
                    <w:bottom w:val="nil"/>
                    <w:right w:val="nil"/>
                  </w:tcBorders>
                  <w:shd w:val="clear" w:color="auto" w:fill="auto"/>
                  <w:noWrap/>
                  <w:hideMark/>
                </w:tcPr>
                <w:p w14:paraId="379A30A2" w14:textId="77777777" w:rsidR="00442D57" w:rsidRPr="00B81300" w:rsidRDefault="00442D57"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314889CC" w14:textId="77777777" w:rsidR="00442D57" w:rsidRPr="00B81300" w:rsidRDefault="00442D57"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46DB33DF" w14:textId="77777777" w:rsidR="00442D57" w:rsidRPr="00B81300" w:rsidRDefault="00442D57"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6261C6E7" w14:textId="77777777" w:rsidR="00442D57" w:rsidRPr="00B81300" w:rsidRDefault="00442D57"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5C188467" w14:textId="77777777" w:rsidR="00442D57" w:rsidRPr="00B81300" w:rsidRDefault="00442D57" w:rsidP="00442D57">
                  <w:pPr>
                    <w:rPr>
                      <w:rFonts w:ascii="Times New Roman" w:hAnsi="Times New Roman"/>
                      <w:sz w:val="20"/>
                      <w:highlight w:val="yellow"/>
                    </w:rPr>
                  </w:pPr>
                </w:p>
              </w:tc>
            </w:tr>
            <w:tr w:rsidR="00442D57" w:rsidRPr="00B81300" w14:paraId="4E62B55F" w14:textId="77777777" w:rsidTr="00F62E8B">
              <w:trPr>
                <w:trHeight w:hRule="exact" w:val="1090"/>
              </w:trPr>
              <w:tc>
                <w:tcPr>
                  <w:tcW w:w="9098" w:type="dxa"/>
                  <w:gridSpan w:val="3"/>
                  <w:tcBorders>
                    <w:top w:val="nil"/>
                    <w:left w:val="nil"/>
                    <w:bottom w:val="nil"/>
                    <w:right w:val="nil"/>
                  </w:tcBorders>
                  <w:shd w:val="clear" w:color="auto" w:fill="auto"/>
                  <w:noWrap/>
                  <w:hideMark/>
                </w:tcPr>
                <w:p w14:paraId="0E15015D" w14:textId="7B3DB2EC" w:rsidR="00F62E8B" w:rsidRPr="004A79A6" w:rsidRDefault="00442D57" w:rsidP="00442D57">
                  <w:pPr>
                    <w:rPr>
                      <w:rFonts w:cs="Arial"/>
                      <w:i/>
                      <w:color w:val="13B5EA"/>
                      <w:sz w:val="16"/>
                      <w:szCs w:val="16"/>
                    </w:rPr>
                  </w:pPr>
                  <w:r w:rsidRPr="004A79A6">
                    <w:rPr>
                      <w:rFonts w:cs="Arial"/>
                      <w:i/>
                      <w:color w:val="13B5EA"/>
                      <w:sz w:val="16"/>
                      <w:szCs w:val="16"/>
                    </w:rPr>
                    <w:t>***</w:t>
                  </w:r>
                  <w:r w:rsidR="00F62E8B" w:rsidRPr="004A79A6">
                    <w:rPr>
                      <w:rFonts w:cs="Arial"/>
                      <w:i/>
                      <w:color w:val="13B5EA"/>
                      <w:sz w:val="16"/>
                      <w:szCs w:val="16"/>
                    </w:rPr>
                    <w:t>*</w:t>
                  </w:r>
                  <w:r w:rsidRPr="004A79A6">
                    <w:rPr>
                      <w:rFonts w:cs="Arial"/>
                      <w:i/>
                      <w:color w:val="13B5EA"/>
                      <w:sz w:val="16"/>
                      <w:szCs w:val="16"/>
                    </w:rPr>
                    <w:t xml:space="preserve"> </w:t>
                  </w:r>
                  <w:r w:rsidR="00880AC5" w:rsidRPr="004A79A6">
                    <w:rPr>
                      <w:rFonts w:cs="Arial"/>
                      <w:i/>
                      <w:color w:val="13B5EA"/>
                      <w:sz w:val="16"/>
                      <w:szCs w:val="16"/>
                    </w:rPr>
                    <w:t>Obe</w:t>
                  </w:r>
                  <w:r w:rsidR="00F9590E" w:rsidRPr="004A79A6">
                    <w:rPr>
                      <w:rFonts w:cs="Arial"/>
                      <w:i/>
                      <w:color w:val="13B5EA"/>
                      <w:sz w:val="16"/>
                      <w:szCs w:val="16"/>
                    </w:rPr>
                    <w:t xml:space="preserve">c už bola pokutovaná </w:t>
                  </w:r>
                  <w:r w:rsidR="00F62E8B" w:rsidRPr="004A79A6">
                    <w:rPr>
                      <w:rFonts w:cs="Arial"/>
                      <w:i/>
                      <w:color w:val="13B5EA"/>
                      <w:sz w:val="16"/>
                      <w:szCs w:val="16"/>
                    </w:rPr>
                    <w:t>v minulosti</w:t>
                  </w:r>
                  <w:r w:rsidR="00880AC5" w:rsidRPr="004A79A6">
                    <w:rPr>
                      <w:rFonts w:cs="Arial"/>
                      <w:i/>
                      <w:color w:val="13B5EA"/>
                      <w:sz w:val="16"/>
                      <w:szCs w:val="16"/>
                    </w:rPr>
                    <w:t xml:space="preserve"> a jej </w:t>
                  </w:r>
                  <w:r w:rsidR="00F72CC0" w:rsidRPr="004A79A6">
                    <w:rPr>
                      <w:rFonts w:cs="Arial"/>
                      <w:i/>
                      <w:color w:val="13B5EA"/>
                      <w:sz w:val="16"/>
                      <w:szCs w:val="16"/>
                    </w:rPr>
                    <w:t xml:space="preserve">pomer </w:t>
                  </w:r>
                  <w:r w:rsidR="00CF1BF5" w:rsidRPr="004A79A6">
                    <w:rPr>
                      <w:rFonts w:cs="Arial"/>
                      <w:i/>
                      <w:color w:val="13B5EA"/>
                      <w:sz w:val="16"/>
                      <w:szCs w:val="16"/>
                    </w:rPr>
                    <w:t>dlh</w:t>
                  </w:r>
                  <w:r w:rsidR="00F72CC0" w:rsidRPr="004A79A6">
                    <w:rPr>
                      <w:rFonts w:cs="Arial"/>
                      <w:i/>
                      <w:color w:val="13B5EA"/>
                      <w:sz w:val="16"/>
                      <w:szCs w:val="16"/>
                    </w:rPr>
                    <w:t>u</w:t>
                  </w:r>
                  <w:r w:rsidR="00CF1BF5" w:rsidRPr="004A79A6">
                    <w:rPr>
                      <w:rFonts w:cs="Arial"/>
                      <w:i/>
                      <w:color w:val="13B5EA"/>
                      <w:sz w:val="16"/>
                      <w:szCs w:val="16"/>
                    </w:rPr>
                    <w:t xml:space="preserve"> sa m</w:t>
                  </w:r>
                  <w:r w:rsidR="00EA5EF9" w:rsidRPr="004A79A6">
                    <w:rPr>
                      <w:rFonts w:cs="Arial"/>
                      <w:i/>
                      <w:color w:val="13B5EA"/>
                      <w:sz w:val="16"/>
                      <w:szCs w:val="16"/>
                    </w:rPr>
                    <w:t>edziročn</w:t>
                  </w:r>
                  <w:r w:rsidR="00C1187F" w:rsidRPr="004A79A6">
                    <w:rPr>
                      <w:rFonts w:cs="Arial"/>
                      <w:i/>
                      <w:color w:val="13B5EA"/>
                      <w:sz w:val="16"/>
                      <w:szCs w:val="16"/>
                    </w:rPr>
                    <w:t>e</w:t>
                  </w:r>
                  <w:r w:rsidR="00EA5EF9" w:rsidRPr="004A79A6">
                    <w:rPr>
                      <w:rFonts w:cs="Arial"/>
                      <w:i/>
                      <w:color w:val="13B5EA"/>
                      <w:sz w:val="16"/>
                      <w:szCs w:val="16"/>
                    </w:rPr>
                    <w:t xml:space="preserve"> nezvýš</w:t>
                  </w:r>
                  <w:r w:rsidR="00CF1BF5" w:rsidRPr="004A79A6">
                    <w:rPr>
                      <w:rFonts w:cs="Arial"/>
                      <w:i/>
                      <w:color w:val="13B5EA"/>
                      <w:sz w:val="16"/>
                      <w:szCs w:val="16"/>
                    </w:rPr>
                    <w:t>il.</w:t>
                  </w:r>
                </w:p>
                <w:p w14:paraId="0D75D139" w14:textId="3796BAF9" w:rsidR="00072DE5" w:rsidRDefault="004A157D" w:rsidP="00442D57">
                  <w:pPr>
                    <w:rPr>
                      <w:rFonts w:cs="Arial"/>
                      <w:i/>
                      <w:iCs/>
                      <w:color w:val="13B5EA"/>
                      <w:sz w:val="16"/>
                      <w:szCs w:val="16"/>
                    </w:rPr>
                  </w:pPr>
                  <w:r w:rsidRPr="004A157D">
                    <w:rPr>
                      <w:rFonts w:cs="Arial"/>
                      <w:i/>
                      <w:iCs/>
                      <w:color w:val="13B5EA"/>
                      <w:sz w:val="16"/>
                      <w:szCs w:val="16"/>
                    </w:rPr>
                    <w:t xml:space="preserve">***** Pokuta </w:t>
                  </w:r>
                  <w:r>
                    <w:rPr>
                      <w:rFonts w:cs="Arial"/>
                      <w:i/>
                      <w:iCs/>
                      <w:color w:val="13B5EA"/>
                      <w:sz w:val="16"/>
                      <w:szCs w:val="16"/>
                    </w:rPr>
                    <w:t>nepresahuje</w:t>
                  </w:r>
                  <w:r w:rsidRPr="004A157D">
                    <w:rPr>
                      <w:rFonts w:cs="Arial"/>
                      <w:i/>
                      <w:iCs/>
                      <w:color w:val="13B5EA"/>
                      <w:sz w:val="16"/>
                      <w:szCs w:val="16"/>
                    </w:rPr>
                    <w:t xml:space="preserve"> zákonom stanovenú minimálnu sumu 40 eur a tak nebude uložená</w:t>
                  </w:r>
                  <w:r w:rsidR="00C81BCE">
                    <w:rPr>
                      <w:rFonts w:cs="Arial"/>
                      <w:i/>
                      <w:iCs/>
                      <w:color w:val="13B5EA"/>
                      <w:sz w:val="16"/>
                      <w:szCs w:val="16"/>
                    </w:rPr>
                    <w:t>.</w:t>
                  </w:r>
                </w:p>
                <w:p w14:paraId="0C59D97B" w14:textId="5BF826FE" w:rsidR="00442D57" w:rsidRPr="00B81300" w:rsidRDefault="00F9590E" w:rsidP="004A79A6">
                  <w:pPr>
                    <w:jc w:val="right"/>
                    <w:rPr>
                      <w:rFonts w:cs="Arial"/>
                      <w:i/>
                      <w:color w:val="13B5EA"/>
                      <w:sz w:val="16"/>
                      <w:szCs w:val="16"/>
                      <w:highlight w:val="yellow"/>
                    </w:rPr>
                  </w:pPr>
                  <w:r w:rsidRPr="004A79A6">
                    <w:rPr>
                      <w:i/>
                      <w:color w:val="13B5EA"/>
                      <w:sz w:val="16"/>
                    </w:rPr>
                    <w:t>Zdroj: Štátna pokladnica, MF</w:t>
                  </w:r>
                  <w:r w:rsidR="004A157D" w:rsidRPr="004A79A6">
                    <w:rPr>
                      <w:i/>
                      <w:color w:val="13B5EA"/>
                      <w:sz w:val="16"/>
                    </w:rPr>
                    <w:t> </w:t>
                  </w:r>
                  <w:r w:rsidRPr="004A79A6">
                    <w:rPr>
                      <w:i/>
                      <w:color w:val="13B5EA"/>
                      <w:sz w:val="16"/>
                    </w:rPr>
                    <w:t>SR, RRZ</w:t>
                  </w:r>
                  <w:r w:rsidR="00072DE5">
                    <w:rPr>
                      <w:i/>
                      <w:color w:val="FFFFFF" w:themeColor="background1"/>
                      <w:sz w:val="16"/>
                    </w:rPr>
                    <w:t xml:space="preserve"> .</w:t>
                  </w:r>
                </w:p>
              </w:tc>
              <w:tc>
                <w:tcPr>
                  <w:tcW w:w="160" w:type="dxa"/>
                  <w:tcBorders>
                    <w:top w:val="nil"/>
                    <w:left w:val="nil"/>
                    <w:bottom w:val="nil"/>
                    <w:right w:val="nil"/>
                  </w:tcBorders>
                  <w:shd w:val="clear" w:color="auto" w:fill="auto"/>
                  <w:noWrap/>
                  <w:hideMark/>
                </w:tcPr>
                <w:p w14:paraId="6DF8EB51" w14:textId="77777777" w:rsidR="00442D57" w:rsidRPr="00B81300" w:rsidRDefault="00442D57" w:rsidP="00442D57">
                  <w:pPr>
                    <w:rPr>
                      <w:rFonts w:cs="Arial"/>
                      <w:i/>
                      <w:iCs/>
                      <w:color w:val="13B5EA"/>
                      <w:sz w:val="16"/>
                      <w:szCs w:val="16"/>
                      <w:highlight w:val="yellow"/>
                    </w:rPr>
                  </w:pPr>
                </w:p>
              </w:tc>
              <w:tc>
                <w:tcPr>
                  <w:tcW w:w="160" w:type="dxa"/>
                  <w:tcBorders>
                    <w:top w:val="nil"/>
                    <w:left w:val="nil"/>
                    <w:bottom w:val="nil"/>
                    <w:right w:val="nil"/>
                  </w:tcBorders>
                  <w:shd w:val="clear" w:color="auto" w:fill="auto"/>
                  <w:noWrap/>
                  <w:hideMark/>
                </w:tcPr>
                <w:p w14:paraId="01688601" w14:textId="77777777" w:rsidR="00442D57" w:rsidRPr="00B81300" w:rsidRDefault="00442D57"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21E98658" w14:textId="77777777" w:rsidR="00442D57" w:rsidRPr="00B81300" w:rsidRDefault="00442D57"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16D3975E" w14:textId="77777777" w:rsidR="00442D57" w:rsidRPr="00B81300" w:rsidRDefault="00442D57" w:rsidP="00442D57">
                  <w:pPr>
                    <w:rPr>
                      <w:rFonts w:ascii="Times New Roman" w:hAnsi="Times New Roman"/>
                      <w:sz w:val="20"/>
                      <w:highlight w:val="yellow"/>
                    </w:rPr>
                  </w:pPr>
                </w:p>
              </w:tc>
            </w:tr>
            <w:tr w:rsidR="00F9590E" w:rsidRPr="00B81300" w14:paraId="1ECC6428" w14:textId="77777777" w:rsidTr="00144B13">
              <w:trPr>
                <w:trHeight w:hRule="exact" w:val="238"/>
              </w:trPr>
              <w:tc>
                <w:tcPr>
                  <w:tcW w:w="8778" w:type="dxa"/>
                  <w:tcBorders>
                    <w:top w:val="nil"/>
                    <w:left w:val="nil"/>
                    <w:bottom w:val="nil"/>
                    <w:right w:val="nil"/>
                  </w:tcBorders>
                  <w:shd w:val="clear" w:color="auto" w:fill="auto"/>
                  <w:noWrap/>
                </w:tcPr>
                <w:p w14:paraId="3BD4D2E5" w14:textId="564C0540" w:rsidR="00F9590E" w:rsidRPr="00B81300" w:rsidRDefault="00F9590E" w:rsidP="00442D57">
                  <w:pPr>
                    <w:rPr>
                      <w:rFonts w:cs="Arial"/>
                      <w:i/>
                      <w:iCs/>
                      <w:color w:val="13B5EA"/>
                      <w:sz w:val="16"/>
                      <w:szCs w:val="16"/>
                      <w:highlight w:val="yellow"/>
                    </w:rPr>
                  </w:pPr>
                </w:p>
              </w:tc>
              <w:tc>
                <w:tcPr>
                  <w:tcW w:w="160" w:type="dxa"/>
                  <w:tcBorders>
                    <w:top w:val="nil"/>
                    <w:left w:val="nil"/>
                    <w:bottom w:val="nil"/>
                    <w:right w:val="nil"/>
                  </w:tcBorders>
                  <w:shd w:val="clear" w:color="auto" w:fill="auto"/>
                  <w:noWrap/>
                </w:tcPr>
                <w:p w14:paraId="6EAB6106" w14:textId="77777777" w:rsidR="00F9590E" w:rsidRPr="00B81300" w:rsidRDefault="00F9590E" w:rsidP="00442D57">
                  <w:pPr>
                    <w:rPr>
                      <w:rFonts w:cs="Arial"/>
                      <w:i/>
                      <w:iCs/>
                      <w:color w:val="13B5EA"/>
                      <w:sz w:val="16"/>
                      <w:szCs w:val="16"/>
                      <w:highlight w:val="yellow"/>
                    </w:rPr>
                  </w:pPr>
                </w:p>
              </w:tc>
              <w:tc>
                <w:tcPr>
                  <w:tcW w:w="160" w:type="dxa"/>
                  <w:tcBorders>
                    <w:top w:val="nil"/>
                    <w:left w:val="nil"/>
                    <w:bottom w:val="nil"/>
                    <w:right w:val="nil"/>
                  </w:tcBorders>
                  <w:shd w:val="clear" w:color="auto" w:fill="auto"/>
                  <w:noWrap/>
                </w:tcPr>
                <w:p w14:paraId="3FB6081C" w14:textId="77777777" w:rsidR="00F9590E" w:rsidRPr="00B81300" w:rsidRDefault="00F9590E"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4561E76C" w14:textId="77777777" w:rsidR="00F9590E" w:rsidRPr="00B81300" w:rsidRDefault="00F9590E"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57F7FE7D" w14:textId="77777777" w:rsidR="00F9590E" w:rsidRPr="00B81300" w:rsidRDefault="00F9590E"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5FEADC99" w14:textId="77777777" w:rsidR="00F9590E" w:rsidRPr="00B81300" w:rsidRDefault="00F9590E" w:rsidP="00442D57">
                  <w:pPr>
                    <w:rPr>
                      <w:rFonts w:ascii="Times New Roman" w:hAnsi="Times New Roman"/>
                      <w:sz w:val="20"/>
                      <w:highlight w:val="yellow"/>
                    </w:rPr>
                  </w:pPr>
                </w:p>
              </w:tc>
              <w:tc>
                <w:tcPr>
                  <w:tcW w:w="160" w:type="dxa"/>
                  <w:tcBorders>
                    <w:top w:val="nil"/>
                    <w:left w:val="nil"/>
                    <w:bottom w:val="nil"/>
                    <w:right w:val="nil"/>
                  </w:tcBorders>
                  <w:shd w:val="clear" w:color="auto" w:fill="auto"/>
                  <w:noWrap/>
                  <w:hideMark/>
                </w:tcPr>
                <w:p w14:paraId="501DB598" w14:textId="77777777" w:rsidR="00F9590E" w:rsidRPr="00B81300" w:rsidRDefault="00F9590E" w:rsidP="00442D57">
                  <w:pPr>
                    <w:rPr>
                      <w:rFonts w:ascii="Times New Roman" w:hAnsi="Times New Roman"/>
                      <w:sz w:val="20"/>
                      <w:highlight w:val="yellow"/>
                    </w:rPr>
                  </w:pPr>
                </w:p>
              </w:tc>
            </w:tr>
          </w:tbl>
          <w:p w14:paraId="1C3169DF" w14:textId="77777777" w:rsidR="00C22251" w:rsidRPr="00B81300" w:rsidRDefault="00C22251" w:rsidP="00C22251">
            <w:pPr>
              <w:rPr>
                <w:i/>
                <w:color w:val="13B5EA"/>
                <w:sz w:val="16"/>
                <w:szCs w:val="16"/>
                <w:highlight w:val="yellow"/>
              </w:rPr>
            </w:pPr>
          </w:p>
        </w:tc>
      </w:tr>
    </w:tbl>
    <w:p w14:paraId="341CA968" w14:textId="17D5E040" w:rsidR="00D07F50" w:rsidRPr="00B81300" w:rsidRDefault="00D07F50">
      <w:pPr>
        <w:rPr>
          <w:highlight w:val="yellow"/>
        </w:rPr>
      </w:pPr>
    </w:p>
    <w:p w14:paraId="5EBDA3C1" w14:textId="74DAECDF" w:rsidR="007C4AEA" w:rsidRPr="00B81300" w:rsidRDefault="007C4AEA" w:rsidP="005F1C0A">
      <w:pPr>
        <w:jc w:val="both"/>
        <w:rPr>
          <w:sz w:val="2"/>
          <w:highlight w:val="yellow"/>
        </w:rPr>
      </w:pPr>
    </w:p>
    <w:p w14:paraId="6339F276" w14:textId="45AE7ED2" w:rsidR="0008635C" w:rsidRPr="00B81300" w:rsidRDefault="0008635C" w:rsidP="00BE36A1">
      <w:pPr>
        <w:jc w:val="both"/>
        <w:rPr>
          <w:color w:val="59595B"/>
          <w:highlight w:val="yellow"/>
        </w:rPr>
        <w:sectPr w:rsidR="0008635C" w:rsidRPr="00B81300" w:rsidSect="00222E02">
          <w:headerReference w:type="default" r:id="rId69"/>
          <w:footerReference w:type="default" r:id="rId70"/>
          <w:headerReference w:type="first" r:id="rId71"/>
          <w:footerReference w:type="first" r:id="rId72"/>
          <w:pgSz w:w="11906" w:h="16838" w:code="9"/>
          <w:pgMar w:top="2268" w:right="1418" w:bottom="1560" w:left="1418" w:header="567" w:footer="284" w:gutter="0"/>
          <w:cols w:space="708"/>
          <w:titlePg/>
          <w:docGrid w:linePitch="360"/>
        </w:sectPr>
      </w:pPr>
    </w:p>
    <w:p w14:paraId="48DE3860" w14:textId="15EDCF80" w:rsidR="000F6148" w:rsidRDefault="00D2528F">
      <w:pPr>
        <w:rPr>
          <w:color w:val="3C3C3B"/>
        </w:rPr>
      </w:pPr>
      <w:r w:rsidRPr="00B81300">
        <w:rPr>
          <w:noProof/>
          <w:highlight w:val="yellow"/>
        </w:rPr>
        <w:lastRenderedPageBreak/>
        <w:drawing>
          <wp:anchor distT="0" distB="0" distL="114300" distR="114300" simplePos="0" relativeHeight="251658242" behindDoc="1" locked="0" layoutInCell="1" allowOverlap="1" wp14:anchorId="107738A2" wp14:editId="00FA39D4">
            <wp:simplePos x="0" y="0"/>
            <wp:positionH relativeFrom="page">
              <wp:align>left</wp:align>
            </wp:positionH>
            <wp:positionV relativeFrom="paragraph">
              <wp:posOffset>-1633220</wp:posOffset>
            </wp:positionV>
            <wp:extent cx="7596505" cy="10744200"/>
            <wp:effectExtent l="0" t="0" r="4445" b="0"/>
            <wp:wrapNone/>
            <wp:docPr id="5" name="Picture 4" descr="zadná st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dná stran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596505"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258B80" w14:textId="77777777" w:rsidR="000F6148" w:rsidRDefault="000F6148">
      <w:pPr>
        <w:rPr>
          <w:color w:val="3C3C3B"/>
        </w:rPr>
      </w:pPr>
    </w:p>
    <w:p w14:paraId="0B657210" w14:textId="77777777" w:rsidR="000F6148" w:rsidRDefault="000F6148">
      <w:pPr>
        <w:rPr>
          <w:color w:val="3C3C3B"/>
        </w:rPr>
      </w:pPr>
    </w:p>
    <w:p w14:paraId="4DD58B01" w14:textId="77777777" w:rsidR="000F6148" w:rsidRDefault="000F6148">
      <w:pPr>
        <w:rPr>
          <w:color w:val="3C3C3B"/>
        </w:rPr>
      </w:pPr>
    </w:p>
    <w:p w14:paraId="1442923D" w14:textId="77777777" w:rsidR="000F6148" w:rsidRDefault="000F6148">
      <w:pPr>
        <w:rPr>
          <w:color w:val="3C3C3B"/>
        </w:rPr>
      </w:pPr>
    </w:p>
    <w:p w14:paraId="58F0DEB6" w14:textId="29AE11CE" w:rsidR="000F6148" w:rsidRDefault="000F6148">
      <w:pPr>
        <w:rPr>
          <w:color w:val="3C3C3B"/>
        </w:rPr>
      </w:pPr>
    </w:p>
    <w:p w14:paraId="2B9CE0EF" w14:textId="77777777" w:rsidR="000F6148" w:rsidRDefault="000F6148">
      <w:pPr>
        <w:rPr>
          <w:color w:val="3C3C3B"/>
        </w:rPr>
      </w:pPr>
    </w:p>
    <w:p w14:paraId="3C6DEB1E" w14:textId="77777777" w:rsidR="000F6148" w:rsidRDefault="000F6148">
      <w:pPr>
        <w:rPr>
          <w:color w:val="3C3C3B"/>
        </w:rPr>
      </w:pPr>
    </w:p>
    <w:p w14:paraId="5FE1C3E0" w14:textId="77777777" w:rsidR="000F6148" w:rsidRDefault="000F6148">
      <w:pPr>
        <w:rPr>
          <w:color w:val="3C3C3B"/>
        </w:rPr>
      </w:pPr>
    </w:p>
    <w:p w14:paraId="73244A61" w14:textId="77777777" w:rsidR="000F6148" w:rsidRDefault="000F6148">
      <w:pPr>
        <w:rPr>
          <w:color w:val="3C3C3B"/>
        </w:rPr>
      </w:pPr>
    </w:p>
    <w:p w14:paraId="52465B8E" w14:textId="77777777" w:rsidR="000F6148" w:rsidRDefault="000F6148">
      <w:pPr>
        <w:rPr>
          <w:color w:val="3C3C3B"/>
        </w:rPr>
      </w:pPr>
    </w:p>
    <w:p w14:paraId="70333B36" w14:textId="77777777" w:rsidR="000F6148" w:rsidRDefault="000F6148">
      <w:pPr>
        <w:rPr>
          <w:color w:val="3C3C3B"/>
        </w:rPr>
      </w:pPr>
    </w:p>
    <w:p w14:paraId="787384A5" w14:textId="77777777" w:rsidR="000F6148" w:rsidRDefault="000F6148">
      <w:pPr>
        <w:rPr>
          <w:color w:val="3C3C3B"/>
        </w:rPr>
      </w:pPr>
    </w:p>
    <w:p w14:paraId="02B49BB7" w14:textId="77777777" w:rsidR="000F6148" w:rsidRDefault="000F6148">
      <w:pPr>
        <w:rPr>
          <w:color w:val="3C3C3B"/>
        </w:rPr>
      </w:pPr>
    </w:p>
    <w:p w14:paraId="65C67300" w14:textId="77777777" w:rsidR="000F6148" w:rsidRDefault="000F6148">
      <w:pPr>
        <w:rPr>
          <w:color w:val="3C3C3B"/>
        </w:rPr>
      </w:pPr>
    </w:p>
    <w:p w14:paraId="0936B7B3" w14:textId="77777777" w:rsidR="000F6148" w:rsidRDefault="000F6148">
      <w:pPr>
        <w:rPr>
          <w:color w:val="3C3C3B"/>
        </w:rPr>
      </w:pPr>
    </w:p>
    <w:p w14:paraId="3BC36521" w14:textId="77777777" w:rsidR="000F6148" w:rsidRPr="004B233C" w:rsidRDefault="000F6148">
      <w:pPr>
        <w:rPr>
          <w:color w:val="3C3C3B"/>
        </w:rPr>
      </w:pPr>
    </w:p>
    <w:sectPr w:rsidR="000F6148" w:rsidRPr="004B233C" w:rsidSect="00767076">
      <w:headerReference w:type="first" r:id="rId74"/>
      <w:footerReference w:type="first" r:id="rId75"/>
      <w:pgSz w:w="11906" w:h="16838" w:code="9"/>
      <w:pgMar w:top="2462" w:right="1411" w:bottom="1800" w:left="1411" w:header="562" w:footer="2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3AA473" w14:textId="77777777" w:rsidR="00C47F47" w:rsidRDefault="00C47F47">
      <w:r>
        <w:separator/>
      </w:r>
    </w:p>
  </w:endnote>
  <w:endnote w:type="continuationSeparator" w:id="0">
    <w:p w14:paraId="29125B47" w14:textId="77777777" w:rsidR="00C47F47" w:rsidRDefault="00C47F47">
      <w:r>
        <w:continuationSeparator/>
      </w:r>
    </w:p>
  </w:endnote>
  <w:endnote w:type="continuationNotice" w:id="1">
    <w:p w14:paraId="1F080938" w14:textId="77777777" w:rsidR="00C47F47" w:rsidRDefault="00C47F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ITCBookmanEE">
    <w:panose1 w:val="00000000000000000000"/>
    <w:charset w:val="EE"/>
    <w:family w:val="auto"/>
    <w:notTrueType/>
    <w:pitch w:val="default"/>
    <w:sig w:usb0="00000005" w:usb1="00000000" w:usb2="00000000" w:usb3="00000000" w:csb0="00000002"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24EED4" w14:textId="7A83BD70" w:rsidR="00C47F47" w:rsidRPr="00E7318C" w:rsidRDefault="00C47F47" w:rsidP="006C557B">
    <w:pPr>
      <w:pStyle w:val="Footer"/>
      <w:framePr w:wrap="around" w:vAnchor="text" w:hAnchor="margin" w:xAlign="right" w:y="1"/>
      <w:rPr>
        <w:rStyle w:val="PageNumber"/>
      </w:rPr>
    </w:pPr>
    <w:r w:rsidRPr="00E7318C">
      <w:rPr>
        <w:rStyle w:val="PageNumber"/>
      </w:rPr>
      <w:fldChar w:fldCharType="begin"/>
    </w:r>
    <w:r w:rsidRPr="00E7318C">
      <w:rPr>
        <w:rStyle w:val="PageNumber"/>
      </w:rPr>
      <w:instrText xml:space="preserve">PAGE  </w:instrText>
    </w:r>
    <w:r w:rsidRPr="00E7318C">
      <w:rPr>
        <w:rStyle w:val="PageNumber"/>
      </w:rPr>
      <w:fldChar w:fldCharType="separate"/>
    </w:r>
    <w:r>
      <w:rPr>
        <w:rStyle w:val="PageNumber"/>
        <w:noProof/>
      </w:rPr>
      <w:t>17</w:t>
    </w:r>
    <w:r w:rsidRPr="00E7318C">
      <w:rPr>
        <w:rStyle w:val="PageNumber"/>
      </w:rPr>
      <w:fldChar w:fldCharType="end"/>
    </w:r>
  </w:p>
  <w:p w14:paraId="7D8ABA57" w14:textId="023C451D" w:rsidR="00C47F47" w:rsidRPr="00E76C49" w:rsidRDefault="00C47F47">
    <w:pPr>
      <w:pStyle w:val="Footer"/>
      <w:rPr>
        <w:rFonts w:ascii="Cambria" w:hAnsi="Cambria"/>
        <w:b/>
        <w:color w:val="13B5EA"/>
      </w:rPr>
    </w:pPr>
    <w:r>
      <w:rPr>
        <w:rFonts w:ascii="Cambria" w:hAnsi="Cambria"/>
        <w:b/>
        <w:noProof/>
        <w:color w:val="13B5EA"/>
      </w:rPr>
      <w:drawing>
        <wp:anchor distT="0" distB="0" distL="114300" distR="114300" simplePos="0" relativeHeight="251658240" behindDoc="1" locked="0" layoutInCell="1" allowOverlap="1" wp14:anchorId="1189F23C" wp14:editId="0A6C927C">
          <wp:simplePos x="0" y="0"/>
          <wp:positionH relativeFrom="column">
            <wp:posOffset>0</wp:posOffset>
          </wp:positionH>
          <wp:positionV relativeFrom="paragraph">
            <wp:posOffset>-570865</wp:posOffset>
          </wp:positionV>
          <wp:extent cx="1005840" cy="1257300"/>
          <wp:effectExtent l="0" t="0" r="3810" b="0"/>
          <wp:wrapNone/>
          <wp:docPr id="34" name="Picture 9" descr="b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g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584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79F2">
      <w:rPr>
        <w:rFonts w:ascii="Cambria" w:hAnsi="Cambria"/>
        <w:b/>
        <w:bCs/>
        <w:color w:val="13B5EA"/>
      </w:rPr>
      <w:t xml:space="preserve">                                   www.rozpoctovarada.sk</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23"/>
      <w:gridCol w:w="3023"/>
      <w:gridCol w:w="3023"/>
    </w:tblGrid>
    <w:tr w:rsidR="00C47F47" w14:paraId="00469C32" w14:textId="77777777" w:rsidTr="00C47F47">
      <w:tc>
        <w:tcPr>
          <w:tcW w:w="3023" w:type="dxa"/>
        </w:tcPr>
        <w:p w14:paraId="212EF0F8" w14:textId="19122C70" w:rsidR="00C47F47" w:rsidRDefault="00C47F47" w:rsidP="00C47F47">
          <w:pPr>
            <w:pStyle w:val="Header"/>
            <w:ind w:left="-115"/>
          </w:pPr>
        </w:p>
      </w:tc>
      <w:tc>
        <w:tcPr>
          <w:tcW w:w="3023" w:type="dxa"/>
        </w:tcPr>
        <w:p w14:paraId="6971BC23" w14:textId="093051FA" w:rsidR="00C47F47" w:rsidRDefault="00C47F47" w:rsidP="00C47F47">
          <w:pPr>
            <w:pStyle w:val="Header"/>
            <w:jc w:val="center"/>
          </w:pPr>
        </w:p>
      </w:tc>
      <w:tc>
        <w:tcPr>
          <w:tcW w:w="3023" w:type="dxa"/>
        </w:tcPr>
        <w:p w14:paraId="78F510EE" w14:textId="6C1F82C1" w:rsidR="00C47F47" w:rsidRDefault="00C47F47" w:rsidP="00C47F47">
          <w:pPr>
            <w:pStyle w:val="Header"/>
            <w:ind w:right="-115"/>
            <w:jc w:val="right"/>
          </w:pPr>
        </w:p>
      </w:tc>
    </w:tr>
  </w:tbl>
  <w:p w14:paraId="6DA3CE03" w14:textId="46448E5E" w:rsidR="00C47F47" w:rsidRDefault="00C47F47" w:rsidP="00C47F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28"/>
      <w:gridCol w:w="3028"/>
      <w:gridCol w:w="3028"/>
    </w:tblGrid>
    <w:tr w:rsidR="00C47F47" w14:paraId="3141BFD0" w14:textId="77777777" w:rsidTr="00C47F47">
      <w:tc>
        <w:tcPr>
          <w:tcW w:w="3028" w:type="dxa"/>
        </w:tcPr>
        <w:p w14:paraId="5171DD8A" w14:textId="7262F1A1" w:rsidR="00C47F47" w:rsidRDefault="00C47F47" w:rsidP="00C47F47">
          <w:pPr>
            <w:pStyle w:val="Header"/>
            <w:ind w:left="-115"/>
          </w:pPr>
        </w:p>
      </w:tc>
      <w:tc>
        <w:tcPr>
          <w:tcW w:w="3028" w:type="dxa"/>
        </w:tcPr>
        <w:p w14:paraId="24636362" w14:textId="15321A2A" w:rsidR="00C47F47" w:rsidRDefault="00C47F47" w:rsidP="00C47F47">
          <w:pPr>
            <w:pStyle w:val="Header"/>
            <w:jc w:val="center"/>
          </w:pPr>
        </w:p>
      </w:tc>
      <w:tc>
        <w:tcPr>
          <w:tcW w:w="3028" w:type="dxa"/>
        </w:tcPr>
        <w:p w14:paraId="1D4C133B" w14:textId="2921C8BE" w:rsidR="00C47F47" w:rsidRDefault="00C47F47" w:rsidP="00C47F47">
          <w:pPr>
            <w:pStyle w:val="Header"/>
            <w:ind w:right="-115"/>
            <w:jc w:val="right"/>
          </w:pPr>
        </w:p>
      </w:tc>
    </w:tr>
  </w:tbl>
  <w:p w14:paraId="08C8085D" w14:textId="457AA73F" w:rsidR="00C47F47" w:rsidRDefault="00C47F47" w:rsidP="00C47F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0B9DD6" w14:textId="77777777" w:rsidR="00C47F47" w:rsidRDefault="00C47F47">
      <w:r>
        <w:separator/>
      </w:r>
    </w:p>
  </w:footnote>
  <w:footnote w:type="continuationSeparator" w:id="0">
    <w:p w14:paraId="7BEACEF8" w14:textId="77777777" w:rsidR="00C47F47" w:rsidRDefault="00C47F47">
      <w:r>
        <w:continuationSeparator/>
      </w:r>
    </w:p>
  </w:footnote>
  <w:footnote w:type="continuationNotice" w:id="1">
    <w:p w14:paraId="47A2E279" w14:textId="77777777" w:rsidR="00C47F47" w:rsidRDefault="00C47F47"/>
  </w:footnote>
  <w:footnote w:id="2">
    <w:p w14:paraId="3208FD65" w14:textId="67C3D544" w:rsidR="00C47F47" w:rsidRPr="003D76E3" w:rsidRDefault="00C47F47" w:rsidP="004E165B">
      <w:pPr>
        <w:pStyle w:val="FootnoteText"/>
        <w:ind w:left="284" w:hanging="284"/>
        <w:jc w:val="both"/>
        <w:rPr>
          <w:sz w:val="18"/>
          <w:szCs w:val="18"/>
          <w:highlight w:val="yellow"/>
        </w:rPr>
      </w:pPr>
      <w:r w:rsidRPr="00550217">
        <w:rPr>
          <w:rStyle w:val="FootnoteReference"/>
          <w:sz w:val="18"/>
          <w:szCs w:val="18"/>
        </w:rPr>
        <w:footnoteRef/>
      </w:r>
      <w:r w:rsidRPr="00550217">
        <w:rPr>
          <w:sz w:val="18"/>
          <w:szCs w:val="18"/>
        </w:rPr>
        <w:t xml:space="preserve"> </w:t>
      </w:r>
      <w:r w:rsidRPr="00550217">
        <w:rPr>
          <w:sz w:val="18"/>
          <w:szCs w:val="18"/>
        </w:rPr>
        <w:tab/>
        <w:t>Zákon č. 493/2011 Z.</w:t>
      </w:r>
      <w:r w:rsidR="003A2267">
        <w:rPr>
          <w:sz w:val="18"/>
          <w:szCs w:val="18"/>
        </w:rPr>
        <w:t> </w:t>
      </w:r>
      <w:r w:rsidRPr="00550217">
        <w:rPr>
          <w:sz w:val="18"/>
          <w:szCs w:val="18"/>
        </w:rPr>
        <w:t>z. o rozpočtovej zodpovednosti.</w:t>
      </w:r>
    </w:p>
  </w:footnote>
  <w:footnote w:id="3">
    <w:p w14:paraId="77654326" w14:textId="66F65543" w:rsidR="00C47F47" w:rsidRDefault="00C47F47" w:rsidP="00CC59C7">
      <w:pPr>
        <w:pStyle w:val="FootnoteText"/>
        <w:ind w:left="284" w:hanging="284"/>
        <w:jc w:val="both"/>
      </w:pPr>
      <w:r>
        <w:rPr>
          <w:rStyle w:val="FootnoteReference"/>
        </w:rPr>
        <w:footnoteRef/>
      </w:r>
      <w:r>
        <w:t xml:space="preserve"> </w:t>
      </w:r>
      <w:r>
        <w:tab/>
      </w:r>
      <w:r w:rsidRPr="005B6DD8">
        <w:rPr>
          <w:sz w:val="18"/>
          <w:szCs w:val="18"/>
        </w:rPr>
        <w:t xml:space="preserve">Hrubý dlh verejných financií dosiahol v roku 2019 </w:t>
      </w:r>
      <w:r w:rsidRPr="00CC59C7">
        <w:rPr>
          <w:sz w:val="18"/>
          <w:szCs w:val="18"/>
        </w:rPr>
        <w:t>úroveň 47,9995 % HDP</w:t>
      </w:r>
      <w:r w:rsidRPr="005B6DD8">
        <w:rPr>
          <w:sz w:val="18"/>
          <w:szCs w:val="18"/>
        </w:rPr>
        <w:t>, čo</w:t>
      </w:r>
      <w:r>
        <w:rPr>
          <w:sz w:val="18"/>
          <w:szCs w:val="18"/>
        </w:rPr>
        <w:t xml:space="preserve"> je </w:t>
      </w:r>
      <w:r w:rsidRPr="00407784">
        <w:rPr>
          <w:sz w:val="18"/>
          <w:szCs w:val="18"/>
        </w:rPr>
        <w:t>veľmi</w:t>
      </w:r>
      <w:r w:rsidRPr="005B6DD8">
        <w:rPr>
          <w:sz w:val="18"/>
          <w:szCs w:val="18"/>
        </w:rPr>
        <w:t xml:space="preserve"> tesne pod prvým sankčným pásmom ústavného zákona o rozpočtovej zodpovednosti</w:t>
      </w:r>
      <w:r>
        <w:rPr>
          <w:sz w:val="18"/>
          <w:szCs w:val="18"/>
        </w:rPr>
        <w:t>, ktoré sa v roku 2019 nachádzalo v rozpätí 48 % HDP až 51 % HDP</w:t>
      </w:r>
      <w:r w:rsidRPr="005B6DD8">
        <w:rPr>
          <w:sz w:val="18"/>
          <w:szCs w:val="18"/>
        </w:rPr>
        <w:t>.</w:t>
      </w:r>
    </w:p>
  </w:footnote>
  <w:footnote w:id="4">
    <w:p w14:paraId="0E4B2F6A" w14:textId="355DD817" w:rsidR="00C47F47" w:rsidRDefault="00C47F47" w:rsidP="00407784">
      <w:pPr>
        <w:pStyle w:val="FootnoteText"/>
        <w:ind w:left="284" w:hanging="284"/>
        <w:jc w:val="both"/>
      </w:pPr>
      <w:r>
        <w:rPr>
          <w:rStyle w:val="FootnoteReference"/>
        </w:rPr>
        <w:footnoteRef/>
      </w:r>
      <w:r>
        <w:t xml:space="preserve"> </w:t>
      </w:r>
      <w:r>
        <w:tab/>
      </w:r>
      <w:r w:rsidRPr="00611761">
        <w:rPr>
          <w:sz w:val="18"/>
          <w:szCs w:val="18"/>
        </w:rPr>
        <w:t xml:space="preserve">GIBA, M., BUJŇÁK, V.: Ústavnoprávna analýza vybraných ustanovení ústavného zákona o rozpočtovej zodpovednosti zo dňa </w:t>
      </w:r>
      <w:r>
        <w:rPr>
          <w:sz w:val="18"/>
          <w:szCs w:val="18"/>
        </w:rPr>
        <w:t>31</w:t>
      </w:r>
      <w:r w:rsidRPr="00611761">
        <w:rPr>
          <w:sz w:val="18"/>
          <w:szCs w:val="18"/>
        </w:rPr>
        <w:t>.</w:t>
      </w:r>
      <w:r>
        <w:rPr>
          <w:sz w:val="18"/>
          <w:szCs w:val="18"/>
        </w:rPr>
        <w:t>07</w:t>
      </w:r>
      <w:r w:rsidRPr="00611761">
        <w:rPr>
          <w:sz w:val="18"/>
          <w:szCs w:val="18"/>
        </w:rPr>
        <w:t>.</w:t>
      </w:r>
      <w:r>
        <w:rPr>
          <w:sz w:val="18"/>
          <w:szCs w:val="18"/>
        </w:rPr>
        <w:t>2020</w:t>
      </w:r>
      <w:r w:rsidRPr="00611761">
        <w:rPr>
          <w:sz w:val="18"/>
          <w:szCs w:val="18"/>
        </w:rPr>
        <w:t xml:space="preserve">, s. </w:t>
      </w:r>
      <w:r>
        <w:rPr>
          <w:sz w:val="18"/>
          <w:szCs w:val="18"/>
        </w:rPr>
        <w:t>12</w:t>
      </w:r>
      <w:r w:rsidRPr="00611761">
        <w:rPr>
          <w:sz w:val="18"/>
          <w:szCs w:val="18"/>
        </w:rPr>
        <w:t>. Analýza vypracovaná na základe zmluvy s Univerzitou Komenského v</w:t>
      </w:r>
      <w:r w:rsidR="003A2267">
        <w:rPr>
          <w:sz w:val="18"/>
          <w:szCs w:val="18"/>
        </w:rPr>
        <w:t> </w:t>
      </w:r>
      <w:r w:rsidRPr="00611761">
        <w:rPr>
          <w:sz w:val="18"/>
          <w:szCs w:val="18"/>
        </w:rPr>
        <w:t xml:space="preserve">Bratislave, Právnickou fakultou zo dňa </w:t>
      </w:r>
      <w:r>
        <w:rPr>
          <w:sz w:val="18"/>
          <w:szCs w:val="18"/>
        </w:rPr>
        <w:t>22</w:t>
      </w:r>
      <w:r w:rsidRPr="00611761">
        <w:rPr>
          <w:sz w:val="18"/>
          <w:szCs w:val="18"/>
        </w:rPr>
        <w:t>.</w:t>
      </w:r>
      <w:r>
        <w:rPr>
          <w:sz w:val="18"/>
          <w:szCs w:val="18"/>
        </w:rPr>
        <w:t>05</w:t>
      </w:r>
      <w:r w:rsidRPr="00611761">
        <w:rPr>
          <w:sz w:val="18"/>
          <w:szCs w:val="18"/>
        </w:rPr>
        <w:t>.</w:t>
      </w:r>
      <w:r>
        <w:rPr>
          <w:sz w:val="18"/>
          <w:szCs w:val="18"/>
        </w:rPr>
        <w:t>2020: „...</w:t>
      </w:r>
      <w:r w:rsidRPr="0092028C">
        <w:rPr>
          <w:sz w:val="18"/>
          <w:szCs w:val="18"/>
        </w:rPr>
        <w:t>ak nastane stav predpokladaný v čl. 5 ods. 3 a nasl. ÚZoRZ</w:t>
      </w:r>
      <w:r>
        <w:rPr>
          <w:sz w:val="18"/>
          <w:szCs w:val="18"/>
        </w:rPr>
        <w:t xml:space="preserve"> </w:t>
      </w:r>
      <w:r w:rsidRPr="00E8012A">
        <w:rPr>
          <w:bCs/>
          <w:sz w:val="18"/>
          <w:szCs w:val="18"/>
        </w:rPr>
        <w:t>[</w:t>
      </w:r>
      <w:r>
        <w:rPr>
          <w:sz w:val="18"/>
          <w:szCs w:val="18"/>
        </w:rPr>
        <w:t>dlh dosiahne 40 % HDP a viac</w:t>
      </w:r>
      <w:r w:rsidRPr="00E8012A">
        <w:rPr>
          <w:bCs/>
          <w:sz w:val="18"/>
          <w:szCs w:val="18"/>
        </w:rPr>
        <w:t>]</w:t>
      </w:r>
      <w:r w:rsidRPr="0092028C">
        <w:rPr>
          <w:sz w:val="18"/>
          <w:szCs w:val="18"/>
        </w:rPr>
        <w:t>, tak vláda (a v medziach svojich kompetencií aj ďalšie subjekty) je povinná podľa svojho najlepšieho vedomia a svedomia prijímať všetky dostupné opatrenia na to, aby dlh v čo najkratšom čase klesol pod úroveň 40 % podielu na HDP, teda aby sa dosiahlo zníženie dlhu vo význame, v ktorom ho chápe ÚZoRZ.</w:t>
      </w:r>
      <w:r>
        <w:rPr>
          <w:sz w:val="18"/>
          <w:szCs w:val="18"/>
        </w:rPr>
        <w:t>“</w:t>
      </w:r>
    </w:p>
  </w:footnote>
  <w:footnote w:id="5">
    <w:p w14:paraId="52CDB3A2" w14:textId="32AAE11F" w:rsidR="00C47F47" w:rsidRPr="00C47F47" w:rsidRDefault="00C47F47" w:rsidP="00C47F47">
      <w:pPr>
        <w:pStyle w:val="FootnoteText"/>
        <w:ind w:left="284" w:hanging="284"/>
        <w:jc w:val="both"/>
        <w:rPr>
          <w:sz w:val="18"/>
          <w:szCs w:val="18"/>
        </w:rPr>
      </w:pPr>
      <w:r w:rsidRPr="00C47F47">
        <w:rPr>
          <w:rStyle w:val="FootnoteReference"/>
          <w:sz w:val="18"/>
          <w:szCs w:val="18"/>
        </w:rPr>
        <w:footnoteRef/>
      </w:r>
      <w:r w:rsidRPr="00C47F47">
        <w:rPr>
          <w:sz w:val="18"/>
          <w:szCs w:val="18"/>
        </w:rPr>
        <w:t xml:space="preserve"> </w:t>
      </w:r>
      <w:r>
        <w:rPr>
          <w:sz w:val="18"/>
          <w:szCs w:val="18"/>
        </w:rPr>
        <w:tab/>
      </w:r>
      <w:r w:rsidRPr="00C47F47">
        <w:rPr>
          <w:sz w:val="18"/>
          <w:szCs w:val="18"/>
        </w:rPr>
        <w:t xml:space="preserve">K poklesu dlhu </w:t>
      </w:r>
      <w:r>
        <w:rPr>
          <w:sz w:val="18"/>
          <w:szCs w:val="18"/>
        </w:rPr>
        <w:t xml:space="preserve">medzi rokmi 2012 až 2019 </w:t>
      </w:r>
      <w:r w:rsidRPr="00C47F47">
        <w:rPr>
          <w:sz w:val="18"/>
          <w:szCs w:val="18"/>
        </w:rPr>
        <w:t>prispel aj ekonomický rast (príspevok 12,6 p.b.) a ostatné faktory (0,6</w:t>
      </w:r>
      <w:r w:rsidR="003A2267">
        <w:rPr>
          <w:sz w:val="18"/>
          <w:szCs w:val="18"/>
        </w:rPr>
        <w:t> </w:t>
      </w:r>
      <w:r w:rsidRPr="00C47F47">
        <w:rPr>
          <w:sz w:val="18"/>
          <w:szCs w:val="18"/>
        </w:rPr>
        <w:t>p.b.), na druhej strane úrokové náklady zvýšili dlh o 11,3 p.b.</w:t>
      </w:r>
    </w:p>
  </w:footnote>
  <w:footnote w:id="6">
    <w:p w14:paraId="7C9DEC02" w14:textId="2452B56E" w:rsidR="00C47F47" w:rsidRPr="00C47F47" w:rsidRDefault="00C47F47" w:rsidP="00C47F47">
      <w:pPr>
        <w:pStyle w:val="FootnoteText"/>
        <w:ind w:left="284" w:hanging="284"/>
        <w:jc w:val="both"/>
        <w:rPr>
          <w:sz w:val="18"/>
          <w:szCs w:val="18"/>
        </w:rPr>
      </w:pPr>
      <w:r w:rsidRPr="00C47F47">
        <w:rPr>
          <w:rStyle w:val="FootnoteReference"/>
          <w:sz w:val="18"/>
          <w:szCs w:val="18"/>
        </w:rPr>
        <w:footnoteRef/>
      </w:r>
      <w:r w:rsidRPr="00C47F47">
        <w:rPr>
          <w:sz w:val="18"/>
          <w:szCs w:val="18"/>
        </w:rPr>
        <w:t xml:space="preserve"> </w:t>
      </w:r>
      <w:r>
        <w:rPr>
          <w:sz w:val="18"/>
          <w:szCs w:val="18"/>
        </w:rPr>
        <w:tab/>
      </w:r>
      <w:r w:rsidRPr="00C47F47">
        <w:rPr>
          <w:sz w:val="18"/>
          <w:szCs w:val="18"/>
        </w:rPr>
        <w:t>V</w:t>
      </w:r>
      <w:r>
        <w:rPr>
          <w:sz w:val="18"/>
          <w:szCs w:val="18"/>
        </w:rPr>
        <w:t xml:space="preserve"> </w:t>
      </w:r>
      <w:r w:rsidRPr="00C47F47">
        <w:rPr>
          <w:sz w:val="18"/>
          <w:szCs w:val="18"/>
        </w:rPr>
        <w:t>roku 2019 k</w:t>
      </w:r>
      <w:r>
        <w:rPr>
          <w:sz w:val="18"/>
          <w:szCs w:val="18"/>
        </w:rPr>
        <w:t xml:space="preserve"> </w:t>
      </w:r>
      <w:r w:rsidRPr="00C47F47">
        <w:rPr>
          <w:sz w:val="18"/>
          <w:szCs w:val="18"/>
        </w:rPr>
        <w:t>poklesu podielu hrubého dlhu na HDP prispel najmä medziročný pokles hotovosti na účtoch štátu z</w:t>
      </w:r>
      <w:r>
        <w:rPr>
          <w:sz w:val="18"/>
          <w:szCs w:val="18"/>
        </w:rPr>
        <w:t xml:space="preserve"> </w:t>
      </w:r>
      <w:r w:rsidRPr="00C47F47">
        <w:rPr>
          <w:sz w:val="18"/>
          <w:szCs w:val="18"/>
        </w:rPr>
        <w:t>6,0 % HDP na konci roku 2018 na 4,8 % HDP na konci roku 2019.</w:t>
      </w:r>
    </w:p>
  </w:footnote>
  <w:footnote w:id="7">
    <w:p w14:paraId="37EE0F44" w14:textId="400A9C36" w:rsidR="00C47F47" w:rsidRDefault="00C47F47" w:rsidP="00C47F47">
      <w:pPr>
        <w:pStyle w:val="FootnoteText"/>
        <w:ind w:left="284" w:hanging="284"/>
        <w:jc w:val="both"/>
      </w:pPr>
      <w:r>
        <w:rPr>
          <w:rStyle w:val="FootnoteReference"/>
        </w:rPr>
        <w:footnoteRef/>
      </w:r>
      <w:r>
        <w:t xml:space="preserve"> </w:t>
      </w:r>
      <w:r>
        <w:tab/>
      </w:r>
      <w:r w:rsidRPr="00A15589">
        <w:rPr>
          <w:sz w:val="18"/>
          <w:szCs w:val="18"/>
        </w:rPr>
        <w:t xml:space="preserve">RRZ, </w:t>
      </w:r>
      <w:hyperlink r:id="rId1" w:history="1">
        <w:r w:rsidRPr="00A15589">
          <w:rPr>
            <w:rStyle w:val="Hyperlink"/>
            <w:color w:val="13B5EA"/>
            <w:sz w:val="18"/>
            <w:szCs w:val="18"/>
          </w:rPr>
          <w:t>Hodnotenie plnenia pravidla o vyrovnanom rozpočte za rok 201</w:t>
        </w:r>
      </w:hyperlink>
      <w:r w:rsidRPr="00A15589">
        <w:rPr>
          <w:rStyle w:val="Hyperlink"/>
          <w:color w:val="13B5EA"/>
          <w:sz w:val="18"/>
          <w:szCs w:val="18"/>
        </w:rPr>
        <w:t>9</w:t>
      </w:r>
      <w:r w:rsidRPr="00A15589">
        <w:rPr>
          <w:sz w:val="18"/>
          <w:szCs w:val="18"/>
        </w:rPr>
        <w:t>, júl 2020.</w:t>
      </w:r>
      <w:r w:rsidRPr="00496A9B">
        <w:t xml:space="preserve"> </w:t>
      </w:r>
      <w:r>
        <w:t>„</w:t>
      </w:r>
      <w:r w:rsidRPr="00496A9B">
        <w:rPr>
          <w:sz w:val="18"/>
          <w:szCs w:val="18"/>
        </w:rPr>
        <w:t>Vyrovnaný rozpočet mohol byť pri dodržaní pravidla dosiahnutý pritom už v roku 2018, vláda však neočakávané daňové príjmy a pokles úrokových nákladov využila na rýchlejší rast výdavkov namiesto výraznej konsolidácie verejných financií.</w:t>
      </w:r>
      <w:r>
        <w:rPr>
          <w:sz w:val="18"/>
          <w:szCs w:val="18"/>
        </w:rPr>
        <w:t>“</w:t>
      </w:r>
    </w:p>
  </w:footnote>
  <w:footnote w:id="8">
    <w:p w14:paraId="1CB62E6A" w14:textId="33907946" w:rsidR="00436D57" w:rsidRPr="004B3307" w:rsidRDefault="00436D57" w:rsidP="00436D57">
      <w:pPr>
        <w:pStyle w:val="FootnoteText"/>
        <w:ind w:left="284" w:hanging="284"/>
        <w:jc w:val="both"/>
        <w:rPr>
          <w:sz w:val="18"/>
          <w:szCs w:val="18"/>
        </w:rPr>
      </w:pPr>
      <w:r w:rsidRPr="004B3307">
        <w:rPr>
          <w:rStyle w:val="FootnoteReference"/>
          <w:sz w:val="18"/>
          <w:szCs w:val="18"/>
        </w:rPr>
        <w:footnoteRef/>
      </w:r>
      <w:r w:rsidRPr="004B3307">
        <w:rPr>
          <w:sz w:val="18"/>
          <w:szCs w:val="18"/>
        </w:rPr>
        <w:t xml:space="preserve"> </w:t>
      </w:r>
      <w:r>
        <w:rPr>
          <w:sz w:val="18"/>
          <w:szCs w:val="18"/>
        </w:rPr>
        <w:tab/>
      </w:r>
      <w:r w:rsidRPr="004B3307">
        <w:rPr>
          <w:sz w:val="18"/>
          <w:szCs w:val="18"/>
        </w:rPr>
        <w:t xml:space="preserve">RRZ </w:t>
      </w:r>
      <w:r>
        <w:rPr>
          <w:sz w:val="18"/>
          <w:szCs w:val="18"/>
        </w:rPr>
        <w:t xml:space="preserve">každoročne </w:t>
      </w:r>
      <w:r w:rsidRPr="004B3307">
        <w:rPr>
          <w:sz w:val="18"/>
          <w:szCs w:val="18"/>
        </w:rPr>
        <w:t xml:space="preserve">vyhodnocuje riziká </w:t>
      </w:r>
      <w:r>
        <w:rPr>
          <w:sz w:val="18"/>
          <w:szCs w:val="18"/>
        </w:rPr>
        <w:t>schválen</w:t>
      </w:r>
      <w:r w:rsidRPr="004B3307">
        <w:rPr>
          <w:sz w:val="18"/>
          <w:szCs w:val="18"/>
        </w:rPr>
        <w:t>ého rozpočtu počnúc Rozpočtom verejnej správy na roky 2013 až 2015.</w:t>
      </w:r>
      <w:r>
        <w:rPr>
          <w:sz w:val="18"/>
          <w:szCs w:val="18"/>
        </w:rPr>
        <w:t xml:space="preserve"> Riziká sa pravidelne opakujú a spočívajú najmä v nadhodnotení nedaňových príjmov a podhodnotení výdavkov štátneho rozpočtu, samospráv a na zdravotníctvo.</w:t>
      </w:r>
    </w:p>
  </w:footnote>
  <w:footnote w:id="9">
    <w:p w14:paraId="072B5F33" w14:textId="77777777" w:rsidR="00C47F47" w:rsidRPr="0075477D" w:rsidRDefault="00C47F47" w:rsidP="00AF7518">
      <w:pPr>
        <w:pStyle w:val="FootnoteText"/>
        <w:ind w:left="284" w:hanging="284"/>
        <w:rPr>
          <w:sz w:val="18"/>
          <w:szCs w:val="18"/>
        </w:rPr>
      </w:pPr>
      <w:r>
        <w:rPr>
          <w:rStyle w:val="FootnoteReference"/>
        </w:rPr>
        <w:footnoteRef/>
      </w:r>
      <w:r>
        <w:t xml:space="preserve"> </w:t>
      </w:r>
      <w:r>
        <w:tab/>
      </w:r>
      <w:hyperlink r:id="rId2" w:history="1">
        <w:r w:rsidRPr="00D769B9">
          <w:rPr>
            <w:rStyle w:val="Hyperlink"/>
            <w:color w:val="13B5EA"/>
            <w:sz w:val="18"/>
            <w:szCs w:val="18"/>
          </w:rPr>
          <w:t>Program stability SR na roky 2019 až 2022</w:t>
        </w:r>
      </w:hyperlink>
      <w:r w:rsidRPr="00D769B9">
        <w:rPr>
          <w:sz w:val="18"/>
          <w:szCs w:val="18"/>
        </w:rPr>
        <w:t>,</w:t>
      </w:r>
      <w:r w:rsidRPr="00D769B9">
        <w:rPr>
          <w:color w:val="13B5EA"/>
          <w:sz w:val="18"/>
          <w:szCs w:val="18"/>
        </w:rPr>
        <w:t xml:space="preserve"> </w:t>
      </w:r>
      <w:r w:rsidRPr="0075477D">
        <w:rPr>
          <w:sz w:val="18"/>
          <w:szCs w:val="18"/>
        </w:rPr>
        <w:t>strana 39, apríl 2019</w:t>
      </w:r>
      <w:r>
        <w:rPr>
          <w:sz w:val="18"/>
          <w:szCs w:val="18"/>
        </w:rPr>
        <w:t>.</w:t>
      </w:r>
    </w:p>
  </w:footnote>
  <w:footnote w:id="10">
    <w:p w14:paraId="25EFD516" w14:textId="77777777" w:rsidR="00C47F47" w:rsidRPr="002331D7" w:rsidRDefault="00C47F47" w:rsidP="00AF7518">
      <w:pPr>
        <w:pStyle w:val="FootnoteText"/>
        <w:ind w:left="284" w:hanging="284"/>
        <w:jc w:val="both"/>
        <w:rPr>
          <w:sz w:val="18"/>
          <w:szCs w:val="18"/>
        </w:rPr>
      </w:pPr>
      <w:r>
        <w:rPr>
          <w:rStyle w:val="FootnoteReference"/>
        </w:rPr>
        <w:footnoteRef/>
      </w:r>
      <w:r>
        <w:t xml:space="preserve"> </w:t>
      </w:r>
      <w:r>
        <w:tab/>
      </w:r>
      <w:r w:rsidRPr="002331D7">
        <w:rPr>
          <w:sz w:val="18"/>
          <w:szCs w:val="18"/>
        </w:rPr>
        <w:t>Inštitút finančnej polit</w:t>
      </w:r>
      <w:r>
        <w:rPr>
          <w:sz w:val="18"/>
          <w:szCs w:val="18"/>
        </w:rPr>
        <w:t>i</w:t>
      </w:r>
      <w:r w:rsidRPr="002331D7">
        <w:rPr>
          <w:sz w:val="18"/>
          <w:szCs w:val="18"/>
        </w:rPr>
        <w:t xml:space="preserve">ky MF SR zverejnil diskusnú štúdiu </w:t>
      </w:r>
      <w:hyperlink r:id="rId3" w:history="1">
        <w:r w:rsidRPr="002331D7">
          <w:rPr>
            <w:rStyle w:val="Hyperlink"/>
            <w:color w:val="13B5EA"/>
            <w:sz w:val="18"/>
            <w:szCs w:val="18"/>
          </w:rPr>
          <w:t>Štátna kasa na uzde</w:t>
        </w:r>
      </w:hyperlink>
      <w:r>
        <w:rPr>
          <w:rStyle w:val="Hyperlink"/>
          <w:color w:val="auto"/>
          <w:sz w:val="18"/>
          <w:szCs w:val="18"/>
          <w:u w:val="none"/>
        </w:rPr>
        <w:t xml:space="preserve"> v </w:t>
      </w:r>
      <w:r w:rsidRPr="002331D7">
        <w:rPr>
          <w:rStyle w:val="Hyperlink"/>
          <w:color w:val="auto"/>
          <w:sz w:val="18"/>
          <w:szCs w:val="18"/>
          <w:u w:val="none"/>
        </w:rPr>
        <w:t>júl</w:t>
      </w:r>
      <w:r>
        <w:rPr>
          <w:rStyle w:val="Hyperlink"/>
          <w:color w:val="auto"/>
          <w:sz w:val="18"/>
          <w:szCs w:val="18"/>
          <w:u w:val="none"/>
        </w:rPr>
        <w:t>i</w:t>
      </w:r>
      <w:r w:rsidRPr="002331D7">
        <w:rPr>
          <w:rStyle w:val="Hyperlink"/>
          <w:color w:val="auto"/>
          <w:sz w:val="18"/>
          <w:szCs w:val="18"/>
          <w:u w:val="none"/>
        </w:rPr>
        <w:t xml:space="preserve"> 2020</w:t>
      </w:r>
      <w:r>
        <w:rPr>
          <w:rStyle w:val="Hyperlink"/>
          <w:color w:val="auto"/>
          <w:sz w:val="18"/>
          <w:szCs w:val="18"/>
          <w:u w:val="none"/>
        </w:rPr>
        <w:t>, v ktorej zverejnil nový návrh viacročných výdavkových limitov.</w:t>
      </w:r>
    </w:p>
  </w:footnote>
  <w:footnote w:id="11">
    <w:p w14:paraId="68CB6FAB" w14:textId="5A62C305" w:rsidR="00C47F47" w:rsidRPr="00EC01FF" w:rsidRDefault="00C47F47" w:rsidP="001A537F">
      <w:pPr>
        <w:pStyle w:val="FootnoteText"/>
        <w:ind w:left="284" w:hanging="284"/>
        <w:jc w:val="both"/>
        <w:rPr>
          <w:sz w:val="18"/>
          <w:szCs w:val="18"/>
        </w:rPr>
      </w:pPr>
      <w:r>
        <w:rPr>
          <w:rStyle w:val="FootnoteReference"/>
        </w:rPr>
        <w:footnoteRef/>
      </w:r>
      <w:r>
        <w:t xml:space="preserve"> </w:t>
      </w:r>
      <w:r>
        <w:tab/>
      </w:r>
      <w:r>
        <w:rPr>
          <w:sz w:val="18"/>
          <w:szCs w:val="18"/>
        </w:rPr>
        <w:t>Tento záver</w:t>
      </w:r>
      <w:r w:rsidRPr="00EC01FF">
        <w:rPr>
          <w:sz w:val="18"/>
          <w:szCs w:val="18"/>
        </w:rPr>
        <w:t xml:space="preserve"> </w:t>
      </w:r>
      <w:r w:rsidRPr="000D3EDA">
        <w:rPr>
          <w:sz w:val="18"/>
          <w:szCs w:val="18"/>
        </w:rPr>
        <w:t>vyplýva z právnej analýzy vybraných ustanovení ústavného zákona o rozpočtovej zodpovednosti, ktorú si RRZ nechala vypracovať (</w:t>
      </w:r>
      <w:r w:rsidRPr="00611761">
        <w:rPr>
          <w:sz w:val="18"/>
          <w:szCs w:val="18"/>
        </w:rPr>
        <w:t xml:space="preserve">GIBA, M., BUJŇÁK, V.: Ústavnoprávna analýza vybraných ustanovení ústavného zákona o rozpočtovej zodpovednosti zo dňa </w:t>
      </w:r>
      <w:r>
        <w:rPr>
          <w:sz w:val="18"/>
          <w:szCs w:val="18"/>
        </w:rPr>
        <w:t>31</w:t>
      </w:r>
      <w:r w:rsidRPr="00611761">
        <w:rPr>
          <w:sz w:val="18"/>
          <w:szCs w:val="18"/>
        </w:rPr>
        <w:t>.</w:t>
      </w:r>
      <w:r>
        <w:rPr>
          <w:sz w:val="18"/>
          <w:szCs w:val="18"/>
        </w:rPr>
        <w:t>07</w:t>
      </w:r>
      <w:r w:rsidRPr="00611761">
        <w:rPr>
          <w:sz w:val="18"/>
          <w:szCs w:val="18"/>
        </w:rPr>
        <w:t>.</w:t>
      </w:r>
      <w:r>
        <w:rPr>
          <w:sz w:val="18"/>
          <w:szCs w:val="18"/>
        </w:rPr>
        <w:t>2020</w:t>
      </w:r>
      <w:r w:rsidRPr="00611761">
        <w:rPr>
          <w:sz w:val="18"/>
          <w:szCs w:val="18"/>
        </w:rPr>
        <w:t xml:space="preserve">, s. </w:t>
      </w:r>
      <w:r>
        <w:rPr>
          <w:sz w:val="18"/>
          <w:szCs w:val="18"/>
        </w:rPr>
        <w:t>29</w:t>
      </w:r>
      <w:r w:rsidRPr="00611761">
        <w:rPr>
          <w:sz w:val="18"/>
          <w:szCs w:val="18"/>
        </w:rPr>
        <w:t>. Analýza vypracovaná na základe zmluvy s</w:t>
      </w:r>
      <w:r>
        <w:rPr>
          <w:sz w:val="18"/>
          <w:szCs w:val="18"/>
        </w:rPr>
        <w:t> </w:t>
      </w:r>
      <w:r w:rsidRPr="00611761">
        <w:rPr>
          <w:sz w:val="18"/>
          <w:szCs w:val="18"/>
        </w:rPr>
        <w:t xml:space="preserve">Univerzitou Komenského v Bratislave, Právnickou fakultou zo dňa </w:t>
      </w:r>
      <w:r>
        <w:rPr>
          <w:sz w:val="18"/>
          <w:szCs w:val="18"/>
        </w:rPr>
        <w:t>22</w:t>
      </w:r>
      <w:r w:rsidRPr="00611761">
        <w:rPr>
          <w:sz w:val="18"/>
          <w:szCs w:val="18"/>
        </w:rPr>
        <w:t>.</w:t>
      </w:r>
      <w:r>
        <w:rPr>
          <w:sz w:val="18"/>
          <w:szCs w:val="18"/>
        </w:rPr>
        <w:t>05</w:t>
      </w:r>
      <w:r w:rsidRPr="00611761">
        <w:rPr>
          <w:sz w:val="18"/>
          <w:szCs w:val="18"/>
        </w:rPr>
        <w:t>.</w:t>
      </w:r>
      <w:r>
        <w:rPr>
          <w:sz w:val="18"/>
          <w:szCs w:val="18"/>
        </w:rPr>
        <w:t>2020</w:t>
      </w:r>
      <w:r w:rsidRPr="000D3EDA">
        <w:rPr>
          <w:sz w:val="18"/>
          <w:szCs w:val="18"/>
        </w:rPr>
        <w:t>). Napriek tomu, že zákon nešpecifikuje, do akého termínu by mala byť legislatíva schválená, limity mali byť zavedené bez zbytočného odkladu</w:t>
      </w:r>
      <w:r>
        <w:rPr>
          <w:sz w:val="18"/>
          <w:szCs w:val="18"/>
        </w:rPr>
        <w:t xml:space="preserve">. </w:t>
      </w:r>
    </w:p>
  </w:footnote>
  <w:footnote w:id="12">
    <w:p w14:paraId="79BDD086" w14:textId="77777777" w:rsidR="00C47F47" w:rsidRPr="001277DF" w:rsidRDefault="00C47F47" w:rsidP="00E5593A">
      <w:pPr>
        <w:pStyle w:val="FootnoteText"/>
        <w:ind w:left="284" w:hanging="284"/>
        <w:jc w:val="both"/>
        <w:rPr>
          <w:sz w:val="18"/>
          <w:szCs w:val="18"/>
        </w:rPr>
      </w:pPr>
      <w:r w:rsidRPr="001277DF">
        <w:rPr>
          <w:rStyle w:val="FootnoteReference"/>
          <w:sz w:val="18"/>
          <w:szCs w:val="18"/>
        </w:rPr>
        <w:footnoteRef/>
      </w:r>
      <w:r w:rsidRPr="001277DF">
        <w:rPr>
          <w:sz w:val="18"/>
          <w:szCs w:val="18"/>
        </w:rPr>
        <w:t xml:space="preserve"> </w:t>
      </w:r>
      <w:r w:rsidRPr="001277DF">
        <w:rPr>
          <w:sz w:val="18"/>
          <w:szCs w:val="18"/>
        </w:rPr>
        <w:tab/>
      </w:r>
      <w:r w:rsidRPr="001E0BDD">
        <w:rPr>
          <w:sz w:val="18"/>
          <w:szCs w:val="18"/>
        </w:rPr>
        <w:t xml:space="preserve">V priebehu roka 2019 a v prvej polovici roku 2020 vláda poskytla návratné finančné výpomoci mestu Kežmarok, Banskobystrickému, Prešovskému, Trnavskému, Nitrianskemu a Žilinskému samosprávnemu kraju. V roku 2019 vláda odpustila splatenie dvoch návratných výpomocí poskytnutých mestu Bratislava. </w:t>
      </w:r>
    </w:p>
  </w:footnote>
  <w:footnote w:id="13">
    <w:p w14:paraId="4A7438DC" w14:textId="337E3A88" w:rsidR="00C47F47" w:rsidRPr="006C2DA0" w:rsidRDefault="00C47F47" w:rsidP="006C1B97">
      <w:pPr>
        <w:pStyle w:val="FootnoteText"/>
        <w:ind w:left="284" w:hanging="284"/>
        <w:jc w:val="both"/>
        <w:rPr>
          <w:sz w:val="18"/>
          <w:szCs w:val="18"/>
        </w:rPr>
      </w:pPr>
      <w:r w:rsidRPr="006C2DA0">
        <w:rPr>
          <w:rStyle w:val="FootnoteReference"/>
          <w:sz w:val="18"/>
          <w:szCs w:val="18"/>
        </w:rPr>
        <w:footnoteRef/>
      </w:r>
      <w:r w:rsidRPr="006C2DA0">
        <w:rPr>
          <w:sz w:val="18"/>
          <w:szCs w:val="18"/>
        </w:rPr>
        <w:t xml:space="preserve"> </w:t>
      </w:r>
      <w:r w:rsidRPr="006C2DA0">
        <w:rPr>
          <w:sz w:val="18"/>
          <w:szCs w:val="18"/>
        </w:rPr>
        <w:tab/>
      </w:r>
      <w:r w:rsidRPr="0050471C">
        <w:rPr>
          <w:sz w:val="18"/>
          <w:szCs w:val="18"/>
        </w:rPr>
        <w:t>Ustanovenie ústavného zákona o rozpočtovej zodpovednosti o zabezpečení primeraného financovania samospráv pri nových úlohách sa vzťahuje na nové úlohy pri výkone originálnej právomoci územnej samosprávy</w:t>
      </w:r>
      <w:r>
        <w:rPr>
          <w:sz w:val="18"/>
          <w:szCs w:val="18"/>
        </w:rPr>
        <w:t xml:space="preserve">. </w:t>
      </w:r>
      <w:r w:rsidRPr="006C2DA0">
        <w:rPr>
          <w:bCs/>
          <w:sz w:val="18"/>
          <w:szCs w:val="18"/>
        </w:rPr>
        <w:t>Na financovanie nových úloh v rámci preneseného výkonu štátnej správy existuje ústavná garancia v rámci Ústavy (</w:t>
      </w:r>
      <w:r w:rsidRPr="006C2DA0">
        <w:rPr>
          <w:sz w:val="18"/>
          <w:szCs w:val="18"/>
        </w:rPr>
        <w:t>čl. 71 ods. 1 Ústavy</w:t>
      </w:r>
      <w:r>
        <w:rPr>
          <w:sz w:val="18"/>
          <w:szCs w:val="18"/>
        </w:rPr>
        <w:t>: „</w:t>
      </w:r>
      <w:r w:rsidRPr="006C2DA0">
        <w:rPr>
          <w:sz w:val="18"/>
          <w:szCs w:val="18"/>
        </w:rPr>
        <w:t>Na obec a vyšší územný celok možno zákonom preniesť výkon určených úloh miestnej štátnej správy. Náklady takto preneseného výkonu štátnej správy uhrádza štát.</w:t>
      </w:r>
      <w:r>
        <w:rPr>
          <w:sz w:val="18"/>
          <w:szCs w:val="18"/>
        </w:rPr>
        <w:t>“</w:t>
      </w:r>
      <w:r w:rsidRPr="006C2DA0">
        <w:rPr>
          <w:sz w:val="18"/>
          <w:szCs w:val="18"/>
        </w:rPr>
        <w:t>).</w:t>
      </w:r>
    </w:p>
  </w:footnote>
  <w:footnote w:id="14">
    <w:p w14:paraId="4C0984BC" w14:textId="108171BD" w:rsidR="00C47F47" w:rsidRDefault="00C47F47" w:rsidP="00C47F47">
      <w:pPr>
        <w:pStyle w:val="FootnoteText"/>
        <w:ind w:left="284" w:hanging="284"/>
        <w:jc w:val="both"/>
      </w:pPr>
      <w:r>
        <w:rPr>
          <w:rStyle w:val="FootnoteReference"/>
        </w:rPr>
        <w:footnoteRef/>
      </w:r>
      <w:r>
        <w:t xml:space="preserve"> </w:t>
      </w:r>
      <w:r>
        <w:tab/>
      </w:r>
      <w:r w:rsidRPr="00C47F47">
        <w:rPr>
          <w:sz w:val="18"/>
          <w:szCs w:val="18"/>
        </w:rPr>
        <w:t>RRZ každoročne vo svojom hodnotení uvádza, že objektívne hodnotenie vplyvu presunutých kompetencií na rozpočty samospráv nie je možné kvôli chýbajúcej porovnávacej základni. Na to, aby sa ústavný zákon v tejto oblasti stal účinným, by bolo potrebné uskutočniť audit, ktorý by zhodnotil aktuálny stav kompetencií samospráv a ich finančné krytie zo strany štátu.</w:t>
      </w:r>
    </w:p>
  </w:footnote>
  <w:footnote w:id="15">
    <w:p w14:paraId="45FD1848" w14:textId="77777777" w:rsidR="00C47F47" w:rsidRPr="003D76E3" w:rsidRDefault="00C47F47" w:rsidP="00E5593A">
      <w:pPr>
        <w:pStyle w:val="FootnoteText"/>
        <w:tabs>
          <w:tab w:val="left" w:pos="284"/>
        </w:tabs>
        <w:ind w:left="284" w:hanging="284"/>
        <w:jc w:val="both"/>
        <w:rPr>
          <w:highlight w:val="yellow"/>
        </w:rPr>
      </w:pPr>
      <w:r w:rsidRPr="00AA4009">
        <w:rPr>
          <w:rStyle w:val="FootnoteReference"/>
          <w:sz w:val="18"/>
          <w:szCs w:val="18"/>
        </w:rPr>
        <w:footnoteRef/>
      </w:r>
      <w:r w:rsidRPr="00AA4009">
        <w:rPr>
          <w:sz w:val="18"/>
          <w:szCs w:val="18"/>
        </w:rPr>
        <w:t xml:space="preserve"> </w:t>
      </w:r>
      <w:r w:rsidRPr="00AA4009">
        <w:rPr>
          <w:sz w:val="18"/>
          <w:szCs w:val="18"/>
        </w:rPr>
        <w:tab/>
        <w:t>Prekročenie limitu dlhu vo výške 60</w:t>
      </w:r>
      <w:r>
        <w:rPr>
          <w:sz w:val="18"/>
          <w:szCs w:val="18"/>
        </w:rPr>
        <w:t> </w:t>
      </w:r>
      <w:r w:rsidRPr="00AA4009">
        <w:rPr>
          <w:sz w:val="18"/>
          <w:szCs w:val="18"/>
        </w:rPr>
        <w:t xml:space="preserve">% bežných príjmov predchádzajúceho roka. Presná definícia ukazovateľa je uvedená v prílohe </w:t>
      </w:r>
      <w:r>
        <w:rPr>
          <w:sz w:val="18"/>
          <w:szCs w:val="18"/>
        </w:rPr>
        <w:t>6</w:t>
      </w:r>
      <w:r w:rsidRPr="00AA4009">
        <w:rPr>
          <w:sz w:val="18"/>
          <w:szCs w:val="18"/>
        </w:rPr>
        <w:t>.</w:t>
      </w:r>
    </w:p>
  </w:footnote>
  <w:footnote w:id="16">
    <w:p w14:paraId="19996178" w14:textId="77777777" w:rsidR="00C47F47" w:rsidRPr="00BF3551" w:rsidRDefault="00C47F47" w:rsidP="00E5593A">
      <w:pPr>
        <w:pStyle w:val="FootnoteText"/>
        <w:ind w:left="284" w:hanging="284"/>
        <w:jc w:val="both"/>
        <w:rPr>
          <w:sz w:val="18"/>
          <w:szCs w:val="18"/>
        </w:rPr>
      </w:pPr>
      <w:r w:rsidRPr="00BF3551">
        <w:rPr>
          <w:rStyle w:val="FootnoteReference"/>
          <w:sz w:val="18"/>
          <w:szCs w:val="18"/>
        </w:rPr>
        <w:footnoteRef/>
      </w:r>
      <w:r w:rsidRPr="00BF3551">
        <w:rPr>
          <w:sz w:val="18"/>
          <w:szCs w:val="18"/>
        </w:rPr>
        <w:t xml:space="preserve"> </w:t>
      </w:r>
      <w:r>
        <w:rPr>
          <w:sz w:val="18"/>
          <w:szCs w:val="18"/>
        </w:rPr>
        <w:tab/>
      </w:r>
      <w:r w:rsidRPr="00EC01FF">
        <w:rPr>
          <w:sz w:val="18"/>
          <w:szCs w:val="18"/>
        </w:rPr>
        <w:t>RRZ ani po opakovaných žiadostiach nemá k dispozícii upravené finálne údaje o výške dlhu obcí, ktoré MF</w:t>
      </w:r>
      <w:r>
        <w:rPr>
          <w:sz w:val="18"/>
          <w:szCs w:val="18"/>
        </w:rPr>
        <w:t> </w:t>
      </w:r>
      <w:r w:rsidRPr="00EC01FF">
        <w:rPr>
          <w:sz w:val="18"/>
          <w:szCs w:val="18"/>
        </w:rPr>
        <w:t>SR zistilo v rámci overovania vykázaných hodnôt v identifikovaných obciach.</w:t>
      </w:r>
    </w:p>
  </w:footnote>
  <w:footnote w:id="17">
    <w:p w14:paraId="25C5F871" w14:textId="77777777" w:rsidR="00C47F47" w:rsidRPr="00235F61" w:rsidRDefault="00C47F47" w:rsidP="00EF66F5">
      <w:pPr>
        <w:pStyle w:val="FootnoteText"/>
        <w:ind w:left="284" w:hanging="284"/>
        <w:jc w:val="both"/>
        <w:rPr>
          <w:sz w:val="18"/>
          <w:szCs w:val="18"/>
        </w:rPr>
      </w:pPr>
      <w:r w:rsidRPr="00235F61">
        <w:rPr>
          <w:rStyle w:val="FootnoteReference"/>
          <w:sz w:val="18"/>
          <w:szCs w:val="18"/>
        </w:rPr>
        <w:footnoteRef/>
      </w:r>
      <w:r w:rsidRPr="00235F61">
        <w:rPr>
          <w:sz w:val="18"/>
          <w:szCs w:val="18"/>
        </w:rPr>
        <w:t xml:space="preserve"> </w:t>
      </w:r>
      <w:r>
        <w:rPr>
          <w:sz w:val="18"/>
          <w:szCs w:val="18"/>
        </w:rPr>
        <w:tab/>
      </w:r>
      <w:r w:rsidRPr="00235F61">
        <w:rPr>
          <w:sz w:val="18"/>
          <w:szCs w:val="18"/>
        </w:rPr>
        <w:t xml:space="preserve">Vyhodnotenie plnenia odporúčaní </w:t>
      </w:r>
      <w:r>
        <w:rPr>
          <w:sz w:val="18"/>
          <w:szCs w:val="18"/>
        </w:rPr>
        <w:t xml:space="preserve">RRZ </w:t>
      </w:r>
      <w:r w:rsidRPr="00235F61">
        <w:rPr>
          <w:sz w:val="18"/>
          <w:szCs w:val="18"/>
        </w:rPr>
        <w:t>je uvedené v prílohe 2.</w:t>
      </w:r>
    </w:p>
  </w:footnote>
  <w:footnote w:id="18">
    <w:p w14:paraId="36D8D25B" w14:textId="540653F1" w:rsidR="00C47F47" w:rsidRPr="00AE6F2E" w:rsidRDefault="00C47F47" w:rsidP="00C47F47">
      <w:pPr>
        <w:pStyle w:val="FootnoteText"/>
        <w:ind w:left="284" w:hanging="284"/>
        <w:jc w:val="both"/>
        <w:rPr>
          <w:sz w:val="18"/>
          <w:szCs w:val="18"/>
        </w:rPr>
      </w:pPr>
      <w:r w:rsidRPr="00AE6F2E">
        <w:rPr>
          <w:rStyle w:val="FootnoteReference"/>
          <w:sz w:val="18"/>
          <w:szCs w:val="18"/>
        </w:rPr>
        <w:footnoteRef/>
      </w:r>
      <w:r w:rsidRPr="00AE6F2E">
        <w:rPr>
          <w:sz w:val="18"/>
          <w:szCs w:val="18"/>
        </w:rPr>
        <w:t xml:space="preserve"> </w:t>
      </w:r>
      <w:r>
        <w:rPr>
          <w:sz w:val="18"/>
          <w:szCs w:val="18"/>
        </w:rPr>
        <w:tab/>
      </w:r>
      <w:r w:rsidRPr="00AE6F2E">
        <w:rPr>
          <w:sz w:val="18"/>
          <w:szCs w:val="18"/>
        </w:rPr>
        <w:t>V</w:t>
      </w:r>
      <w:r>
        <w:rPr>
          <w:sz w:val="18"/>
          <w:szCs w:val="18"/>
        </w:rPr>
        <w:t xml:space="preserve"> schválenom Rozpočte verejnej správy na roky </w:t>
      </w:r>
      <w:r w:rsidRPr="00AE6F2E">
        <w:rPr>
          <w:sz w:val="18"/>
          <w:szCs w:val="18"/>
        </w:rPr>
        <w:t>202</w:t>
      </w:r>
      <w:r>
        <w:rPr>
          <w:sz w:val="18"/>
          <w:szCs w:val="18"/>
        </w:rPr>
        <w:t>0</w:t>
      </w:r>
      <w:r w:rsidRPr="00AE6F2E">
        <w:rPr>
          <w:sz w:val="18"/>
          <w:szCs w:val="18"/>
        </w:rPr>
        <w:t xml:space="preserve"> a</w:t>
      </w:r>
      <w:r>
        <w:rPr>
          <w:sz w:val="18"/>
          <w:szCs w:val="18"/>
        </w:rPr>
        <w:t>ž</w:t>
      </w:r>
      <w:r w:rsidRPr="00AE6F2E">
        <w:rPr>
          <w:sz w:val="18"/>
          <w:szCs w:val="18"/>
        </w:rPr>
        <w:t xml:space="preserve"> 2022 chýba</w:t>
      </w:r>
      <w:r>
        <w:rPr>
          <w:sz w:val="18"/>
          <w:szCs w:val="18"/>
        </w:rPr>
        <w:t>li</w:t>
      </w:r>
      <w:r w:rsidRPr="00AE6F2E">
        <w:rPr>
          <w:sz w:val="18"/>
          <w:szCs w:val="18"/>
        </w:rPr>
        <w:t xml:space="preserve"> na splnenie stanovených cieľov </w:t>
      </w:r>
      <w:r>
        <w:rPr>
          <w:sz w:val="18"/>
          <w:szCs w:val="18"/>
        </w:rPr>
        <w:t xml:space="preserve">v rokoch 2021 a 2022 </w:t>
      </w:r>
      <w:r w:rsidRPr="00AE6F2E">
        <w:rPr>
          <w:sz w:val="18"/>
          <w:szCs w:val="18"/>
        </w:rPr>
        <w:t>opatrenia vo výške 770 mil. eur resp. 1 246 mil. eur.</w:t>
      </w:r>
    </w:p>
  </w:footnote>
  <w:footnote w:id="19">
    <w:p w14:paraId="370AB597" w14:textId="77777777" w:rsidR="00C47F47" w:rsidRPr="00C45B53" w:rsidRDefault="00C47F47" w:rsidP="00EF66F5">
      <w:pPr>
        <w:pStyle w:val="FootnoteText"/>
        <w:ind w:left="284" w:hanging="284"/>
        <w:jc w:val="both"/>
        <w:rPr>
          <w:sz w:val="18"/>
          <w:szCs w:val="18"/>
        </w:rPr>
      </w:pPr>
      <w:r w:rsidRPr="00C45B53">
        <w:rPr>
          <w:rStyle w:val="FootnoteReference"/>
          <w:sz w:val="18"/>
          <w:szCs w:val="18"/>
        </w:rPr>
        <w:footnoteRef/>
      </w:r>
      <w:r w:rsidRPr="00C45B53">
        <w:rPr>
          <w:sz w:val="18"/>
          <w:szCs w:val="18"/>
        </w:rPr>
        <w:t xml:space="preserve"> </w:t>
      </w:r>
      <w:r>
        <w:rPr>
          <w:sz w:val="18"/>
          <w:szCs w:val="18"/>
        </w:rPr>
        <w:tab/>
      </w:r>
      <w:r w:rsidRPr="00C45B53">
        <w:rPr>
          <w:sz w:val="18"/>
          <w:szCs w:val="18"/>
        </w:rPr>
        <w:t>Zahŕňa to prognózu VpDP, dodatočné úpravy vrátane metodických zmien a ostatné daňové a odvodové príjmy, ktoré VpDP v súčasnosti neprognózuje.</w:t>
      </w:r>
    </w:p>
  </w:footnote>
  <w:footnote w:id="20">
    <w:p w14:paraId="30E5351A" w14:textId="77777777" w:rsidR="00C47F47" w:rsidRPr="00235F61" w:rsidRDefault="00C47F47" w:rsidP="00EF66F5">
      <w:pPr>
        <w:pStyle w:val="FootnoteText"/>
        <w:ind w:left="284" w:hanging="284"/>
        <w:jc w:val="both"/>
        <w:rPr>
          <w:sz w:val="18"/>
          <w:szCs w:val="18"/>
        </w:rPr>
      </w:pPr>
      <w:r w:rsidRPr="00235F61">
        <w:rPr>
          <w:rStyle w:val="FootnoteReference"/>
          <w:sz w:val="18"/>
          <w:szCs w:val="18"/>
        </w:rPr>
        <w:footnoteRef/>
      </w:r>
      <w:r w:rsidRPr="00235F61">
        <w:rPr>
          <w:sz w:val="18"/>
          <w:szCs w:val="18"/>
        </w:rPr>
        <w:t xml:space="preserve"> </w:t>
      </w:r>
      <w:r>
        <w:rPr>
          <w:sz w:val="18"/>
          <w:szCs w:val="18"/>
        </w:rPr>
        <w:tab/>
      </w:r>
      <w:r w:rsidRPr="00E848F0">
        <w:rPr>
          <w:sz w:val="18"/>
          <w:szCs w:val="18"/>
        </w:rPr>
        <w:t>Rozpočtované hodnoty v rokoch 20</w:t>
      </w:r>
      <w:r>
        <w:rPr>
          <w:sz w:val="18"/>
          <w:szCs w:val="18"/>
        </w:rPr>
        <w:t>20</w:t>
      </w:r>
      <w:r w:rsidRPr="00E848F0">
        <w:rPr>
          <w:sz w:val="18"/>
          <w:szCs w:val="18"/>
        </w:rPr>
        <w:t xml:space="preserve"> až 202</w:t>
      </w:r>
      <w:r>
        <w:rPr>
          <w:sz w:val="18"/>
          <w:szCs w:val="18"/>
        </w:rPr>
        <w:t>2</w:t>
      </w:r>
      <w:r w:rsidRPr="00E848F0">
        <w:rPr>
          <w:sz w:val="18"/>
          <w:szCs w:val="18"/>
        </w:rPr>
        <w:t xml:space="preserve"> nereflektovali menej priaznivý vývoj skutočnej výšky dividend, pričom na základe rozpočtu, ani dodatočne vyžiadaných údajov</w:t>
      </w:r>
      <w:r>
        <w:rPr>
          <w:sz w:val="18"/>
          <w:szCs w:val="18"/>
        </w:rPr>
        <w:t xml:space="preserve"> od MF SR a MH SR</w:t>
      </w:r>
      <w:r w:rsidRPr="00E848F0">
        <w:rPr>
          <w:sz w:val="18"/>
          <w:szCs w:val="18"/>
        </w:rPr>
        <w:t xml:space="preserve"> neboli RRZ zrejmé dôvody optimistických predpokladov o ich vývoji</w:t>
      </w:r>
      <w:r>
        <w:rPr>
          <w:sz w:val="18"/>
          <w:szCs w:val="18"/>
        </w:rPr>
        <w:t>.</w:t>
      </w:r>
    </w:p>
  </w:footnote>
  <w:footnote w:id="21">
    <w:p w14:paraId="6432F8B7" w14:textId="77777777" w:rsidR="00C47F47" w:rsidRPr="00C50246" w:rsidRDefault="00C47F47" w:rsidP="00EF66F5">
      <w:pPr>
        <w:pStyle w:val="FootnoteText"/>
        <w:ind w:left="284" w:hanging="284"/>
        <w:jc w:val="both"/>
        <w:rPr>
          <w:sz w:val="18"/>
          <w:szCs w:val="18"/>
        </w:rPr>
      </w:pPr>
      <w:r w:rsidRPr="00C50246">
        <w:rPr>
          <w:rStyle w:val="FootnoteReference"/>
          <w:sz w:val="18"/>
          <w:szCs w:val="18"/>
        </w:rPr>
        <w:footnoteRef/>
      </w:r>
      <w:r w:rsidRPr="00C50246">
        <w:rPr>
          <w:sz w:val="18"/>
          <w:szCs w:val="18"/>
        </w:rPr>
        <w:t xml:space="preserve"> </w:t>
      </w:r>
      <w:r>
        <w:rPr>
          <w:sz w:val="18"/>
          <w:szCs w:val="18"/>
        </w:rPr>
        <w:tab/>
      </w:r>
      <w:r w:rsidRPr="00C50246">
        <w:rPr>
          <w:sz w:val="18"/>
          <w:szCs w:val="18"/>
        </w:rPr>
        <w:t>K navýšeniu došlo v rokoch 2013 až 2015 a</w:t>
      </w:r>
      <w:r>
        <w:rPr>
          <w:sz w:val="18"/>
          <w:szCs w:val="18"/>
        </w:rPr>
        <w:t> </w:t>
      </w:r>
      <w:r w:rsidRPr="00C50246">
        <w:rPr>
          <w:sz w:val="18"/>
          <w:szCs w:val="18"/>
        </w:rPr>
        <w:t>2018</w:t>
      </w:r>
      <w:r>
        <w:rPr>
          <w:sz w:val="18"/>
          <w:szCs w:val="18"/>
        </w:rPr>
        <w:t xml:space="preserve"> a 2019</w:t>
      </w:r>
      <w:r w:rsidRPr="00C50246">
        <w:rPr>
          <w:sz w:val="18"/>
          <w:szCs w:val="18"/>
        </w:rPr>
        <w:t>.</w:t>
      </w:r>
    </w:p>
  </w:footnote>
  <w:footnote w:id="22">
    <w:p w14:paraId="61FD62FF" w14:textId="2B97F3FB" w:rsidR="00C47F47" w:rsidRPr="00F850DA" w:rsidRDefault="00C47F47" w:rsidP="00F850DA">
      <w:pPr>
        <w:pStyle w:val="FootnoteText"/>
        <w:ind w:left="284" w:hanging="284"/>
        <w:jc w:val="both"/>
        <w:rPr>
          <w:sz w:val="18"/>
          <w:szCs w:val="18"/>
        </w:rPr>
      </w:pPr>
      <w:r w:rsidRPr="00F850DA">
        <w:rPr>
          <w:rStyle w:val="FootnoteReference"/>
          <w:sz w:val="18"/>
          <w:szCs w:val="18"/>
        </w:rPr>
        <w:footnoteRef/>
      </w:r>
      <w:r w:rsidRPr="00F850DA">
        <w:rPr>
          <w:sz w:val="18"/>
          <w:szCs w:val="18"/>
        </w:rPr>
        <w:t xml:space="preserve"> </w:t>
      </w:r>
      <w:r>
        <w:rPr>
          <w:sz w:val="18"/>
          <w:szCs w:val="18"/>
        </w:rPr>
        <w:tab/>
      </w:r>
      <w:r w:rsidRPr="00F850DA">
        <w:rPr>
          <w:sz w:val="18"/>
          <w:szCs w:val="18"/>
        </w:rPr>
        <w:t>Príkladom sú aj zmeny rozpočtu v oblasti salda verejnej správy. Pozmeňujúcimi návrhmi v NR SR bol upravený len štátny rozpočet na rok 2020. Rozpočtované saldá verejnej správy na roky 2021 a 2022 RRZ zistila len na základe dodatočne vyžiadaných informácií od MF SR.</w:t>
      </w:r>
    </w:p>
  </w:footnote>
  <w:footnote w:id="23">
    <w:p w14:paraId="5C1564E5" w14:textId="145B4332" w:rsidR="00C47F47" w:rsidRPr="006E572A" w:rsidRDefault="00C47F47" w:rsidP="00BC4B6E">
      <w:pPr>
        <w:pStyle w:val="FootnoteText"/>
        <w:ind w:left="284" w:hanging="284"/>
        <w:jc w:val="both"/>
        <w:rPr>
          <w:sz w:val="18"/>
          <w:szCs w:val="18"/>
        </w:rPr>
      </w:pPr>
      <w:r w:rsidRPr="006E572A">
        <w:rPr>
          <w:rStyle w:val="FootnoteReference"/>
          <w:sz w:val="18"/>
          <w:szCs w:val="18"/>
        </w:rPr>
        <w:footnoteRef/>
      </w:r>
      <w:r w:rsidRPr="006E572A">
        <w:rPr>
          <w:sz w:val="18"/>
          <w:szCs w:val="18"/>
        </w:rPr>
        <w:t xml:space="preserve"> </w:t>
      </w:r>
      <w:r>
        <w:rPr>
          <w:sz w:val="18"/>
          <w:szCs w:val="18"/>
        </w:rPr>
        <w:tab/>
      </w:r>
      <w:r w:rsidRPr="006E572A">
        <w:rPr>
          <w:sz w:val="18"/>
          <w:szCs w:val="18"/>
        </w:rPr>
        <w:t xml:space="preserve">Zákon o rozpočtových pravidlách verejnej správy uvádza len tri konkrétne rezervy (rezerva vlády SR, rezerva predsedu vlády SR a rezerva na prostriedky EÚ a odvody do EÚ), o použití ktorých je NR SR informovaná. V súčasnosti však tvoria iba približne </w:t>
      </w:r>
      <w:r w:rsidRPr="007A4E3F">
        <w:rPr>
          <w:sz w:val="18"/>
          <w:szCs w:val="18"/>
        </w:rPr>
        <w:t>13 %</w:t>
      </w:r>
      <w:r w:rsidRPr="006E572A">
        <w:rPr>
          <w:sz w:val="18"/>
          <w:szCs w:val="18"/>
        </w:rPr>
        <w:t xml:space="preserve"> všetkých rezerv.</w:t>
      </w:r>
      <w:r>
        <w:rPr>
          <w:sz w:val="18"/>
          <w:szCs w:val="18"/>
        </w:rPr>
        <w:t xml:space="preserve"> NR SR nie je informovaná o použití zvyšných 87 % rezerv. </w:t>
      </w:r>
    </w:p>
  </w:footnote>
  <w:footnote w:id="24">
    <w:p w14:paraId="5BAB29EB" w14:textId="77777777" w:rsidR="00C47F47" w:rsidRDefault="00C47F47" w:rsidP="00FC0334">
      <w:pPr>
        <w:pStyle w:val="FootnoteText"/>
        <w:ind w:left="284" w:hanging="284"/>
        <w:jc w:val="both"/>
      </w:pPr>
      <w:r>
        <w:rPr>
          <w:rStyle w:val="FootnoteReference"/>
        </w:rPr>
        <w:footnoteRef/>
      </w:r>
      <w:r>
        <w:t xml:space="preserve"> </w:t>
      </w:r>
      <w:r>
        <w:tab/>
      </w:r>
      <w:r w:rsidRPr="00FC0334">
        <w:rPr>
          <w:bCs/>
          <w:sz w:val="18"/>
          <w:szCs w:val="18"/>
        </w:rPr>
        <w:t>Navýšeniu výdavkov legislatívnou zmenou nezabránil ani existujúci záväzný limit výdavkov na rok 2020 schválený vládou v januári 2020 v dôsledku identifikovanej výraznej odchýlky od plnenia pravidla o vyrovnanom rozpočte.</w:t>
      </w:r>
    </w:p>
  </w:footnote>
  <w:footnote w:id="25">
    <w:p w14:paraId="5A6A3D5D" w14:textId="3B8C7D33" w:rsidR="00C47F47" w:rsidRPr="00565140" w:rsidRDefault="00C47F47" w:rsidP="00565140">
      <w:pPr>
        <w:pStyle w:val="FootnoteText"/>
        <w:ind w:left="284" w:hanging="284"/>
        <w:jc w:val="both"/>
        <w:rPr>
          <w:sz w:val="18"/>
          <w:szCs w:val="18"/>
        </w:rPr>
      </w:pPr>
      <w:r w:rsidRPr="00565140">
        <w:rPr>
          <w:rStyle w:val="FootnoteReference"/>
          <w:sz w:val="18"/>
          <w:szCs w:val="18"/>
        </w:rPr>
        <w:footnoteRef/>
      </w:r>
      <w:r w:rsidRPr="00565140">
        <w:rPr>
          <w:sz w:val="18"/>
          <w:szCs w:val="18"/>
        </w:rPr>
        <w:t xml:space="preserve"> </w:t>
      </w:r>
      <w:r>
        <w:rPr>
          <w:sz w:val="18"/>
          <w:szCs w:val="18"/>
        </w:rPr>
        <w:tab/>
      </w:r>
      <w:r w:rsidRPr="00565140">
        <w:rPr>
          <w:sz w:val="18"/>
          <w:szCs w:val="18"/>
        </w:rPr>
        <w:t>Zákon č. 221/2019 Z.z., ktorým sa mení a dopĺňa zákon č. 177/2018 Z. z. o niektorých opatreniach na znižovanie administratívnej záťaže využívaním informačných systémov verejnej správy a o zmene a doplnení niektorých zákonov (zákon proti byrokracii) a ktorým sa menia a dopĺňajú niektoré zákony</w:t>
      </w:r>
    </w:p>
  </w:footnote>
  <w:footnote w:id="26">
    <w:p w14:paraId="1FFB3DFC" w14:textId="04FD525A" w:rsidR="003A2267" w:rsidRDefault="003A2267" w:rsidP="00E233A6">
      <w:pPr>
        <w:pStyle w:val="FootnoteText"/>
        <w:ind w:left="284" w:hanging="284"/>
        <w:jc w:val="both"/>
      </w:pPr>
      <w:r w:rsidRPr="00E233A6">
        <w:rPr>
          <w:rStyle w:val="FootnoteReference"/>
          <w:sz w:val="18"/>
          <w:szCs w:val="18"/>
        </w:rPr>
        <w:footnoteRef/>
      </w:r>
      <w:r w:rsidRPr="00E233A6">
        <w:rPr>
          <w:sz w:val="18"/>
          <w:szCs w:val="18"/>
        </w:rPr>
        <w:t xml:space="preserve"> </w:t>
      </w:r>
      <w:r>
        <w:rPr>
          <w:sz w:val="18"/>
          <w:szCs w:val="18"/>
        </w:rPr>
        <w:tab/>
      </w:r>
      <w:r w:rsidRPr="00E233A6">
        <w:rPr>
          <w:sz w:val="18"/>
          <w:szCs w:val="18"/>
        </w:rPr>
        <w:t>Výnimka sa vzťahuje len na bežné výdavky poskytnuté ako bežný transfer po 1. auguste 2019, ktoré podľa §</w:t>
      </w:r>
      <w:r>
        <w:rPr>
          <w:sz w:val="18"/>
          <w:szCs w:val="18"/>
        </w:rPr>
        <w:t> </w:t>
      </w:r>
      <w:r w:rsidRPr="00E233A6">
        <w:rPr>
          <w:sz w:val="18"/>
          <w:szCs w:val="18"/>
        </w:rPr>
        <w:t>8</w:t>
      </w:r>
      <w:r>
        <w:rPr>
          <w:sz w:val="18"/>
          <w:szCs w:val="18"/>
        </w:rPr>
        <w:t> </w:t>
      </w:r>
      <w:r w:rsidRPr="00E233A6">
        <w:rPr>
          <w:sz w:val="18"/>
          <w:szCs w:val="18"/>
        </w:rPr>
        <w:t>ods.</w:t>
      </w:r>
      <w:r>
        <w:rPr>
          <w:sz w:val="18"/>
          <w:szCs w:val="18"/>
        </w:rPr>
        <w:t> </w:t>
      </w:r>
      <w:r w:rsidRPr="00E233A6">
        <w:rPr>
          <w:sz w:val="18"/>
          <w:szCs w:val="18"/>
        </w:rPr>
        <w:t>5</w:t>
      </w:r>
      <w:r>
        <w:rPr>
          <w:sz w:val="18"/>
          <w:szCs w:val="18"/>
        </w:rPr>
        <w:t> </w:t>
      </w:r>
      <w:r w:rsidRPr="00E233A6">
        <w:rPr>
          <w:sz w:val="18"/>
          <w:szCs w:val="18"/>
        </w:rPr>
        <w:t xml:space="preserve">zákona č. 523/2004 Z. z. </w:t>
      </w:r>
      <w:r>
        <w:rPr>
          <w:sz w:val="18"/>
          <w:szCs w:val="18"/>
        </w:rPr>
        <w:t xml:space="preserve">o rozpočtových pravidlách verejnej správy </w:t>
      </w:r>
      <w:r w:rsidRPr="00E233A6">
        <w:rPr>
          <w:sz w:val="18"/>
          <w:szCs w:val="18"/>
        </w:rPr>
        <w:t>bolo možné použiť do 31. marca 2020.</w:t>
      </w:r>
    </w:p>
  </w:footnote>
  <w:footnote w:id="27">
    <w:p w14:paraId="4AC081F6" w14:textId="19096354" w:rsidR="00C47F47" w:rsidRPr="0036667D" w:rsidRDefault="00C47F47" w:rsidP="0036667D">
      <w:pPr>
        <w:pStyle w:val="FootnoteText"/>
        <w:ind w:left="284" w:hanging="284"/>
        <w:jc w:val="both"/>
        <w:rPr>
          <w:sz w:val="18"/>
          <w:szCs w:val="18"/>
        </w:rPr>
      </w:pPr>
      <w:r w:rsidRPr="0036667D">
        <w:rPr>
          <w:rStyle w:val="FootnoteReference"/>
          <w:sz w:val="18"/>
          <w:szCs w:val="18"/>
        </w:rPr>
        <w:footnoteRef/>
      </w:r>
      <w:r w:rsidRPr="0036667D">
        <w:rPr>
          <w:sz w:val="18"/>
          <w:szCs w:val="18"/>
        </w:rPr>
        <w:t xml:space="preserve"> </w:t>
      </w:r>
      <w:r>
        <w:rPr>
          <w:sz w:val="18"/>
          <w:szCs w:val="18"/>
        </w:rPr>
        <w:tab/>
      </w:r>
      <w:r w:rsidRPr="00611761">
        <w:rPr>
          <w:sz w:val="18"/>
          <w:szCs w:val="18"/>
        </w:rPr>
        <w:t>GIBA</w:t>
      </w:r>
      <w:r w:rsidRPr="0036667D">
        <w:rPr>
          <w:sz w:val="18"/>
          <w:szCs w:val="18"/>
        </w:rPr>
        <w:t>, M</w:t>
      </w:r>
      <w:r w:rsidRPr="00611761">
        <w:rPr>
          <w:sz w:val="18"/>
          <w:szCs w:val="18"/>
        </w:rPr>
        <w:t xml:space="preserve">., BUJŇÁK, V.: Ústavnoprávna analýza vybraných ustanovení ústavného zákona o rozpočtovej zodpovednosti zo dňa </w:t>
      </w:r>
      <w:r>
        <w:rPr>
          <w:sz w:val="18"/>
          <w:szCs w:val="18"/>
        </w:rPr>
        <w:t>31</w:t>
      </w:r>
      <w:r w:rsidRPr="00611761">
        <w:rPr>
          <w:sz w:val="18"/>
          <w:szCs w:val="18"/>
        </w:rPr>
        <w:t>.</w:t>
      </w:r>
      <w:r>
        <w:rPr>
          <w:sz w:val="18"/>
          <w:szCs w:val="18"/>
        </w:rPr>
        <w:t>07</w:t>
      </w:r>
      <w:r w:rsidRPr="00611761">
        <w:rPr>
          <w:sz w:val="18"/>
          <w:szCs w:val="18"/>
        </w:rPr>
        <w:t>.</w:t>
      </w:r>
      <w:r>
        <w:rPr>
          <w:sz w:val="18"/>
          <w:szCs w:val="18"/>
        </w:rPr>
        <w:t>2020</w:t>
      </w:r>
      <w:r w:rsidRPr="00611761">
        <w:rPr>
          <w:sz w:val="18"/>
          <w:szCs w:val="18"/>
        </w:rPr>
        <w:t xml:space="preserve">. Analýza vypracovaná na základe zmluvy s Univerzitou Komenského v Bratislave, Právnickou fakultou zo dňa </w:t>
      </w:r>
      <w:r>
        <w:rPr>
          <w:sz w:val="18"/>
          <w:szCs w:val="18"/>
        </w:rPr>
        <w:t>22</w:t>
      </w:r>
      <w:r w:rsidRPr="00611761">
        <w:rPr>
          <w:sz w:val="18"/>
          <w:szCs w:val="18"/>
        </w:rPr>
        <w:t>.</w:t>
      </w:r>
      <w:r>
        <w:rPr>
          <w:sz w:val="18"/>
          <w:szCs w:val="18"/>
        </w:rPr>
        <w:t>05</w:t>
      </w:r>
      <w:r w:rsidRPr="00611761">
        <w:rPr>
          <w:sz w:val="18"/>
          <w:szCs w:val="18"/>
        </w:rPr>
        <w:t>.</w:t>
      </w:r>
      <w:r>
        <w:rPr>
          <w:sz w:val="18"/>
          <w:szCs w:val="18"/>
        </w:rPr>
        <w:t>2020</w:t>
      </w:r>
      <w:r w:rsidRPr="0036667D">
        <w:rPr>
          <w:sz w:val="18"/>
          <w:szCs w:val="18"/>
        </w:rPr>
        <w:t>.</w:t>
      </w:r>
    </w:p>
  </w:footnote>
  <w:footnote w:id="28">
    <w:p w14:paraId="7FE95584" w14:textId="3AC8F2BF" w:rsidR="00C47F47" w:rsidRPr="004966C2" w:rsidRDefault="00C47F47" w:rsidP="007D673C">
      <w:pPr>
        <w:pStyle w:val="FootnoteText"/>
        <w:ind w:left="284" w:hanging="284"/>
        <w:jc w:val="both"/>
        <w:rPr>
          <w:sz w:val="18"/>
          <w:szCs w:val="18"/>
        </w:rPr>
      </w:pPr>
      <w:r w:rsidRPr="004966C2">
        <w:rPr>
          <w:rStyle w:val="FootnoteReference"/>
          <w:sz w:val="18"/>
          <w:szCs w:val="18"/>
        </w:rPr>
        <w:footnoteRef/>
      </w:r>
      <w:r w:rsidRPr="004966C2">
        <w:rPr>
          <w:sz w:val="18"/>
          <w:szCs w:val="18"/>
        </w:rPr>
        <w:t xml:space="preserve"> </w:t>
      </w:r>
      <w:r w:rsidRPr="004966C2">
        <w:rPr>
          <w:sz w:val="18"/>
          <w:szCs w:val="18"/>
        </w:rPr>
        <w:tab/>
        <w:t>Prvé sankčné pásmo v roku 201</w:t>
      </w:r>
      <w:r>
        <w:rPr>
          <w:sz w:val="18"/>
          <w:szCs w:val="18"/>
        </w:rPr>
        <w:t>8</w:t>
      </w:r>
      <w:r w:rsidRPr="004966C2">
        <w:rPr>
          <w:sz w:val="18"/>
          <w:szCs w:val="18"/>
        </w:rPr>
        <w:t xml:space="preserve"> znamen</w:t>
      </w:r>
      <w:r>
        <w:rPr>
          <w:sz w:val="18"/>
          <w:szCs w:val="18"/>
        </w:rPr>
        <w:t>alo</w:t>
      </w:r>
      <w:r w:rsidRPr="004966C2">
        <w:rPr>
          <w:sz w:val="18"/>
          <w:szCs w:val="18"/>
        </w:rPr>
        <w:t xml:space="preserve">, že podiel hrubého dlhu na HDP dosiahol </w:t>
      </w:r>
      <w:r>
        <w:rPr>
          <w:sz w:val="18"/>
          <w:szCs w:val="18"/>
        </w:rPr>
        <w:t>49</w:t>
      </w:r>
      <w:r w:rsidRPr="004966C2">
        <w:rPr>
          <w:sz w:val="18"/>
          <w:szCs w:val="18"/>
        </w:rPr>
        <w:t xml:space="preserve"> % HDP a zároveň nedosiahol 5</w:t>
      </w:r>
      <w:r>
        <w:rPr>
          <w:sz w:val="18"/>
          <w:szCs w:val="18"/>
        </w:rPr>
        <w:t>2</w:t>
      </w:r>
      <w:r w:rsidRPr="004966C2">
        <w:rPr>
          <w:sz w:val="18"/>
          <w:szCs w:val="18"/>
        </w:rPr>
        <w:t> % HDP.</w:t>
      </w:r>
    </w:p>
  </w:footnote>
  <w:footnote w:id="29">
    <w:p w14:paraId="12EE3C68" w14:textId="2CFEF593" w:rsidR="00C47F47" w:rsidRPr="004A79A6" w:rsidRDefault="00C47F47" w:rsidP="004A79A6">
      <w:pPr>
        <w:pStyle w:val="FootnoteText"/>
        <w:ind w:left="284" w:hanging="284"/>
        <w:jc w:val="both"/>
        <w:rPr>
          <w:sz w:val="18"/>
          <w:szCs w:val="18"/>
        </w:rPr>
      </w:pPr>
      <w:r w:rsidRPr="004A79A6">
        <w:rPr>
          <w:rStyle w:val="FootnoteReference"/>
          <w:sz w:val="18"/>
          <w:szCs w:val="18"/>
        </w:rPr>
        <w:footnoteRef/>
      </w:r>
      <w:r w:rsidRPr="004A79A6">
        <w:rPr>
          <w:sz w:val="18"/>
          <w:szCs w:val="18"/>
        </w:rPr>
        <w:t xml:space="preserve"> </w:t>
      </w:r>
      <w:r>
        <w:rPr>
          <w:sz w:val="18"/>
          <w:szCs w:val="18"/>
        </w:rPr>
        <w:tab/>
        <w:t>Nárast dlhu súvisí najmä so</w:t>
      </w:r>
      <w:r w:rsidRPr="004A79A6">
        <w:rPr>
          <w:sz w:val="18"/>
          <w:szCs w:val="18"/>
        </w:rPr>
        <w:t xml:space="preserve"> zahrnut</w:t>
      </w:r>
      <w:r>
        <w:rPr>
          <w:sz w:val="18"/>
          <w:szCs w:val="18"/>
        </w:rPr>
        <w:t>ím</w:t>
      </w:r>
      <w:r w:rsidRPr="004A79A6">
        <w:rPr>
          <w:sz w:val="18"/>
          <w:szCs w:val="18"/>
        </w:rPr>
        <w:t xml:space="preserve"> nesprávne zaznamenaného dlhu zdravotníckych zariadení</w:t>
      </w:r>
      <w:r>
        <w:rPr>
          <w:sz w:val="18"/>
          <w:szCs w:val="18"/>
        </w:rPr>
        <w:t xml:space="preserve"> v aprílovej notifikácii</w:t>
      </w:r>
      <w:r w:rsidRPr="004A79A6">
        <w:rPr>
          <w:sz w:val="18"/>
          <w:szCs w:val="18"/>
        </w:rPr>
        <w:t xml:space="preserve">, </w:t>
      </w:r>
      <w:r>
        <w:rPr>
          <w:sz w:val="18"/>
          <w:szCs w:val="18"/>
        </w:rPr>
        <w:t xml:space="preserve">zahrnutím </w:t>
      </w:r>
      <w:r w:rsidRPr="004A79A6">
        <w:rPr>
          <w:sz w:val="18"/>
          <w:szCs w:val="18"/>
        </w:rPr>
        <w:t>dlhodobých záväzkov z</w:t>
      </w:r>
      <w:r>
        <w:rPr>
          <w:sz w:val="18"/>
          <w:szCs w:val="18"/>
        </w:rPr>
        <w:t xml:space="preserve"> </w:t>
      </w:r>
      <w:r w:rsidRPr="004A79A6">
        <w:rPr>
          <w:sz w:val="18"/>
          <w:szCs w:val="18"/>
        </w:rPr>
        <w:t>obchodného styku v</w:t>
      </w:r>
      <w:r>
        <w:rPr>
          <w:sz w:val="18"/>
          <w:szCs w:val="18"/>
        </w:rPr>
        <w:t xml:space="preserve"> </w:t>
      </w:r>
      <w:r w:rsidRPr="004A79A6">
        <w:rPr>
          <w:sz w:val="18"/>
          <w:szCs w:val="18"/>
        </w:rPr>
        <w:t xml:space="preserve">dôsledku benchmarkovej revízie </w:t>
      </w:r>
      <w:r>
        <w:rPr>
          <w:sz w:val="18"/>
          <w:szCs w:val="18"/>
        </w:rPr>
        <w:t>národných účtov</w:t>
      </w:r>
      <w:r w:rsidRPr="004A79A6">
        <w:rPr>
          <w:sz w:val="18"/>
          <w:szCs w:val="18"/>
        </w:rPr>
        <w:t xml:space="preserve"> a</w:t>
      </w:r>
      <w:r>
        <w:rPr>
          <w:sz w:val="18"/>
          <w:szCs w:val="18"/>
        </w:rPr>
        <w:t> </w:t>
      </w:r>
      <w:r w:rsidRPr="004A79A6">
        <w:rPr>
          <w:sz w:val="18"/>
          <w:szCs w:val="18"/>
        </w:rPr>
        <w:t>revízie</w:t>
      </w:r>
      <w:r>
        <w:rPr>
          <w:sz w:val="18"/>
          <w:szCs w:val="18"/>
        </w:rPr>
        <w:t xml:space="preserve"> </w:t>
      </w:r>
      <w:r w:rsidRPr="004A79A6">
        <w:rPr>
          <w:sz w:val="18"/>
          <w:szCs w:val="18"/>
        </w:rPr>
        <w:t>nominálneho HDP.</w:t>
      </w:r>
    </w:p>
  </w:footnote>
  <w:footnote w:id="30">
    <w:p w14:paraId="7F06421A" w14:textId="2C817599" w:rsidR="00C47F47" w:rsidRPr="004966C2" w:rsidRDefault="00C47F47" w:rsidP="00C93CAB">
      <w:pPr>
        <w:pStyle w:val="FootnoteText"/>
        <w:ind w:left="284" w:hanging="284"/>
        <w:jc w:val="both"/>
        <w:rPr>
          <w:sz w:val="18"/>
          <w:szCs w:val="18"/>
        </w:rPr>
      </w:pPr>
      <w:r w:rsidRPr="004966C2">
        <w:rPr>
          <w:rStyle w:val="FootnoteReference"/>
          <w:sz w:val="18"/>
          <w:szCs w:val="18"/>
        </w:rPr>
        <w:footnoteRef/>
      </w:r>
      <w:r w:rsidRPr="004966C2">
        <w:rPr>
          <w:sz w:val="18"/>
          <w:szCs w:val="18"/>
        </w:rPr>
        <w:t xml:space="preserve"> </w:t>
      </w:r>
      <w:r w:rsidRPr="004966C2">
        <w:rPr>
          <w:sz w:val="18"/>
          <w:szCs w:val="18"/>
        </w:rPr>
        <w:tab/>
        <w:t xml:space="preserve">Materiál bol predmetom rokovania </w:t>
      </w:r>
      <w:r>
        <w:rPr>
          <w:sz w:val="18"/>
          <w:szCs w:val="18"/>
        </w:rPr>
        <w:t xml:space="preserve">81. schôdze </w:t>
      </w:r>
      <w:hyperlink r:id="rId4" w:history="1">
        <w:r w:rsidRPr="004966C2">
          <w:rPr>
            <w:rStyle w:val="Hyperlink"/>
            <w:color w:val="13B5EA"/>
            <w:sz w:val="18"/>
            <w:szCs w:val="18"/>
          </w:rPr>
          <w:t>výboru národnej rady pre financie a rozpočet</w:t>
        </w:r>
      </w:hyperlink>
      <w:r>
        <w:rPr>
          <w:sz w:val="18"/>
          <w:szCs w:val="18"/>
        </w:rPr>
        <w:t xml:space="preserve"> a je zverejnený na</w:t>
      </w:r>
      <w:r w:rsidR="003A2267">
        <w:rPr>
          <w:sz w:val="18"/>
          <w:szCs w:val="18"/>
        </w:rPr>
        <w:t> </w:t>
      </w:r>
      <w:hyperlink r:id="rId5" w:history="1">
        <w:r w:rsidRPr="00E519B2">
          <w:rPr>
            <w:rStyle w:val="Hyperlink"/>
            <w:color w:val="13B5EA"/>
            <w:sz w:val="18"/>
            <w:szCs w:val="18"/>
          </w:rPr>
          <w:t>stránke ministerstva financií</w:t>
        </w:r>
      </w:hyperlink>
      <w:r w:rsidRPr="00E519B2">
        <w:rPr>
          <w:color w:val="13B5EA"/>
          <w:sz w:val="18"/>
          <w:szCs w:val="18"/>
        </w:rPr>
        <w:t>.</w:t>
      </w:r>
    </w:p>
  </w:footnote>
  <w:footnote w:id="31">
    <w:p w14:paraId="7CED720D" w14:textId="77777777" w:rsidR="00C47F47" w:rsidRPr="005D38E2" w:rsidRDefault="00C47F47" w:rsidP="00E35E94">
      <w:pPr>
        <w:pStyle w:val="FootnoteText"/>
        <w:ind w:left="284" w:hanging="284"/>
        <w:jc w:val="both"/>
        <w:rPr>
          <w:sz w:val="18"/>
          <w:szCs w:val="18"/>
        </w:rPr>
      </w:pPr>
      <w:r w:rsidRPr="005D38E2">
        <w:rPr>
          <w:rStyle w:val="FootnoteReference"/>
          <w:sz w:val="18"/>
          <w:szCs w:val="18"/>
        </w:rPr>
        <w:footnoteRef/>
      </w:r>
      <w:r w:rsidRPr="005D38E2">
        <w:rPr>
          <w:sz w:val="18"/>
          <w:szCs w:val="18"/>
        </w:rPr>
        <w:t xml:space="preserve"> </w:t>
      </w:r>
      <w:r w:rsidRPr="005D38E2">
        <w:rPr>
          <w:sz w:val="18"/>
          <w:szCs w:val="18"/>
        </w:rPr>
        <w:tab/>
        <w:t>Eurostat dňa 2</w:t>
      </w:r>
      <w:r>
        <w:rPr>
          <w:sz w:val="18"/>
          <w:szCs w:val="18"/>
        </w:rPr>
        <w:t>3</w:t>
      </w:r>
      <w:r w:rsidRPr="005D38E2">
        <w:rPr>
          <w:sz w:val="18"/>
          <w:szCs w:val="18"/>
        </w:rPr>
        <w:t>. apríla 20</w:t>
      </w:r>
      <w:r>
        <w:rPr>
          <w:sz w:val="18"/>
          <w:szCs w:val="18"/>
        </w:rPr>
        <w:t>20</w:t>
      </w:r>
      <w:r w:rsidRPr="005D38E2">
        <w:rPr>
          <w:sz w:val="18"/>
          <w:szCs w:val="18"/>
        </w:rPr>
        <w:t xml:space="preserve"> </w:t>
      </w:r>
      <w:hyperlink r:id="rId6" w:history="1">
        <w:r w:rsidRPr="005D38E2">
          <w:rPr>
            <w:rStyle w:val="Hyperlink"/>
            <w:rFonts w:eastAsia="Arial Unicode MS"/>
            <w:color w:val="13B5EA"/>
            <w:sz w:val="18"/>
            <w:szCs w:val="18"/>
          </w:rPr>
          <w:t>zverejnil</w:t>
        </w:r>
      </w:hyperlink>
      <w:r w:rsidRPr="005D38E2">
        <w:rPr>
          <w:sz w:val="18"/>
          <w:szCs w:val="18"/>
        </w:rPr>
        <w:t xml:space="preserve"> výšku dlhu a salda verejnej správy členských krajín Európskej únie.</w:t>
      </w:r>
    </w:p>
  </w:footnote>
  <w:footnote w:id="32">
    <w:p w14:paraId="3C3D494B" w14:textId="18344F9B" w:rsidR="00C47F47" w:rsidRDefault="00C47F47" w:rsidP="00E35E94">
      <w:pPr>
        <w:pStyle w:val="FootnoteText"/>
        <w:ind w:left="284" w:hanging="284"/>
        <w:jc w:val="both"/>
      </w:pPr>
      <w:r>
        <w:rPr>
          <w:rStyle w:val="FootnoteReference"/>
        </w:rPr>
        <w:footnoteRef/>
      </w:r>
      <w:r>
        <w:t xml:space="preserve"> </w:t>
      </w:r>
      <w:r>
        <w:tab/>
      </w:r>
      <w:r w:rsidRPr="00BF0A71">
        <w:rPr>
          <w:sz w:val="18"/>
          <w:szCs w:val="18"/>
        </w:rPr>
        <w:t xml:space="preserve">Hrubý dlh dosiahol v roku 2019 úroveň </w:t>
      </w:r>
      <w:r w:rsidRPr="00270292">
        <w:rPr>
          <w:sz w:val="18"/>
          <w:szCs w:val="18"/>
        </w:rPr>
        <w:t>47,999</w:t>
      </w:r>
      <w:r>
        <w:rPr>
          <w:sz w:val="18"/>
          <w:szCs w:val="18"/>
        </w:rPr>
        <w:t>5</w:t>
      </w:r>
      <w:r w:rsidRPr="00270292">
        <w:rPr>
          <w:sz w:val="18"/>
          <w:szCs w:val="18"/>
        </w:rPr>
        <w:t xml:space="preserve"> % HDP</w:t>
      </w:r>
      <w:r>
        <w:rPr>
          <w:sz w:val="18"/>
          <w:szCs w:val="18"/>
        </w:rPr>
        <w:t xml:space="preserve"> a bol tak nižší ako hranica prvého sankčného pásma definovaná vo výške 48 % HDP.</w:t>
      </w:r>
    </w:p>
  </w:footnote>
  <w:footnote w:id="33">
    <w:p w14:paraId="1631A3BB" w14:textId="29DEA8BA" w:rsidR="00C47F47" w:rsidRDefault="00C47F47" w:rsidP="00E35E94">
      <w:pPr>
        <w:pStyle w:val="FootnoteText"/>
        <w:ind w:left="284" w:hanging="284"/>
        <w:jc w:val="both"/>
      </w:pPr>
      <w:r>
        <w:rPr>
          <w:rStyle w:val="FootnoteReference"/>
        </w:rPr>
        <w:footnoteRef/>
      </w:r>
      <w:r>
        <w:t xml:space="preserve"> </w:t>
      </w:r>
      <w:r>
        <w:tab/>
      </w:r>
      <w:r w:rsidRPr="00611761">
        <w:rPr>
          <w:sz w:val="18"/>
          <w:szCs w:val="18"/>
        </w:rPr>
        <w:t xml:space="preserve">GIBA, M., BUJŇÁK, V.: Ústavnoprávna analýza vybraných ustanovení ústavného zákona o rozpočtovej zodpovednosti zo dňa </w:t>
      </w:r>
      <w:r>
        <w:rPr>
          <w:sz w:val="18"/>
          <w:szCs w:val="18"/>
        </w:rPr>
        <w:t>31</w:t>
      </w:r>
      <w:r w:rsidRPr="00611761">
        <w:rPr>
          <w:sz w:val="18"/>
          <w:szCs w:val="18"/>
        </w:rPr>
        <w:t>.</w:t>
      </w:r>
      <w:r>
        <w:rPr>
          <w:sz w:val="18"/>
          <w:szCs w:val="18"/>
        </w:rPr>
        <w:t>07</w:t>
      </w:r>
      <w:r w:rsidRPr="00611761">
        <w:rPr>
          <w:sz w:val="18"/>
          <w:szCs w:val="18"/>
        </w:rPr>
        <w:t>.</w:t>
      </w:r>
      <w:r>
        <w:rPr>
          <w:sz w:val="18"/>
          <w:szCs w:val="18"/>
        </w:rPr>
        <w:t>2020</w:t>
      </w:r>
      <w:r w:rsidRPr="00611761">
        <w:rPr>
          <w:sz w:val="18"/>
          <w:szCs w:val="18"/>
        </w:rPr>
        <w:t xml:space="preserve">, s. </w:t>
      </w:r>
      <w:r>
        <w:rPr>
          <w:sz w:val="18"/>
          <w:szCs w:val="18"/>
        </w:rPr>
        <w:t>9</w:t>
      </w:r>
      <w:r w:rsidRPr="00611761">
        <w:rPr>
          <w:sz w:val="18"/>
          <w:szCs w:val="18"/>
        </w:rPr>
        <w:t>. Analýza vypracovaná na základe zmluvy s Univerzitou Komenského v</w:t>
      </w:r>
      <w:r>
        <w:rPr>
          <w:sz w:val="18"/>
          <w:szCs w:val="18"/>
        </w:rPr>
        <w:t> </w:t>
      </w:r>
      <w:r w:rsidRPr="00611761">
        <w:rPr>
          <w:sz w:val="18"/>
          <w:szCs w:val="18"/>
        </w:rPr>
        <w:t xml:space="preserve">Bratislave, Právnickou fakultou zo dňa </w:t>
      </w:r>
      <w:r>
        <w:rPr>
          <w:sz w:val="18"/>
          <w:szCs w:val="18"/>
        </w:rPr>
        <w:t>22</w:t>
      </w:r>
      <w:r w:rsidRPr="00611761">
        <w:rPr>
          <w:sz w:val="18"/>
          <w:szCs w:val="18"/>
        </w:rPr>
        <w:t>.</w:t>
      </w:r>
      <w:r>
        <w:rPr>
          <w:sz w:val="18"/>
          <w:szCs w:val="18"/>
        </w:rPr>
        <w:t>05</w:t>
      </w:r>
      <w:r w:rsidRPr="00611761">
        <w:rPr>
          <w:sz w:val="18"/>
          <w:szCs w:val="18"/>
        </w:rPr>
        <w:t>.</w:t>
      </w:r>
      <w:r>
        <w:rPr>
          <w:sz w:val="18"/>
          <w:szCs w:val="18"/>
        </w:rPr>
        <w:t>2020: „</w:t>
      </w:r>
      <w:r w:rsidRPr="00D776AC">
        <w:rPr>
          <w:color w:val="000000"/>
          <w:sz w:val="18"/>
          <w:szCs w:val="18"/>
        </w:rPr>
        <w:t>Keďže ÚZoRZ nehovorí nič o zaokrúhľovaní podielu dlhu na HDP, nemožno uvažovať o jeho zaokrúhľovaní spôsobom, ktorý by mohol mať dopad na dosiahnutie konkrétnej hranice sankčného pásma či na zostup pod ňu.</w:t>
      </w:r>
      <w:r>
        <w:rPr>
          <w:color w:val="000000"/>
          <w:sz w:val="18"/>
          <w:szCs w:val="18"/>
        </w:rPr>
        <w:t>“</w:t>
      </w:r>
    </w:p>
  </w:footnote>
  <w:footnote w:id="34">
    <w:p w14:paraId="0C20F646" w14:textId="77777777" w:rsidR="00C47F47" w:rsidRPr="005E6F92" w:rsidRDefault="00C47F47" w:rsidP="00AF665B">
      <w:pPr>
        <w:pStyle w:val="FootnoteText"/>
        <w:ind w:left="284" w:hanging="284"/>
        <w:jc w:val="both"/>
        <w:rPr>
          <w:sz w:val="18"/>
          <w:szCs w:val="18"/>
        </w:rPr>
      </w:pPr>
      <w:r w:rsidRPr="005E6F92">
        <w:rPr>
          <w:rStyle w:val="FootnoteReference"/>
          <w:sz w:val="18"/>
          <w:szCs w:val="18"/>
        </w:rPr>
        <w:footnoteRef/>
      </w:r>
      <w:r w:rsidRPr="005E6F92">
        <w:rPr>
          <w:sz w:val="18"/>
          <w:szCs w:val="18"/>
        </w:rPr>
        <w:t xml:space="preserve"> </w:t>
      </w:r>
      <w:r w:rsidRPr="005E6F92">
        <w:rPr>
          <w:sz w:val="18"/>
          <w:szCs w:val="18"/>
        </w:rPr>
        <w:tab/>
        <w:t>RRZ v snahe priblížiť analýzu vývoja dlhu ku konceptu čistého bohatstva identifikovala také jednorazové a dočasné faktory ovplyvňujúce hotovosť, ktoré čisté bohatstvo nezlepšujú resp. ho ovplyvňujú iba dočasne (napríklad superdividendy, príjmy z privatizácie, príjmy z otvorenia II. piliera dôchodkového systému). Po úprave hrubého dlhu o likvidné finančné aktíva (čistý finančný dlh) a o tieto faktory získame informáciu o tom, ako sa vyvíjal dlh vplyvom trvalých opatrení vlády.</w:t>
      </w:r>
    </w:p>
  </w:footnote>
  <w:footnote w:id="35">
    <w:p w14:paraId="3BFDE0AA" w14:textId="503C3458" w:rsidR="00C47F47" w:rsidRPr="004A79A6" w:rsidRDefault="00C47F47" w:rsidP="004A79A6">
      <w:pPr>
        <w:pStyle w:val="FootnoteText"/>
        <w:ind w:left="284" w:hanging="284"/>
        <w:jc w:val="both"/>
        <w:rPr>
          <w:sz w:val="18"/>
          <w:szCs w:val="18"/>
        </w:rPr>
      </w:pPr>
      <w:r w:rsidRPr="004A79A6">
        <w:rPr>
          <w:rStyle w:val="FootnoteReference"/>
          <w:sz w:val="18"/>
          <w:szCs w:val="18"/>
        </w:rPr>
        <w:footnoteRef/>
      </w:r>
      <w:r w:rsidRPr="004A79A6">
        <w:rPr>
          <w:sz w:val="18"/>
          <w:szCs w:val="18"/>
        </w:rPr>
        <w:t xml:space="preserve"> </w:t>
      </w:r>
      <w:r>
        <w:rPr>
          <w:sz w:val="18"/>
          <w:szCs w:val="18"/>
        </w:rPr>
        <w:tab/>
      </w:r>
      <w:r w:rsidRPr="004A79A6">
        <w:rPr>
          <w:sz w:val="18"/>
          <w:szCs w:val="18"/>
        </w:rPr>
        <w:t xml:space="preserve">Ide o prepočet, ktorý abstrahuje od </w:t>
      </w:r>
      <w:r>
        <w:rPr>
          <w:sz w:val="18"/>
          <w:szCs w:val="18"/>
        </w:rPr>
        <w:t xml:space="preserve">dynamických </w:t>
      </w:r>
      <w:r w:rsidRPr="004A79A6">
        <w:rPr>
          <w:sz w:val="18"/>
          <w:szCs w:val="18"/>
        </w:rPr>
        <w:t xml:space="preserve">efektov rýchlejšej konsolidácie verejných financií na ekonomiku Slovenska. </w:t>
      </w:r>
      <w:r>
        <w:rPr>
          <w:sz w:val="18"/>
          <w:szCs w:val="18"/>
        </w:rPr>
        <w:t>Rýchlejšia konsolidácia verejných financií by mala spätné negatívne vplyvy na ekonomický rast, čo by sa prejavilo aj v nižšom raste daňových príjmov v porovnaní so skutočnosťou. Celkový pozitívny vplyv lepšieho hospodárenia vlády na hrubý dlh by tak bol nižší.</w:t>
      </w:r>
    </w:p>
  </w:footnote>
  <w:footnote w:id="36">
    <w:p w14:paraId="0D5CA86F" w14:textId="5DFBC2FB" w:rsidR="00C47F47" w:rsidRPr="00146307" w:rsidRDefault="00C47F47" w:rsidP="00373EA4">
      <w:pPr>
        <w:pStyle w:val="FootnoteText"/>
        <w:ind w:left="284" w:hanging="284"/>
        <w:jc w:val="both"/>
        <w:rPr>
          <w:sz w:val="18"/>
          <w:szCs w:val="18"/>
        </w:rPr>
      </w:pPr>
      <w:r w:rsidRPr="00146307">
        <w:rPr>
          <w:rStyle w:val="FootnoteReference"/>
          <w:sz w:val="18"/>
          <w:szCs w:val="18"/>
        </w:rPr>
        <w:footnoteRef/>
      </w:r>
      <w:r w:rsidRPr="00146307">
        <w:rPr>
          <w:sz w:val="18"/>
          <w:szCs w:val="18"/>
        </w:rPr>
        <w:t xml:space="preserve"> </w:t>
      </w:r>
      <w:r>
        <w:rPr>
          <w:sz w:val="18"/>
          <w:szCs w:val="18"/>
        </w:rPr>
        <w:tab/>
        <w:t>Prognózovaná úroveň dlhu zostane nad sankčnými pásmami jednak</w:t>
      </w:r>
      <w:r w:rsidRPr="00146307">
        <w:rPr>
          <w:sz w:val="18"/>
          <w:szCs w:val="18"/>
        </w:rPr>
        <w:t xml:space="preserve">, </w:t>
      </w:r>
      <w:r>
        <w:rPr>
          <w:sz w:val="18"/>
          <w:szCs w:val="18"/>
        </w:rPr>
        <w:t>že počnúc rokom</w:t>
      </w:r>
      <w:r w:rsidRPr="00146307">
        <w:rPr>
          <w:sz w:val="18"/>
          <w:szCs w:val="18"/>
        </w:rPr>
        <w:t xml:space="preserve"> 2018 sa </w:t>
      </w:r>
      <w:r>
        <w:rPr>
          <w:sz w:val="18"/>
          <w:szCs w:val="18"/>
        </w:rPr>
        <w:t>začali</w:t>
      </w:r>
      <w:r w:rsidRPr="00146307">
        <w:rPr>
          <w:sz w:val="18"/>
          <w:szCs w:val="18"/>
        </w:rPr>
        <w:t xml:space="preserve"> znižovať sankčné pásma dlhového </w:t>
      </w:r>
      <w:r>
        <w:rPr>
          <w:sz w:val="18"/>
          <w:szCs w:val="18"/>
        </w:rPr>
        <w:t>pravidla o 1 percentuálny</w:t>
      </w:r>
      <w:r w:rsidRPr="00146307">
        <w:rPr>
          <w:sz w:val="18"/>
          <w:szCs w:val="18"/>
        </w:rPr>
        <w:t xml:space="preserve"> bod ročne</w:t>
      </w:r>
      <w:r>
        <w:rPr>
          <w:sz w:val="18"/>
          <w:szCs w:val="18"/>
        </w:rPr>
        <w:t xml:space="preserve"> a zároveň odráža výrazný negatívny vplyv pandémie koronavírusu SARS-Cov-2 na verejné financie</w:t>
      </w:r>
      <w:r w:rsidRPr="00146307">
        <w:rPr>
          <w:sz w:val="18"/>
          <w:szCs w:val="18"/>
        </w:rPr>
        <w:t>.</w:t>
      </w:r>
    </w:p>
  </w:footnote>
  <w:footnote w:id="37">
    <w:p w14:paraId="4C9F51C7" w14:textId="1E74081A" w:rsidR="00C47F47" w:rsidRDefault="00C47F47" w:rsidP="00D33B80">
      <w:pPr>
        <w:pStyle w:val="FootnoteText"/>
        <w:ind w:left="284" w:hanging="284"/>
        <w:jc w:val="both"/>
      </w:pPr>
      <w:r>
        <w:rPr>
          <w:rStyle w:val="FootnoteReference"/>
        </w:rPr>
        <w:footnoteRef/>
      </w:r>
      <w:r>
        <w:t xml:space="preserve"> </w:t>
      </w:r>
      <w:r>
        <w:tab/>
      </w:r>
      <w:r w:rsidRPr="00894290">
        <w:rPr>
          <w:sz w:val="18"/>
          <w:szCs w:val="18"/>
        </w:rPr>
        <w:t xml:space="preserve">NR SR dňa 14. júla 2020 prijala novelu zákona </w:t>
      </w:r>
      <w:r>
        <w:rPr>
          <w:sz w:val="18"/>
          <w:szCs w:val="18"/>
        </w:rPr>
        <w:t xml:space="preserve">o </w:t>
      </w:r>
      <w:r w:rsidRPr="00894290">
        <w:rPr>
          <w:sz w:val="18"/>
          <w:szCs w:val="18"/>
        </w:rPr>
        <w:t>štátnom rozpočte na rok 2020, ktorý reflektuje vplyvy pandémie koronavírusu. V</w:t>
      </w:r>
      <w:r>
        <w:rPr>
          <w:sz w:val="18"/>
          <w:szCs w:val="18"/>
        </w:rPr>
        <w:t xml:space="preserve"> nadväznosti na ňu </w:t>
      </w:r>
      <w:hyperlink r:id="rId7" w:history="1">
        <w:r w:rsidRPr="007A3813">
          <w:rPr>
            <w:rStyle w:val="Hyperlink"/>
            <w:color w:val="13B5EA"/>
            <w:sz w:val="18"/>
            <w:szCs w:val="18"/>
          </w:rPr>
          <w:t xml:space="preserve">MF SR </w:t>
        </w:r>
        <w:r>
          <w:rPr>
            <w:rStyle w:val="Hyperlink"/>
            <w:color w:val="13B5EA"/>
            <w:sz w:val="18"/>
            <w:szCs w:val="18"/>
          </w:rPr>
          <w:t xml:space="preserve">dňa </w:t>
        </w:r>
        <w:r w:rsidRPr="004A79A6">
          <w:rPr>
            <w:rStyle w:val="Hyperlink"/>
            <w:color w:val="13B5EA"/>
            <w:sz w:val="18"/>
            <w:szCs w:val="18"/>
          </w:rPr>
          <w:t>20. júla</w:t>
        </w:r>
        <w:r w:rsidRPr="00250FA3">
          <w:rPr>
            <w:rStyle w:val="Hyperlink"/>
            <w:color w:val="13B5EA"/>
            <w:sz w:val="18"/>
            <w:szCs w:val="18"/>
          </w:rPr>
          <w:t xml:space="preserve"> 2</w:t>
        </w:r>
        <w:r>
          <w:rPr>
            <w:rStyle w:val="Hyperlink"/>
            <w:color w:val="13B5EA"/>
            <w:sz w:val="18"/>
            <w:szCs w:val="18"/>
          </w:rPr>
          <w:t xml:space="preserve">020 zverejnilo </w:t>
        </w:r>
        <w:r w:rsidRPr="007A3813">
          <w:rPr>
            <w:rStyle w:val="Hyperlink"/>
            <w:color w:val="13B5EA"/>
            <w:sz w:val="18"/>
            <w:szCs w:val="18"/>
          </w:rPr>
          <w:t>odhad</w:t>
        </w:r>
      </w:hyperlink>
      <w:r w:rsidRPr="00894290">
        <w:rPr>
          <w:sz w:val="18"/>
          <w:szCs w:val="18"/>
        </w:rPr>
        <w:t xml:space="preserve"> schodk</w:t>
      </w:r>
      <w:r>
        <w:rPr>
          <w:sz w:val="18"/>
          <w:szCs w:val="18"/>
        </w:rPr>
        <w:t>u</w:t>
      </w:r>
      <w:r w:rsidRPr="00894290">
        <w:rPr>
          <w:sz w:val="18"/>
          <w:szCs w:val="18"/>
        </w:rPr>
        <w:t xml:space="preserve"> rozpočtu verejnej správy na úrovni 11,58 % HDP</w:t>
      </w:r>
      <w:r>
        <w:rPr>
          <w:sz w:val="18"/>
          <w:szCs w:val="18"/>
        </w:rPr>
        <w:t xml:space="preserve"> v roku 2020</w:t>
      </w:r>
      <w:r w:rsidRPr="00894290">
        <w:rPr>
          <w:sz w:val="18"/>
          <w:szCs w:val="18"/>
        </w:rPr>
        <w:t>.</w:t>
      </w:r>
    </w:p>
  </w:footnote>
  <w:footnote w:id="38">
    <w:p w14:paraId="28B51603" w14:textId="68541A73" w:rsidR="00C47F47" w:rsidRPr="006E7D69" w:rsidRDefault="00C47F47" w:rsidP="0055540B">
      <w:pPr>
        <w:pStyle w:val="FootnoteText"/>
        <w:ind w:left="284" w:hanging="284"/>
        <w:jc w:val="both"/>
        <w:rPr>
          <w:sz w:val="18"/>
          <w:szCs w:val="18"/>
        </w:rPr>
      </w:pPr>
      <w:r w:rsidRPr="00ED570E">
        <w:rPr>
          <w:rStyle w:val="FootnoteReference"/>
          <w:sz w:val="18"/>
          <w:szCs w:val="18"/>
        </w:rPr>
        <w:footnoteRef/>
      </w:r>
      <w:r w:rsidRPr="00ED570E">
        <w:rPr>
          <w:sz w:val="18"/>
          <w:szCs w:val="18"/>
        </w:rPr>
        <w:t xml:space="preserve"> </w:t>
      </w:r>
      <w:r w:rsidRPr="00ED570E">
        <w:rPr>
          <w:sz w:val="18"/>
          <w:szCs w:val="18"/>
        </w:rPr>
        <w:tab/>
      </w:r>
      <w:r w:rsidRPr="00CF7CAB">
        <w:rPr>
          <w:sz w:val="18"/>
          <w:szCs w:val="18"/>
        </w:rPr>
        <w:t>Prehľad návratných finančných výpomocí poskytnutých pred rokom 2019 je uvedený v dátovom súbore.</w:t>
      </w:r>
    </w:p>
  </w:footnote>
  <w:footnote w:id="39">
    <w:p w14:paraId="5D6ED228" w14:textId="011F246A" w:rsidR="00C47F47" w:rsidRPr="004B4C5F" w:rsidRDefault="00C47F47" w:rsidP="002C05A3">
      <w:pPr>
        <w:pStyle w:val="FootnoteText"/>
        <w:ind w:left="284" w:hanging="284"/>
        <w:jc w:val="both"/>
        <w:rPr>
          <w:sz w:val="18"/>
          <w:szCs w:val="18"/>
        </w:rPr>
      </w:pPr>
      <w:r w:rsidRPr="004B4C5F">
        <w:rPr>
          <w:rStyle w:val="FootnoteReference"/>
          <w:sz w:val="18"/>
          <w:szCs w:val="18"/>
        </w:rPr>
        <w:footnoteRef/>
      </w:r>
      <w:r>
        <w:rPr>
          <w:sz w:val="18"/>
          <w:szCs w:val="18"/>
        </w:rPr>
        <w:t xml:space="preserve"> </w:t>
      </w:r>
      <w:r>
        <w:rPr>
          <w:sz w:val="18"/>
          <w:szCs w:val="18"/>
        </w:rPr>
        <w:tab/>
        <w:t xml:space="preserve">O odpustení výpomoci rozhodla </w:t>
      </w:r>
      <w:hyperlink r:id="rId8" w:history="1">
        <w:r w:rsidRPr="00971CF9">
          <w:rPr>
            <w:rStyle w:val="Hyperlink"/>
            <w:color w:val="00B0F0"/>
            <w:sz w:val="18"/>
            <w:szCs w:val="18"/>
          </w:rPr>
          <w:t>vláda</w:t>
        </w:r>
      </w:hyperlink>
      <w:r>
        <w:rPr>
          <w:sz w:val="18"/>
          <w:szCs w:val="18"/>
        </w:rPr>
        <w:t xml:space="preserve"> na svojom zasadnutí dňa 27. novembra 2019.</w:t>
      </w:r>
    </w:p>
  </w:footnote>
  <w:footnote w:id="40">
    <w:p w14:paraId="1A8A3CE3" w14:textId="24DF1221" w:rsidR="00C47F47" w:rsidRDefault="00C47F47" w:rsidP="000878C3">
      <w:pPr>
        <w:pStyle w:val="FootnoteText"/>
        <w:ind w:left="284" w:hanging="284"/>
      </w:pPr>
      <w:r>
        <w:rPr>
          <w:rStyle w:val="FootnoteReference"/>
        </w:rPr>
        <w:footnoteRef/>
      </w:r>
      <w:r>
        <w:t xml:space="preserve"> </w:t>
      </w:r>
      <w:r>
        <w:tab/>
      </w:r>
      <w:r w:rsidRPr="000878C3">
        <w:rPr>
          <w:sz w:val="18"/>
          <w:szCs w:val="18"/>
        </w:rPr>
        <w:t xml:space="preserve">O poskytnutí </w:t>
      </w:r>
      <w:r>
        <w:rPr>
          <w:sz w:val="18"/>
          <w:szCs w:val="18"/>
        </w:rPr>
        <w:t>vý</w:t>
      </w:r>
      <w:r w:rsidRPr="000878C3">
        <w:rPr>
          <w:sz w:val="18"/>
          <w:szCs w:val="18"/>
        </w:rPr>
        <w:t xml:space="preserve">pomoci rozhodla </w:t>
      </w:r>
      <w:hyperlink r:id="rId9" w:history="1">
        <w:r w:rsidRPr="00C26BB3">
          <w:rPr>
            <w:rStyle w:val="Hyperlink"/>
            <w:color w:val="13B5EA"/>
            <w:sz w:val="18"/>
            <w:szCs w:val="18"/>
          </w:rPr>
          <w:t>vláda</w:t>
        </w:r>
      </w:hyperlink>
      <w:r w:rsidRPr="000878C3">
        <w:rPr>
          <w:sz w:val="18"/>
          <w:szCs w:val="18"/>
        </w:rPr>
        <w:t xml:space="preserve"> na svojom zasadnutí dňa 20. marca 2019</w:t>
      </w:r>
      <w:r>
        <w:rPr>
          <w:sz w:val="18"/>
          <w:szCs w:val="18"/>
        </w:rPr>
        <w:t xml:space="preserve">. </w:t>
      </w:r>
      <w:r w:rsidRPr="000878C3">
        <w:rPr>
          <w:sz w:val="18"/>
          <w:szCs w:val="18"/>
        </w:rPr>
        <w:t xml:space="preserve">Výpomoc je predmetom </w:t>
      </w:r>
      <w:hyperlink r:id="rId10" w:history="1">
        <w:r w:rsidRPr="000467C0">
          <w:rPr>
            <w:rStyle w:val="Hyperlink"/>
            <w:color w:val="13B5EA"/>
            <w:sz w:val="18"/>
            <w:szCs w:val="18"/>
          </w:rPr>
          <w:t>zmluvy č. 2019/058</w:t>
        </w:r>
      </w:hyperlink>
      <w:r w:rsidRPr="000878C3">
        <w:rPr>
          <w:sz w:val="18"/>
          <w:szCs w:val="18"/>
        </w:rPr>
        <w:t xml:space="preserve"> uzavretej medzi MF SR a mestom Kežmarok dňa 8. apríla 2019. </w:t>
      </w:r>
    </w:p>
  </w:footnote>
  <w:footnote w:id="41">
    <w:p w14:paraId="3856028D" w14:textId="410D3AF6" w:rsidR="00C47F47" w:rsidRDefault="00C47F47" w:rsidP="00BA253C">
      <w:pPr>
        <w:pStyle w:val="FootnoteText"/>
        <w:ind w:left="284" w:hanging="284"/>
      </w:pPr>
      <w:r>
        <w:rPr>
          <w:rStyle w:val="FootnoteReference"/>
        </w:rPr>
        <w:footnoteRef/>
      </w:r>
      <w:r>
        <w:t xml:space="preserve"> </w:t>
      </w:r>
      <w:r>
        <w:tab/>
      </w:r>
      <w:r w:rsidRPr="00BA253C">
        <w:rPr>
          <w:sz w:val="18"/>
          <w:szCs w:val="18"/>
        </w:rPr>
        <w:t xml:space="preserve">O poskytnutí výpomoci </w:t>
      </w:r>
      <w:r>
        <w:rPr>
          <w:sz w:val="18"/>
          <w:szCs w:val="18"/>
        </w:rPr>
        <w:t xml:space="preserve">rozhodla </w:t>
      </w:r>
      <w:hyperlink r:id="rId11" w:history="1">
        <w:r w:rsidRPr="004A79A6">
          <w:rPr>
            <w:rStyle w:val="Hyperlink"/>
            <w:color w:val="13B5EA"/>
            <w:sz w:val="18"/>
            <w:szCs w:val="18"/>
          </w:rPr>
          <w:t>vláda</w:t>
        </w:r>
      </w:hyperlink>
      <w:r>
        <w:rPr>
          <w:sz w:val="18"/>
          <w:szCs w:val="18"/>
        </w:rPr>
        <w:t xml:space="preserve"> na svojom zasadnutí dňa 31. januára 2018. Výpomoc bola predmetom </w:t>
      </w:r>
      <w:hyperlink r:id="rId12" w:history="1">
        <w:r w:rsidRPr="004A79A6">
          <w:rPr>
            <w:rStyle w:val="Hyperlink"/>
            <w:color w:val="13B5EA"/>
            <w:sz w:val="18"/>
            <w:szCs w:val="18"/>
          </w:rPr>
          <w:t>zmluvy č. 2018/005</w:t>
        </w:r>
      </w:hyperlink>
      <w:r>
        <w:rPr>
          <w:sz w:val="18"/>
          <w:szCs w:val="18"/>
        </w:rPr>
        <w:t xml:space="preserve"> uzavretej medzi MF SR a mestom Košice dňa 15. februára. 2018. </w:t>
      </w:r>
    </w:p>
  </w:footnote>
  <w:footnote w:id="42">
    <w:p w14:paraId="56AB9287" w14:textId="2E162367" w:rsidR="00C47F47" w:rsidRPr="00D664F2" w:rsidRDefault="00C47F47" w:rsidP="00C43196">
      <w:pPr>
        <w:pStyle w:val="FootnoteText"/>
        <w:ind w:left="284" w:hanging="284"/>
        <w:jc w:val="both"/>
        <w:rPr>
          <w:sz w:val="18"/>
          <w:szCs w:val="18"/>
        </w:rPr>
      </w:pPr>
      <w:r w:rsidRPr="00D664F2">
        <w:rPr>
          <w:rStyle w:val="FootnoteReference"/>
          <w:sz w:val="18"/>
          <w:szCs w:val="18"/>
        </w:rPr>
        <w:footnoteRef/>
      </w:r>
      <w:r w:rsidRPr="00D664F2">
        <w:rPr>
          <w:sz w:val="18"/>
          <w:szCs w:val="18"/>
        </w:rPr>
        <w:t xml:space="preserve"> </w:t>
      </w:r>
      <w:r>
        <w:rPr>
          <w:sz w:val="18"/>
          <w:szCs w:val="18"/>
        </w:rPr>
        <w:tab/>
      </w:r>
      <w:r w:rsidRPr="00D664F2">
        <w:rPr>
          <w:sz w:val="18"/>
          <w:szCs w:val="18"/>
        </w:rPr>
        <w:t xml:space="preserve">O poskytnutí výpomoci rozhodla </w:t>
      </w:r>
      <w:hyperlink r:id="rId13" w:history="1">
        <w:r w:rsidRPr="00D664F2">
          <w:rPr>
            <w:rStyle w:val="Hyperlink"/>
            <w:color w:val="13B5EA"/>
            <w:sz w:val="18"/>
            <w:szCs w:val="18"/>
          </w:rPr>
          <w:t>vláda</w:t>
        </w:r>
      </w:hyperlink>
      <w:r w:rsidRPr="00D664F2">
        <w:rPr>
          <w:sz w:val="18"/>
          <w:szCs w:val="18"/>
        </w:rPr>
        <w:t xml:space="preserve"> na svojom zasadnutí dňa </w:t>
      </w:r>
      <w:r>
        <w:rPr>
          <w:sz w:val="18"/>
          <w:szCs w:val="18"/>
        </w:rPr>
        <w:t>23. októbra</w:t>
      </w:r>
      <w:r w:rsidRPr="00D664F2">
        <w:rPr>
          <w:sz w:val="18"/>
          <w:szCs w:val="18"/>
        </w:rPr>
        <w:t xml:space="preserve"> 201</w:t>
      </w:r>
      <w:r>
        <w:rPr>
          <w:sz w:val="18"/>
          <w:szCs w:val="18"/>
        </w:rPr>
        <w:t>9</w:t>
      </w:r>
      <w:r w:rsidRPr="00D664F2">
        <w:rPr>
          <w:sz w:val="18"/>
          <w:szCs w:val="18"/>
        </w:rPr>
        <w:t>.</w:t>
      </w:r>
      <w:r w:rsidRPr="00270E55">
        <w:rPr>
          <w:sz w:val="18"/>
          <w:szCs w:val="18"/>
        </w:rPr>
        <w:t xml:space="preserve"> </w:t>
      </w:r>
      <w:r>
        <w:rPr>
          <w:sz w:val="18"/>
          <w:szCs w:val="18"/>
        </w:rPr>
        <w:t xml:space="preserve">Výpomoc je predmetom </w:t>
      </w:r>
      <w:hyperlink r:id="rId14" w:history="1">
        <w:r>
          <w:rPr>
            <w:rStyle w:val="Hyperlink"/>
            <w:color w:val="13B5EA"/>
            <w:sz w:val="18"/>
            <w:szCs w:val="18"/>
          </w:rPr>
          <w:t>zmluvy č. 2019/205</w:t>
        </w:r>
      </w:hyperlink>
      <w:r>
        <w:rPr>
          <w:sz w:val="18"/>
          <w:szCs w:val="18"/>
        </w:rPr>
        <w:t xml:space="preserve"> uzavretej medzi MF SR a Prešovským samosprávnym krajom dňa 28. novembra 2019.</w:t>
      </w:r>
    </w:p>
  </w:footnote>
  <w:footnote w:id="43">
    <w:p w14:paraId="032C6626" w14:textId="02F69A0B" w:rsidR="00C47F47" w:rsidRPr="00D664F2" w:rsidRDefault="00C47F47" w:rsidP="008E74F5">
      <w:pPr>
        <w:pStyle w:val="FootnoteText"/>
        <w:ind w:left="284" w:hanging="284"/>
        <w:jc w:val="both"/>
        <w:rPr>
          <w:sz w:val="18"/>
          <w:szCs w:val="18"/>
        </w:rPr>
      </w:pPr>
      <w:r w:rsidRPr="00D664F2">
        <w:rPr>
          <w:rStyle w:val="FootnoteReference"/>
          <w:sz w:val="18"/>
          <w:szCs w:val="18"/>
        </w:rPr>
        <w:footnoteRef/>
      </w:r>
      <w:r w:rsidRPr="00D664F2">
        <w:rPr>
          <w:sz w:val="18"/>
          <w:szCs w:val="18"/>
        </w:rPr>
        <w:t xml:space="preserve"> </w:t>
      </w:r>
      <w:r>
        <w:rPr>
          <w:sz w:val="18"/>
          <w:szCs w:val="18"/>
        </w:rPr>
        <w:tab/>
      </w:r>
      <w:r w:rsidRPr="00D664F2">
        <w:rPr>
          <w:sz w:val="18"/>
          <w:szCs w:val="18"/>
        </w:rPr>
        <w:t xml:space="preserve">O poskytnutí výpomoci rozhodla </w:t>
      </w:r>
      <w:hyperlink r:id="rId15" w:history="1">
        <w:r w:rsidRPr="00D664F2">
          <w:rPr>
            <w:rStyle w:val="Hyperlink"/>
            <w:color w:val="13B5EA"/>
            <w:sz w:val="18"/>
            <w:szCs w:val="18"/>
          </w:rPr>
          <w:t>vláda</w:t>
        </w:r>
      </w:hyperlink>
      <w:r w:rsidRPr="00D664F2">
        <w:rPr>
          <w:sz w:val="18"/>
          <w:szCs w:val="18"/>
        </w:rPr>
        <w:t xml:space="preserve"> na svojom zasadnutí dňa </w:t>
      </w:r>
      <w:r>
        <w:rPr>
          <w:sz w:val="18"/>
          <w:szCs w:val="18"/>
        </w:rPr>
        <w:t>9. apríla</w:t>
      </w:r>
      <w:r w:rsidRPr="00D664F2">
        <w:rPr>
          <w:sz w:val="18"/>
          <w:szCs w:val="18"/>
        </w:rPr>
        <w:t xml:space="preserve"> 201</w:t>
      </w:r>
      <w:r>
        <w:rPr>
          <w:sz w:val="18"/>
          <w:szCs w:val="18"/>
        </w:rPr>
        <w:t>9</w:t>
      </w:r>
      <w:r w:rsidRPr="00D664F2">
        <w:rPr>
          <w:sz w:val="18"/>
          <w:szCs w:val="18"/>
        </w:rPr>
        <w:t>.</w:t>
      </w:r>
      <w:r w:rsidRPr="00270E55">
        <w:rPr>
          <w:sz w:val="18"/>
          <w:szCs w:val="18"/>
        </w:rPr>
        <w:t xml:space="preserve"> </w:t>
      </w:r>
      <w:r>
        <w:rPr>
          <w:sz w:val="18"/>
          <w:szCs w:val="18"/>
        </w:rPr>
        <w:t xml:space="preserve">Výpomoc je predmetom </w:t>
      </w:r>
      <w:hyperlink r:id="rId16" w:history="1">
        <w:r>
          <w:rPr>
            <w:rStyle w:val="Hyperlink"/>
            <w:color w:val="13B5EA"/>
            <w:sz w:val="18"/>
            <w:szCs w:val="18"/>
          </w:rPr>
          <w:t>zmluvy č. 2019/076</w:t>
        </w:r>
      </w:hyperlink>
      <w:r>
        <w:rPr>
          <w:sz w:val="18"/>
          <w:szCs w:val="18"/>
        </w:rPr>
        <w:t xml:space="preserve"> uzavretej medzi MF SR a Banskobystrickým samosprávnym krajom dňa 30. apríla 2019.</w:t>
      </w:r>
    </w:p>
  </w:footnote>
  <w:footnote w:id="44">
    <w:p w14:paraId="59577D52" w14:textId="681F0576" w:rsidR="00C47F47" w:rsidRPr="00D664F2" w:rsidRDefault="00C47F47" w:rsidP="008E74F5">
      <w:pPr>
        <w:pStyle w:val="FootnoteText"/>
        <w:ind w:left="284" w:hanging="284"/>
        <w:jc w:val="both"/>
        <w:rPr>
          <w:sz w:val="18"/>
          <w:szCs w:val="18"/>
        </w:rPr>
      </w:pPr>
      <w:r w:rsidRPr="00D664F2">
        <w:rPr>
          <w:rStyle w:val="FootnoteReference"/>
          <w:sz w:val="18"/>
          <w:szCs w:val="18"/>
        </w:rPr>
        <w:footnoteRef/>
      </w:r>
      <w:r w:rsidRPr="00D664F2">
        <w:rPr>
          <w:sz w:val="18"/>
          <w:szCs w:val="18"/>
        </w:rPr>
        <w:t xml:space="preserve"> </w:t>
      </w:r>
      <w:r>
        <w:rPr>
          <w:sz w:val="18"/>
          <w:szCs w:val="18"/>
        </w:rPr>
        <w:tab/>
      </w:r>
      <w:r w:rsidRPr="00D664F2">
        <w:rPr>
          <w:sz w:val="18"/>
          <w:szCs w:val="18"/>
        </w:rPr>
        <w:t xml:space="preserve">O poskytnutí výpomoci rozhodla </w:t>
      </w:r>
      <w:hyperlink r:id="rId17" w:history="1">
        <w:r w:rsidRPr="00D664F2">
          <w:rPr>
            <w:rStyle w:val="Hyperlink"/>
            <w:color w:val="13B5EA"/>
            <w:sz w:val="18"/>
            <w:szCs w:val="18"/>
          </w:rPr>
          <w:t>vláda</w:t>
        </w:r>
      </w:hyperlink>
      <w:r w:rsidRPr="00D664F2">
        <w:rPr>
          <w:sz w:val="18"/>
          <w:szCs w:val="18"/>
        </w:rPr>
        <w:t xml:space="preserve"> na svojom zasadnutí dňa </w:t>
      </w:r>
      <w:r>
        <w:rPr>
          <w:sz w:val="18"/>
          <w:szCs w:val="18"/>
        </w:rPr>
        <w:t>9. apríla</w:t>
      </w:r>
      <w:r w:rsidRPr="00D664F2">
        <w:rPr>
          <w:sz w:val="18"/>
          <w:szCs w:val="18"/>
        </w:rPr>
        <w:t xml:space="preserve"> 201</w:t>
      </w:r>
      <w:r>
        <w:rPr>
          <w:sz w:val="18"/>
          <w:szCs w:val="18"/>
        </w:rPr>
        <w:t>9</w:t>
      </w:r>
      <w:r w:rsidRPr="00D664F2">
        <w:rPr>
          <w:sz w:val="18"/>
          <w:szCs w:val="18"/>
        </w:rPr>
        <w:t>.</w:t>
      </w:r>
      <w:r w:rsidRPr="00270E55">
        <w:rPr>
          <w:sz w:val="18"/>
          <w:szCs w:val="18"/>
        </w:rPr>
        <w:t xml:space="preserve"> </w:t>
      </w:r>
      <w:r>
        <w:rPr>
          <w:sz w:val="18"/>
          <w:szCs w:val="18"/>
        </w:rPr>
        <w:t xml:space="preserve">Výpomoc je predmetom </w:t>
      </w:r>
      <w:hyperlink r:id="rId18" w:history="1">
        <w:r>
          <w:rPr>
            <w:rStyle w:val="Hyperlink"/>
            <w:color w:val="13B5EA"/>
            <w:sz w:val="18"/>
            <w:szCs w:val="18"/>
          </w:rPr>
          <w:t>zmluvy č. 2019/077</w:t>
        </w:r>
      </w:hyperlink>
      <w:r>
        <w:rPr>
          <w:sz w:val="18"/>
          <w:szCs w:val="18"/>
        </w:rPr>
        <w:t xml:space="preserve"> uzavretej medzi MF SR a Banskobystrickým samosprávnym krajom dňa 30. apríla 2019.</w:t>
      </w:r>
    </w:p>
  </w:footnote>
  <w:footnote w:id="45">
    <w:p w14:paraId="0C6F9181" w14:textId="33F29E88" w:rsidR="00C47F47" w:rsidRPr="00D664F2" w:rsidRDefault="00C47F47" w:rsidP="008E74F5">
      <w:pPr>
        <w:pStyle w:val="FootnoteText"/>
        <w:ind w:left="284" w:hanging="284"/>
        <w:jc w:val="both"/>
        <w:rPr>
          <w:sz w:val="18"/>
          <w:szCs w:val="18"/>
        </w:rPr>
      </w:pPr>
      <w:r w:rsidRPr="00D664F2">
        <w:rPr>
          <w:rStyle w:val="FootnoteReference"/>
          <w:sz w:val="18"/>
          <w:szCs w:val="18"/>
        </w:rPr>
        <w:footnoteRef/>
      </w:r>
      <w:r w:rsidRPr="00D664F2">
        <w:rPr>
          <w:sz w:val="18"/>
          <w:szCs w:val="18"/>
        </w:rPr>
        <w:t xml:space="preserve"> </w:t>
      </w:r>
      <w:r>
        <w:rPr>
          <w:sz w:val="18"/>
          <w:szCs w:val="18"/>
        </w:rPr>
        <w:tab/>
      </w:r>
      <w:r w:rsidRPr="00D664F2">
        <w:rPr>
          <w:sz w:val="18"/>
          <w:szCs w:val="18"/>
        </w:rPr>
        <w:t xml:space="preserve">O poskytnutí výpomoci rozhodla </w:t>
      </w:r>
      <w:hyperlink r:id="rId19" w:history="1">
        <w:r w:rsidRPr="00D664F2">
          <w:rPr>
            <w:rStyle w:val="Hyperlink"/>
            <w:color w:val="13B5EA"/>
            <w:sz w:val="18"/>
            <w:szCs w:val="18"/>
          </w:rPr>
          <w:t>vláda</w:t>
        </w:r>
      </w:hyperlink>
      <w:r w:rsidRPr="00D664F2">
        <w:rPr>
          <w:sz w:val="18"/>
          <w:szCs w:val="18"/>
        </w:rPr>
        <w:t xml:space="preserve"> na svojom zasadnutí dňa </w:t>
      </w:r>
      <w:r>
        <w:rPr>
          <w:sz w:val="18"/>
          <w:szCs w:val="18"/>
        </w:rPr>
        <w:t>9. apríla</w:t>
      </w:r>
      <w:r w:rsidRPr="00D664F2">
        <w:rPr>
          <w:sz w:val="18"/>
          <w:szCs w:val="18"/>
        </w:rPr>
        <w:t xml:space="preserve"> 201</w:t>
      </w:r>
      <w:r>
        <w:rPr>
          <w:sz w:val="18"/>
          <w:szCs w:val="18"/>
        </w:rPr>
        <w:t>9</w:t>
      </w:r>
      <w:r w:rsidRPr="00D664F2">
        <w:rPr>
          <w:sz w:val="18"/>
          <w:szCs w:val="18"/>
        </w:rPr>
        <w:t>.</w:t>
      </w:r>
      <w:r w:rsidRPr="00270E55">
        <w:rPr>
          <w:sz w:val="18"/>
          <w:szCs w:val="18"/>
        </w:rPr>
        <w:t xml:space="preserve"> </w:t>
      </w:r>
      <w:r>
        <w:rPr>
          <w:sz w:val="18"/>
          <w:szCs w:val="18"/>
        </w:rPr>
        <w:t xml:space="preserve">Výpomoc je predmetom </w:t>
      </w:r>
      <w:hyperlink r:id="rId20" w:history="1">
        <w:r>
          <w:rPr>
            <w:rStyle w:val="Hyperlink"/>
            <w:color w:val="13B5EA"/>
            <w:sz w:val="18"/>
            <w:szCs w:val="18"/>
          </w:rPr>
          <w:t>zmluvy č. 2019/078</w:t>
        </w:r>
      </w:hyperlink>
      <w:r>
        <w:rPr>
          <w:sz w:val="18"/>
          <w:szCs w:val="18"/>
        </w:rPr>
        <w:t xml:space="preserve"> uzavretej medzi MF SR a Trnavským samosprávnym krajom dňa 6. mája 2019.</w:t>
      </w:r>
    </w:p>
  </w:footnote>
  <w:footnote w:id="46">
    <w:p w14:paraId="2F2DBCC2" w14:textId="3852B52E" w:rsidR="00C47F47" w:rsidRPr="00D664F2" w:rsidRDefault="00C47F47" w:rsidP="008E74F5">
      <w:pPr>
        <w:pStyle w:val="FootnoteText"/>
        <w:ind w:left="284" w:hanging="284"/>
        <w:jc w:val="both"/>
        <w:rPr>
          <w:sz w:val="18"/>
          <w:szCs w:val="18"/>
        </w:rPr>
      </w:pPr>
      <w:r w:rsidRPr="00D664F2">
        <w:rPr>
          <w:rStyle w:val="FootnoteReference"/>
          <w:sz w:val="18"/>
          <w:szCs w:val="18"/>
        </w:rPr>
        <w:footnoteRef/>
      </w:r>
      <w:r w:rsidRPr="00D664F2">
        <w:rPr>
          <w:sz w:val="18"/>
          <w:szCs w:val="18"/>
        </w:rPr>
        <w:t xml:space="preserve"> </w:t>
      </w:r>
      <w:r>
        <w:rPr>
          <w:sz w:val="18"/>
          <w:szCs w:val="18"/>
        </w:rPr>
        <w:tab/>
      </w:r>
      <w:r w:rsidRPr="00D664F2">
        <w:rPr>
          <w:sz w:val="18"/>
          <w:szCs w:val="18"/>
        </w:rPr>
        <w:t xml:space="preserve">O poskytnutí výpomoci rozhodla </w:t>
      </w:r>
      <w:hyperlink r:id="rId21" w:history="1">
        <w:r w:rsidRPr="00D664F2">
          <w:rPr>
            <w:rStyle w:val="Hyperlink"/>
            <w:color w:val="13B5EA"/>
            <w:sz w:val="18"/>
            <w:szCs w:val="18"/>
          </w:rPr>
          <w:t>vláda</w:t>
        </w:r>
      </w:hyperlink>
      <w:r w:rsidRPr="00D664F2">
        <w:rPr>
          <w:sz w:val="18"/>
          <w:szCs w:val="18"/>
        </w:rPr>
        <w:t xml:space="preserve"> na svojom zasadnutí dňa </w:t>
      </w:r>
      <w:r>
        <w:rPr>
          <w:sz w:val="18"/>
          <w:szCs w:val="18"/>
        </w:rPr>
        <w:t>9. apríla</w:t>
      </w:r>
      <w:r w:rsidRPr="00D664F2">
        <w:rPr>
          <w:sz w:val="18"/>
          <w:szCs w:val="18"/>
        </w:rPr>
        <w:t xml:space="preserve"> 201</w:t>
      </w:r>
      <w:r>
        <w:rPr>
          <w:sz w:val="18"/>
          <w:szCs w:val="18"/>
        </w:rPr>
        <w:t>9</w:t>
      </w:r>
      <w:r w:rsidRPr="00D664F2">
        <w:rPr>
          <w:sz w:val="18"/>
          <w:szCs w:val="18"/>
        </w:rPr>
        <w:t>.</w:t>
      </w:r>
      <w:r w:rsidRPr="00270E55">
        <w:rPr>
          <w:sz w:val="18"/>
          <w:szCs w:val="18"/>
        </w:rPr>
        <w:t xml:space="preserve"> </w:t>
      </w:r>
      <w:r>
        <w:rPr>
          <w:sz w:val="18"/>
          <w:szCs w:val="18"/>
        </w:rPr>
        <w:t xml:space="preserve">Výpomoc je predmetom </w:t>
      </w:r>
      <w:hyperlink r:id="rId22" w:history="1">
        <w:r>
          <w:rPr>
            <w:rStyle w:val="Hyperlink"/>
            <w:color w:val="13B5EA"/>
            <w:sz w:val="18"/>
            <w:szCs w:val="18"/>
          </w:rPr>
          <w:t>zmluvy č. 2019/079</w:t>
        </w:r>
      </w:hyperlink>
      <w:r>
        <w:rPr>
          <w:sz w:val="18"/>
          <w:szCs w:val="18"/>
        </w:rPr>
        <w:t xml:space="preserve"> uzavretej medzi MF SR a Žilinským samosprávnym krajom dňa 6. mája 2019.</w:t>
      </w:r>
    </w:p>
  </w:footnote>
  <w:footnote w:id="47">
    <w:p w14:paraId="0F7E27D2" w14:textId="64679D04" w:rsidR="00C47F47" w:rsidRPr="00C47F47" w:rsidRDefault="00C47F47" w:rsidP="004929F2">
      <w:pPr>
        <w:pStyle w:val="FootnoteText"/>
        <w:ind w:left="284" w:hanging="284"/>
        <w:rPr>
          <w:sz w:val="18"/>
          <w:szCs w:val="18"/>
        </w:rPr>
      </w:pPr>
      <w:r w:rsidRPr="00C47F47">
        <w:rPr>
          <w:rStyle w:val="FootnoteReference"/>
          <w:sz w:val="18"/>
          <w:szCs w:val="18"/>
        </w:rPr>
        <w:footnoteRef/>
      </w:r>
      <w:r w:rsidRPr="00C47F47">
        <w:rPr>
          <w:sz w:val="18"/>
          <w:szCs w:val="18"/>
        </w:rPr>
        <w:t xml:space="preserve"> </w:t>
      </w:r>
      <w:r w:rsidRPr="00C47F47">
        <w:rPr>
          <w:sz w:val="18"/>
          <w:szCs w:val="18"/>
        </w:rPr>
        <w:tab/>
      </w:r>
      <w:r w:rsidRPr="0058520B">
        <w:rPr>
          <w:sz w:val="18"/>
          <w:szCs w:val="18"/>
        </w:rPr>
        <w:t xml:space="preserve">O poskytnutí výpomoci rozhodla </w:t>
      </w:r>
      <w:hyperlink r:id="rId23" w:history="1">
        <w:r w:rsidRPr="005245C2">
          <w:rPr>
            <w:rStyle w:val="Hyperlink"/>
            <w:color w:val="13B5EA"/>
            <w:sz w:val="18"/>
            <w:szCs w:val="18"/>
          </w:rPr>
          <w:t>vláda</w:t>
        </w:r>
      </w:hyperlink>
      <w:r w:rsidRPr="0058520B">
        <w:rPr>
          <w:sz w:val="18"/>
          <w:szCs w:val="18"/>
        </w:rPr>
        <w:t xml:space="preserve"> na svojom zasadnutí dňa 3. júla 2019. Výpomoc je </w:t>
      </w:r>
      <w:r w:rsidRPr="006810D2">
        <w:rPr>
          <w:sz w:val="18"/>
          <w:szCs w:val="18"/>
        </w:rPr>
        <w:t>predmetom</w:t>
      </w:r>
      <w:r w:rsidRPr="005245C2">
        <w:rPr>
          <w:color w:val="13B5EA"/>
          <w:sz w:val="18"/>
          <w:szCs w:val="18"/>
        </w:rPr>
        <w:t xml:space="preserve"> </w:t>
      </w:r>
      <w:hyperlink r:id="rId24" w:history="1">
        <w:r w:rsidRPr="005245C2">
          <w:rPr>
            <w:rStyle w:val="Hyperlink"/>
            <w:color w:val="13B5EA"/>
            <w:sz w:val="18"/>
            <w:szCs w:val="18"/>
          </w:rPr>
          <w:t>zmluvy č. 2019/049</w:t>
        </w:r>
      </w:hyperlink>
      <w:r w:rsidRPr="0058520B">
        <w:rPr>
          <w:sz w:val="18"/>
          <w:szCs w:val="18"/>
        </w:rPr>
        <w:t xml:space="preserve"> uzavretej medzi MF SR a Nitrianskym samosprávnym krajom dňa 21. augusta 2019.</w:t>
      </w:r>
    </w:p>
  </w:footnote>
  <w:footnote w:id="48">
    <w:p w14:paraId="0E00E58C" w14:textId="304F1B63" w:rsidR="00C47F47" w:rsidRDefault="00C47F47" w:rsidP="004A79A6">
      <w:pPr>
        <w:pStyle w:val="FootnoteText"/>
        <w:ind w:left="284" w:hanging="284"/>
      </w:pPr>
      <w:r w:rsidRPr="00C47F47">
        <w:rPr>
          <w:rStyle w:val="FootnoteReference"/>
          <w:sz w:val="18"/>
          <w:szCs w:val="18"/>
        </w:rPr>
        <w:footnoteRef/>
      </w:r>
      <w:r w:rsidRPr="00C47F47">
        <w:rPr>
          <w:sz w:val="18"/>
          <w:szCs w:val="18"/>
        </w:rPr>
        <w:t xml:space="preserve"> </w:t>
      </w:r>
      <w:r>
        <w:tab/>
      </w:r>
      <w:hyperlink r:id="rId25" w:history="1">
        <w:r w:rsidRPr="004A79A6">
          <w:rPr>
            <w:rStyle w:val="Hyperlink"/>
            <w:color w:val="13B5EA"/>
            <w:sz w:val="18"/>
            <w:szCs w:val="18"/>
          </w:rPr>
          <w:t>Materiál</w:t>
        </w:r>
      </w:hyperlink>
      <w:r w:rsidRPr="004A79A6">
        <w:rPr>
          <w:sz w:val="18"/>
          <w:szCs w:val="18"/>
        </w:rPr>
        <w:t xml:space="preserve"> bol schválený vládou dňa 12. augusta 2020.</w:t>
      </w:r>
    </w:p>
  </w:footnote>
  <w:footnote w:id="49">
    <w:p w14:paraId="7AD32AB1" w14:textId="653913D0" w:rsidR="00C47F47" w:rsidRPr="009B3F49" w:rsidRDefault="00C47F47" w:rsidP="009B3F49">
      <w:pPr>
        <w:pStyle w:val="FootnoteText"/>
        <w:ind w:left="284" w:hanging="284"/>
        <w:jc w:val="both"/>
        <w:rPr>
          <w:sz w:val="18"/>
          <w:szCs w:val="18"/>
        </w:rPr>
      </w:pPr>
      <w:r w:rsidRPr="009B3F49">
        <w:rPr>
          <w:rStyle w:val="FootnoteReference"/>
          <w:sz w:val="18"/>
          <w:szCs w:val="18"/>
        </w:rPr>
        <w:footnoteRef/>
      </w:r>
      <w:r w:rsidRPr="009B3F49">
        <w:rPr>
          <w:sz w:val="18"/>
          <w:szCs w:val="18"/>
        </w:rPr>
        <w:t xml:space="preserve"> </w:t>
      </w:r>
      <w:r>
        <w:rPr>
          <w:sz w:val="18"/>
          <w:szCs w:val="18"/>
        </w:rPr>
        <w:tab/>
      </w:r>
      <w:r w:rsidRPr="009B3F49">
        <w:rPr>
          <w:sz w:val="18"/>
          <w:szCs w:val="18"/>
        </w:rPr>
        <w:t>Právnu analýzu vybraných ustanovení ústavného zákona o rozpočtovej zodpovednosti vykonala Právnická fakulta Univerzity Komenského v Bratislave.</w:t>
      </w:r>
    </w:p>
  </w:footnote>
  <w:footnote w:id="50">
    <w:p w14:paraId="42EB009C" w14:textId="6A801F2B" w:rsidR="00C47F47" w:rsidRPr="00E8012A" w:rsidRDefault="00C47F47" w:rsidP="00E8012A">
      <w:pPr>
        <w:pStyle w:val="FootnoteText"/>
        <w:ind w:left="284" w:hanging="284"/>
        <w:jc w:val="both"/>
        <w:rPr>
          <w:sz w:val="18"/>
          <w:szCs w:val="18"/>
        </w:rPr>
      </w:pPr>
      <w:r w:rsidRPr="00E8012A">
        <w:rPr>
          <w:rStyle w:val="FootnoteReference"/>
          <w:sz w:val="18"/>
          <w:szCs w:val="18"/>
        </w:rPr>
        <w:footnoteRef/>
      </w:r>
      <w:r w:rsidRPr="00E8012A">
        <w:rPr>
          <w:sz w:val="18"/>
          <w:szCs w:val="18"/>
        </w:rPr>
        <w:t xml:space="preserve"> </w:t>
      </w:r>
      <w:r>
        <w:rPr>
          <w:sz w:val="18"/>
          <w:szCs w:val="18"/>
        </w:rPr>
        <w:tab/>
      </w:r>
      <w:r w:rsidRPr="00E8012A">
        <w:rPr>
          <w:sz w:val="18"/>
          <w:szCs w:val="18"/>
        </w:rPr>
        <w:t xml:space="preserve">Pri zdôvodnení toho, či sa ustanovenie vzťahuje na zmenu obsahu existujúcich úloh samospráv alebo len na nové úlohy, </w:t>
      </w:r>
      <w:r w:rsidRPr="004A79A6">
        <w:rPr>
          <w:sz w:val="18"/>
          <w:szCs w:val="18"/>
        </w:rPr>
        <w:t>právna analýza</w:t>
      </w:r>
      <w:r w:rsidRPr="00E8012A">
        <w:rPr>
          <w:sz w:val="18"/>
          <w:szCs w:val="18"/>
        </w:rPr>
        <w:t xml:space="preserve"> odpoveď odvodzuje od pôvodného úmyslu predkladateľov návrhu ústavného zákona o rozpočtovej zodpovednosti</w:t>
      </w:r>
      <w:r>
        <w:rPr>
          <w:sz w:val="18"/>
          <w:szCs w:val="18"/>
        </w:rPr>
        <w:t xml:space="preserve">. </w:t>
      </w:r>
      <w:r w:rsidRPr="00611761">
        <w:rPr>
          <w:sz w:val="18"/>
          <w:szCs w:val="18"/>
        </w:rPr>
        <w:t xml:space="preserve">GIBA, M., BUJŇÁK, V.: Ústavnoprávna analýza vybraných ustanovení ústavného zákona o rozpočtovej zodpovednosti zo dňa </w:t>
      </w:r>
      <w:r>
        <w:rPr>
          <w:sz w:val="18"/>
          <w:szCs w:val="18"/>
        </w:rPr>
        <w:t>31</w:t>
      </w:r>
      <w:r w:rsidRPr="00611761">
        <w:rPr>
          <w:sz w:val="18"/>
          <w:szCs w:val="18"/>
        </w:rPr>
        <w:t>.</w:t>
      </w:r>
      <w:r>
        <w:rPr>
          <w:sz w:val="18"/>
          <w:szCs w:val="18"/>
        </w:rPr>
        <w:t>07</w:t>
      </w:r>
      <w:r w:rsidRPr="00611761">
        <w:rPr>
          <w:sz w:val="18"/>
          <w:szCs w:val="18"/>
        </w:rPr>
        <w:t>.</w:t>
      </w:r>
      <w:r>
        <w:rPr>
          <w:sz w:val="18"/>
          <w:szCs w:val="18"/>
        </w:rPr>
        <w:t>2020</w:t>
      </w:r>
      <w:r w:rsidRPr="00611761">
        <w:rPr>
          <w:sz w:val="18"/>
          <w:szCs w:val="18"/>
        </w:rPr>
        <w:t xml:space="preserve">, s. </w:t>
      </w:r>
      <w:r>
        <w:rPr>
          <w:sz w:val="18"/>
          <w:szCs w:val="18"/>
        </w:rPr>
        <w:t>24</w:t>
      </w:r>
      <w:r w:rsidRPr="00611761">
        <w:rPr>
          <w:sz w:val="18"/>
          <w:szCs w:val="18"/>
        </w:rPr>
        <w:t>. Analýza vypracovaná na základe zmluvy s</w:t>
      </w:r>
      <w:r>
        <w:rPr>
          <w:sz w:val="18"/>
          <w:szCs w:val="18"/>
        </w:rPr>
        <w:t> </w:t>
      </w:r>
      <w:r w:rsidRPr="00611761">
        <w:rPr>
          <w:sz w:val="18"/>
          <w:szCs w:val="18"/>
        </w:rPr>
        <w:t xml:space="preserve">Univerzitou Komenského v Bratislave, Právnickou fakultou zo dňa </w:t>
      </w:r>
      <w:r>
        <w:rPr>
          <w:sz w:val="18"/>
          <w:szCs w:val="18"/>
        </w:rPr>
        <w:t>22</w:t>
      </w:r>
      <w:r w:rsidRPr="00611761">
        <w:rPr>
          <w:sz w:val="18"/>
          <w:szCs w:val="18"/>
        </w:rPr>
        <w:t>.</w:t>
      </w:r>
      <w:r>
        <w:rPr>
          <w:sz w:val="18"/>
          <w:szCs w:val="18"/>
        </w:rPr>
        <w:t>05</w:t>
      </w:r>
      <w:r w:rsidRPr="00611761">
        <w:rPr>
          <w:sz w:val="18"/>
          <w:szCs w:val="18"/>
        </w:rPr>
        <w:t>.</w:t>
      </w:r>
      <w:r>
        <w:rPr>
          <w:sz w:val="18"/>
          <w:szCs w:val="18"/>
        </w:rPr>
        <w:t>2020</w:t>
      </w:r>
      <w:r w:rsidRPr="00E8012A">
        <w:rPr>
          <w:sz w:val="18"/>
          <w:szCs w:val="18"/>
        </w:rPr>
        <w:t>: „Pôvodný úmysel vlády ako kolektívneho orgánu a jednotlivých poslancov Národnej rady môže byť veľmi ťažko identifikovateľný. ÚZoRZ je však od týchto prípadov z hľadiska svojej legislatívnej histórie zreteľne odlišný. Na rokovanie Národnej rady bol predložený ako návrh skupiny šiestich poslancov, pričom každý poslanec reprezentoval jeden vtedajší poslanecký klub. V treťom čítaní bol návrh schválený hlasmi 146 zo 147 prítomných poslancov. Identifikovať pôvodný úmysel je za týchto okolností korektné.</w:t>
      </w:r>
      <w:r>
        <w:rPr>
          <w:sz w:val="18"/>
          <w:szCs w:val="18"/>
        </w:rPr>
        <w:t>..</w:t>
      </w:r>
      <w:r w:rsidRPr="00E8012A">
        <w:t xml:space="preserve"> </w:t>
      </w:r>
      <w:r w:rsidRPr="00E8012A">
        <w:rPr>
          <w:sz w:val="18"/>
          <w:szCs w:val="18"/>
        </w:rPr>
        <w:t>V</w:t>
      </w:r>
      <w:r>
        <w:rPr>
          <w:sz w:val="18"/>
          <w:szCs w:val="18"/>
        </w:rPr>
        <w:t> </w:t>
      </w:r>
      <w:r w:rsidRPr="00E8012A">
        <w:rPr>
          <w:sz w:val="18"/>
          <w:szCs w:val="18"/>
        </w:rPr>
        <w:t xml:space="preserve">rozprave </w:t>
      </w:r>
      <w:r w:rsidRPr="00E8012A">
        <w:rPr>
          <w:bCs/>
          <w:sz w:val="18"/>
          <w:szCs w:val="18"/>
        </w:rPr>
        <w:t>[</w:t>
      </w:r>
      <w:r w:rsidRPr="00E8012A">
        <w:rPr>
          <w:sz w:val="18"/>
          <w:szCs w:val="18"/>
        </w:rPr>
        <w:t>1. a 2. čítanie návrhu zákona o rozpočtovej zodpovednosti</w:t>
      </w:r>
      <w:r w:rsidRPr="00E8012A">
        <w:rPr>
          <w:bCs/>
          <w:sz w:val="18"/>
          <w:szCs w:val="18"/>
        </w:rPr>
        <w:t>]</w:t>
      </w:r>
      <w:r w:rsidRPr="00E8012A">
        <w:rPr>
          <w:sz w:val="18"/>
          <w:szCs w:val="18"/>
        </w:rPr>
        <w:t xml:space="preserve"> opakovane zaznelo „presun nových kompetencií“, „nové kompetencie, ktoré budú prevádzané“, „presúvať ďalšie a ďalšie kompetencie“ a „prenos kompetencií“.“</w:t>
      </w:r>
    </w:p>
  </w:footnote>
  <w:footnote w:id="51">
    <w:p w14:paraId="4AC5C841" w14:textId="35B96278" w:rsidR="00C47F47" w:rsidRPr="006C2DA0" w:rsidRDefault="00C47F47" w:rsidP="006C2DA0">
      <w:pPr>
        <w:pStyle w:val="FootnoteText"/>
        <w:ind w:left="284" w:hanging="284"/>
        <w:jc w:val="both"/>
        <w:rPr>
          <w:sz w:val="18"/>
          <w:szCs w:val="18"/>
        </w:rPr>
      </w:pPr>
      <w:r w:rsidRPr="006C2DA0">
        <w:rPr>
          <w:rStyle w:val="FootnoteReference"/>
          <w:sz w:val="18"/>
          <w:szCs w:val="18"/>
        </w:rPr>
        <w:footnoteRef/>
      </w:r>
      <w:r w:rsidRPr="006C2DA0">
        <w:rPr>
          <w:sz w:val="18"/>
          <w:szCs w:val="18"/>
        </w:rPr>
        <w:t xml:space="preserve"> </w:t>
      </w:r>
      <w:r w:rsidRPr="006C2DA0">
        <w:rPr>
          <w:sz w:val="18"/>
          <w:szCs w:val="18"/>
        </w:rPr>
        <w:tab/>
      </w:r>
      <w:r w:rsidRPr="006C2DA0">
        <w:rPr>
          <w:bCs/>
          <w:sz w:val="18"/>
          <w:szCs w:val="18"/>
        </w:rPr>
        <w:t>Na financovanie nových úloh v rámci preneseného výkonu štátnej správy existuje ústavná garancia v rámci Ústavy (</w:t>
      </w:r>
      <w:r w:rsidRPr="006C2DA0">
        <w:rPr>
          <w:sz w:val="18"/>
          <w:szCs w:val="18"/>
        </w:rPr>
        <w:t>čl. 71 ods. 1 Ústavy</w:t>
      </w:r>
      <w:r>
        <w:rPr>
          <w:sz w:val="18"/>
          <w:szCs w:val="18"/>
        </w:rPr>
        <w:t>: „</w:t>
      </w:r>
      <w:r w:rsidRPr="006C2DA0">
        <w:rPr>
          <w:sz w:val="18"/>
          <w:szCs w:val="18"/>
        </w:rPr>
        <w:t>Na obec a vyšší územný celok možno zákonom preniesť výkon určených úloh miestnej štátnej správy. Náklady takto preneseného výkonu štátnej správy uhrádza štát.</w:t>
      </w:r>
      <w:r>
        <w:rPr>
          <w:sz w:val="18"/>
          <w:szCs w:val="18"/>
        </w:rPr>
        <w:t>“</w:t>
      </w:r>
      <w:r w:rsidRPr="006C2DA0">
        <w:rPr>
          <w:sz w:val="18"/>
          <w:szCs w:val="18"/>
        </w:rPr>
        <w:t>).</w:t>
      </w:r>
    </w:p>
  </w:footnote>
  <w:footnote w:id="52">
    <w:p w14:paraId="040CD249" w14:textId="28FFBEEB" w:rsidR="00C47F47" w:rsidRPr="00E8012A" w:rsidRDefault="00C47F47" w:rsidP="00E8012A">
      <w:pPr>
        <w:pStyle w:val="FootnoteText"/>
        <w:ind w:left="284" w:hanging="284"/>
        <w:jc w:val="both"/>
        <w:rPr>
          <w:sz w:val="18"/>
          <w:szCs w:val="18"/>
        </w:rPr>
      </w:pPr>
      <w:r w:rsidRPr="00E8012A">
        <w:rPr>
          <w:rStyle w:val="FootnoteReference"/>
          <w:sz w:val="18"/>
          <w:szCs w:val="18"/>
        </w:rPr>
        <w:footnoteRef/>
      </w:r>
      <w:r w:rsidRPr="00E8012A">
        <w:rPr>
          <w:sz w:val="18"/>
          <w:szCs w:val="18"/>
        </w:rPr>
        <w:t xml:space="preserve"> </w:t>
      </w:r>
      <w:r>
        <w:rPr>
          <w:sz w:val="18"/>
          <w:szCs w:val="18"/>
        </w:rPr>
        <w:tab/>
      </w:r>
      <w:r w:rsidRPr="00611761">
        <w:rPr>
          <w:sz w:val="18"/>
          <w:szCs w:val="18"/>
        </w:rPr>
        <w:t xml:space="preserve">GIBA, M., BUJŇÁK, V.: Ústavnoprávna analýza vybraných ustanovení ústavného zákona o rozpočtovej zodpovednosti zo dňa </w:t>
      </w:r>
      <w:r>
        <w:rPr>
          <w:sz w:val="18"/>
          <w:szCs w:val="18"/>
        </w:rPr>
        <w:t>31</w:t>
      </w:r>
      <w:r w:rsidRPr="00611761">
        <w:rPr>
          <w:sz w:val="18"/>
          <w:szCs w:val="18"/>
        </w:rPr>
        <w:t>.</w:t>
      </w:r>
      <w:r>
        <w:rPr>
          <w:sz w:val="18"/>
          <w:szCs w:val="18"/>
        </w:rPr>
        <w:t>07</w:t>
      </w:r>
      <w:r w:rsidRPr="00611761">
        <w:rPr>
          <w:sz w:val="18"/>
          <w:szCs w:val="18"/>
        </w:rPr>
        <w:t>.</w:t>
      </w:r>
      <w:r>
        <w:rPr>
          <w:sz w:val="18"/>
          <w:szCs w:val="18"/>
        </w:rPr>
        <w:t>2020</w:t>
      </w:r>
      <w:r w:rsidRPr="00611761">
        <w:rPr>
          <w:sz w:val="18"/>
          <w:szCs w:val="18"/>
        </w:rPr>
        <w:t xml:space="preserve">, s. </w:t>
      </w:r>
      <w:r>
        <w:rPr>
          <w:sz w:val="18"/>
          <w:szCs w:val="18"/>
        </w:rPr>
        <w:t>25</w:t>
      </w:r>
      <w:r w:rsidRPr="00611761">
        <w:rPr>
          <w:sz w:val="18"/>
          <w:szCs w:val="18"/>
        </w:rPr>
        <w:t>. Analýza vypracovaná na základe zmluvy s Univerzitou Komenského v</w:t>
      </w:r>
      <w:r>
        <w:rPr>
          <w:sz w:val="18"/>
          <w:szCs w:val="18"/>
        </w:rPr>
        <w:t> </w:t>
      </w:r>
      <w:r w:rsidRPr="00611761">
        <w:rPr>
          <w:sz w:val="18"/>
          <w:szCs w:val="18"/>
        </w:rPr>
        <w:t xml:space="preserve">Bratislave, Právnickou fakultou zo dňa </w:t>
      </w:r>
      <w:r>
        <w:rPr>
          <w:sz w:val="18"/>
          <w:szCs w:val="18"/>
        </w:rPr>
        <w:t>22</w:t>
      </w:r>
      <w:r w:rsidRPr="00611761">
        <w:rPr>
          <w:sz w:val="18"/>
          <w:szCs w:val="18"/>
        </w:rPr>
        <w:t>.</w:t>
      </w:r>
      <w:r>
        <w:rPr>
          <w:sz w:val="18"/>
          <w:szCs w:val="18"/>
        </w:rPr>
        <w:t>05</w:t>
      </w:r>
      <w:r w:rsidRPr="00611761">
        <w:rPr>
          <w:sz w:val="18"/>
          <w:szCs w:val="18"/>
        </w:rPr>
        <w:t>.</w:t>
      </w:r>
      <w:r>
        <w:rPr>
          <w:sz w:val="18"/>
          <w:szCs w:val="18"/>
        </w:rPr>
        <w:t>2020</w:t>
      </w:r>
      <w:r w:rsidRPr="00E8012A">
        <w:rPr>
          <w:sz w:val="18"/>
          <w:szCs w:val="18"/>
        </w:rPr>
        <w:t>: „Ak by k takejto špecifickej situácii došlo, ktorákoľvek zo</w:t>
      </w:r>
      <w:r w:rsidR="003A2267">
        <w:rPr>
          <w:sz w:val="18"/>
          <w:szCs w:val="18"/>
        </w:rPr>
        <w:t> </w:t>
      </w:r>
      <w:r w:rsidRPr="00E8012A">
        <w:rPr>
          <w:sz w:val="18"/>
          <w:szCs w:val="18"/>
        </w:rPr>
        <w:t>zasiahnutých územných samospráv by mohla využiť čl. 127a Ústavy a tzv. komunálnu ústavnú sťažnosť: „</w:t>
      </w:r>
      <w:r w:rsidRPr="00E8012A">
        <w:rPr>
          <w:i/>
          <w:sz w:val="18"/>
          <w:szCs w:val="18"/>
        </w:rPr>
        <w:t>Ústavný súd rozhoduje o sťažnostiach orgánov územnej samosprávy proti neústavnému (...) rozhodnutiu alebo inému neústavnému (...) zásahu do vecí územnej samosprávy, ak o jej ochrane nerozhoduje iný súd</w:t>
      </w:r>
      <w:r w:rsidRPr="00E8012A">
        <w:rPr>
          <w:sz w:val="18"/>
          <w:szCs w:val="18"/>
        </w:rPr>
        <w:t>.““</w:t>
      </w:r>
    </w:p>
  </w:footnote>
  <w:footnote w:id="53">
    <w:p w14:paraId="59E21060" w14:textId="026DCCB3" w:rsidR="00C47F47" w:rsidRPr="0097317F" w:rsidRDefault="00C47F47" w:rsidP="0097317F">
      <w:pPr>
        <w:pStyle w:val="FootnoteText"/>
        <w:ind w:left="284" w:hanging="284"/>
        <w:jc w:val="both"/>
        <w:rPr>
          <w:sz w:val="18"/>
          <w:szCs w:val="18"/>
        </w:rPr>
      </w:pPr>
      <w:r w:rsidRPr="0097317F">
        <w:rPr>
          <w:rStyle w:val="FootnoteReference"/>
          <w:sz w:val="18"/>
          <w:szCs w:val="18"/>
        </w:rPr>
        <w:footnoteRef/>
      </w:r>
      <w:r w:rsidRPr="0097317F">
        <w:rPr>
          <w:sz w:val="18"/>
          <w:szCs w:val="18"/>
        </w:rPr>
        <w:t xml:space="preserve"> </w:t>
      </w:r>
      <w:r>
        <w:rPr>
          <w:sz w:val="18"/>
          <w:szCs w:val="18"/>
        </w:rPr>
        <w:tab/>
      </w:r>
      <w:r w:rsidRPr="0097317F">
        <w:rPr>
          <w:sz w:val="18"/>
          <w:szCs w:val="18"/>
        </w:rPr>
        <w:t xml:space="preserve">Starostlivosť o chodníky je riešená vo </w:t>
      </w:r>
      <w:hyperlink r:id="rId26" w:history="1">
        <w:r w:rsidRPr="0097317F">
          <w:rPr>
            <w:rStyle w:val="Hyperlink"/>
            <w:color w:val="13B5EA"/>
            <w:sz w:val="18"/>
            <w:szCs w:val="18"/>
          </w:rPr>
          <w:t>vládnom návrhu zákona o prevádzke vozidiel v cestnej premávke a o zmene a doplnení niektorých zákonov</w:t>
        </w:r>
      </w:hyperlink>
      <w:r w:rsidRPr="0097317F">
        <w:rPr>
          <w:sz w:val="18"/>
          <w:szCs w:val="18"/>
        </w:rPr>
        <w:t xml:space="preserve"> a bezplatné stravovanie v školách je súčasťou </w:t>
      </w:r>
      <w:hyperlink r:id="rId27" w:history="1">
        <w:r w:rsidRPr="0097317F">
          <w:rPr>
            <w:rStyle w:val="Hyperlink"/>
            <w:color w:val="13B5EA"/>
            <w:sz w:val="18"/>
            <w:szCs w:val="18"/>
          </w:rPr>
          <w:t>novely školského zákona</w:t>
        </w:r>
      </w:hyperlink>
      <w:r w:rsidRPr="0097317F">
        <w:rPr>
          <w:sz w:val="18"/>
          <w:szCs w:val="18"/>
        </w:rPr>
        <w:t>.</w:t>
      </w:r>
    </w:p>
  </w:footnote>
  <w:footnote w:id="54">
    <w:p w14:paraId="68CB79FD" w14:textId="6E0FA167" w:rsidR="00C47F47" w:rsidRDefault="00C47F47" w:rsidP="004A79A6">
      <w:pPr>
        <w:pStyle w:val="FootnoteText"/>
        <w:ind w:left="284" w:hanging="284"/>
        <w:jc w:val="both"/>
      </w:pPr>
      <w:r>
        <w:rPr>
          <w:rStyle w:val="FootnoteReference"/>
        </w:rPr>
        <w:footnoteRef/>
      </w:r>
      <w:r>
        <w:t xml:space="preserve"> </w:t>
      </w:r>
      <w:r>
        <w:tab/>
      </w:r>
      <w:r w:rsidRPr="00611761">
        <w:rPr>
          <w:sz w:val="18"/>
          <w:szCs w:val="18"/>
        </w:rPr>
        <w:t xml:space="preserve">GIBA, M., BUJŇÁK, V.: Ústavnoprávna analýza vybraných ustanovení ústavného zákona o rozpočtovej zodpovednosti zo dňa </w:t>
      </w:r>
      <w:r>
        <w:rPr>
          <w:sz w:val="18"/>
          <w:szCs w:val="18"/>
        </w:rPr>
        <w:t>31</w:t>
      </w:r>
      <w:r w:rsidRPr="00611761">
        <w:rPr>
          <w:sz w:val="18"/>
          <w:szCs w:val="18"/>
        </w:rPr>
        <w:t>.</w:t>
      </w:r>
      <w:r>
        <w:rPr>
          <w:sz w:val="18"/>
          <w:szCs w:val="18"/>
        </w:rPr>
        <w:t>07</w:t>
      </w:r>
      <w:r w:rsidRPr="00611761">
        <w:rPr>
          <w:sz w:val="18"/>
          <w:szCs w:val="18"/>
        </w:rPr>
        <w:t>.</w:t>
      </w:r>
      <w:r>
        <w:rPr>
          <w:sz w:val="18"/>
          <w:szCs w:val="18"/>
        </w:rPr>
        <w:t>2020</w:t>
      </w:r>
      <w:r w:rsidRPr="00611761">
        <w:rPr>
          <w:sz w:val="18"/>
          <w:szCs w:val="18"/>
        </w:rPr>
        <w:t xml:space="preserve">, s. </w:t>
      </w:r>
      <w:r>
        <w:rPr>
          <w:sz w:val="18"/>
          <w:szCs w:val="18"/>
        </w:rPr>
        <w:t>26</w:t>
      </w:r>
      <w:r w:rsidRPr="00611761">
        <w:rPr>
          <w:sz w:val="18"/>
          <w:szCs w:val="18"/>
        </w:rPr>
        <w:t>. Analýza vypracovaná na základe zmluvy s Univerzitou Komenského v</w:t>
      </w:r>
      <w:r>
        <w:rPr>
          <w:sz w:val="18"/>
          <w:szCs w:val="18"/>
        </w:rPr>
        <w:t> </w:t>
      </w:r>
      <w:r w:rsidRPr="00611761">
        <w:rPr>
          <w:sz w:val="18"/>
          <w:szCs w:val="18"/>
        </w:rPr>
        <w:t xml:space="preserve">Bratislave, Právnickou fakultou zo dňa </w:t>
      </w:r>
      <w:r>
        <w:rPr>
          <w:sz w:val="18"/>
          <w:szCs w:val="18"/>
        </w:rPr>
        <w:t>22</w:t>
      </w:r>
      <w:r w:rsidRPr="00611761">
        <w:rPr>
          <w:sz w:val="18"/>
          <w:szCs w:val="18"/>
        </w:rPr>
        <w:t>.</w:t>
      </w:r>
      <w:r>
        <w:rPr>
          <w:sz w:val="18"/>
          <w:szCs w:val="18"/>
        </w:rPr>
        <w:t>05</w:t>
      </w:r>
      <w:r w:rsidRPr="00611761">
        <w:rPr>
          <w:sz w:val="18"/>
          <w:szCs w:val="18"/>
        </w:rPr>
        <w:t>.</w:t>
      </w:r>
      <w:r>
        <w:rPr>
          <w:sz w:val="18"/>
          <w:szCs w:val="18"/>
        </w:rPr>
        <w:t>2020.</w:t>
      </w:r>
    </w:p>
  </w:footnote>
  <w:footnote w:id="55">
    <w:p w14:paraId="4770E063" w14:textId="68AFD936" w:rsidR="00C47F47" w:rsidRPr="001D2036" w:rsidRDefault="00C47F47" w:rsidP="001D2036">
      <w:pPr>
        <w:pStyle w:val="FootnoteText"/>
        <w:ind w:left="284" w:hanging="284"/>
        <w:jc w:val="both"/>
        <w:rPr>
          <w:sz w:val="18"/>
          <w:szCs w:val="18"/>
        </w:rPr>
      </w:pPr>
      <w:r w:rsidRPr="001D2036">
        <w:rPr>
          <w:rStyle w:val="FootnoteReference"/>
          <w:sz w:val="18"/>
          <w:szCs w:val="18"/>
        </w:rPr>
        <w:footnoteRef/>
      </w:r>
      <w:r w:rsidRPr="001D2036">
        <w:rPr>
          <w:sz w:val="18"/>
          <w:szCs w:val="18"/>
        </w:rPr>
        <w:t xml:space="preserve"> </w:t>
      </w:r>
      <w:r>
        <w:rPr>
          <w:sz w:val="18"/>
          <w:szCs w:val="18"/>
        </w:rPr>
        <w:tab/>
      </w:r>
      <w:r w:rsidRPr="001D2036">
        <w:rPr>
          <w:sz w:val="18"/>
          <w:szCs w:val="18"/>
        </w:rPr>
        <w:t>Konkrétne ide o §140 ods. 9 a 10 zákona č. 245/2008 Z.z. o výchove a vzdelávaní (školský zákon) a o zmene a</w:t>
      </w:r>
      <w:r>
        <w:rPr>
          <w:sz w:val="18"/>
          <w:szCs w:val="18"/>
        </w:rPr>
        <w:t> </w:t>
      </w:r>
      <w:r w:rsidRPr="001D2036">
        <w:rPr>
          <w:sz w:val="18"/>
          <w:szCs w:val="18"/>
        </w:rPr>
        <w:t>doplnení niektorých zákonov.</w:t>
      </w:r>
    </w:p>
  </w:footnote>
  <w:footnote w:id="56">
    <w:p w14:paraId="48FF70EB" w14:textId="3D2CE2EE" w:rsidR="00C47F47" w:rsidRPr="004A79A6" w:rsidRDefault="00C47F47" w:rsidP="004A79A6">
      <w:pPr>
        <w:pStyle w:val="FootnoteText"/>
        <w:ind w:left="284" w:hanging="284"/>
        <w:jc w:val="both"/>
        <w:rPr>
          <w:sz w:val="18"/>
          <w:szCs w:val="18"/>
        </w:rPr>
      </w:pPr>
      <w:r w:rsidRPr="004A79A6">
        <w:rPr>
          <w:rStyle w:val="FootnoteReference"/>
          <w:sz w:val="18"/>
          <w:szCs w:val="18"/>
        </w:rPr>
        <w:footnoteRef/>
      </w:r>
      <w:r w:rsidRPr="004A79A6">
        <w:rPr>
          <w:sz w:val="18"/>
          <w:szCs w:val="18"/>
        </w:rPr>
        <w:t xml:space="preserve"> </w:t>
      </w:r>
      <w:r>
        <w:rPr>
          <w:sz w:val="18"/>
          <w:szCs w:val="18"/>
        </w:rPr>
        <w:tab/>
      </w:r>
      <w:r w:rsidRPr="00257591">
        <w:rPr>
          <w:sz w:val="18"/>
          <w:szCs w:val="18"/>
        </w:rPr>
        <w:t>GIBA, M., BUJŇÁK, V.: Ústavnoprávna analýza vybraných ustanovení ústavného zákona o rozpočtovej zodpovednosti zo dňa 31.07.2020, s. 27. Analýza vypracovaná na základe zmluvy s Univerzitou Komenského v</w:t>
      </w:r>
      <w:r>
        <w:rPr>
          <w:sz w:val="18"/>
          <w:szCs w:val="18"/>
        </w:rPr>
        <w:t> </w:t>
      </w:r>
      <w:r w:rsidRPr="00257591">
        <w:rPr>
          <w:sz w:val="18"/>
          <w:szCs w:val="18"/>
        </w:rPr>
        <w:t>Bratislave, Právnickou fakultou zo dňa 22.05.2020.</w:t>
      </w:r>
    </w:p>
  </w:footnote>
  <w:footnote w:id="57">
    <w:p w14:paraId="09E6A547" w14:textId="44E68983" w:rsidR="00C47F47" w:rsidRPr="00744E78" w:rsidRDefault="00C47F47" w:rsidP="004D64C5">
      <w:pPr>
        <w:pStyle w:val="FootnoteText"/>
        <w:ind w:left="284" w:hanging="284"/>
        <w:jc w:val="both"/>
        <w:rPr>
          <w:sz w:val="18"/>
          <w:szCs w:val="18"/>
          <w:highlight w:val="yellow"/>
        </w:rPr>
      </w:pPr>
      <w:r w:rsidRPr="00816A75">
        <w:rPr>
          <w:rStyle w:val="FootnoteReference"/>
          <w:sz w:val="18"/>
          <w:szCs w:val="18"/>
        </w:rPr>
        <w:footnoteRef/>
      </w:r>
      <w:r w:rsidRPr="00816A75">
        <w:rPr>
          <w:sz w:val="18"/>
          <w:szCs w:val="18"/>
        </w:rPr>
        <w:t xml:space="preserve"> </w:t>
      </w:r>
      <w:r w:rsidRPr="00816A75">
        <w:rPr>
          <w:sz w:val="18"/>
          <w:szCs w:val="18"/>
        </w:rPr>
        <w:tab/>
        <w:t>Za rok 2015</w:t>
      </w:r>
      <w:r w:rsidRPr="000E36CD">
        <w:rPr>
          <w:sz w:val="18"/>
          <w:szCs w:val="18"/>
        </w:rPr>
        <w:t xml:space="preserve"> boli uložené pokuty v celkovej výške </w:t>
      </w:r>
      <w:r w:rsidRPr="004A79A6">
        <w:rPr>
          <w:sz w:val="18"/>
          <w:szCs w:val="18"/>
        </w:rPr>
        <w:t xml:space="preserve">6 408,69 </w:t>
      </w:r>
      <w:r w:rsidRPr="00204C68">
        <w:rPr>
          <w:sz w:val="18"/>
          <w:szCs w:val="18"/>
        </w:rPr>
        <w:t xml:space="preserve">eur, za rok 2016 v celkovej výške </w:t>
      </w:r>
      <w:r w:rsidRPr="004A79A6">
        <w:rPr>
          <w:sz w:val="18"/>
          <w:szCs w:val="18"/>
        </w:rPr>
        <w:t>28 909,</w:t>
      </w:r>
      <w:r w:rsidRPr="00204C68">
        <w:rPr>
          <w:sz w:val="18"/>
          <w:szCs w:val="18"/>
        </w:rPr>
        <w:t xml:space="preserve">20 eur, za rok 2017 v celkovej výške </w:t>
      </w:r>
      <w:r w:rsidRPr="004A79A6">
        <w:rPr>
          <w:sz w:val="18"/>
          <w:szCs w:val="18"/>
        </w:rPr>
        <w:t>9 735,51</w:t>
      </w:r>
      <w:r w:rsidRPr="00816A75">
        <w:rPr>
          <w:sz w:val="18"/>
          <w:szCs w:val="18"/>
        </w:rPr>
        <w:t xml:space="preserve"> eur.</w:t>
      </w:r>
    </w:p>
  </w:footnote>
  <w:footnote w:id="58">
    <w:p w14:paraId="3465553D" w14:textId="77777777" w:rsidR="00C47F47" w:rsidRPr="007F0C14" w:rsidRDefault="00C47F47" w:rsidP="004D64C5">
      <w:pPr>
        <w:pStyle w:val="FootnoteText"/>
        <w:ind w:left="284" w:hanging="284"/>
        <w:jc w:val="both"/>
        <w:rPr>
          <w:sz w:val="18"/>
          <w:szCs w:val="18"/>
        </w:rPr>
      </w:pPr>
      <w:r w:rsidRPr="00816A75">
        <w:rPr>
          <w:rStyle w:val="FootnoteReference"/>
          <w:sz w:val="18"/>
          <w:szCs w:val="18"/>
        </w:rPr>
        <w:footnoteRef/>
      </w:r>
      <w:r w:rsidRPr="00816A75">
        <w:rPr>
          <w:sz w:val="18"/>
          <w:szCs w:val="18"/>
        </w:rPr>
        <w:t xml:space="preserve"> </w:t>
      </w:r>
      <w:r w:rsidRPr="00816A75">
        <w:rPr>
          <w:sz w:val="18"/>
          <w:szCs w:val="18"/>
        </w:rPr>
        <w:tab/>
        <w:t xml:space="preserve">Definovaná podľa § 17 zákona č. 583/2004 Z. z. o rozpočtových </w:t>
      </w:r>
      <w:r w:rsidRPr="007F0C14">
        <w:rPr>
          <w:sz w:val="18"/>
          <w:szCs w:val="18"/>
        </w:rPr>
        <w:t>pravidlách územnej samosprávy.</w:t>
      </w:r>
    </w:p>
  </w:footnote>
  <w:footnote w:id="59">
    <w:p w14:paraId="432AF50F" w14:textId="53AEEBF7" w:rsidR="00C47F47" w:rsidRPr="00790F2C" w:rsidRDefault="00C47F47" w:rsidP="004D64C5">
      <w:pPr>
        <w:pStyle w:val="FootnoteText"/>
        <w:ind w:left="284" w:hanging="284"/>
        <w:jc w:val="both"/>
        <w:rPr>
          <w:sz w:val="18"/>
          <w:szCs w:val="18"/>
        </w:rPr>
      </w:pPr>
      <w:r w:rsidRPr="007F0C14">
        <w:rPr>
          <w:rStyle w:val="FootnoteReference"/>
          <w:sz w:val="18"/>
          <w:szCs w:val="18"/>
        </w:rPr>
        <w:footnoteRef/>
      </w:r>
      <w:r w:rsidRPr="007F0C14">
        <w:rPr>
          <w:sz w:val="18"/>
          <w:szCs w:val="18"/>
        </w:rPr>
        <w:t xml:space="preserve"> </w:t>
      </w:r>
      <w:r w:rsidRPr="007F0C14">
        <w:rPr>
          <w:sz w:val="18"/>
          <w:szCs w:val="18"/>
        </w:rPr>
        <w:tab/>
        <w:t xml:space="preserve">Došlo k zmene starostu/primátora, čo znamená, že pre </w:t>
      </w:r>
      <w:r>
        <w:rPr>
          <w:sz w:val="18"/>
          <w:szCs w:val="18"/>
        </w:rPr>
        <w:t xml:space="preserve">tieto </w:t>
      </w:r>
      <w:r w:rsidRPr="007F0C14">
        <w:rPr>
          <w:sz w:val="18"/>
          <w:szCs w:val="18"/>
        </w:rPr>
        <w:t>obce za rok 2018 platila výnimka z uloženia pokuty počas 24 </w:t>
      </w:r>
      <w:r w:rsidRPr="00790F2C">
        <w:rPr>
          <w:sz w:val="18"/>
          <w:szCs w:val="18"/>
        </w:rPr>
        <w:t>mesiacov od konania ustanovujúceho zasadnutia obecného zastupiteľstva.</w:t>
      </w:r>
    </w:p>
  </w:footnote>
  <w:footnote w:id="60">
    <w:p w14:paraId="1B00FB32" w14:textId="3AAD09E6" w:rsidR="00C47F47" w:rsidRDefault="00C47F47" w:rsidP="00457EC8">
      <w:pPr>
        <w:pStyle w:val="FootnoteText"/>
        <w:ind w:left="284" w:hanging="284"/>
        <w:jc w:val="both"/>
      </w:pPr>
      <w:r>
        <w:rPr>
          <w:rStyle w:val="FootnoteReference"/>
        </w:rPr>
        <w:footnoteRef/>
      </w:r>
      <w:r>
        <w:t xml:space="preserve"> </w:t>
      </w:r>
      <w:r>
        <w:tab/>
      </w:r>
      <w:r w:rsidRPr="006D69F3">
        <w:rPr>
          <w:sz w:val="18"/>
          <w:szCs w:val="18"/>
        </w:rPr>
        <w:t>Dve obce boli v nútenej správe, dvom už bola pokuta uložená v minulosti a ich výška zadlženia sa nezvyšovala, dlh jednej obce vznikol reštrukturalizáciou pôvodných úverov novým úverom, ktorým sa dostala z nútenej správy.</w:t>
      </w:r>
    </w:p>
  </w:footnote>
  <w:footnote w:id="61">
    <w:p w14:paraId="271CB2F2" w14:textId="66F653AA" w:rsidR="00C47F47" w:rsidRPr="00AA3463" w:rsidRDefault="00C47F47" w:rsidP="004D64C5">
      <w:pPr>
        <w:pStyle w:val="FootnoteText"/>
        <w:ind w:left="284" w:hanging="284"/>
        <w:jc w:val="both"/>
        <w:rPr>
          <w:sz w:val="18"/>
          <w:szCs w:val="18"/>
        </w:rPr>
      </w:pPr>
      <w:r w:rsidRPr="00790F2C">
        <w:rPr>
          <w:rStyle w:val="FootnoteReference"/>
          <w:sz w:val="18"/>
          <w:szCs w:val="18"/>
        </w:rPr>
        <w:footnoteRef/>
      </w:r>
      <w:r w:rsidRPr="00790F2C">
        <w:rPr>
          <w:sz w:val="18"/>
          <w:szCs w:val="18"/>
        </w:rPr>
        <w:t xml:space="preserve"> </w:t>
      </w:r>
      <w:r w:rsidRPr="00790F2C">
        <w:rPr>
          <w:sz w:val="18"/>
          <w:szCs w:val="18"/>
        </w:rPr>
        <w:tab/>
        <w:t xml:space="preserve">Preverovanie súvisí aj s tým, že v prípade viacerých obcí boli v rôznych typoch finančných výkazov, ktoré sú základným zdrojom informácií o výške ich dlhu, zaznamenané rozdielne, t.j. nesprávne údaje. Pri ich správnom </w:t>
      </w:r>
      <w:r w:rsidRPr="00AA3463">
        <w:rPr>
          <w:sz w:val="18"/>
          <w:szCs w:val="18"/>
        </w:rPr>
        <w:t>vykázaní by mal byť výsledný dlh rovnaký bez ohľadu na použitý výkaz.</w:t>
      </w:r>
    </w:p>
  </w:footnote>
  <w:footnote w:id="62">
    <w:p w14:paraId="1785A593" w14:textId="5BB55C5B" w:rsidR="00C47F47" w:rsidRPr="00B57084" w:rsidRDefault="00C47F47" w:rsidP="004D64C5">
      <w:pPr>
        <w:pStyle w:val="FootnoteText"/>
        <w:ind w:left="284" w:hanging="284"/>
        <w:jc w:val="both"/>
        <w:rPr>
          <w:sz w:val="18"/>
          <w:szCs w:val="18"/>
        </w:rPr>
      </w:pPr>
      <w:r w:rsidRPr="00AA3463">
        <w:rPr>
          <w:rStyle w:val="FootnoteReference"/>
          <w:sz w:val="18"/>
          <w:szCs w:val="18"/>
        </w:rPr>
        <w:footnoteRef/>
      </w:r>
      <w:r w:rsidRPr="00AA3463">
        <w:rPr>
          <w:sz w:val="18"/>
          <w:szCs w:val="18"/>
        </w:rPr>
        <w:t xml:space="preserve"> </w:t>
      </w:r>
      <w:r w:rsidRPr="00AA3463">
        <w:rPr>
          <w:sz w:val="18"/>
          <w:szCs w:val="18"/>
        </w:rPr>
        <w:tab/>
        <w:t>Okrem toho MF</w:t>
      </w:r>
      <w:r>
        <w:rPr>
          <w:sz w:val="18"/>
          <w:szCs w:val="18"/>
        </w:rPr>
        <w:t> </w:t>
      </w:r>
      <w:r w:rsidRPr="00AA3463">
        <w:rPr>
          <w:sz w:val="18"/>
          <w:szCs w:val="18"/>
        </w:rPr>
        <w:t xml:space="preserve">SR oslovilo hlavných kontrolórov 9 obcí, ktoré za rok 2019 nepredložili potrebné výkazy: Gemerček (RS), Horný Kalník (MT), Kosihy nad Ipľom (VK), Kravany nad Dunajom (KN), Kunerad (ZA), </w:t>
      </w:r>
      <w:r w:rsidRPr="00B57084">
        <w:rPr>
          <w:sz w:val="18"/>
          <w:szCs w:val="18"/>
        </w:rPr>
        <w:t>Lacková (SL), Patince (KN), Sklabiňa (MT) a Turnianska Nová Ves (KS). Obec Ondavka (BJ), v ktorej nefunguje samospráva, nemá starostu, poslancov, zamestnancov, účet a nepredkladá výkazy, nie je súčasťou vyhodnotenia.</w:t>
      </w:r>
    </w:p>
  </w:footnote>
  <w:footnote w:id="63">
    <w:p w14:paraId="3A7552EE" w14:textId="0DEB1A27" w:rsidR="00C47F47" w:rsidRPr="00B57084" w:rsidRDefault="00C47F47" w:rsidP="00845333">
      <w:pPr>
        <w:pStyle w:val="FootnoteText"/>
        <w:ind w:left="284" w:hanging="284"/>
        <w:jc w:val="both"/>
        <w:rPr>
          <w:sz w:val="18"/>
          <w:szCs w:val="18"/>
        </w:rPr>
      </w:pPr>
      <w:r w:rsidRPr="00B57084">
        <w:rPr>
          <w:rStyle w:val="FootnoteReference"/>
          <w:sz w:val="18"/>
          <w:szCs w:val="18"/>
        </w:rPr>
        <w:footnoteRef/>
      </w:r>
      <w:r w:rsidRPr="00B57084">
        <w:rPr>
          <w:sz w:val="18"/>
          <w:szCs w:val="18"/>
        </w:rPr>
        <w:tab/>
        <w:t>Pokuta sa opakovane ukladá len v prípade medziročného zvýšenia dlhu nad hranicou 60 % bežných príjmov predchádzajúceho roku a neukladá sa, ak nepresiahne sumu 40 eur.</w:t>
      </w:r>
    </w:p>
  </w:footnote>
  <w:footnote w:id="64">
    <w:p w14:paraId="3B414F7E" w14:textId="7E0A9707" w:rsidR="00C47F47" w:rsidRPr="004A79A6" w:rsidRDefault="00C47F47" w:rsidP="00646CB8">
      <w:pPr>
        <w:pStyle w:val="FootnoteText"/>
        <w:ind w:left="284" w:hanging="284"/>
        <w:jc w:val="both"/>
        <w:rPr>
          <w:sz w:val="18"/>
          <w:szCs w:val="18"/>
        </w:rPr>
      </w:pPr>
      <w:r w:rsidRPr="00B57084">
        <w:rPr>
          <w:rStyle w:val="FootnoteReference"/>
        </w:rPr>
        <w:footnoteRef/>
      </w:r>
      <w:r w:rsidRPr="00B57084">
        <w:t xml:space="preserve"> </w:t>
      </w:r>
      <w:r w:rsidRPr="00B57084">
        <w:rPr>
          <w:sz w:val="18"/>
          <w:szCs w:val="18"/>
        </w:rPr>
        <w:tab/>
        <w:t>Dolné Naštice (BN), Potônske Lúky (DS), Ľutov (BN), Bertotovce (PO), Pohranice (NR), Víťazovce (HE), Remeniny (VT), Veľká Paka (DS), Údol (SL), Mankovce (ZM), Nižný Komárnik (SK) a Dvorianky (TV).</w:t>
      </w:r>
      <w:r w:rsidRPr="0010688A">
        <w:rPr>
          <w:sz w:val="18"/>
          <w:szCs w:val="18"/>
        </w:rPr>
        <w:t xml:space="preserve"> </w:t>
      </w:r>
      <w:r w:rsidRPr="004A79A6">
        <w:rPr>
          <w:sz w:val="18"/>
          <w:szCs w:val="18"/>
        </w:rPr>
        <w:t xml:space="preserve">MF SR listom upozornilo na vykázané prekročenie výšky dlhu aj </w:t>
      </w:r>
      <w:r>
        <w:rPr>
          <w:sz w:val="18"/>
          <w:szCs w:val="18"/>
        </w:rPr>
        <w:t>tieto obce</w:t>
      </w:r>
      <w:r w:rsidRPr="004A79A6">
        <w:rPr>
          <w:sz w:val="18"/>
          <w:szCs w:val="18"/>
        </w:rPr>
        <w:t>, aj keď za rok 2019 pokutované nebudú.</w:t>
      </w:r>
    </w:p>
  </w:footnote>
  <w:footnote w:id="65">
    <w:p w14:paraId="5B8143B5" w14:textId="70D5C63B" w:rsidR="00C47F47" w:rsidRPr="003D76E3" w:rsidRDefault="00C47F47" w:rsidP="003F77DB">
      <w:pPr>
        <w:pStyle w:val="FootnoteText"/>
        <w:ind w:left="284" w:hanging="284"/>
        <w:jc w:val="both"/>
        <w:rPr>
          <w:sz w:val="18"/>
          <w:szCs w:val="18"/>
          <w:highlight w:val="yellow"/>
        </w:rPr>
      </w:pPr>
      <w:r w:rsidRPr="00B57084">
        <w:rPr>
          <w:rStyle w:val="FootnoteReference"/>
          <w:sz w:val="18"/>
          <w:szCs w:val="18"/>
        </w:rPr>
        <w:footnoteRef/>
      </w:r>
      <w:r w:rsidRPr="00B57084">
        <w:rPr>
          <w:sz w:val="18"/>
          <w:szCs w:val="18"/>
        </w:rPr>
        <w:t xml:space="preserve"> </w:t>
      </w:r>
      <w:r w:rsidRPr="00B57084">
        <w:rPr>
          <w:sz w:val="18"/>
          <w:szCs w:val="18"/>
        </w:rPr>
        <w:tab/>
        <w:t>Prvým limitom je dlhový strop na úrovni 60 %, druhým je 25 % limit dlhovej služby.</w:t>
      </w:r>
    </w:p>
  </w:footnote>
  <w:footnote w:id="66">
    <w:p w14:paraId="199A5CAA" w14:textId="77777777" w:rsidR="00C47F47" w:rsidRPr="00B563AB" w:rsidRDefault="00C47F47" w:rsidP="00D64788">
      <w:pPr>
        <w:pStyle w:val="FootnoteText"/>
        <w:ind w:left="284" w:hanging="284"/>
        <w:jc w:val="both"/>
        <w:rPr>
          <w:sz w:val="18"/>
          <w:szCs w:val="18"/>
        </w:rPr>
      </w:pPr>
      <w:r w:rsidRPr="00B563AB">
        <w:rPr>
          <w:rStyle w:val="FootnoteReference"/>
          <w:sz w:val="18"/>
          <w:szCs w:val="18"/>
        </w:rPr>
        <w:footnoteRef/>
      </w:r>
      <w:r w:rsidRPr="00B563AB">
        <w:rPr>
          <w:sz w:val="18"/>
          <w:szCs w:val="18"/>
        </w:rPr>
        <w:t xml:space="preserve"> </w:t>
      </w:r>
      <w:r w:rsidRPr="00B563AB">
        <w:rPr>
          <w:sz w:val="18"/>
          <w:szCs w:val="18"/>
        </w:rPr>
        <w:tab/>
        <w:t xml:space="preserve">Metodológia výpočtu a použité predpoklady sú zverejnené v diskusnej štúdii </w:t>
      </w:r>
      <w:r w:rsidRPr="00B563AB">
        <w:rPr>
          <w:rFonts w:eastAsia="Cambria"/>
          <w:sz w:val="18"/>
          <w:szCs w:val="18"/>
        </w:rPr>
        <w:t xml:space="preserve">s názvom </w:t>
      </w:r>
      <w:hyperlink r:id="rId28" w:history="1">
        <w:r w:rsidRPr="00B563AB">
          <w:rPr>
            <w:rFonts w:eastAsia="Cambria"/>
            <w:color w:val="13B5EA"/>
            <w:sz w:val="18"/>
            <w:szCs w:val="18"/>
            <w:u w:val="single"/>
          </w:rPr>
          <w:t>Ako vyhodnocovať dlhodobú udržateľnosť verejných financií?</w:t>
        </w:r>
      </w:hyperlink>
      <w:r w:rsidRPr="00B563AB">
        <w:rPr>
          <w:rFonts w:eastAsia="Cambria"/>
          <w:sz w:val="18"/>
          <w:szCs w:val="18"/>
        </w:rPr>
        <w:t xml:space="preserve">. Postup zostavenia základného scenára verejných financií je zverejnený v diskusnej štúdií s názvom </w:t>
      </w:r>
      <w:hyperlink r:id="rId29" w:history="1">
        <w:r w:rsidRPr="00B563AB">
          <w:rPr>
            <w:rStyle w:val="Hyperlink"/>
            <w:rFonts w:eastAsia="Cambria"/>
            <w:color w:val="13B5EA"/>
            <w:sz w:val="18"/>
            <w:szCs w:val="18"/>
          </w:rPr>
          <w:t>Zostavenie základného scenára vývoja verejných financií</w:t>
        </w:r>
      </w:hyperlink>
      <w:r w:rsidRPr="00B563AB">
        <w:rPr>
          <w:rFonts w:eastAsia="Cambria"/>
          <w:sz w:val="18"/>
          <w:szCs w:val="18"/>
        </w:rPr>
        <w:t>. Výpočet ukazovateľa dlhodobej udržateľnosti vrátane popisu zdrojových údajov je uvedený v </w:t>
      </w:r>
      <w:hyperlink r:id="rId30" w:history="1">
        <w:r w:rsidRPr="00B563AB">
          <w:rPr>
            <w:rStyle w:val="Hyperlink"/>
            <w:rFonts w:eastAsia="Cambria"/>
            <w:color w:val="13B5EA"/>
            <w:sz w:val="18"/>
            <w:szCs w:val="18"/>
          </w:rPr>
          <w:t>správach</w:t>
        </w:r>
      </w:hyperlink>
      <w:r w:rsidRPr="00B563AB">
        <w:rPr>
          <w:rFonts w:eastAsia="Cambria"/>
          <w:sz w:val="18"/>
          <w:szCs w:val="18"/>
        </w:rPr>
        <w:t xml:space="preserve"> o dlhodobej udržateľnosti verejných financií, ktoré RRZ každoročne zverejňuje do konca apríla, resp. do 30 dní od schválenia programového vyhlásenia vlády.</w:t>
      </w:r>
    </w:p>
  </w:footnote>
  <w:footnote w:id="67">
    <w:p w14:paraId="2040CE94" w14:textId="76CE9102" w:rsidR="00C47F47" w:rsidRDefault="00C47F47" w:rsidP="00741BD8">
      <w:pPr>
        <w:pStyle w:val="FootnoteText"/>
        <w:ind w:left="284" w:hanging="284"/>
        <w:jc w:val="both"/>
      </w:pPr>
      <w:r w:rsidRPr="00741BD8">
        <w:rPr>
          <w:rStyle w:val="FootnoteReference"/>
          <w:sz w:val="18"/>
          <w:szCs w:val="18"/>
        </w:rPr>
        <w:footnoteRef/>
      </w:r>
      <w:r w:rsidRPr="00741BD8">
        <w:rPr>
          <w:sz w:val="18"/>
          <w:szCs w:val="18"/>
        </w:rPr>
        <w:t xml:space="preserve"> </w:t>
      </w:r>
      <w:r>
        <w:rPr>
          <w:sz w:val="18"/>
          <w:szCs w:val="18"/>
        </w:rPr>
        <w:tab/>
      </w:r>
      <w:r w:rsidRPr="00611761">
        <w:rPr>
          <w:sz w:val="18"/>
          <w:szCs w:val="18"/>
        </w:rPr>
        <w:t xml:space="preserve">GIBA, M., BUJŇÁK, V.: Ústavnoprávna analýza vybraných ustanovení ústavného zákona o rozpočtovej zodpovednosti zo dňa </w:t>
      </w:r>
      <w:r>
        <w:rPr>
          <w:sz w:val="18"/>
          <w:szCs w:val="18"/>
        </w:rPr>
        <w:t>31</w:t>
      </w:r>
      <w:r w:rsidRPr="00611761">
        <w:rPr>
          <w:sz w:val="18"/>
          <w:szCs w:val="18"/>
        </w:rPr>
        <w:t>.</w:t>
      </w:r>
      <w:r>
        <w:rPr>
          <w:sz w:val="18"/>
          <w:szCs w:val="18"/>
        </w:rPr>
        <w:t>07</w:t>
      </w:r>
      <w:r w:rsidRPr="00611761">
        <w:rPr>
          <w:sz w:val="18"/>
          <w:szCs w:val="18"/>
        </w:rPr>
        <w:t>.</w:t>
      </w:r>
      <w:r>
        <w:rPr>
          <w:sz w:val="18"/>
          <w:szCs w:val="18"/>
        </w:rPr>
        <w:t>2020</w:t>
      </w:r>
      <w:r w:rsidRPr="00611761">
        <w:rPr>
          <w:sz w:val="18"/>
          <w:szCs w:val="18"/>
        </w:rPr>
        <w:t xml:space="preserve">, s. </w:t>
      </w:r>
      <w:r>
        <w:rPr>
          <w:sz w:val="18"/>
          <w:szCs w:val="18"/>
        </w:rPr>
        <w:t>28</w:t>
      </w:r>
      <w:r w:rsidRPr="00611761">
        <w:rPr>
          <w:sz w:val="18"/>
          <w:szCs w:val="18"/>
        </w:rPr>
        <w:t>. Analýza vypracovaná na základe zmluvy s Univerzitou Komenského v</w:t>
      </w:r>
      <w:r>
        <w:rPr>
          <w:sz w:val="18"/>
          <w:szCs w:val="18"/>
        </w:rPr>
        <w:t> </w:t>
      </w:r>
      <w:r w:rsidRPr="00611761">
        <w:rPr>
          <w:sz w:val="18"/>
          <w:szCs w:val="18"/>
        </w:rPr>
        <w:t xml:space="preserve">Bratislave, Právnickou fakultou zo dňa </w:t>
      </w:r>
      <w:r>
        <w:rPr>
          <w:sz w:val="18"/>
          <w:szCs w:val="18"/>
        </w:rPr>
        <w:t>22</w:t>
      </w:r>
      <w:r w:rsidRPr="00611761">
        <w:rPr>
          <w:sz w:val="18"/>
          <w:szCs w:val="18"/>
        </w:rPr>
        <w:t>.</w:t>
      </w:r>
      <w:r>
        <w:rPr>
          <w:sz w:val="18"/>
          <w:szCs w:val="18"/>
        </w:rPr>
        <w:t>05</w:t>
      </w:r>
      <w:r w:rsidRPr="00611761">
        <w:rPr>
          <w:sz w:val="18"/>
          <w:szCs w:val="18"/>
        </w:rPr>
        <w:t>.</w:t>
      </w:r>
      <w:r>
        <w:rPr>
          <w:sz w:val="18"/>
          <w:szCs w:val="18"/>
        </w:rPr>
        <w:t>2020</w:t>
      </w:r>
      <w:r w:rsidRPr="00741BD8">
        <w:rPr>
          <w:sz w:val="18"/>
          <w:szCs w:val="18"/>
        </w:rPr>
        <w:t>: „Z cieľa ústavnej hodnoty zakotveného v čl. 1 ÚZoRZ sa však aspoň dá spoľahlivo ustáliť, že vláda má pri zavádzaní záväzných výdavkových limitov postupovať bez zbytočného odkladu, t. j. tak, aby boli limity zavedené v najkratšom čase, ktorý je nevyhnutný na ich dôkladnú prípravu a na také ich nastavenie, ktoré umožní ich korektné fungovanie.</w:t>
      </w:r>
      <w:r>
        <w:rPr>
          <w:sz w:val="18"/>
          <w:szCs w:val="18"/>
        </w:rPr>
        <w:t>“</w:t>
      </w:r>
    </w:p>
  </w:footnote>
  <w:footnote w:id="68">
    <w:p w14:paraId="51A04992" w14:textId="6D9DF761" w:rsidR="00C47F47" w:rsidRPr="00B563AB" w:rsidRDefault="00C47F47" w:rsidP="00741BD8">
      <w:pPr>
        <w:pStyle w:val="FootnoteText"/>
        <w:ind w:left="284" w:hanging="284"/>
        <w:jc w:val="both"/>
        <w:rPr>
          <w:sz w:val="18"/>
          <w:szCs w:val="18"/>
        </w:rPr>
      </w:pPr>
      <w:r w:rsidRPr="00B563AB">
        <w:rPr>
          <w:rStyle w:val="FootnoteReference"/>
          <w:sz w:val="18"/>
          <w:szCs w:val="18"/>
        </w:rPr>
        <w:footnoteRef/>
      </w:r>
      <w:r w:rsidRPr="00B563AB">
        <w:rPr>
          <w:sz w:val="18"/>
          <w:szCs w:val="18"/>
        </w:rPr>
        <w:t xml:space="preserve"> </w:t>
      </w:r>
      <w:r w:rsidRPr="00B563AB">
        <w:rPr>
          <w:sz w:val="18"/>
          <w:szCs w:val="18"/>
        </w:rPr>
        <w:tab/>
        <w:t>Pravidlo a jeho nedostatky sú popísané v </w:t>
      </w:r>
      <w:hyperlink r:id="rId31" w:history="1">
        <w:r w:rsidRPr="00B563AB">
          <w:rPr>
            <w:rStyle w:val="Hyperlink"/>
            <w:color w:val="13B5EA"/>
            <w:sz w:val="18"/>
            <w:szCs w:val="18"/>
          </w:rPr>
          <w:t>správe</w:t>
        </w:r>
      </w:hyperlink>
      <w:r w:rsidRPr="00B563AB">
        <w:rPr>
          <w:sz w:val="18"/>
          <w:szCs w:val="18"/>
        </w:rPr>
        <w:t xml:space="preserve"> RRZ z augusta 2014, str. 20, box 3.</w:t>
      </w:r>
      <w:r>
        <w:rPr>
          <w:sz w:val="18"/>
          <w:szCs w:val="18"/>
        </w:rPr>
        <w:t xml:space="preserve"> Problémy so záväznosťou tohto limitu výdavkov možno ilustrovať aj na schválení 13. dôchodku vo februári 2020, pričom limit výdavkov na rok 2020 schválila vláda v januári 2020. Po schválení 13. dôchodku navyšujúceho výdavky nebolo zrejmé, akým spôsobom mal byť pôvodný limit, ktorý s týmto opatrením neuvažoval, dodržaný. </w:t>
      </w:r>
    </w:p>
  </w:footnote>
  <w:footnote w:id="69">
    <w:p w14:paraId="4F7D1A9B" w14:textId="0CEEA4B5" w:rsidR="00C47F47" w:rsidRDefault="00C47F47" w:rsidP="00A52B7A">
      <w:pPr>
        <w:pStyle w:val="FootnoteText"/>
        <w:ind w:left="284" w:hanging="284"/>
      </w:pPr>
      <w:r>
        <w:rPr>
          <w:rStyle w:val="FootnoteReference"/>
        </w:rPr>
        <w:footnoteRef/>
      </w:r>
      <w:r>
        <w:t xml:space="preserve"> </w:t>
      </w:r>
      <w:r>
        <w:tab/>
      </w:r>
      <w:hyperlink r:id="rId32" w:history="1">
        <w:r w:rsidRPr="00572859">
          <w:rPr>
            <w:rStyle w:val="Hyperlink"/>
            <w:color w:val="13B5EA"/>
            <w:sz w:val="18"/>
            <w:szCs w:val="18"/>
          </w:rPr>
          <w:t>Hodnotenie pravidla o vyrovnanom rozpočte za rok 2019</w:t>
        </w:r>
      </w:hyperlink>
      <w:r w:rsidRPr="00572859">
        <w:rPr>
          <w:sz w:val="18"/>
          <w:szCs w:val="18"/>
        </w:rPr>
        <w:t>, RRZ, júl 2020.</w:t>
      </w:r>
    </w:p>
  </w:footnote>
  <w:footnote w:id="70">
    <w:p w14:paraId="6AC1A978" w14:textId="5F113D9A" w:rsidR="00C47F47" w:rsidRPr="00155DCC" w:rsidRDefault="00C47F47" w:rsidP="00FD0298">
      <w:pPr>
        <w:pStyle w:val="FootnoteText"/>
        <w:ind w:left="284" w:hanging="284"/>
        <w:jc w:val="both"/>
        <w:rPr>
          <w:sz w:val="18"/>
          <w:szCs w:val="18"/>
        </w:rPr>
      </w:pPr>
      <w:r w:rsidRPr="00155DCC">
        <w:rPr>
          <w:rStyle w:val="FootnoteReference"/>
          <w:sz w:val="18"/>
          <w:szCs w:val="18"/>
        </w:rPr>
        <w:footnoteRef/>
      </w:r>
      <w:r w:rsidRPr="00155DCC">
        <w:rPr>
          <w:sz w:val="18"/>
          <w:szCs w:val="18"/>
        </w:rPr>
        <w:t xml:space="preserve"> </w:t>
      </w:r>
      <w:r>
        <w:rPr>
          <w:sz w:val="18"/>
          <w:szCs w:val="18"/>
        </w:rPr>
        <w:tab/>
      </w:r>
      <w:r w:rsidRPr="00155DCC">
        <w:rPr>
          <w:sz w:val="18"/>
          <w:szCs w:val="18"/>
        </w:rPr>
        <w:t>V októbri 2018 bola</w:t>
      </w:r>
      <w:r>
        <w:rPr>
          <w:sz w:val="18"/>
          <w:szCs w:val="18"/>
        </w:rPr>
        <w:t xml:space="preserve"> prvýkrát</w:t>
      </w:r>
      <w:r w:rsidRPr="00155DCC">
        <w:rPr>
          <w:sz w:val="18"/>
          <w:szCs w:val="18"/>
        </w:rPr>
        <w:t xml:space="preserve"> zverejnená diskusná štúdia Inštitútu finančnej politiky MF SR na túto tému, </w:t>
      </w:r>
      <w:hyperlink r:id="rId33" w:history="1">
        <w:r w:rsidRPr="00155DCC">
          <w:rPr>
            <w:rStyle w:val="Hyperlink"/>
            <w:color w:val="13B5EA"/>
            <w:sz w:val="18"/>
            <w:szCs w:val="18"/>
          </w:rPr>
          <w:t>Skrutkovač na hodnotu za peniaze</w:t>
        </w:r>
      </w:hyperlink>
      <w:r w:rsidRPr="00160A5B">
        <w:rPr>
          <w:rStyle w:val="Hyperlink"/>
          <w:color w:val="auto"/>
          <w:sz w:val="18"/>
          <w:szCs w:val="18"/>
          <w:u w:val="none"/>
        </w:rPr>
        <w:t>, pričom po sp</w:t>
      </w:r>
      <w:r>
        <w:rPr>
          <w:rStyle w:val="Hyperlink"/>
          <w:color w:val="auto"/>
          <w:sz w:val="18"/>
          <w:szCs w:val="18"/>
          <w:u w:val="none"/>
        </w:rPr>
        <w:t>ustení odbornej diskusie bol zámerom</w:t>
      </w:r>
      <w:r w:rsidRPr="00160A5B">
        <w:rPr>
          <w:rStyle w:val="Hyperlink"/>
          <w:color w:val="auto"/>
          <w:sz w:val="18"/>
          <w:szCs w:val="18"/>
          <w:u w:val="none"/>
        </w:rPr>
        <w:t xml:space="preserve"> </w:t>
      </w:r>
      <w:r w:rsidRPr="00155DCC">
        <w:rPr>
          <w:rStyle w:val="Hyperlink"/>
          <w:color w:val="auto"/>
          <w:sz w:val="18"/>
          <w:szCs w:val="18"/>
          <w:u w:val="none"/>
        </w:rPr>
        <w:t xml:space="preserve">pripraviť výdavkové stropy do konca minulého </w:t>
      </w:r>
      <w:r>
        <w:rPr>
          <w:rStyle w:val="Hyperlink"/>
          <w:color w:val="auto"/>
          <w:sz w:val="18"/>
          <w:szCs w:val="18"/>
          <w:u w:val="none"/>
        </w:rPr>
        <w:t xml:space="preserve">volebného </w:t>
      </w:r>
      <w:r w:rsidRPr="00155DCC">
        <w:rPr>
          <w:rStyle w:val="Hyperlink"/>
          <w:color w:val="auto"/>
          <w:sz w:val="18"/>
          <w:szCs w:val="18"/>
          <w:u w:val="none"/>
        </w:rPr>
        <w:t>obdobia (marca 2020)</w:t>
      </w:r>
      <w:r>
        <w:rPr>
          <w:rStyle w:val="Hyperlink"/>
          <w:color w:val="auto"/>
          <w:sz w:val="18"/>
          <w:szCs w:val="18"/>
          <w:u w:val="none"/>
        </w:rPr>
        <w:t>, čo</w:t>
      </w:r>
      <w:r w:rsidRPr="00155DCC">
        <w:rPr>
          <w:rStyle w:val="Hyperlink"/>
          <w:color w:val="auto"/>
          <w:sz w:val="18"/>
          <w:szCs w:val="18"/>
          <w:u w:val="none"/>
        </w:rPr>
        <w:t xml:space="preserve"> sa nepodaril</w:t>
      </w:r>
      <w:r>
        <w:rPr>
          <w:rStyle w:val="Hyperlink"/>
          <w:color w:val="auto"/>
          <w:sz w:val="18"/>
          <w:szCs w:val="18"/>
          <w:u w:val="none"/>
        </w:rPr>
        <w:t>o</w:t>
      </w:r>
      <w:r w:rsidRPr="00155DCC">
        <w:rPr>
          <w:rStyle w:val="Hyperlink"/>
          <w:color w:val="auto"/>
          <w:sz w:val="18"/>
          <w:szCs w:val="18"/>
          <w:u w:val="none"/>
        </w:rPr>
        <w:t>.</w:t>
      </w:r>
      <w:r>
        <w:rPr>
          <w:rStyle w:val="Hyperlink"/>
          <w:color w:val="auto"/>
          <w:sz w:val="18"/>
          <w:szCs w:val="18"/>
          <w:u w:val="none"/>
        </w:rPr>
        <w:t xml:space="preserve"> Diskusná štúdia zverejnená v júli 2020 zmenila niektoré prvky z pôvodného návrhu výdavkových limitov.</w:t>
      </w:r>
    </w:p>
  </w:footnote>
  <w:footnote w:id="71">
    <w:p w14:paraId="07CB9B2D" w14:textId="5FD011E2" w:rsidR="00C47F47" w:rsidRPr="00FD0298" w:rsidRDefault="00C47F47" w:rsidP="00FD0298">
      <w:pPr>
        <w:pStyle w:val="FootnoteText"/>
        <w:ind w:left="284" w:hanging="284"/>
        <w:jc w:val="both"/>
        <w:rPr>
          <w:sz w:val="18"/>
          <w:szCs w:val="18"/>
        </w:rPr>
      </w:pPr>
      <w:r w:rsidRPr="00FD0298">
        <w:rPr>
          <w:rStyle w:val="FootnoteReference"/>
          <w:sz w:val="18"/>
          <w:szCs w:val="18"/>
        </w:rPr>
        <w:footnoteRef/>
      </w:r>
      <w:r w:rsidRPr="00FD0298">
        <w:rPr>
          <w:sz w:val="18"/>
          <w:szCs w:val="18"/>
        </w:rPr>
        <w:t xml:space="preserve"> </w:t>
      </w:r>
      <w:r>
        <w:rPr>
          <w:sz w:val="18"/>
          <w:szCs w:val="18"/>
        </w:rPr>
        <w:tab/>
      </w:r>
      <w:r w:rsidRPr="00FD0298">
        <w:rPr>
          <w:sz w:val="18"/>
          <w:szCs w:val="18"/>
        </w:rPr>
        <w:t xml:space="preserve">MF SR, </w:t>
      </w:r>
      <w:hyperlink r:id="rId34" w:history="1">
        <w:r w:rsidRPr="00FD0298">
          <w:rPr>
            <w:rStyle w:val="Hyperlink"/>
            <w:color w:val="13B5EA"/>
            <w:sz w:val="18"/>
            <w:szCs w:val="18"/>
          </w:rPr>
          <w:t>Plnenie pravidla vyrovnaného rozpočtu za rok 2019</w:t>
        </w:r>
      </w:hyperlink>
      <w:r w:rsidRPr="00FD0298">
        <w:rPr>
          <w:sz w:val="18"/>
          <w:szCs w:val="18"/>
        </w:rPr>
        <w:t>, jún 2020</w:t>
      </w:r>
    </w:p>
  </w:footnote>
  <w:footnote w:id="72">
    <w:p w14:paraId="6DF56194" w14:textId="019D4E69" w:rsidR="00C47F47" w:rsidRDefault="00C47F47" w:rsidP="004A79A6">
      <w:pPr>
        <w:pStyle w:val="FootnoteText"/>
        <w:ind w:left="284" w:hanging="284"/>
        <w:jc w:val="both"/>
      </w:pPr>
      <w:r>
        <w:rPr>
          <w:rStyle w:val="FootnoteReference"/>
        </w:rPr>
        <w:footnoteRef/>
      </w:r>
      <w:r>
        <w:t xml:space="preserve"> </w:t>
      </w:r>
      <w:r>
        <w:tab/>
      </w:r>
      <w:r w:rsidRPr="00611761">
        <w:rPr>
          <w:sz w:val="18"/>
          <w:szCs w:val="18"/>
        </w:rPr>
        <w:t xml:space="preserve">GIBA, M., BUJŇÁK, V.: Ústavnoprávna analýza vybraných ustanovení ústavného zákona o rozpočtovej zodpovednosti zo dňa </w:t>
      </w:r>
      <w:r>
        <w:rPr>
          <w:sz w:val="18"/>
          <w:szCs w:val="18"/>
        </w:rPr>
        <w:t>31</w:t>
      </w:r>
      <w:r w:rsidRPr="00611761">
        <w:rPr>
          <w:sz w:val="18"/>
          <w:szCs w:val="18"/>
        </w:rPr>
        <w:t>.</w:t>
      </w:r>
      <w:r>
        <w:rPr>
          <w:sz w:val="18"/>
          <w:szCs w:val="18"/>
        </w:rPr>
        <w:t>07</w:t>
      </w:r>
      <w:r w:rsidRPr="00611761">
        <w:rPr>
          <w:sz w:val="18"/>
          <w:szCs w:val="18"/>
        </w:rPr>
        <w:t>.</w:t>
      </w:r>
      <w:r>
        <w:rPr>
          <w:sz w:val="18"/>
          <w:szCs w:val="18"/>
        </w:rPr>
        <w:t>2020</w:t>
      </w:r>
      <w:r w:rsidRPr="00611761">
        <w:rPr>
          <w:sz w:val="18"/>
          <w:szCs w:val="18"/>
        </w:rPr>
        <w:t xml:space="preserve">, s. </w:t>
      </w:r>
      <w:r>
        <w:rPr>
          <w:sz w:val="18"/>
          <w:szCs w:val="18"/>
        </w:rPr>
        <w:t>29</w:t>
      </w:r>
      <w:r w:rsidRPr="00611761">
        <w:rPr>
          <w:sz w:val="18"/>
          <w:szCs w:val="18"/>
        </w:rPr>
        <w:t>. Analýza vypracovaná na základe zmluvy s Univerzitou Komenského v</w:t>
      </w:r>
      <w:r>
        <w:rPr>
          <w:sz w:val="18"/>
          <w:szCs w:val="18"/>
        </w:rPr>
        <w:t> </w:t>
      </w:r>
      <w:r w:rsidRPr="00611761">
        <w:rPr>
          <w:sz w:val="18"/>
          <w:szCs w:val="18"/>
        </w:rPr>
        <w:t xml:space="preserve">Bratislave, Právnickou fakultou zo dňa </w:t>
      </w:r>
      <w:r>
        <w:rPr>
          <w:sz w:val="18"/>
          <w:szCs w:val="18"/>
        </w:rPr>
        <w:t>22</w:t>
      </w:r>
      <w:r w:rsidRPr="00611761">
        <w:rPr>
          <w:sz w:val="18"/>
          <w:szCs w:val="18"/>
        </w:rPr>
        <w:t>.</w:t>
      </w:r>
      <w:r>
        <w:rPr>
          <w:sz w:val="18"/>
          <w:szCs w:val="18"/>
        </w:rPr>
        <w:t>05</w:t>
      </w:r>
      <w:r w:rsidRPr="00611761">
        <w:rPr>
          <w:sz w:val="18"/>
          <w:szCs w:val="18"/>
        </w:rPr>
        <w:t>.</w:t>
      </w:r>
      <w:r>
        <w:rPr>
          <w:sz w:val="18"/>
          <w:szCs w:val="18"/>
        </w:rPr>
        <w:t>2020</w:t>
      </w:r>
    </w:p>
  </w:footnote>
  <w:footnote w:id="73">
    <w:p w14:paraId="23A57B24" w14:textId="2EB1FCD5" w:rsidR="00C47F47" w:rsidRPr="00BF3551" w:rsidRDefault="00C47F47" w:rsidP="00BF3551">
      <w:pPr>
        <w:pStyle w:val="FootnoteText"/>
        <w:ind w:left="284" w:hanging="284"/>
        <w:jc w:val="both"/>
        <w:rPr>
          <w:sz w:val="18"/>
          <w:szCs w:val="18"/>
        </w:rPr>
      </w:pPr>
      <w:r w:rsidRPr="00BF3551">
        <w:rPr>
          <w:rStyle w:val="FootnoteReference"/>
          <w:sz w:val="18"/>
          <w:szCs w:val="18"/>
        </w:rPr>
        <w:footnoteRef/>
      </w:r>
      <w:r w:rsidRPr="00BF3551">
        <w:rPr>
          <w:sz w:val="18"/>
          <w:szCs w:val="18"/>
        </w:rPr>
        <w:t xml:space="preserve"> </w:t>
      </w:r>
      <w:r>
        <w:rPr>
          <w:sz w:val="18"/>
          <w:szCs w:val="18"/>
        </w:rPr>
        <w:tab/>
      </w:r>
      <w:r w:rsidRPr="00BF3551">
        <w:rPr>
          <w:sz w:val="18"/>
          <w:szCs w:val="18"/>
        </w:rPr>
        <w:t>V</w:t>
      </w:r>
      <w:r w:rsidRPr="00BF3551">
        <w:rPr>
          <w:rFonts w:eastAsia="Cambria"/>
          <w:sz w:val="18"/>
          <w:szCs w:val="18"/>
        </w:rPr>
        <w:t>yhodnotenie plnenia odporúčaní zo správy RRZ z augusta 201</w:t>
      </w:r>
      <w:r>
        <w:rPr>
          <w:rFonts w:eastAsia="Cambria"/>
          <w:sz w:val="18"/>
          <w:szCs w:val="18"/>
        </w:rPr>
        <w:t>9</w:t>
      </w:r>
      <w:r w:rsidRPr="00BF3551">
        <w:rPr>
          <w:rFonts w:eastAsia="Cambria"/>
          <w:sz w:val="18"/>
          <w:szCs w:val="18"/>
        </w:rPr>
        <w:t xml:space="preserve"> je uvedené v prílohe č. 2</w:t>
      </w:r>
      <w:r>
        <w:rPr>
          <w:rFonts w:eastAsia="Cambria"/>
          <w:sz w:val="18"/>
          <w:szCs w:val="18"/>
        </w:rPr>
        <w:t>.</w:t>
      </w:r>
    </w:p>
  </w:footnote>
  <w:footnote w:id="74">
    <w:p w14:paraId="313406CE" w14:textId="77777777" w:rsidR="00C47F47" w:rsidRPr="00D349BC" w:rsidRDefault="00C47F47" w:rsidP="00CA541F">
      <w:pPr>
        <w:pStyle w:val="FootnoteText"/>
        <w:ind w:left="284" w:hanging="284"/>
        <w:jc w:val="both"/>
        <w:rPr>
          <w:sz w:val="18"/>
          <w:szCs w:val="18"/>
        </w:rPr>
      </w:pPr>
      <w:r w:rsidRPr="00D349BC">
        <w:rPr>
          <w:rStyle w:val="FootnoteReference"/>
          <w:sz w:val="18"/>
          <w:szCs w:val="18"/>
        </w:rPr>
        <w:footnoteRef/>
      </w:r>
      <w:r w:rsidRPr="00D349BC">
        <w:rPr>
          <w:sz w:val="18"/>
          <w:szCs w:val="18"/>
        </w:rPr>
        <w:t xml:space="preserve"> </w:t>
      </w:r>
      <w:r>
        <w:rPr>
          <w:sz w:val="18"/>
          <w:szCs w:val="18"/>
        </w:rPr>
        <w:tab/>
      </w:r>
      <w:r w:rsidRPr="00D349BC">
        <w:rPr>
          <w:sz w:val="18"/>
          <w:szCs w:val="18"/>
        </w:rPr>
        <w:t>Daňové príjmy v metodike ESA2010 tvoria Dane z produkcie a dovozu (D.2), Bežné dane z dôchodkov, majetku (D.5), Príspevky na sociálne zabezpečenie (D.61) a Dane z kapitálu (D.91).</w:t>
      </w:r>
    </w:p>
  </w:footnote>
  <w:footnote w:id="75">
    <w:p w14:paraId="49CA2734" w14:textId="77777777" w:rsidR="00C47F47" w:rsidRPr="00973C85" w:rsidRDefault="00C47F47" w:rsidP="00CA4B3B">
      <w:pPr>
        <w:pStyle w:val="FootnoteText"/>
        <w:ind w:left="284" w:hanging="284"/>
        <w:jc w:val="both"/>
        <w:rPr>
          <w:sz w:val="18"/>
          <w:szCs w:val="18"/>
        </w:rPr>
      </w:pPr>
      <w:r w:rsidRPr="00973C85">
        <w:rPr>
          <w:rStyle w:val="FootnoteReference"/>
          <w:sz w:val="18"/>
          <w:szCs w:val="18"/>
        </w:rPr>
        <w:footnoteRef/>
      </w:r>
      <w:r w:rsidRPr="00973C85">
        <w:rPr>
          <w:sz w:val="18"/>
          <w:szCs w:val="18"/>
        </w:rPr>
        <w:t xml:space="preserve"> </w:t>
      </w:r>
      <w:r>
        <w:rPr>
          <w:sz w:val="18"/>
          <w:szCs w:val="18"/>
        </w:rPr>
        <w:tab/>
      </w:r>
      <w:hyperlink r:id="rId35" w:history="1">
        <w:r w:rsidRPr="00973C85">
          <w:rPr>
            <w:rStyle w:val="Hyperlink"/>
            <w:color w:val="13B5EA"/>
            <w:sz w:val="18"/>
            <w:szCs w:val="18"/>
          </w:rPr>
          <w:t>Programové vyhlásenie vlády Slovenskej republiky na obdobie rokov 2020 až 2024</w:t>
        </w:r>
      </w:hyperlink>
      <w:r w:rsidRPr="00973C85">
        <w:rPr>
          <w:sz w:val="18"/>
          <w:szCs w:val="18"/>
        </w:rPr>
        <w:t>, str. 57</w:t>
      </w:r>
      <w:r>
        <w:rPr>
          <w:sz w:val="18"/>
          <w:szCs w:val="18"/>
        </w:rPr>
        <w:t>.</w:t>
      </w:r>
    </w:p>
  </w:footnote>
  <w:footnote w:id="76">
    <w:p w14:paraId="792CA8B6" w14:textId="77777777" w:rsidR="00C47F47" w:rsidRPr="002C63A0" w:rsidRDefault="00C47F47" w:rsidP="00CA541F">
      <w:pPr>
        <w:pStyle w:val="FootnoteText"/>
        <w:ind w:left="284" w:hanging="284"/>
        <w:jc w:val="both"/>
      </w:pPr>
      <w:r w:rsidRPr="002C63A0">
        <w:rPr>
          <w:rStyle w:val="FootnoteReference"/>
          <w:sz w:val="18"/>
        </w:rPr>
        <w:footnoteRef/>
      </w:r>
      <w:r w:rsidRPr="002C63A0">
        <w:rPr>
          <w:sz w:val="18"/>
        </w:rPr>
        <w:t xml:space="preserve"> </w:t>
      </w:r>
      <w:r w:rsidRPr="002C63A0">
        <w:rPr>
          <w:sz w:val="18"/>
        </w:rPr>
        <w:tab/>
        <w:t>Vplyvy opatrení zahrnutých do návrhu rozpočtu, ktoré neboli schválené VpDP, sú uvedené v Návrhu rozpočtového plánu na rok 2020, str. 54.</w:t>
      </w:r>
    </w:p>
  </w:footnote>
  <w:footnote w:id="77">
    <w:p w14:paraId="4151378B" w14:textId="3A940161" w:rsidR="00C47F47" w:rsidRPr="00DD34CA" w:rsidRDefault="00C47F47" w:rsidP="00CA541F">
      <w:pPr>
        <w:pStyle w:val="FootnoteText"/>
        <w:ind w:left="284" w:hanging="284"/>
        <w:jc w:val="both"/>
        <w:rPr>
          <w:sz w:val="18"/>
          <w:szCs w:val="18"/>
          <w:highlight w:val="yellow"/>
        </w:rPr>
      </w:pPr>
      <w:r w:rsidRPr="002C63A0">
        <w:rPr>
          <w:rStyle w:val="FootnoteReference"/>
          <w:sz w:val="18"/>
          <w:szCs w:val="18"/>
        </w:rPr>
        <w:footnoteRef/>
      </w:r>
      <w:r w:rsidRPr="002C63A0">
        <w:rPr>
          <w:sz w:val="18"/>
          <w:szCs w:val="18"/>
        </w:rPr>
        <w:t xml:space="preserve"> </w:t>
      </w:r>
      <w:r w:rsidRPr="002C63A0">
        <w:rPr>
          <w:sz w:val="18"/>
          <w:szCs w:val="18"/>
        </w:rPr>
        <w:tab/>
      </w:r>
      <w:r w:rsidRPr="00E97475">
        <w:rPr>
          <w:sz w:val="18"/>
          <w:szCs w:val="18"/>
        </w:rPr>
        <w:t xml:space="preserve">O navýšení príjmov informoval predseda VpDP </w:t>
      </w:r>
      <w:hyperlink r:id="rId36" w:history="1">
        <w:r w:rsidRPr="00E97475">
          <w:rPr>
            <w:rStyle w:val="Hyperlink"/>
            <w:color w:val="13B5EA"/>
            <w:sz w:val="18"/>
            <w:szCs w:val="18"/>
          </w:rPr>
          <w:t>listom</w:t>
        </w:r>
      </w:hyperlink>
      <w:r w:rsidRPr="00E97475">
        <w:rPr>
          <w:sz w:val="18"/>
          <w:szCs w:val="18"/>
        </w:rPr>
        <w:t xml:space="preserve"> z 15. októbra 2019</w:t>
      </w:r>
      <w:r>
        <w:rPr>
          <w:sz w:val="18"/>
          <w:szCs w:val="18"/>
        </w:rPr>
        <w:t xml:space="preserve"> (návrh rozpočtu) a </w:t>
      </w:r>
      <w:hyperlink r:id="rId37" w:history="1">
        <w:r w:rsidRPr="004A79A6">
          <w:rPr>
            <w:rStyle w:val="Hyperlink"/>
            <w:color w:val="13B5EA"/>
            <w:sz w:val="18"/>
            <w:szCs w:val="18"/>
          </w:rPr>
          <w:t>listom</w:t>
        </w:r>
      </w:hyperlink>
      <w:r w:rsidRPr="004A79A6">
        <w:rPr>
          <w:sz w:val="18"/>
          <w:szCs w:val="18"/>
        </w:rPr>
        <w:t xml:space="preserve"> z 3. decembra 2019</w:t>
      </w:r>
      <w:r w:rsidRPr="006D22A0">
        <w:rPr>
          <w:sz w:val="18"/>
          <w:szCs w:val="18"/>
        </w:rPr>
        <w:t xml:space="preserve"> (schválený rozpočet).</w:t>
      </w:r>
      <w:r w:rsidRPr="00E97475">
        <w:rPr>
          <w:sz w:val="18"/>
          <w:szCs w:val="18"/>
        </w:rPr>
        <w:t xml:space="preserve"> Ide o vplyvy zo zavedenia online napojenia fiškálnych pokladníc na portál finančnej </w:t>
      </w:r>
      <w:r w:rsidRPr="006D22A0">
        <w:rPr>
          <w:sz w:val="18"/>
          <w:szCs w:val="18"/>
        </w:rPr>
        <w:t>správy a označovanie pohonných látok identifikačnou látkou.</w:t>
      </w:r>
      <w:r w:rsidRPr="002C63A0">
        <w:rPr>
          <w:sz w:val="18"/>
          <w:szCs w:val="18"/>
        </w:rPr>
        <w:t xml:space="preserve"> </w:t>
      </w:r>
    </w:p>
  </w:footnote>
  <w:footnote w:id="78">
    <w:p w14:paraId="63CC98D9" w14:textId="023A5F38" w:rsidR="00C47F47" w:rsidRPr="002C63A0" w:rsidRDefault="00C47F47" w:rsidP="00CA541F">
      <w:pPr>
        <w:pStyle w:val="FootnoteText"/>
        <w:ind w:left="284" w:hanging="284"/>
        <w:jc w:val="both"/>
        <w:rPr>
          <w:sz w:val="18"/>
          <w:szCs w:val="18"/>
        </w:rPr>
      </w:pPr>
      <w:r w:rsidRPr="002C63A0">
        <w:rPr>
          <w:rStyle w:val="FootnoteReference"/>
          <w:sz w:val="18"/>
          <w:szCs w:val="18"/>
        </w:rPr>
        <w:footnoteRef/>
      </w:r>
      <w:r w:rsidRPr="002C63A0">
        <w:rPr>
          <w:sz w:val="18"/>
          <w:szCs w:val="18"/>
        </w:rPr>
        <w:t xml:space="preserve"> </w:t>
      </w:r>
      <w:r w:rsidRPr="002C63A0">
        <w:rPr>
          <w:sz w:val="18"/>
          <w:szCs w:val="18"/>
        </w:rPr>
        <w:tab/>
        <w:t>Prognózu daňových príjmov na rok 2014 zvýšilo ministerstvo financií pri predložení návrhu rozpočtu na rokovanie vlády. V nasledujúcich dvoch rokoch (prognóza na rok 2015 v RVS 2015-2017 a na rok 2016 v RVS 2016-2018) došlo k navýšeniu daňovej prognózy počas schvaľovania rozpočtu v národnej rade. Návrh rozpočtu VS na roky 2018-2020 obsahoval nad rámec prognózy VpDP vplyv legislatívnej zmeny (spotrebná daň z poistného), ktorá bola schválená s neskoršou účinnosťou. Na druhej strane obsahoval aj rezervnú položku na prípadné zhoršenie daňových a nedaňových príjmov. Rozpočet verejnej správy na roky 2019 až 2021 obsahoval vyššie príjmy spojené so zavedením online napojenia fiškálnych pokladníc na portál finančnej správy a označovania pohonných látok identifikačnou látkou.</w:t>
      </w:r>
    </w:p>
  </w:footnote>
  <w:footnote w:id="79">
    <w:p w14:paraId="3B10B65E" w14:textId="77777777" w:rsidR="00C47F47" w:rsidRPr="00E329AF" w:rsidRDefault="00C47F47" w:rsidP="00CA541F">
      <w:pPr>
        <w:pStyle w:val="FootnoteText"/>
        <w:ind w:left="284" w:hanging="284"/>
        <w:jc w:val="both"/>
        <w:rPr>
          <w:sz w:val="18"/>
          <w:szCs w:val="18"/>
          <w:highlight w:val="yellow"/>
        </w:rPr>
      </w:pPr>
      <w:r w:rsidRPr="002C63A0">
        <w:rPr>
          <w:rStyle w:val="FootnoteReference"/>
          <w:sz w:val="18"/>
          <w:szCs w:val="18"/>
        </w:rPr>
        <w:footnoteRef/>
      </w:r>
      <w:r w:rsidRPr="002C63A0">
        <w:rPr>
          <w:sz w:val="18"/>
          <w:szCs w:val="18"/>
        </w:rPr>
        <w:t xml:space="preserve"> </w:t>
      </w:r>
      <w:r w:rsidRPr="002C63A0">
        <w:rPr>
          <w:sz w:val="18"/>
          <w:szCs w:val="18"/>
        </w:rPr>
        <w:tab/>
        <w:t>Schválené výdavky štátneho rozpočtu sa môžu prekročiť najviac o jedno percento, pričom schodok sa nesmie zvýšiť. Inými slovami, toto pravidlo má v dobrých časoch zabezpečovať, aby sa dodatočné príjmy mohli použiť iba do určitej hranice, zvyšok by mal zlepšovať saldo verejnej správy. Navýšením príjmov nad rámec prognózy výboru a vytvorením im zodpovedajúcej rezervy vo výdavkoch sa zvyšuje báza pre hotovostné výdavky štátneho rozpočtu (v porovnaní so situáciou, ak by sa v štátnom rozpočte zahrnula iba prognóza výboru). Dosiahnutie vyšších ako rozpočtovaných príjmov štátneho rozpočtu umožní tieto výdavky použiť v plnej miere. Zároveň 1 % priestor na nárast výdavkov sa vypočítava z vyššej základne. Vyhodnotenie plnenia tohto pravidla nebolo v minulosti zverejňované.</w:t>
      </w:r>
    </w:p>
  </w:footnote>
  <w:footnote w:id="80">
    <w:p w14:paraId="5550BBEB" w14:textId="124FAA52" w:rsidR="00C47F47" w:rsidRPr="00C47F47" w:rsidRDefault="00C47F47" w:rsidP="00C47F47">
      <w:pPr>
        <w:pStyle w:val="FootnoteText"/>
        <w:ind w:left="284" w:hanging="284"/>
        <w:jc w:val="both"/>
        <w:rPr>
          <w:sz w:val="18"/>
          <w:szCs w:val="18"/>
        </w:rPr>
      </w:pPr>
      <w:r w:rsidRPr="00C47F47">
        <w:rPr>
          <w:rStyle w:val="FootnoteReference"/>
          <w:sz w:val="18"/>
          <w:szCs w:val="18"/>
        </w:rPr>
        <w:footnoteRef/>
      </w:r>
      <w:r w:rsidRPr="00C47F47">
        <w:rPr>
          <w:sz w:val="18"/>
          <w:szCs w:val="18"/>
        </w:rPr>
        <w:t xml:space="preserve"> </w:t>
      </w:r>
      <w:r>
        <w:rPr>
          <w:sz w:val="18"/>
          <w:szCs w:val="18"/>
        </w:rPr>
        <w:tab/>
      </w:r>
      <w:r w:rsidRPr="00E9421C">
        <w:rPr>
          <w:sz w:val="18"/>
          <w:szCs w:val="18"/>
        </w:rPr>
        <w:t>Medzirezortné pripomienkové konanie k </w:t>
      </w:r>
      <w:hyperlink r:id="rId38" w:history="1">
        <w:r w:rsidRPr="00E9421C">
          <w:rPr>
            <w:rStyle w:val="Hyperlink"/>
            <w:color w:val="13B5EA"/>
            <w:sz w:val="18"/>
            <w:szCs w:val="18"/>
          </w:rPr>
          <w:t>novele zákona o rozpočtových pravidlách verejnej správy</w:t>
        </w:r>
      </w:hyperlink>
      <w:r w:rsidRPr="00E9421C">
        <w:rPr>
          <w:sz w:val="18"/>
          <w:szCs w:val="18"/>
        </w:rPr>
        <w:t xml:space="preserve"> začalo 21.</w:t>
      </w:r>
      <w:r w:rsidR="003A2267">
        <w:rPr>
          <w:sz w:val="18"/>
          <w:szCs w:val="18"/>
        </w:rPr>
        <w:t> </w:t>
      </w:r>
      <w:r w:rsidRPr="00E9421C">
        <w:rPr>
          <w:sz w:val="18"/>
          <w:szCs w:val="18"/>
        </w:rPr>
        <w:t>augusta 2020.</w:t>
      </w:r>
    </w:p>
  </w:footnote>
  <w:footnote w:id="81">
    <w:p w14:paraId="0F0FCDC0" w14:textId="2C2A06BE" w:rsidR="00C47F47" w:rsidRPr="002763F4" w:rsidRDefault="00C47F47" w:rsidP="002763F4">
      <w:pPr>
        <w:pStyle w:val="FootnoteText"/>
        <w:ind w:left="284" w:hanging="284"/>
        <w:jc w:val="both"/>
        <w:rPr>
          <w:sz w:val="18"/>
          <w:szCs w:val="18"/>
        </w:rPr>
      </w:pPr>
      <w:r w:rsidRPr="002763F4">
        <w:rPr>
          <w:rStyle w:val="FootnoteReference"/>
          <w:sz w:val="18"/>
          <w:szCs w:val="18"/>
        </w:rPr>
        <w:footnoteRef/>
      </w:r>
      <w:r w:rsidRPr="002763F4">
        <w:rPr>
          <w:sz w:val="18"/>
          <w:szCs w:val="18"/>
        </w:rPr>
        <w:t xml:space="preserve"> </w:t>
      </w:r>
      <w:r>
        <w:rPr>
          <w:sz w:val="18"/>
          <w:szCs w:val="18"/>
        </w:rPr>
        <w:tab/>
      </w:r>
      <w:r w:rsidRPr="002763F4">
        <w:rPr>
          <w:sz w:val="18"/>
          <w:szCs w:val="18"/>
        </w:rPr>
        <w:t>Zákon č. 523/2004 Z.z. obsahuje v §8, ods. 2: „Ak návrh rozpočtu verejnej správy obsahuje daňové a odvodové príjmy štátneho rozpočtu, ktoré neboli obsiahnuté v prognóze Výboru pre daňové prognózy zohľadnenej v návrhu rozpočtu verejnej správy, výdavky štátneho rozpočtu zodpovedajúce týmto príjmom možno použiť, ak je celková suma týchto príjmov obsiahnutá v prognóze vypracovanej Výborom pre daňové prognózy v príslušnom rozpočtovom roku.“</w:t>
      </w:r>
      <w:r>
        <w:rPr>
          <w:sz w:val="18"/>
          <w:szCs w:val="18"/>
        </w:rPr>
        <w:t xml:space="preserve"> </w:t>
      </w:r>
    </w:p>
  </w:footnote>
  <w:footnote w:id="82">
    <w:p w14:paraId="0B30FF74" w14:textId="77777777" w:rsidR="00C47F47" w:rsidRPr="001031C9" w:rsidRDefault="00C47F47" w:rsidP="00CA541F">
      <w:pPr>
        <w:pStyle w:val="FootnoteText"/>
        <w:ind w:left="284" w:hanging="284"/>
        <w:jc w:val="both"/>
        <w:rPr>
          <w:sz w:val="18"/>
          <w:szCs w:val="18"/>
        </w:rPr>
      </w:pPr>
      <w:r w:rsidRPr="001031C9">
        <w:rPr>
          <w:rStyle w:val="FootnoteReference"/>
          <w:sz w:val="18"/>
          <w:szCs w:val="18"/>
        </w:rPr>
        <w:footnoteRef/>
      </w:r>
      <w:r w:rsidRPr="001031C9">
        <w:rPr>
          <w:sz w:val="18"/>
          <w:szCs w:val="18"/>
        </w:rPr>
        <w:t xml:space="preserve"> </w:t>
      </w:r>
      <w:r w:rsidRPr="001031C9">
        <w:rPr>
          <w:sz w:val="18"/>
          <w:szCs w:val="18"/>
        </w:rPr>
        <w:tab/>
        <w:t>RRZ dodatočne požiadala o sprístupnenie dát a zodpovedanie doplňujúcich otázok. MF SR požiadavke vyhovelo a niektoré témy boli ďalej hlbšie konzultované.</w:t>
      </w:r>
    </w:p>
  </w:footnote>
  <w:footnote w:id="83">
    <w:p w14:paraId="5A7B522B" w14:textId="63F54802" w:rsidR="00C47F47" w:rsidRPr="00D657B3" w:rsidRDefault="00C47F47" w:rsidP="00A90644">
      <w:pPr>
        <w:pStyle w:val="FootnoteText"/>
        <w:ind w:left="284" w:hanging="284"/>
        <w:jc w:val="both"/>
        <w:rPr>
          <w:sz w:val="18"/>
          <w:szCs w:val="18"/>
        </w:rPr>
      </w:pPr>
      <w:r w:rsidRPr="00A80171">
        <w:rPr>
          <w:rStyle w:val="FootnoteReference"/>
        </w:rPr>
        <w:footnoteRef/>
      </w:r>
      <w:r>
        <w:rPr>
          <w:sz w:val="18"/>
          <w:szCs w:val="18"/>
        </w:rPr>
        <w:tab/>
      </w:r>
      <w:r w:rsidRPr="00A80171">
        <w:rPr>
          <w:sz w:val="18"/>
          <w:szCs w:val="18"/>
        </w:rPr>
        <w:t>P</w:t>
      </w:r>
      <w:r>
        <w:rPr>
          <w:sz w:val="18"/>
          <w:szCs w:val="18"/>
        </w:rPr>
        <w:t>odľa p</w:t>
      </w:r>
      <w:r w:rsidRPr="00A80171">
        <w:rPr>
          <w:sz w:val="18"/>
          <w:szCs w:val="18"/>
        </w:rPr>
        <w:t>rávn</w:t>
      </w:r>
      <w:r>
        <w:rPr>
          <w:sz w:val="18"/>
          <w:szCs w:val="18"/>
        </w:rPr>
        <w:t>ej</w:t>
      </w:r>
      <w:r w:rsidRPr="00A80171">
        <w:rPr>
          <w:sz w:val="18"/>
          <w:szCs w:val="18"/>
        </w:rPr>
        <w:t xml:space="preserve"> analýz</w:t>
      </w:r>
      <w:r>
        <w:rPr>
          <w:sz w:val="18"/>
          <w:szCs w:val="18"/>
        </w:rPr>
        <w:t>y</w:t>
      </w:r>
      <w:r w:rsidRPr="00A80171">
        <w:rPr>
          <w:sz w:val="18"/>
          <w:szCs w:val="18"/>
        </w:rPr>
        <w:t xml:space="preserve"> ústavného zákona o rozpočtovej zodpovednosti, ktorú si RRZ nechala vypracovať,</w:t>
      </w:r>
      <w:r>
        <w:rPr>
          <w:sz w:val="18"/>
          <w:szCs w:val="18"/>
        </w:rPr>
        <w:t xml:space="preserve"> pod definíciu podniku štátnej správy (čl. 2, písm. f) zákona č. 493/2011 Z.z.) nespadajú podniky s majetkovou účasťou MH Manažment, a.s. napriek tomu, že Ministerstvo hospodárstva je 100</w:t>
      </w:r>
      <w:r w:rsidR="003A2267">
        <w:rPr>
          <w:sz w:val="18"/>
          <w:szCs w:val="18"/>
        </w:rPr>
        <w:t> </w:t>
      </w:r>
      <w:r>
        <w:rPr>
          <w:sz w:val="18"/>
          <w:szCs w:val="18"/>
        </w:rPr>
        <w:t>% akcionárom spoločnosti MH Manažment, a.s.</w:t>
      </w:r>
      <w:r w:rsidRPr="00A80171">
        <w:rPr>
          <w:sz w:val="18"/>
          <w:szCs w:val="18"/>
        </w:rPr>
        <w:t xml:space="preserve"> </w:t>
      </w:r>
      <w:r>
        <w:rPr>
          <w:sz w:val="18"/>
          <w:szCs w:val="18"/>
        </w:rPr>
        <w:t>Údaje o ich skutočnom a očakávanom hospodárení teda nemusia byť súčasťou rozpočtu verejnej správy.</w:t>
      </w:r>
    </w:p>
  </w:footnote>
  <w:footnote w:id="84">
    <w:p w14:paraId="261312BB" w14:textId="77777777" w:rsidR="00C47F47" w:rsidRPr="0010368A" w:rsidRDefault="00C47F47" w:rsidP="00CA541F">
      <w:pPr>
        <w:pStyle w:val="FootnoteText"/>
        <w:ind w:left="284" w:hanging="284"/>
        <w:jc w:val="both"/>
        <w:rPr>
          <w:highlight w:val="yellow"/>
        </w:rPr>
      </w:pPr>
      <w:r>
        <w:rPr>
          <w:rStyle w:val="FootnoteReference"/>
        </w:rPr>
        <w:footnoteRef/>
      </w:r>
      <w:r>
        <w:t xml:space="preserve"> </w:t>
      </w:r>
      <w:r>
        <w:tab/>
      </w:r>
      <w:r w:rsidRPr="0010368A">
        <w:rPr>
          <w:sz w:val="18"/>
          <w:szCs w:val="18"/>
        </w:rPr>
        <w:t>Revízie výdavkov hodnotia účinnosť a efektívnosť výdavkov a identifikujú opatrenia, ktoré zvýšia hodnotu za peniaze verejných financií, čím umožnia fiškálnu úsporu, lepšie verejné služby pre občanov (výsledky) a/alebo presun financií na priority vlády.</w:t>
      </w:r>
    </w:p>
  </w:footnote>
  <w:footnote w:id="85">
    <w:p w14:paraId="44C26248" w14:textId="5D47D6B8" w:rsidR="00C47F47" w:rsidRPr="00A6482B" w:rsidRDefault="00C47F47" w:rsidP="00CA541F">
      <w:pPr>
        <w:pStyle w:val="FootnoteText"/>
        <w:ind w:left="284" w:hanging="284"/>
        <w:jc w:val="both"/>
        <w:rPr>
          <w:sz w:val="18"/>
          <w:highlight w:val="yellow"/>
        </w:rPr>
      </w:pPr>
      <w:r w:rsidRPr="00A6482B">
        <w:rPr>
          <w:rStyle w:val="FootnoteReference"/>
        </w:rPr>
        <w:footnoteRef/>
      </w:r>
      <w:r w:rsidRPr="00A6482B">
        <w:tab/>
      </w:r>
      <w:r w:rsidRPr="00A6482B">
        <w:rPr>
          <w:sz w:val="18"/>
        </w:rPr>
        <w:t>Implementačná jednotka sleduje implementáciu celkovo 188 opatrení zameraných na vyššiu efektívnosť vynakladania verejných výdavkov a lepšiu hodnotu za peniaze. Od spustenia projektu v roku 2016 do konca októbra 2019 prešlo revíziou 9 oblastí a to zdravotníctvo, informatizácia, doprava, vzdelávanie, životné prostredie, trh práce a sociálne politiky, pôdohospodárstvo a rozvoj vidieka, odmeňovanie a zamestnanosť vo verejnej správe, na skupiny ohrozené chudobou alebo sociálnym vylúčením. Výdavky v týchto oblastiach predstavujú 51,1</w:t>
      </w:r>
      <w:r>
        <w:rPr>
          <w:sz w:val="18"/>
        </w:rPr>
        <w:t> </w:t>
      </w:r>
      <w:r w:rsidRPr="00A6482B">
        <w:rPr>
          <w:sz w:val="18"/>
        </w:rPr>
        <w:t>%</w:t>
      </w:r>
      <w:r w:rsidR="003A2267">
        <w:rPr>
          <w:sz w:val="18"/>
        </w:rPr>
        <w:t> </w:t>
      </w:r>
      <w:r w:rsidRPr="00A6482B">
        <w:rPr>
          <w:sz w:val="18"/>
        </w:rPr>
        <w:t>celkových výdavkov VS.</w:t>
      </w:r>
    </w:p>
  </w:footnote>
  <w:footnote w:id="86">
    <w:p w14:paraId="70412F88" w14:textId="77777777" w:rsidR="00C47F47" w:rsidRDefault="00C47F47" w:rsidP="00CA541F">
      <w:pPr>
        <w:pStyle w:val="FootnoteText"/>
        <w:ind w:left="284" w:hanging="284"/>
        <w:jc w:val="both"/>
      </w:pPr>
      <w:r w:rsidRPr="000C2927">
        <w:rPr>
          <w:rStyle w:val="FootnoteReference"/>
        </w:rPr>
        <w:footnoteRef/>
      </w:r>
      <w:r w:rsidRPr="000C2927">
        <w:t xml:space="preserve"> </w:t>
      </w:r>
      <w:r w:rsidRPr="000C2927">
        <w:tab/>
      </w:r>
      <w:r w:rsidRPr="000C2927">
        <w:rPr>
          <w:sz w:val="18"/>
        </w:rPr>
        <w:t>Úsporné opatrenia v celkovej hodnote 764,5 mil. eur sa od schválenia revízií výdavkov vládou SR v rokoch 2016-2018 zrealizovali v celkovej výške 118,2 mil. eur, a to v zdravotníctve (115 mil. eur) a v rezorte dopravy (3,2 mil. eur). Jediným opatrením, ktoré má potenciál v roku 2019 zvýšiť príjmy štátneho rozpočtu, je zvýšenie poplatkov za skládkovanie v rezorte životného prostredia (12 mil. eur).</w:t>
      </w:r>
    </w:p>
  </w:footnote>
  <w:footnote w:id="87">
    <w:p w14:paraId="0FC96A46" w14:textId="33F6A1A0" w:rsidR="00C47F47" w:rsidRDefault="00C47F47" w:rsidP="004A79A6">
      <w:pPr>
        <w:pStyle w:val="FootnoteText"/>
        <w:ind w:left="284" w:hanging="284"/>
        <w:jc w:val="both"/>
      </w:pPr>
      <w:r>
        <w:rPr>
          <w:rStyle w:val="FootnoteReference"/>
        </w:rPr>
        <w:footnoteRef/>
      </w:r>
      <w:r>
        <w:t xml:space="preserve"> </w:t>
      </w:r>
      <w:r>
        <w:tab/>
      </w:r>
      <w:r w:rsidRPr="00A6482B">
        <w:rPr>
          <w:sz w:val="18"/>
        </w:rPr>
        <w:t>V prvej revízii výdavkov na zdravotníctvo v roku 2016 boli identifikované potenciálne úspory v hodnote 363</w:t>
      </w:r>
      <w:r>
        <w:rPr>
          <w:sz w:val="18"/>
        </w:rPr>
        <w:t> </w:t>
      </w:r>
      <w:r w:rsidRPr="00A6482B">
        <w:rPr>
          <w:sz w:val="18"/>
        </w:rPr>
        <w:t>mil.</w:t>
      </w:r>
      <w:r>
        <w:rPr>
          <w:sz w:val="18"/>
        </w:rPr>
        <w:t> </w:t>
      </w:r>
      <w:r w:rsidRPr="00A6482B">
        <w:rPr>
          <w:sz w:val="18"/>
        </w:rPr>
        <w:t>eur, z čoho sa vláda zaviazala usporiť ročne 196 mil. eur do roku 2019.</w:t>
      </w:r>
    </w:p>
  </w:footnote>
  <w:footnote w:id="88">
    <w:p w14:paraId="3CFEA844" w14:textId="77777777" w:rsidR="00C47F47" w:rsidRPr="00A566A9" w:rsidRDefault="00C47F47" w:rsidP="00CA541F">
      <w:pPr>
        <w:ind w:left="284" w:hanging="284"/>
        <w:jc w:val="both"/>
        <w:rPr>
          <w:sz w:val="20"/>
          <w:highlight w:val="yellow"/>
        </w:rPr>
      </w:pPr>
      <w:r>
        <w:rPr>
          <w:rStyle w:val="FootnoteReference"/>
        </w:rPr>
        <w:footnoteRef/>
      </w:r>
      <w:r>
        <w:t xml:space="preserve"> </w:t>
      </w:r>
      <w:r>
        <w:tab/>
      </w:r>
      <w:r w:rsidRPr="000C2927">
        <w:rPr>
          <w:sz w:val="18"/>
        </w:rPr>
        <w:t>Za uplynulé roky sa revíziou výdavkov podarilo ušetriť 115 mil. eur ročne bez negatívneho vplyvu na zdravie občanov, najmä znižovaním nadspotreby liekov, referencovaním cien špeciálneho zdravotníckeho materiálu voči zahraničiu a zlepšením revíznych činností vo VŠZP.</w:t>
      </w:r>
      <w:r w:rsidRPr="00A566A9">
        <w:rPr>
          <w:sz w:val="20"/>
          <w:highlight w:val="yellow"/>
        </w:rPr>
        <w:t xml:space="preserve"> </w:t>
      </w:r>
    </w:p>
    <w:p w14:paraId="108A1252" w14:textId="77777777" w:rsidR="00C47F47" w:rsidRDefault="00C47F47" w:rsidP="00CA541F">
      <w:pPr>
        <w:pStyle w:val="FootnoteText"/>
      </w:pPr>
    </w:p>
  </w:footnote>
  <w:footnote w:id="89">
    <w:p w14:paraId="4880E110" w14:textId="77777777" w:rsidR="00C47F47" w:rsidRPr="00AE6F2E" w:rsidRDefault="00C47F47" w:rsidP="009B4DE1">
      <w:pPr>
        <w:pStyle w:val="FootnoteText"/>
        <w:ind w:left="284" w:hanging="284"/>
        <w:rPr>
          <w:sz w:val="18"/>
          <w:szCs w:val="18"/>
        </w:rPr>
      </w:pPr>
      <w:r w:rsidRPr="00AE6F2E">
        <w:rPr>
          <w:rStyle w:val="FootnoteReference"/>
          <w:sz w:val="18"/>
          <w:szCs w:val="18"/>
        </w:rPr>
        <w:footnoteRef/>
      </w:r>
      <w:r w:rsidRPr="00AE6F2E">
        <w:rPr>
          <w:sz w:val="18"/>
          <w:szCs w:val="18"/>
        </w:rPr>
        <w:t xml:space="preserve"> </w:t>
      </w:r>
      <w:r>
        <w:rPr>
          <w:sz w:val="18"/>
          <w:szCs w:val="18"/>
        </w:rPr>
        <w:tab/>
      </w:r>
      <w:r w:rsidRPr="00AE6F2E">
        <w:rPr>
          <w:sz w:val="18"/>
          <w:szCs w:val="18"/>
        </w:rPr>
        <w:t>V rokoch 2021 a 2022 chýba</w:t>
      </w:r>
      <w:r>
        <w:rPr>
          <w:sz w:val="18"/>
          <w:szCs w:val="18"/>
        </w:rPr>
        <w:t>li</w:t>
      </w:r>
      <w:r w:rsidRPr="00AE6F2E">
        <w:rPr>
          <w:sz w:val="18"/>
          <w:szCs w:val="18"/>
        </w:rPr>
        <w:t xml:space="preserve"> na splnenie stanovených cieľov opatrenia vo výške 770 mil. eur resp. 1 246 mil. eur.</w:t>
      </w:r>
    </w:p>
  </w:footnote>
  <w:footnote w:id="90">
    <w:p w14:paraId="6143955B" w14:textId="2C14BC3A" w:rsidR="00C47F47" w:rsidRPr="004B2377" w:rsidRDefault="00C47F47" w:rsidP="0053122D">
      <w:pPr>
        <w:pStyle w:val="FootnoteText"/>
        <w:ind w:left="284" w:hanging="284"/>
        <w:jc w:val="both"/>
        <w:rPr>
          <w:sz w:val="18"/>
          <w:szCs w:val="18"/>
        </w:rPr>
      </w:pPr>
      <w:r w:rsidRPr="009147C2">
        <w:rPr>
          <w:rStyle w:val="FootnoteReference"/>
          <w:sz w:val="18"/>
          <w:szCs w:val="18"/>
        </w:rPr>
        <w:footnoteRef/>
      </w:r>
      <w:r w:rsidRPr="009147C2">
        <w:rPr>
          <w:sz w:val="18"/>
          <w:szCs w:val="18"/>
        </w:rPr>
        <w:t xml:space="preserve"> </w:t>
      </w:r>
      <w:r>
        <w:rPr>
          <w:sz w:val="18"/>
          <w:szCs w:val="18"/>
        </w:rPr>
        <w:tab/>
      </w:r>
      <w:r w:rsidRPr="003B7675">
        <w:rPr>
          <w:sz w:val="18"/>
          <w:szCs w:val="18"/>
        </w:rPr>
        <w:t>Podľa vyjadrenia MF SR sa údaje do rozpočtu preberajú z podkladov MH SR na základe výhľadových plánov spoločností</w:t>
      </w:r>
      <w:r w:rsidRPr="004B2377">
        <w:rPr>
          <w:sz w:val="18"/>
          <w:szCs w:val="18"/>
        </w:rPr>
        <w:t xml:space="preserve">. </w:t>
      </w:r>
      <w:hyperlink r:id="rId39" w:history="1">
        <w:r w:rsidRPr="004B2377">
          <w:rPr>
            <w:rStyle w:val="Hyperlink"/>
            <w:color w:val="13B5EA"/>
            <w:sz w:val="18"/>
            <w:szCs w:val="18"/>
          </w:rPr>
          <w:t>MH SR</w:t>
        </w:r>
      </w:hyperlink>
      <w:r w:rsidRPr="004B2377">
        <w:rPr>
          <w:sz w:val="18"/>
          <w:szCs w:val="18"/>
        </w:rPr>
        <w:t xml:space="preserve"> na požiadanie RRZ neposkytlo bližšie vysvetlenie týchto predpokladov.</w:t>
      </w:r>
    </w:p>
  </w:footnote>
  <w:footnote w:id="91">
    <w:p w14:paraId="4338DAD3" w14:textId="77777777" w:rsidR="00C47F47" w:rsidRPr="001B74AA" w:rsidRDefault="00C47F47" w:rsidP="00CA541F">
      <w:pPr>
        <w:ind w:left="284" w:hanging="284"/>
        <w:jc w:val="both"/>
        <w:rPr>
          <w:sz w:val="18"/>
          <w:szCs w:val="18"/>
        </w:rPr>
      </w:pPr>
      <w:r w:rsidRPr="001B74AA">
        <w:rPr>
          <w:rStyle w:val="FootnoteReference"/>
          <w:sz w:val="18"/>
          <w:szCs w:val="18"/>
        </w:rPr>
        <w:footnoteRef/>
      </w:r>
      <w:r w:rsidRPr="001B74AA">
        <w:rPr>
          <w:sz w:val="18"/>
          <w:szCs w:val="18"/>
        </w:rPr>
        <w:t xml:space="preserve"> </w:t>
      </w:r>
      <w:r>
        <w:rPr>
          <w:sz w:val="18"/>
          <w:szCs w:val="18"/>
        </w:rPr>
        <w:tab/>
      </w:r>
      <w:r w:rsidRPr="001B74AA">
        <w:rPr>
          <w:sz w:val="18"/>
          <w:szCs w:val="18"/>
        </w:rPr>
        <w:t>V zmysle § 6 zákona č. 523/2004 Z. z. o rozpočtových pravidlách verejnej správy a o zmene a doplnení niektorých zákonov Ministerstvo financií SR najneskôr do 60 dní po nadobudnutí účinnosti zákona o štátnom rozpočte na príslušný rozpočtový rok zverejňuje údaje štátneho rozpočtu a rozpočtu verejnej správy.</w:t>
      </w:r>
    </w:p>
  </w:footnote>
  <w:footnote w:id="92">
    <w:p w14:paraId="0A889B6F" w14:textId="7CAF4DBD" w:rsidR="00C47F47" w:rsidRPr="001B6866" w:rsidRDefault="00C47F47" w:rsidP="00E0034B">
      <w:pPr>
        <w:pStyle w:val="FootnoteText"/>
        <w:ind w:left="284" w:hanging="284"/>
        <w:jc w:val="both"/>
        <w:rPr>
          <w:sz w:val="18"/>
          <w:szCs w:val="18"/>
        </w:rPr>
      </w:pPr>
      <w:r w:rsidRPr="001B6866">
        <w:rPr>
          <w:rStyle w:val="FootnoteReference"/>
          <w:sz w:val="18"/>
          <w:szCs w:val="18"/>
        </w:rPr>
        <w:footnoteRef/>
      </w:r>
      <w:r w:rsidRPr="001B6866">
        <w:rPr>
          <w:sz w:val="18"/>
          <w:szCs w:val="18"/>
        </w:rPr>
        <w:t xml:space="preserve"> </w:t>
      </w:r>
      <w:r>
        <w:rPr>
          <w:sz w:val="18"/>
          <w:szCs w:val="18"/>
        </w:rPr>
        <w:tab/>
      </w:r>
      <w:r w:rsidRPr="00F96F0A">
        <w:rPr>
          <w:sz w:val="18"/>
          <w:szCs w:val="18"/>
        </w:rPr>
        <w:t>V </w:t>
      </w:r>
      <w:hyperlink r:id="rId40" w:history="1">
        <w:r w:rsidRPr="00F96F0A">
          <w:rPr>
            <w:rStyle w:val="Hyperlink"/>
            <w:color w:val="13B5EA"/>
            <w:sz w:val="18"/>
            <w:szCs w:val="18"/>
          </w:rPr>
          <w:t>Programe stability 2020 až 2023</w:t>
        </w:r>
      </w:hyperlink>
      <w:r w:rsidRPr="00F96F0A">
        <w:rPr>
          <w:sz w:val="18"/>
          <w:szCs w:val="18"/>
        </w:rPr>
        <w:t xml:space="preserve"> vláda deklaruje úmysel zaviesť jasné pravidlá pre tvorbu a použitie rezerv a zohľadnenie budúcich záväzkov, máj 2020</w:t>
      </w:r>
      <w:r>
        <w:rPr>
          <w:sz w:val="18"/>
          <w:szCs w:val="18"/>
        </w:rPr>
        <w:t xml:space="preserve">, </w:t>
      </w:r>
      <w:r w:rsidRPr="00F96F0A">
        <w:rPr>
          <w:sz w:val="18"/>
          <w:szCs w:val="18"/>
        </w:rPr>
        <w:t>str. 31.</w:t>
      </w:r>
      <w:r>
        <w:rPr>
          <w:sz w:val="18"/>
          <w:szCs w:val="18"/>
        </w:rPr>
        <w:t xml:space="preserve"> V odpovediach MF SR na otázky k príprave tohto materiálu MF SR špecifikovalo, že pripravuje novelu zákona o rozpočtových pravidlách verejnej správy, v ktorej upraví aj pravidlá týkajúce sa rezerv (odpovede MF SR sú zverejnené spolu s týmto materiálom).</w:t>
      </w:r>
    </w:p>
  </w:footnote>
  <w:footnote w:id="93">
    <w:p w14:paraId="7CDA1C5A" w14:textId="77777777" w:rsidR="00C47F47" w:rsidRPr="00922C97" w:rsidRDefault="00C47F47" w:rsidP="00CA541F">
      <w:pPr>
        <w:pStyle w:val="FootnoteText"/>
        <w:ind w:left="284" w:hanging="284"/>
        <w:jc w:val="both"/>
        <w:rPr>
          <w:sz w:val="18"/>
          <w:szCs w:val="18"/>
        </w:rPr>
      </w:pPr>
      <w:r w:rsidRPr="00922C97">
        <w:rPr>
          <w:rStyle w:val="FootnoteReference"/>
          <w:sz w:val="18"/>
          <w:szCs w:val="18"/>
        </w:rPr>
        <w:footnoteRef/>
      </w:r>
      <w:r w:rsidRPr="00922C97">
        <w:rPr>
          <w:sz w:val="18"/>
          <w:szCs w:val="18"/>
        </w:rPr>
        <w:t xml:space="preserve"> </w:t>
      </w:r>
      <w:r w:rsidRPr="00922C97">
        <w:rPr>
          <w:sz w:val="18"/>
          <w:szCs w:val="18"/>
        </w:rPr>
        <w:tab/>
        <w:t>Podľa §8, ods. 4 zákona č. 523/2004 Z.z. o rozpočtových pravidlách verejnej správy možno kapitálové výdavky použiť na určený účel aj v nasledujúcich dvoch rozpočtových rokoch po rozpočtovom ro</w:t>
      </w:r>
      <w:r>
        <w:rPr>
          <w:sz w:val="18"/>
          <w:szCs w:val="18"/>
        </w:rPr>
        <w:t>ku, na ktorý boli rozpočtované.</w:t>
      </w:r>
    </w:p>
  </w:footnote>
  <w:footnote w:id="94">
    <w:p w14:paraId="567EAE97" w14:textId="77777777" w:rsidR="00C47F47" w:rsidRPr="0066175B" w:rsidRDefault="00C47F47" w:rsidP="00CA541F">
      <w:pPr>
        <w:pStyle w:val="FootnoteText"/>
        <w:ind w:left="284" w:hanging="284"/>
        <w:jc w:val="both"/>
        <w:rPr>
          <w:sz w:val="18"/>
          <w:szCs w:val="18"/>
        </w:rPr>
      </w:pPr>
      <w:r w:rsidRPr="0066175B">
        <w:rPr>
          <w:rStyle w:val="FootnoteReference"/>
          <w:sz w:val="18"/>
          <w:szCs w:val="18"/>
        </w:rPr>
        <w:footnoteRef/>
      </w:r>
      <w:r w:rsidRPr="0066175B">
        <w:rPr>
          <w:sz w:val="18"/>
          <w:szCs w:val="18"/>
        </w:rPr>
        <w:t xml:space="preserve"> </w:t>
      </w:r>
      <w:r>
        <w:rPr>
          <w:sz w:val="18"/>
          <w:szCs w:val="18"/>
        </w:rPr>
        <w:tab/>
      </w:r>
      <w:r w:rsidRPr="0066175B">
        <w:rPr>
          <w:sz w:val="18"/>
          <w:szCs w:val="18"/>
        </w:rPr>
        <w:t>Sú určené na vybrané resp. významné investície bez bližšej špecifikácie.</w:t>
      </w:r>
    </w:p>
  </w:footnote>
  <w:footnote w:id="95">
    <w:p w14:paraId="6ED68A2E" w14:textId="77777777" w:rsidR="00C47F47" w:rsidRDefault="00C47F47" w:rsidP="00122E96">
      <w:pPr>
        <w:pStyle w:val="FootnoteText"/>
        <w:ind w:left="284" w:hanging="284"/>
        <w:jc w:val="both"/>
      </w:pPr>
      <w:r>
        <w:rPr>
          <w:rStyle w:val="FootnoteReference"/>
        </w:rPr>
        <w:footnoteRef/>
      </w:r>
      <w:r>
        <w:t xml:space="preserve"> </w:t>
      </w:r>
      <w:r>
        <w:tab/>
      </w:r>
      <w:r w:rsidRPr="00B21078">
        <w:rPr>
          <w:rFonts w:eastAsia="Cambria"/>
          <w:sz w:val="18"/>
          <w:szCs w:val="18"/>
        </w:rPr>
        <w:t>Revízia definitívnych údajov z dôvodu významných metodických zmien vyplývajúcich z revízie metodík, ale aj matematicko-štatistických postupov a iných opráv údajov, ktorá sa realizuje pravidelne raz za 5</w:t>
      </w:r>
      <w:r>
        <w:rPr>
          <w:rFonts w:eastAsia="Cambria"/>
          <w:sz w:val="18"/>
          <w:szCs w:val="18"/>
        </w:rPr>
        <w:t>-10</w:t>
      </w:r>
      <w:r w:rsidRPr="00B21078">
        <w:rPr>
          <w:rFonts w:eastAsia="Cambria"/>
          <w:sz w:val="18"/>
          <w:szCs w:val="18"/>
        </w:rPr>
        <w:t xml:space="preserve"> rokov, pričom spätne sa revidujú aj údaje za minulosť</w:t>
      </w:r>
      <w:r>
        <w:rPr>
          <w:rFonts w:eastAsia="Cambria"/>
          <w:sz w:val="18"/>
          <w:szCs w:val="18"/>
        </w:rPr>
        <w:t>.</w:t>
      </w:r>
    </w:p>
  </w:footnote>
  <w:footnote w:id="96">
    <w:p w14:paraId="37800232" w14:textId="17A339E4" w:rsidR="00C47F47" w:rsidRPr="00D84FE5" w:rsidRDefault="00C47F47" w:rsidP="004A79A6">
      <w:pPr>
        <w:autoSpaceDE w:val="0"/>
        <w:autoSpaceDN w:val="0"/>
        <w:adjustRightInd w:val="0"/>
        <w:ind w:left="284" w:hanging="284"/>
        <w:rPr>
          <w:rFonts w:eastAsia="Cambria"/>
          <w:sz w:val="18"/>
          <w:szCs w:val="18"/>
        </w:rPr>
      </w:pPr>
      <w:r w:rsidRPr="00642E19">
        <w:rPr>
          <w:rStyle w:val="FootnoteReference"/>
          <w:sz w:val="18"/>
          <w:szCs w:val="18"/>
        </w:rPr>
        <w:footnoteRef/>
      </w:r>
      <w:r>
        <w:rPr>
          <w:sz w:val="18"/>
          <w:szCs w:val="18"/>
        </w:rPr>
        <w:t xml:space="preserve"> </w:t>
      </w:r>
      <w:r>
        <w:rPr>
          <w:sz w:val="18"/>
          <w:szCs w:val="18"/>
        </w:rPr>
        <w:tab/>
      </w:r>
      <w:r w:rsidRPr="00D84FE5">
        <w:rPr>
          <w:rFonts w:eastAsia="Cambria"/>
          <w:sz w:val="18"/>
          <w:szCs w:val="18"/>
        </w:rPr>
        <w:t xml:space="preserve">Ide o </w:t>
      </w:r>
      <w:hyperlink r:id="rId41" w:history="1">
        <w:r w:rsidRPr="007A1DC7">
          <w:rPr>
            <w:rStyle w:val="Hyperlink"/>
            <w:rFonts w:eastAsia="Cambria"/>
            <w:color w:val="13B5EA"/>
            <w:sz w:val="18"/>
            <w:szCs w:val="18"/>
          </w:rPr>
          <w:t>Manuál pre deficit a dlh verejnej správy</w:t>
        </w:r>
      </w:hyperlink>
      <w:r w:rsidRPr="007A1DC7">
        <w:rPr>
          <w:rFonts w:eastAsia="Cambria"/>
          <w:color w:val="13B5EA"/>
          <w:sz w:val="18"/>
          <w:szCs w:val="18"/>
        </w:rPr>
        <w:t xml:space="preserve"> </w:t>
      </w:r>
      <w:r w:rsidRPr="00D84FE5">
        <w:rPr>
          <w:rFonts w:eastAsia="Cambria"/>
          <w:sz w:val="18"/>
          <w:szCs w:val="18"/>
        </w:rPr>
        <w:t xml:space="preserve">(MGDD) a </w:t>
      </w:r>
      <w:hyperlink r:id="rId42" w:history="1">
        <w:r w:rsidRPr="007A1DC7">
          <w:rPr>
            <w:rStyle w:val="Hyperlink"/>
            <w:rFonts w:eastAsia="Cambria"/>
            <w:color w:val="13B5EA"/>
            <w:sz w:val="18"/>
            <w:szCs w:val="18"/>
          </w:rPr>
          <w:t>Príručku pre benchmarkovú revíziu 2019</w:t>
        </w:r>
      </w:hyperlink>
      <w:r w:rsidRPr="00D84FE5">
        <w:rPr>
          <w:rFonts w:eastAsia="Cambria"/>
          <w:sz w:val="18"/>
          <w:szCs w:val="18"/>
        </w:rPr>
        <w:t>.</w:t>
      </w:r>
    </w:p>
  </w:footnote>
  <w:footnote w:id="97">
    <w:p w14:paraId="44E0F8D4" w14:textId="77777777" w:rsidR="00C47F47" w:rsidRPr="00444D79" w:rsidRDefault="00C47F47" w:rsidP="00122E96">
      <w:pPr>
        <w:pStyle w:val="FootnoteText"/>
        <w:ind w:left="284" w:hanging="284"/>
        <w:jc w:val="both"/>
        <w:rPr>
          <w:sz w:val="18"/>
          <w:szCs w:val="18"/>
        </w:rPr>
      </w:pPr>
      <w:r w:rsidRPr="00C95EC0">
        <w:rPr>
          <w:rStyle w:val="FootnoteReference"/>
          <w:rFonts w:eastAsia="Calibri"/>
          <w:sz w:val="18"/>
          <w:szCs w:val="18"/>
        </w:rPr>
        <w:footnoteRef/>
      </w:r>
      <w:r w:rsidRPr="00C95EC0">
        <w:rPr>
          <w:sz w:val="18"/>
          <w:szCs w:val="18"/>
        </w:rPr>
        <w:t xml:space="preserve"> </w:t>
      </w:r>
      <w:r w:rsidRPr="00C95EC0">
        <w:rPr>
          <w:sz w:val="18"/>
          <w:szCs w:val="18"/>
        </w:rPr>
        <w:tab/>
      </w:r>
      <w:r w:rsidRPr="00444D79">
        <w:rPr>
          <w:rFonts w:eastAsia="Cambria"/>
          <w:sz w:val="18"/>
          <w:szCs w:val="18"/>
        </w:rPr>
        <w:t xml:space="preserve">Kompletná, detailná Stratégia riadenia štátneho dlhu na </w:t>
      </w:r>
      <w:r w:rsidRPr="00142E2E">
        <w:rPr>
          <w:rFonts w:eastAsia="Cambria"/>
          <w:sz w:val="18"/>
          <w:szCs w:val="18"/>
        </w:rPr>
        <w:t>roky 2015 až 2018 vrátane vyhodnotenia</w:t>
      </w:r>
      <w:r w:rsidRPr="00444D79">
        <w:rPr>
          <w:rFonts w:eastAsia="Cambria"/>
          <w:sz w:val="18"/>
          <w:szCs w:val="18"/>
        </w:rPr>
        <w:t xml:space="preserve"> plnenia cieľov je súčasťou rozpočtu verejnej správy, špecifikuje cielenie číselných indikátorov rizika (refinančné riziko, riziko z precenenia a cudzo-menové riziko) a zostavuje sa na štvorročné obdobie.</w:t>
      </w:r>
    </w:p>
  </w:footnote>
  <w:footnote w:id="98">
    <w:p w14:paraId="54FCC779" w14:textId="77777777" w:rsidR="00C47F47" w:rsidRPr="00247483" w:rsidRDefault="00C47F47" w:rsidP="00CA541F">
      <w:pPr>
        <w:pStyle w:val="FootnoteText"/>
        <w:ind w:left="284" w:hanging="284"/>
        <w:jc w:val="both"/>
        <w:rPr>
          <w:sz w:val="18"/>
          <w:szCs w:val="18"/>
        </w:rPr>
      </w:pPr>
      <w:r w:rsidRPr="00350A20">
        <w:rPr>
          <w:rStyle w:val="FootnoteReference"/>
          <w:rFonts w:eastAsia="Calibri"/>
          <w:sz w:val="18"/>
          <w:szCs w:val="18"/>
        </w:rPr>
        <w:footnoteRef/>
      </w:r>
      <w:r w:rsidRPr="00350A20">
        <w:rPr>
          <w:sz w:val="18"/>
          <w:szCs w:val="18"/>
        </w:rPr>
        <w:t xml:space="preserve"> </w:t>
      </w:r>
      <w:r w:rsidRPr="00350A20">
        <w:rPr>
          <w:sz w:val="18"/>
          <w:szCs w:val="18"/>
        </w:rPr>
        <w:tab/>
      </w:r>
      <w:r w:rsidRPr="00247483">
        <w:rPr>
          <w:sz w:val="18"/>
          <w:szCs w:val="18"/>
        </w:rPr>
        <w:t>Poznanie vzájomných prepojení týchto ukazovateľov je dôležité z toho dôvodu, že n</w:t>
      </w:r>
      <w:r w:rsidRPr="00247483">
        <w:rPr>
          <w:rFonts w:eastAsia="Cambria"/>
          <w:sz w:val="18"/>
          <w:szCs w:val="18"/>
        </w:rPr>
        <w:t>iektoré transakcie sa z metodických dôvodov nemusia prejaviť v salde a dlhu verejnej správy, ale ovplyvňujú výšku čistého bohatstva.</w:t>
      </w:r>
    </w:p>
  </w:footnote>
  <w:footnote w:id="99">
    <w:p w14:paraId="007D4706" w14:textId="77777777" w:rsidR="00C47F47" w:rsidRPr="003D76E3" w:rsidRDefault="00C47F47" w:rsidP="00CA541F">
      <w:pPr>
        <w:pStyle w:val="FootnoteText"/>
        <w:ind w:left="284" w:hanging="284"/>
        <w:jc w:val="both"/>
        <w:rPr>
          <w:sz w:val="18"/>
          <w:szCs w:val="18"/>
          <w:highlight w:val="yellow"/>
        </w:rPr>
      </w:pPr>
      <w:r w:rsidRPr="00247483">
        <w:rPr>
          <w:rStyle w:val="FootnoteReference"/>
          <w:sz w:val="18"/>
          <w:szCs w:val="18"/>
        </w:rPr>
        <w:footnoteRef/>
      </w:r>
      <w:r w:rsidRPr="00247483">
        <w:rPr>
          <w:sz w:val="18"/>
          <w:szCs w:val="18"/>
        </w:rPr>
        <w:t xml:space="preserve"> </w:t>
      </w:r>
      <w:r w:rsidRPr="00247483">
        <w:rPr>
          <w:sz w:val="18"/>
          <w:szCs w:val="18"/>
        </w:rPr>
        <w:tab/>
        <w:t xml:space="preserve">MF SR </w:t>
      </w:r>
      <w:r>
        <w:rPr>
          <w:sz w:val="18"/>
          <w:szCs w:val="18"/>
        </w:rPr>
        <w:t xml:space="preserve">v správe </w:t>
      </w:r>
      <w:r w:rsidRPr="00247483">
        <w:rPr>
          <w:sz w:val="18"/>
          <w:szCs w:val="18"/>
        </w:rPr>
        <w:t>uviedlo, že</w:t>
      </w:r>
      <w:r>
        <w:rPr>
          <w:sz w:val="18"/>
          <w:szCs w:val="18"/>
        </w:rPr>
        <w:t xml:space="preserve"> </w:t>
      </w:r>
      <w:r w:rsidRPr="006827DD">
        <w:rPr>
          <w:sz w:val="18"/>
          <w:szCs w:val="18"/>
        </w:rPr>
        <w:t>v priebehu rok</w:t>
      </w:r>
      <w:r>
        <w:rPr>
          <w:sz w:val="18"/>
          <w:szCs w:val="18"/>
        </w:rPr>
        <w:t>ov</w:t>
      </w:r>
      <w:r w:rsidRPr="006827DD">
        <w:rPr>
          <w:sz w:val="18"/>
          <w:szCs w:val="18"/>
        </w:rPr>
        <w:t xml:space="preserve"> 2017 a</w:t>
      </w:r>
      <w:r>
        <w:rPr>
          <w:sz w:val="18"/>
          <w:szCs w:val="18"/>
        </w:rPr>
        <w:t> </w:t>
      </w:r>
      <w:r w:rsidRPr="006827DD">
        <w:rPr>
          <w:sz w:val="18"/>
          <w:szCs w:val="18"/>
        </w:rPr>
        <w:t>2018</w:t>
      </w:r>
      <w:r>
        <w:rPr>
          <w:sz w:val="18"/>
          <w:szCs w:val="18"/>
        </w:rPr>
        <w:t xml:space="preserve"> </w:t>
      </w:r>
      <w:r w:rsidRPr="006827DD">
        <w:rPr>
          <w:sz w:val="18"/>
          <w:szCs w:val="18"/>
        </w:rPr>
        <w:t>pracovalo na mo</w:t>
      </w:r>
      <w:r>
        <w:rPr>
          <w:sz w:val="18"/>
          <w:szCs w:val="18"/>
        </w:rPr>
        <w:t>ž</w:t>
      </w:r>
      <w:r w:rsidRPr="006827DD">
        <w:rPr>
          <w:sz w:val="18"/>
          <w:szCs w:val="18"/>
        </w:rPr>
        <w:t>nostiach z</w:t>
      </w:r>
      <w:r w:rsidRPr="006827DD">
        <w:rPr>
          <w:rFonts w:cs="Constantia"/>
          <w:sz w:val="18"/>
          <w:szCs w:val="18"/>
        </w:rPr>
        <w:t>í</w:t>
      </w:r>
      <w:r w:rsidRPr="006827DD">
        <w:rPr>
          <w:sz w:val="18"/>
          <w:szCs w:val="18"/>
        </w:rPr>
        <w:t>skavania relevantn</w:t>
      </w:r>
      <w:r w:rsidRPr="006827DD">
        <w:rPr>
          <w:rFonts w:cs="Constantia"/>
          <w:sz w:val="18"/>
          <w:szCs w:val="18"/>
        </w:rPr>
        <w:t>ý</w:t>
      </w:r>
      <w:r w:rsidRPr="006827DD">
        <w:rPr>
          <w:sz w:val="18"/>
          <w:szCs w:val="18"/>
        </w:rPr>
        <w:t xml:space="preserve">ch </w:t>
      </w:r>
      <w:r w:rsidRPr="006827DD">
        <w:rPr>
          <w:rFonts w:cs="Constantia"/>
          <w:sz w:val="18"/>
          <w:szCs w:val="18"/>
        </w:rPr>
        <w:t>ú</w:t>
      </w:r>
      <w:r w:rsidRPr="006827DD">
        <w:rPr>
          <w:sz w:val="18"/>
          <w:szCs w:val="18"/>
        </w:rPr>
        <w:t xml:space="preserve">dajov od </w:t>
      </w:r>
      <w:r>
        <w:rPr>
          <w:sz w:val="18"/>
          <w:szCs w:val="18"/>
        </w:rPr>
        <w:t>s</w:t>
      </w:r>
      <w:r w:rsidRPr="006827DD">
        <w:rPr>
          <w:sz w:val="18"/>
          <w:szCs w:val="18"/>
        </w:rPr>
        <w:t>ubjektov</w:t>
      </w:r>
      <w:r>
        <w:rPr>
          <w:sz w:val="18"/>
          <w:szCs w:val="18"/>
        </w:rPr>
        <w:t xml:space="preserve"> vstupujúcich do výpočtu čistého bohatstva</w:t>
      </w:r>
      <w:r w:rsidRPr="006827DD">
        <w:rPr>
          <w:sz w:val="18"/>
          <w:szCs w:val="18"/>
        </w:rPr>
        <w:t>, ktor</w:t>
      </w:r>
      <w:r w:rsidRPr="006827DD">
        <w:rPr>
          <w:rFonts w:cs="Constantia"/>
          <w:sz w:val="18"/>
          <w:szCs w:val="18"/>
        </w:rPr>
        <w:t>é</w:t>
      </w:r>
      <w:r w:rsidRPr="006827DD">
        <w:rPr>
          <w:sz w:val="18"/>
          <w:szCs w:val="18"/>
        </w:rPr>
        <w:t xml:space="preserve"> </w:t>
      </w:r>
      <w:r>
        <w:rPr>
          <w:sz w:val="18"/>
          <w:szCs w:val="18"/>
        </w:rPr>
        <w:t>č</w:t>
      </w:r>
      <w:r w:rsidRPr="006827DD">
        <w:rPr>
          <w:sz w:val="18"/>
          <w:szCs w:val="18"/>
        </w:rPr>
        <w:t>asto nie s</w:t>
      </w:r>
      <w:r w:rsidRPr="006827DD">
        <w:rPr>
          <w:rFonts w:cs="Constantia"/>
          <w:sz w:val="18"/>
          <w:szCs w:val="18"/>
        </w:rPr>
        <w:t>ú</w:t>
      </w:r>
      <w:r>
        <w:rPr>
          <w:rFonts w:cs="Constantia"/>
          <w:sz w:val="18"/>
          <w:szCs w:val="18"/>
        </w:rPr>
        <w:t xml:space="preserve"> d</w:t>
      </w:r>
      <w:r w:rsidRPr="006827DD">
        <w:rPr>
          <w:sz w:val="18"/>
          <w:szCs w:val="18"/>
        </w:rPr>
        <w:t>ostupné z verejne prezentovaných informa</w:t>
      </w:r>
      <w:r>
        <w:rPr>
          <w:sz w:val="18"/>
          <w:szCs w:val="18"/>
        </w:rPr>
        <w:t>č</w:t>
      </w:r>
      <w:r w:rsidRPr="006827DD">
        <w:rPr>
          <w:sz w:val="18"/>
          <w:szCs w:val="18"/>
        </w:rPr>
        <w:t>ných zdrojov.</w:t>
      </w:r>
      <w:r>
        <w:rPr>
          <w:sz w:val="18"/>
          <w:szCs w:val="18"/>
        </w:rPr>
        <w:t xml:space="preserve"> </w:t>
      </w:r>
      <w:r w:rsidRPr="006827DD">
        <w:rPr>
          <w:sz w:val="18"/>
          <w:szCs w:val="18"/>
        </w:rPr>
        <w:t>Výsledkom by mali by</w:t>
      </w:r>
      <w:r>
        <w:rPr>
          <w:sz w:val="18"/>
          <w:szCs w:val="18"/>
        </w:rPr>
        <w:t>ť v budúcnosti</w:t>
      </w:r>
      <w:r w:rsidRPr="006827DD">
        <w:rPr>
          <w:sz w:val="18"/>
          <w:szCs w:val="18"/>
        </w:rPr>
        <w:t xml:space="preserve"> spo</w:t>
      </w:r>
      <w:r>
        <w:rPr>
          <w:sz w:val="18"/>
          <w:szCs w:val="18"/>
        </w:rPr>
        <w:t>ľ</w:t>
      </w:r>
      <w:r w:rsidRPr="006827DD">
        <w:rPr>
          <w:sz w:val="18"/>
          <w:szCs w:val="18"/>
        </w:rPr>
        <w:t>ahlivej</w:t>
      </w:r>
      <w:r>
        <w:rPr>
          <w:sz w:val="18"/>
          <w:szCs w:val="18"/>
        </w:rPr>
        <w:t>š</w:t>
      </w:r>
      <w:r w:rsidRPr="006827DD">
        <w:rPr>
          <w:sz w:val="18"/>
          <w:szCs w:val="18"/>
        </w:rPr>
        <w:t>ie a presnej</w:t>
      </w:r>
      <w:r>
        <w:rPr>
          <w:sz w:val="18"/>
          <w:szCs w:val="18"/>
        </w:rPr>
        <w:t>š</w:t>
      </w:r>
      <w:r w:rsidRPr="006827DD">
        <w:rPr>
          <w:sz w:val="18"/>
          <w:szCs w:val="18"/>
        </w:rPr>
        <w:t xml:space="preserve">ie </w:t>
      </w:r>
      <w:r w:rsidRPr="006827DD">
        <w:rPr>
          <w:rFonts w:cs="Constantia"/>
          <w:sz w:val="18"/>
          <w:szCs w:val="18"/>
        </w:rPr>
        <w:t>ú</w:t>
      </w:r>
      <w:r w:rsidRPr="006827DD">
        <w:rPr>
          <w:sz w:val="18"/>
          <w:szCs w:val="18"/>
        </w:rPr>
        <w:t>daje (najm</w:t>
      </w:r>
      <w:r w:rsidRPr="006827DD">
        <w:rPr>
          <w:rFonts w:cs="Constantia"/>
          <w:sz w:val="18"/>
          <w:szCs w:val="18"/>
        </w:rPr>
        <w:t>ä</w:t>
      </w:r>
      <w:r w:rsidRPr="006827DD">
        <w:rPr>
          <w:sz w:val="18"/>
          <w:szCs w:val="18"/>
        </w:rPr>
        <w:t xml:space="preserve"> o hospod</w:t>
      </w:r>
      <w:r w:rsidRPr="006827DD">
        <w:rPr>
          <w:rFonts w:cs="Constantia"/>
          <w:sz w:val="18"/>
          <w:szCs w:val="18"/>
        </w:rPr>
        <w:t>á</w:t>
      </w:r>
      <w:r w:rsidRPr="006827DD">
        <w:rPr>
          <w:sz w:val="18"/>
          <w:szCs w:val="18"/>
        </w:rPr>
        <w:t>ren</w:t>
      </w:r>
      <w:r w:rsidRPr="006827DD">
        <w:rPr>
          <w:rFonts w:cs="Constantia"/>
          <w:sz w:val="18"/>
          <w:szCs w:val="18"/>
        </w:rPr>
        <w:t>í</w:t>
      </w:r>
      <w:r w:rsidRPr="006827DD">
        <w:rPr>
          <w:sz w:val="18"/>
          <w:szCs w:val="18"/>
        </w:rPr>
        <w:t xml:space="preserve"> </w:t>
      </w:r>
      <w:r>
        <w:rPr>
          <w:sz w:val="18"/>
          <w:szCs w:val="18"/>
        </w:rPr>
        <w:t>š</w:t>
      </w:r>
      <w:r w:rsidRPr="006827DD">
        <w:rPr>
          <w:sz w:val="18"/>
          <w:szCs w:val="18"/>
        </w:rPr>
        <w:t>t</w:t>
      </w:r>
      <w:r w:rsidRPr="006827DD">
        <w:rPr>
          <w:rFonts w:cs="Constantia"/>
          <w:sz w:val="18"/>
          <w:szCs w:val="18"/>
        </w:rPr>
        <w:t>á</w:t>
      </w:r>
      <w:r w:rsidRPr="006827DD">
        <w:rPr>
          <w:sz w:val="18"/>
          <w:szCs w:val="18"/>
        </w:rPr>
        <w:t>tnych</w:t>
      </w:r>
      <w:r>
        <w:rPr>
          <w:sz w:val="18"/>
          <w:szCs w:val="18"/>
        </w:rPr>
        <w:t xml:space="preserve"> </w:t>
      </w:r>
      <w:r w:rsidRPr="006827DD">
        <w:rPr>
          <w:sz w:val="18"/>
          <w:szCs w:val="18"/>
        </w:rPr>
        <w:t>podnikov a vývoji zlo</w:t>
      </w:r>
      <w:r>
        <w:rPr>
          <w:sz w:val="18"/>
          <w:szCs w:val="18"/>
        </w:rPr>
        <w:t>ž</w:t>
      </w:r>
      <w:r w:rsidRPr="006827DD">
        <w:rPr>
          <w:sz w:val="18"/>
          <w:szCs w:val="18"/>
        </w:rPr>
        <w:t xml:space="preserve">iek </w:t>
      </w:r>
      <w:r>
        <w:rPr>
          <w:sz w:val="18"/>
          <w:szCs w:val="18"/>
        </w:rPr>
        <w:t>č</w:t>
      </w:r>
      <w:r w:rsidRPr="006827DD">
        <w:rPr>
          <w:sz w:val="18"/>
          <w:szCs w:val="18"/>
        </w:rPr>
        <w:t>ist</w:t>
      </w:r>
      <w:r w:rsidRPr="006827DD">
        <w:rPr>
          <w:rFonts w:cs="Constantia"/>
          <w:sz w:val="18"/>
          <w:szCs w:val="18"/>
        </w:rPr>
        <w:t>é</w:t>
      </w:r>
      <w:r w:rsidRPr="006827DD">
        <w:rPr>
          <w:sz w:val="18"/>
          <w:szCs w:val="18"/>
        </w:rPr>
        <w:t>ho bohatstva ako s</w:t>
      </w:r>
      <w:r w:rsidRPr="006827DD">
        <w:rPr>
          <w:rFonts w:cs="Constantia"/>
          <w:sz w:val="18"/>
          <w:szCs w:val="18"/>
        </w:rPr>
        <w:t>ú</w:t>
      </w:r>
      <w:r w:rsidRPr="006827DD">
        <w:rPr>
          <w:sz w:val="18"/>
          <w:szCs w:val="18"/>
        </w:rPr>
        <w:t xml:space="preserve"> implicitn</w:t>
      </w:r>
      <w:r w:rsidRPr="006827DD">
        <w:rPr>
          <w:rFonts w:cs="Constantia"/>
          <w:sz w:val="18"/>
          <w:szCs w:val="18"/>
        </w:rPr>
        <w:t>é</w:t>
      </w:r>
      <w:r w:rsidRPr="006827DD">
        <w:rPr>
          <w:sz w:val="18"/>
          <w:szCs w:val="18"/>
        </w:rPr>
        <w:t xml:space="preserve"> z</w:t>
      </w:r>
      <w:r w:rsidRPr="006827DD">
        <w:rPr>
          <w:rFonts w:cs="Constantia"/>
          <w:sz w:val="18"/>
          <w:szCs w:val="18"/>
        </w:rPr>
        <w:t>á</w:t>
      </w:r>
      <w:r w:rsidRPr="006827DD">
        <w:rPr>
          <w:sz w:val="18"/>
          <w:szCs w:val="18"/>
        </w:rPr>
        <w:t>v</w:t>
      </w:r>
      <w:r w:rsidRPr="006827DD">
        <w:rPr>
          <w:rFonts w:cs="Constantia"/>
          <w:sz w:val="18"/>
          <w:szCs w:val="18"/>
        </w:rPr>
        <w:t>ä</w:t>
      </w:r>
      <w:r w:rsidRPr="006827DD">
        <w:rPr>
          <w:sz w:val="18"/>
          <w:szCs w:val="18"/>
        </w:rPr>
        <w:t>zky a podmienen</w:t>
      </w:r>
      <w:r w:rsidRPr="006827DD">
        <w:rPr>
          <w:rFonts w:cs="Constantia"/>
          <w:sz w:val="18"/>
          <w:szCs w:val="18"/>
        </w:rPr>
        <w:t>é</w:t>
      </w:r>
      <w:r w:rsidRPr="006827DD">
        <w:rPr>
          <w:sz w:val="18"/>
          <w:szCs w:val="18"/>
        </w:rPr>
        <w:t xml:space="preserve"> akt</w:t>
      </w:r>
      <w:r w:rsidRPr="006827DD">
        <w:rPr>
          <w:rFonts w:cs="Constantia"/>
          <w:sz w:val="18"/>
          <w:szCs w:val="18"/>
        </w:rPr>
        <w:t>í</w:t>
      </w:r>
      <w:r w:rsidRPr="006827DD">
        <w:rPr>
          <w:sz w:val="18"/>
          <w:szCs w:val="18"/>
        </w:rPr>
        <w:t>va a pas</w:t>
      </w:r>
      <w:r w:rsidRPr="006827DD">
        <w:rPr>
          <w:rFonts w:cs="Constantia"/>
          <w:sz w:val="18"/>
          <w:szCs w:val="18"/>
        </w:rPr>
        <w:t>í</w:t>
      </w:r>
      <w:r w:rsidRPr="006827DD">
        <w:rPr>
          <w:sz w:val="18"/>
          <w:szCs w:val="18"/>
        </w:rPr>
        <w:t>va).</w:t>
      </w:r>
    </w:p>
  </w:footnote>
  <w:footnote w:id="100">
    <w:p w14:paraId="611A7164" w14:textId="77777777" w:rsidR="00C47F47" w:rsidRPr="001608C8" w:rsidRDefault="00C47F47" w:rsidP="00CA541F">
      <w:pPr>
        <w:pStyle w:val="FootnoteText"/>
        <w:ind w:left="284" w:hanging="284"/>
        <w:jc w:val="both"/>
        <w:rPr>
          <w:sz w:val="18"/>
          <w:szCs w:val="18"/>
        </w:rPr>
      </w:pPr>
      <w:r w:rsidRPr="00247483">
        <w:rPr>
          <w:rStyle w:val="FootnoteReference"/>
          <w:rFonts w:eastAsia="Calibri"/>
          <w:sz w:val="18"/>
          <w:szCs w:val="18"/>
        </w:rPr>
        <w:footnoteRef/>
      </w:r>
      <w:r w:rsidRPr="00247483">
        <w:rPr>
          <w:sz w:val="18"/>
          <w:szCs w:val="18"/>
        </w:rPr>
        <w:t xml:space="preserve"> </w:t>
      </w:r>
      <w:r w:rsidRPr="00247483">
        <w:rPr>
          <w:sz w:val="18"/>
          <w:szCs w:val="18"/>
        </w:rPr>
        <w:tab/>
        <w:t xml:space="preserve">Porovnanie skutočnosti s rozpočtom je súčasťou štátneho záverečného účtu (ŠZÚ), v ktorom sa uvádzajú hlavné faktory, ktoré v danom roku prispeli k zmene salda v porovnaní s rozpočtom. SVS sa zameriava na analýzu vývoja verejných financií oproti predchádzajúcemu roku (medziročné zmeny). </w:t>
      </w:r>
    </w:p>
  </w:footnote>
  <w:footnote w:id="101">
    <w:p w14:paraId="4E7CFCB8" w14:textId="77777777" w:rsidR="00C47F47" w:rsidRPr="00247483" w:rsidRDefault="00C47F47" w:rsidP="00CA541F">
      <w:pPr>
        <w:pStyle w:val="FootnoteText"/>
        <w:ind w:left="284" w:hanging="284"/>
        <w:jc w:val="both"/>
        <w:rPr>
          <w:sz w:val="18"/>
          <w:szCs w:val="18"/>
        </w:rPr>
      </w:pPr>
      <w:r w:rsidRPr="00247483">
        <w:rPr>
          <w:rStyle w:val="FootnoteReference"/>
          <w:rFonts w:eastAsia="Calibri"/>
          <w:sz w:val="18"/>
          <w:szCs w:val="18"/>
        </w:rPr>
        <w:footnoteRef/>
      </w:r>
      <w:r w:rsidRPr="00247483">
        <w:rPr>
          <w:sz w:val="18"/>
          <w:szCs w:val="18"/>
        </w:rPr>
        <w:t xml:space="preserve"> </w:t>
      </w:r>
      <w:r w:rsidRPr="00247483">
        <w:rPr>
          <w:sz w:val="18"/>
          <w:szCs w:val="18"/>
        </w:rPr>
        <w:tab/>
        <w:t xml:space="preserve">Konsolidovaná bilancia príjmov a výdavkov je súčasťou hlavného </w:t>
      </w:r>
      <w:r w:rsidRPr="00AE50FD">
        <w:rPr>
          <w:sz w:val="18"/>
          <w:szCs w:val="18"/>
        </w:rPr>
        <w:t xml:space="preserve">textu </w:t>
      </w:r>
      <w:hyperlink r:id="rId43" w:history="1">
        <w:r w:rsidRPr="00A5064D">
          <w:rPr>
            <w:rStyle w:val="Hyperlink"/>
            <w:rFonts w:eastAsia="Arial Unicode MS"/>
            <w:color w:val="13B5EA"/>
            <w:sz w:val="18"/>
            <w:szCs w:val="18"/>
          </w:rPr>
          <w:t>Súhrnnej výročnej správy SR za rok 201</w:t>
        </w:r>
        <w:r>
          <w:rPr>
            <w:rStyle w:val="Hyperlink"/>
            <w:rFonts w:eastAsia="Arial Unicode MS"/>
            <w:color w:val="13B5EA"/>
            <w:sz w:val="18"/>
            <w:szCs w:val="18"/>
          </w:rPr>
          <w:t>8</w:t>
        </w:r>
        <w:r w:rsidRPr="00AE50FD">
          <w:rPr>
            <w:rStyle w:val="Hyperlink"/>
            <w:sz w:val="18"/>
            <w:szCs w:val="18"/>
          </w:rPr>
          <w:t>.</w:t>
        </w:r>
      </w:hyperlink>
      <w:r w:rsidRPr="003708F8">
        <w:rPr>
          <w:sz w:val="18"/>
          <w:szCs w:val="18"/>
          <w:highlight w:val="yellow"/>
        </w:rPr>
        <w:t xml:space="preserve"> </w:t>
      </w:r>
      <w:r w:rsidRPr="00247483">
        <w:rPr>
          <w:sz w:val="18"/>
          <w:szCs w:val="18"/>
        </w:rPr>
        <w:t>Detailné bilancie jednotlivých subjektov VS za rok 201</w:t>
      </w:r>
      <w:r>
        <w:rPr>
          <w:sz w:val="18"/>
          <w:szCs w:val="18"/>
        </w:rPr>
        <w:t>8</w:t>
      </w:r>
      <w:r w:rsidRPr="00247483">
        <w:rPr>
          <w:sz w:val="18"/>
          <w:szCs w:val="18"/>
        </w:rPr>
        <w:t xml:space="preserve"> sú súčasťou elektronickej prílohy s názvom: Tabu</w:t>
      </w:r>
      <w:r>
        <w:rPr>
          <w:sz w:val="18"/>
          <w:szCs w:val="18"/>
        </w:rPr>
        <w:t>ľ</w:t>
      </w:r>
      <w:r w:rsidRPr="00247483">
        <w:rPr>
          <w:sz w:val="18"/>
          <w:szCs w:val="18"/>
        </w:rPr>
        <w:t>ky</w:t>
      </w:r>
      <w:r>
        <w:rPr>
          <w:sz w:val="18"/>
          <w:szCs w:val="18"/>
        </w:rPr>
        <w:t xml:space="preserve"> </w:t>
      </w:r>
      <w:r w:rsidRPr="00247483">
        <w:rPr>
          <w:sz w:val="18"/>
          <w:szCs w:val="18"/>
        </w:rPr>
        <w:t>EDP</w:t>
      </w:r>
      <w:r>
        <w:rPr>
          <w:sz w:val="18"/>
          <w:szCs w:val="18"/>
        </w:rPr>
        <w:t xml:space="preserve"> </w:t>
      </w:r>
      <w:r w:rsidRPr="00247483">
        <w:rPr>
          <w:sz w:val="18"/>
          <w:szCs w:val="18"/>
        </w:rPr>
        <w:t>201</w:t>
      </w:r>
      <w:r>
        <w:rPr>
          <w:sz w:val="18"/>
          <w:szCs w:val="18"/>
        </w:rPr>
        <w:t>8 (septembrová notifikácia</w:t>
      </w:r>
      <w:r w:rsidRPr="00642E19">
        <w:rPr>
          <w:sz w:val="18"/>
          <w:szCs w:val="18"/>
        </w:rPr>
        <w:t>), ktorá oproti minulému roku navyše obsahuje aj sumarizujúcu tabuľku za jednotlivé subjekty VS, ich rozpočtované príjmové a výdavkové položky v metodike ESA2010, dosiahnutú skutočnosť v týchto položkách ako aj tabuľku rozdielov.</w:t>
      </w:r>
      <w:r>
        <w:rPr>
          <w:sz w:val="18"/>
          <w:szCs w:val="18"/>
        </w:rPr>
        <w:t xml:space="preserve"> </w:t>
      </w:r>
    </w:p>
  </w:footnote>
  <w:footnote w:id="102">
    <w:p w14:paraId="436AE1A7" w14:textId="77777777" w:rsidR="00C47F47" w:rsidRPr="00DA4C6C" w:rsidRDefault="00C47F47" w:rsidP="00CA541F">
      <w:pPr>
        <w:pStyle w:val="FootnoteText"/>
        <w:ind w:left="284" w:hanging="284"/>
        <w:jc w:val="both"/>
        <w:rPr>
          <w:sz w:val="18"/>
          <w:szCs w:val="18"/>
        </w:rPr>
      </w:pPr>
      <w:r w:rsidRPr="00DA4C6C">
        <w:rPr>
          <w:rStyle w:val="FootnoteReference"/>
          <w:sz w:val="18"/>
          <w:szCs w:val="18"/>
        </w:rPr>
        <w:footnoteRef/>
      </w:r>
      <w:r w:rsidRPr="00DA4C6C">
        <w:rPr>
          <w:sz w:val="18"/>
          <w:szCs w:val="18"/>
        </w:rPr>
        <w:t xml:space="preserve"> </w:t>
      </w:r>
      <w:r>
        <w:rPr>
          <w:sz w:val="18"/>
          <w:szCs w:val="18"/>
        </w:rPr>
        <w:tab/>
      </w:r>
      <w:r w:rsidRPr="00DA4C6C">
        <w:rPr>
          <w:sz w:val="18"/>
          <w:szCs w:val="18"/>
        </w:rPr>
        <w:t>V</w:t>
      </w:r>
      <w:r w:rsidRPr="00DA4C6C">
        <w:rPr>
          <w:rFonts w:eastAsia="Cambria"/>
          <w:sz w:val="18"/>
          <w:szCs w:val="18"/>
        </w:rPr>
        <w:t>yhodnotenie plnenia odporúčaní zo správy RRZ z augusta 201</w:t>
      </w:r>
      <w:r>
        <w:rPr>
          <w:rFonts w:eastAsia="Cambria"/>
          <w:sz w:val="18"/>
          <w:szCs w:val="18"/>
        </w:rPr>
        <w:t>9</w:t>
      </w:r>
      <w:r w:rsidRPr="00DA4C6C">
        <w:rPr>
          <w:rFonts w:eastAsia="Cambria"/>
          <w:sz w:val="18"/>
          <w:szCs w:val="18"/>
        </w:rPr>
        <w:t xml:space="preserve"> je uvedené v prílohe č. 2</w:t>
      </w:r>
      <w:r>
        <w:rPr>
          <w:rFonts w:eastAsia="Cambria"/>
          <w:sz w:val="18"/>
          <w:szCs w:val="18"/>
        </w:rPr>
        <w:t>.</w:t>
      </w:r>
    </w:p>
  </w:footnote>
  <w:footnote w:id="103">
    <w:p w14:paraId="43EA4B78" w14:textId="4678A6F4" w:rsidR="00C47F47" w:rsidRPr="003D76E3" w:rsidRDefault="00C47F47" w:rsidP="0053375A">
      <w:pPr>
        <w:pStyle w:val="FootnoteText"/>
        <w:ind w:left="284" w:hanging="284"/>
        <w:jc w:val="both"/>
        <w:rPr>
          <w:sz w:val="18"/>
          <w:szCs w:val="18"/>
          <w:highlight w:val="yellow"/>
        </w:rPr>
      </w:pPr>
      <w:r w:rsidRPr="004E41A2">
        <w:rPr>
          <w:rStyle w:val="FootnoteReference"/>
          <w:sz w:val="18"/>
          <w:szCs w:val="18"/>
        </w:rPr>
        <w:footnoteRef/>
      </w:r>
      <w:r w:rsidRPr="004E41A2">
        <w:rPr>
          <w:sz w:val="18"/>
          <w:szCs w:val="18"/>
        </w:rPr>
        <w:t xml:space="preserve"> </w:t>
      </w:r>
      <w:r w:rsidRPr="004E41A2">
        <w:rPr>
          <w:sz w:val="18"/>
          <w:szCs w:val="18"/>
        </w:rPr>
        <w:tab/>
        <w:t xml:space="preserve">V prípade Slovenska tvorí </w:t>
      </w:r>
      <w:r>
        <w:rPr>
          <w:sz w:val="18"/>
          <w:szCs w:val="18"/>
        </w:rPr>
        <w:t xml:space="preserve">od roku 2013 </w:t>
      </w:r>
      <w:r w:rsidRPr="004E41A2">
        <w:rPr>
          <w:sz w:val="18"/>
          <w:szCs w:val="18"/>
        </w:rPr>
        <w:t>hotovosť na účtoch verejnej správy vyše 9</w:t>
      </w:r>
      <w:r>
        <w:rPr>
          <w:sz w:val="18"/>
          <w:szCs w:val="18"/>
        </w:rPr>
        <w:t>9</w:t>
      </w:r>
      <w:r w:rsidRPr="004E41A2">
        <w:rPr>
          <w:sz w:val="18"/>
          <w:szCs w:val="18"/>
        </w:rPr>
        <w:t xml:space="preserve"> % likvidných finančných aktív.</w:t>
      </w:r>
    </w:p>
  </w:footnote>
  <w:footnote w:id="104">
    <w:p w14:paraId="0E5E2452" w14:textId="77777777" w:rsidR="00C47F47" w:rsidRPr="003D76E3" w:rsidRDefault="00C47F47" w:rsidP="0053375A">
      <w:pPr>
        <w:pStyle w:val="FootnoteText"/>
        <w:ind w:left="284" w:hanging="284"/>
        <w:jc w:val="both"/>
        <w:rPr>
          <w:sz w:val="18"/>
          <w:szCs w:val="18"/>
          <w:highlight w:val="yellow"/>
        </w:rPr>
      </w:pPr>
      <w:r w:rsidRPr="00D766E5">
        <w:rPr>
          <w:rStyle w:val="FootnoteReference"/>
          <w:sz w:val="18"/>
          <w:szCs w:val="18"/>
        </w:rPr>
        <w:footnoteRef/>
      </w:r>
      <w:r w:rsidRPr="00D766E5">
        <w:rPr>
          <w:sz w:val="18"/>
          <w:szCs w:val="18"/>
        </w:rPr>
        <w:t xml:space="preserve"> </w:t>
      </w:r>
      <w:r w:rsidRPr="00D766E5">
        <w:rPr>
          <w:sz w:val="18"/>
          <w:szCs w:val="18"/>
        </w:rPr>
        <w:tab/>
        <w:t>Vplyv na saldo v metodike ESA2010 je nulový, keďže hotovostný nesúlad príjmov a výdavkov je vyrovnaný zmenou stavu pohľadávky voči rozpočtu EÚ. Ak sú výdavky vyššie ako príjmy, dôjde k nárastu pohľadávky a naopak.</w:t>
      </w:r>
    </w:p>
  </w:footnote>
  <w:footnote w:id="105">
    <w:p w14:paraId="013BE109" w14:textId="77777777" w:rsidR="00C47F47" w:rsidRPr="003D76E3" w:rsidRDefault="00C47F47" w:rsidP="00F120C1">
      <w:pPr>
        <w:pStyle w:val="FootnoteText"/>
        <w:ind w:left="284" w:hanging="284"/>
        <w:jc w:val="both"/>
        <w:rPr>
          <w:sz w:val="18"/>
          <w:szCs w:val="18"/>
          <w:highlight w:val="yellow"/>
        </w:rPr>
      </w:pPr>
      <w:r w:rsidRPr="00AD12F6">
        <w:rPr>
          <w:rStyle w:val="FootnoteReference"/>
          <w:sz w:val="18"/>
          <w:szCs w:val="18"/>
        </w:rPr>
        <w:footnoteRef/>
      </w:r>
      <w:r w:rsidRPr="00AD12F6">
        <w:rPr>
          <w:sz w:val="18"/>
          <w:szCs w:val="18"/>
        </w:rPr>
        <w:t xml:space="preserve"> </w:t>
      </w:r>
      <w:r w:rsidRPr="00AD12F6">
        <w:rPr>
          <w:sz w:val="18"/>
          <w:szCs w:val="18"/>
        </w:rPr>
        <w:tab/>
        <w:t>RRZ v snahe priblížiť analýzu vývoja dlhu ku konceptu čistého bohatstva identifikovala také jednorazové a dočasné faktory ovplyvňujúce hotovosť, ktoré čisté bohatstvo nezlepšujú resp. ho ovplyvňujú iba dočasne (napríklad superdividendy, príjmy z privatizácie, príjmy z otvorenia II. piliera dôchodkového systému). Po úprave hrubého dlhu o likvidné finančné aktíva (čistý finančný dlh) a o tieto faktory získame informáciu o tom, ako sa vyvíjal dlh vplyvom trvalých opatrení vlády.</w:t>
      </w:r>
    </w:p>
  </w:footnote>
  <w:footnote w:id="106">
    <w:p w14:paraId="11BE95AE" w14:textId="77777777" w:rsidR="00C47F47" w:rsidRPr="00F120C1" w:rsidRDefault="00C47F47" w:rsidP="003F1E0B">
      <w:pPr>
        <w:pStyle w:val="FootnoteText"/>
        <w:ind w:left="284" w:hanging="284"/>
        <w:jc w:val="both"/>
      </w:pPr>
      <w:r w:rsidRPr="00F120C1">
        <w:rPr>
          <w:rStyle w:val="FootnoteReference"/>
          <w:sz w:val="18"/>
        </w:rPr>
        <w:footnoteRef/>
      </w:r>
      <w:r w:rsidRPr="00F120C1">
        <w:rPr>
          <w:sz w:val="18"/>
        </w:rPr>
        <w:t xml:space="preserve"> </w:t>
      </w:r>
      <w:r w:rsidRPr="00F120C1">
        <w:rPr>
          <w:sz w:val="18"/>
        </w:rPr>
        <w:tab/>
        <w:t>Zdrojom boli naakumulované prostriedky v priebehu roku 2012 v súvislosti s vyššími vnímanými rizikami na finančných trhoch.</w:t>
      </w:r>
    </w:p>
  </w:footnote>
  <w:footnote w:id="107">
    <w:p w14:paraId="5780E1C4" w14:textId="77777777" w:rsidR="00C47F47" w:rsidRPr="003D76E3" w:rsidRDefault="00C47F47" w:rsidP="003F1E0B">
      <w:pPr>
        <w:pStyle w:val="FootnoteText"/>
        <w:ind w:left="284" w:hanging="284"/>
        <w:jc w:val="both"/>
        <w:rPr>
          <w:sz w:val="18"/>
          <w:szCs w:val="18"/>
          <w:highlight w:val="yellow"/>
        </w:rPr>
      </w:pPr>
      <w:r w:rsidRPr="00F120C1">
        <w:rPr>
          <w:rStyle w:val="FootnoteReference"/>
          <w:sz w:val="18"/>
          <w:szCs w:val="18"/>
        </w:rPr>
        <w:footnoteRef/>
      </w:r>
      <w:r w:rsidRPr="00F120C1">
        <w:rPr>
          <w:sz w:val="18"/>
          <w:szCs w:val="18"/>
        </w:rPr>
        <w:t xml:space="preserve"> </w:t>
      </w:r>
      <w:r w:rsidRPr="00F120C1">
        <w:rPr>
          <w:sz w:val="18"/>
          <w:szCs w:val="18"/>
        </w:rPr>
        <w:tab/>
        <w:t>Čistý dlh verejnej správy je definovaný ako hrubý dlh znížený o likvidné finančné aktíva, ktoré sú tvorené hotovosťou na účtoch subjektov verejnej správy, cennými papiermi a kótovanými akciami.</w:t>
      </w:r>
    </w:p>
  </w:footnote>
  <w:footnote w:id="108">
    <w:p w14:paraId="0E84989F" w14:textId="65D64532" w:rsidR="00C47F47" w:rsidRPr="002F68EB" w:rsidRDefault="00C47F47" w:rsidP="00597DE0">
      <w:pPr>
        <w:pStyle w:val="FootnoteText"/>
        <w:ind w:left="284" w:hanging="284"/>
        <w:jc w:val="both"/>
        <w:rPr>
          <w:sz w:val="18"/>
          <w:szCs w:val="18"/>
        </w:rPr>
      </w:pPr>
      <w:r w:rsidRPr="00744E78">
        <w:rPr>
          <w:rStyle w:val="FootnoteReference"/>
          <w:sz w:val="18"/>
          <w:szCs w:val="18"/>
        </w:rPr>
        <w:footnoteRef/>
      </w:r>
      <w:r w:rsidRPr="00744E78">
        <w:rPr>
          <w:sz w:val="18"/>
          <w:szCs w:val="18"/>
        </w:rPr>
        <w:t xml:space="preserve"> </w:t>
      </w:r>
      <w:r w:rsidRPr="00744E78">
        <w:rPr>
          <w:sz w:val="18"/>
          <w:szCs w:val="18"/>
        </w:rPr>
        <w:tab/>
        <w:t xml:space="preserve">Súhrn záväzkov vyplývajúcich zo splácania istín návratných zdrojov financovania, záväzkov z investičných dodávateľských úverov a ručiteľských záväzkov obce alebo VÚC, očistený o záväzky z návratných zdrojov financovania prijatých na zabezpečenie predfinancovania realizácie spoločných programov SR a EÚ, z Environmentálneho fondu a z Fondu na podporu umenia, v prípade obcí aj o úvery zo Štátneho fondu rozvoja bývania na </w:t>
      </w:r>
      <w:r w:rsidRPr="002F68EB">
        <w:rPr>
          <w:sz w:val="18"/>
          <w:szCs w:val="18"/>
        </w:rPr>
        <w:t>obstaranie obecných nájomných bytov vo výške splátok úveru, ktorých úhrada je zahrnutá v cene ročného nájomného za obecné nájomné byty a</w:t>
      </w:r>
      <w:r w:rsidRPr="002F68EB">
        <w:t> </w:t>
      </w:r>
      <w:r w:rsidRPr="002F68EB">
        <w:rPr>
          <w:sz w:val="18"/>
        </w:rPr>
        <w:t>pôžičky</w:t>
      </w:r>
      <w:r w:rsidRPr="002F68EB">
        <w:t xml:space="preserve"> </w:t>
      </w:r>
      <w:r w:rsidRPr="002F68EB">
        <w:rPr>
          <w:sz w:val="18"/>
          <w:szCs w:val="18"/>
        </w:rPr>
        <w:t>z Audiovizuálneho fondu.</w:t>
      </w:r>
    </w:p>
  </w:footnote>
  <w:footnote w:id="109">
    <w:p w14:paraId="5BC2CF05" w14:textId="431B0B12" w:rsidR="00C47F47" w:rsidRPr="001A0606" w:rsidRDefault="00C47F47" w:rsidP="005A5F9F">
      <w:pPr>
        <w:ind w:left="284" w:hanging="284"/>
        <w:jc w:val="both"/>
        <w:rPr>
          <w:sz w:val="18"/>
        </w:rPr>
      </w:pPr>
      <w:r w:rsidRPr="002F68EB">
        <w:rPr>
          <w:rStyle w:val="FootnoteReference"/>
          <w:sz w:val="18"/>
          <w:szCs w:val="18"/>
        </w:rPr>
        <w:footnoteRef/>
      </w:r>
      <w:r w:rsidRPr="002F68EB">
        <w:rPr>
          <w:sz w:val="18"/>
          <w:szCs w:val="18"/>
        </w:rPr>
        <w:t xml:space="preserve"> </w:t>
      </w:r>
      <w:r w:rsidRPr="002F68EB">
        <w:rPr>
          <w:sz w:val="18"/>
          <w:szCs w:val="18"/>
        </w:rPr>
        <w:tab/>
        <w:t xml:space="preserve">Výška pokuty je definovaná ako 5 % z rozdielu medzi celkovou sumou </w:t>
      </w:r>
      <w:r w:rsidRPr="002F68EB">
        <w:rPr>
          <w:sz w:val="18"/>
        </w:rPr>
        <w:t xml:space="preserve">dlhu a 60 % skutočných bežných príjmov predchádzajúceho rozpočtového roka. Tu však treba </w:t>
      </w:r>
      <w:r w:rsidRPr="002F68EB">
        <w:rPr>
          <w:sz w:val="18"/>
          <w:szCs w:val="18"/>
        </w:rPr>
        <w:t>prihliadnuť aj na ods. 4 čl. 6. ústavného zákona, ktorý zabezpečuje neuplatnenie pokuty počas 24 mesiacov od ustanovujúceho zasadnutia zastupiteľstva, ak nebola vo voľbách ako nový starosta, primátor, alebo predseda VÚC zvolená tá istá osoba, ako v predchádzajúcom volebnom období.</w:t>
      </w:r>
    </w:p>
  </w:footnote>
  <w:footnote w:id="110">
    <w:p w14:paraId="5454C9D8" w14:textId="6BF08D3B" w:rsidR="00C47F47" w:rsidRPr="002C7ABB" w:rsidRDefault="00C47F47" w:rsidP="00976660">
      <w:pPr>
        <w:pStyle w:val="FootnoteText"/>
        <w:ind w:left="284" w:hanging="284"/>
        <w:jc w:val="both"/>
        <w:rPr>
          <w:sz w:val="18"/>
          <w:szCs w:val="18"/>
        </w:rPr>
      </w:pPr>
      <w:r w:rsidRPr="00B32078">
        <w:rPr>
          <w:rStyle w:val="FootnoteReference"/>
          <w:sz w:val="18"/>
          <w:szCs w:val="18"/>
        </w:rPr>
        <w:footnoteRef/>
      </w:r>
      <w:r w:rsidRPr="00B32078">
        <w:rPr>
          <w:sz w:val="18"/>
          <w:szCs w:val="18"/>
        </w:rPr>
        <w:t xml:space="preserve"> </w:t>
      </w:r>
      <w:r w:rsidRPr="00B32078">
        <w:rPr>
          <w:sz w:val="18"/>
          <w:szCs w:val="18"/>
        </w:rPr>
        <w:tab/>
        <w:t xml:space="preserve">RRZ mala na vyhodnotenie plnenia dlhového pravidla k dispozícii údaje za </w:t>
      </w:r>
      <w:r w:rsidRPr="004A79A6">
        <w:rPr>
          <w:sz w:val="18"/>
          <w:szCs w:val="18"/>
        </w:rPr>
        <w:t>2914</w:t>
      </w:r>
      <w:r w:rsidRPr="00B32078">
        <w:rPr>
          <w:sz w:val="18"/>
          <w:szCs w:val="18"/>
        </w:rPr>
        <w:t xml:space="preserve"> obcí z celkového počtu 2926. Pri hodnotení údajov za Bratislavu a Košice boli použité ich magistráty a jednotlivé mestské časti ako samostatné obce.</w:t>
      </w:r>
    </w:p>
  </w:footnote>
  <w:footnote w:id="111">
    <w:p w14:paraId="34259D9D" w14:textId="097DD2F6" w:rsidR="00C47F47" w:rsidRDefault="00C47F47" w:rsidP="004A79A6">
      <w:pPr>
        <w:pStyle w:val="FootnoteText"/>
        <w:ind w:left="284" w:hanging="284"/>
      </w:pPr>
      <w:r w:rsidRPr="004A79A6">
        <w:rPr>
          <w:rStyle w:val="FootnoteReference"/>
          <w:sz w:val="18"/>
          <w:szCs w:val="18"/>
        </w:rPr>
        <w:footnoteRef/>
      </w:r>
      <w:r w:rsidRPr="004A79A6">
        <w:rPr>
          <w:sz w:val="18"/>
          <w:szCs w:val="18"/>
        </w:rPr>
        <w:t xml:space="preserve"> </w:t>
      </w:r>
      <w:r>
        <w:rPr>
          <w:sz w:val="18"/>
          <w:szCs w:val="18"/>
        </w:rPr>
        <w:tab/>
        <w:t xml:space="preserve">Dôvodom je presun </w:t>
      </w:r>
      <w:r w:rsidRPr="004A79A6">
        <w:rPr>
          <w:sz w:val="18"/>
          <w:szCs w:val="18"/>
        </w:rPr>
        <w:t>mest</w:t>
      </w:r>
      <w:r>
        <w:rPr>
          <w:sz w:val="18"/>
          <w:szCs w:val="18"/>
        </w:rPr>
        <w:t>a</w:t>
      </w:r>
      <w:r w:rsidRPr="004A79A6">
        <w:rPr>
          <w:sz w:val="18"/>
          <w:szCs w:val="18"/>
        </w:rPr>
        <w:t xml:space="preserve"> Bratislava</w:t>
      </w:r>
      <w:r>
        <w:rPr>
          <w:sz w:val="18"/>
          <w:szCs w:val="18"/>
        </w:rPr>
        <w:t xml:space="preserve"> (magistrát bez mestských častí) z kategórie 50-60 % do kategórie 40-50 % zadlženia.</w:t>
      </w:r>
    </w:p>
  </w:footnote>
  <w:footnote w:id="112">
    <w:p w14:paraId="4616638F" w14:textId="4BBC6B98" w:rsidR="00C47F47" w:rsidRPr="00E365BD" w:rsidRDefault="00C47F47" w:rsidP="00F9590E">
      <w:pPr>
        <w:pStyle w:val="FootnoteText"/>
        <w:ind w:left="284" w:hanging="284"/>
        <w:jc w:val="both"/>
        <w:rPr>
          <w:sz w:val="18"/>
          <w:szCs w:val="18"/>
        </w:rPr>
      </w:pPr>
      <w:r w:rsidRPr="00E365BD">
        <w:rPr>
          <w:rStyle w:val="FootnoteReference"/>
          <w:sz w:val="18"/>
          <w:szCs w:val="18"/>
        </w:rPr>
        <w:footnoteRef/>
      </w:r>
      <w:r w:rsidRPr="00E365BD">
        <w:rPr>
          <w:sz w:val="18"/>
          <w:szCs w:val="18"/>
        </w:rPr>
        <w:t xml:space="preserve"> </w:t>
      </w:r>
      <w:r w:rsidRPr="00E365BD">
        <w:rPr>
          <w:sz w:val="18"/>
          <w:szCs w:val="18"/>
        </w:rPr>
        <w:tab/>
        <w:t>Hrubý počet obcí identifikovaný z finančných výkazov, ktorý nezodpovedá počtu obcí, ktorým reálne hrozí pokuta.</w:t>
      </w:r>
    </w:p>
  </w:footnote>
  <w:footnote w:id="113">
    <w:p w14:paraId="3B2FB133" w14:textId="29C65DB9" w:rsidR="00C47F47" w:rsidRPr="00607D6F" w:rsidRDefault="00C47F47" w:rsidP="00161DFC">
      <w:pPr>
        <w:pStyle w:val="FootnoteText"/>
        <w:ind w:left="284" w:hanging="284"/>
        <w:jc w:val="both"/>
        <w:rPr>
          <w:sz w:val="18"/>
          <w:szCs w:val="18"/>
        </w:rPr>
      </w:pPr>
      <w:r w:rsidRPr="00E365BD">
        <w:rPr>
          <w:rStyle w:val="FootnoteReference"/>
          <w:sz w:val="18"/>
          <w:szCs w:val="18"/>
        </w:rPr>
        <w:footnoteRef/>
      </w:r>
      <w:r w:rsidRPr="00E365BD">
        <w:rPr>
          <w:sz w:val="18"/>
          <w:szCs w:val="18"/>
        </w:rPr>
        <w:t xml:space="preserve"> </w:t>
      </w:r>
      <w:r w:rsidRPr="00E365BD">
        <w:rPr>
          <w:sz w:val="18"/>
          <w:szCs w:val="18"/>
        </w:rPr>
        <w:tab/>
        <w:t>Pokuty potenciálne hrozia aj 9 obciam, ktoré boli dodatočne oslovené zo strany MF SR z dôvodu nepodania potrebných výkazov, ak by bol ich zistený dlh nad limitom. Ide o obce Gemerček (RS), Horný Kalník (MT), Kosihy nad Ipľom (VK), Kravany nad Dunajom (KN), Kunerad (ZA), Lacková (SL), Patince (KN), Sklabiňa (MT) a </w:t>
      </w:r>
      <w:r w:rsidRPr="00607D6F">
        <w:rPr>
          <w:sz w:val="18"/>
          <w:szCs w:val="18"/>
        </w:rPr>
        <w:t>Turnianska Nová Ves (KS).</w:t>
      </w:r>
    </w:p>
  </w:footnote>
  <w:footnote w:id="114">
    <w:p w14:paraId="3F7FF0D7" w14:textId="54BD8330" w:rsidR="00C47F47" w:rsidRDefault="00C47F47" w:rsidP="009901F2">
      <w:pPr>
        <w:pStyle w:val="FootnoteText"/>
        <w:ind w:left="284" w:hanging="284"/>
        <w:jc w:val="both"/>
      </w:pPr>
      <w:r w:rsidRPr="00607D6F">
        <w:rPr>
          <w:rStyle w:val="FootnoteReference"/>
          <w:sz w:val="18"/>
          <w:szCs w:val="18"/>
        </w:rPr>
        <w:footnoteRef/>
      </w:r>
      <w:r w:rsidRPr="00607D6F">
        <w:rPr>
          <w:sz w:val="18"/>
          <w:szCs w:val="18"/>
        </w:rPr>
        <w:t xml:space="preserve"> </w:t>
      </w:r>
      <w:r w:rsidRPr="00607D6F">
        <w:rPr>
          <w:sz w:val="18"/>
          <w:szCs w:val="18"/>
        </w:rPr>
        <w:tab/>
        <w:t xml:space="preserve">Zoznam obcí, ktoré prekročili pravidlo o splátkach dlhu, je vzhľadom na to, že sa na ne nevzťahujú žiadne finančné sankcie vyplývajúce zo zákona o rozpočtovej zodpovednosti, </w:t>
      </w:r>
      <w:r w:rsidRPr="004A79A6">
        <w:rPr>
          <w:sz w:val="18"/>
          <w:szCs w:val="18"/>
        </w:rPr>
        <w:t>uvedený v dátovom súbore priloženom k tomuto materiálu.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0E38F8" w14:textId="77D2F750" w:rsidR="00C47F47" w:rsidRDefault="003A2267" w:rsidP="000F6148">
    <w:pPr>
      <w:pStyle w:val="Heading2"/>
      <w:spacing w:before="2" w:after="2"/>
      <w:jc w:val="right"/>
      <w:rPr>
        <w:rFonts w:ascii="Cambria" w:hAnsi="Cambria"/>
      </w:rPr>
    </w:pPr>
    <w:r>
      <w:rPr>
        <w:rFonts w:ascii="Cambria" w:hAnsi="Cambria"/>
        <w:noProof/>
        <w:lang w:eastAsia="sk-SK"/>
      </w:rPr>
      <w:drawing>
        <wp:anchor distT="0" distB="0" distL="114300" distR="114300" simplePos="0" relativeHeight="251658241" behindDoc="1" locked="0" layoutInCell="1" allowOverlap="1" wp14:anchorId="73BC154C" wp14:editId="3D837958">
          <wp:simplePos x="0" y="0"/>
          <wp:positionH relativeFrom="column">
            <wp:posOffset>0</wp:posOffset>
          </wp:positionH>
          <wp:positionV relativeFrom="paragraph">
            <wp:posOffset>59690</wp:posOffset>
          </wp:positionV>
          <wp:extent cx="1440180" cy="671195"/>
          <wp:effectExtent l="0" t="0" r="7620" b="0"/>
          <wp:wrapNone/>
          <wp:docPr id="8" name="Picture 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0180"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66358B" w14:textId="77777777" w:rsidR="00C47F47" w:rsidRPr="003778CD" w:rsidRDefault="00C47F47" w:rsidP="009F5D5C">
    <w:pPr>
      <w:pStyle w:val="Heading2"/>
      <w:spacing w:before="2" w:after="2"/>
      <w:jc w:val="right"/>
      <w:rPr>
        <w:b w:val="0"/>
        <w:bCs w:val="0"/>
        <w:color w:val="59595B"/>
        <w:sz w:val="18"/>
      </w:rPr>
    </w:pPr>
    <w:r w:rsidRPr="003778CD">
      <w:rPr>
        <w:b w:val="0"/>
        <w:color w:val="59595B"/>
        <w:sz w:val="18"/>
      </w:rPr>
      <w:t xml:space="preserve">Správa o hodnotení plnenia pravidiel rozpočtovej </w:t>
    </w:r>
    <w:r w:rsidRPr="003778CD">
      <w:rPr>
        <w:b w:val="0"/>
        <w:bCs w:val="0"/>
        <w:color w:val="59595B"/>
        <w:sz w:val="18"/>
      </w:rPr>
      <w:t xml:space="preserve">zodpovednosti </w:t>
    </w:r>
  </w:p>
  <w:p w14:paraId="66B5FB80" w14:textId="1033389D" w:rsidR="00C47F47" w:rsidRPr="003778CD" w:rsidRDefault="00C47F47" w:rsidP="009F5D5C">
    <w:pPr>
      <w:pStyle w:val="Heading2"/>
      <w:spacing w:before="2" w:after="2"/>
      <w:jc w:val="right"/>
      <w:rPr>
        <w:smallCaps/>
        <w:snapToGrid w:val="0"/>
        <w:color w:val="59595B"/>
        <w:sz w:val="18"/>
        <w:szCs w:val="18"/>
      </w:rPr>
    </w:pPr>
    <w:r w:rsidRPr="003778CD">
      <w:rPr>
        <w:b w:val="0"/>
        <w:bCs w:val="0"/>
        <w:color w:val="59595B"/>
        <w:sz w:val="18"/>
      </w:rPr>
      <w:t>a pravidiel rozpočtovej transparentnosti za rok 201</w:t>
    </w:r>
    <w:r>
      <w:rPr>
        <w:b w:val="0"/>
        <w:bCs w:val="0"/>
        <w:color w:val="59595B"/>
        <w:sz w:val="18"/>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23"/>
      <w:gridCol w:w="3023"/>
      <w:gridCol w:w="3023"/>
    </w:tblGrid>
    <w:tr w:rsidR="00C47F47" w14:paraId="436128AA" w14:textId="77777777" w:rsidTr="00C47F47">
      <w:tc>
        <w:tcPr>
          <w:tcW w:w="3023" w:type="dxa"/>
        </w:tcPr>
        <w:p w14:paraId="13837596" w14:textId="58170C11" w:rsidR="00C47F47" w:rsidRDefault="00C47F47" w:rsidP="00C47F47">
          <w:pPr>
            <w:pStyle w:val="Header"/>
            <w:ind w:left="-115"/>
          </w:pPr>
        </w:p>
      </w:tc>
      <w:tc>
        <w:tcPr>
          <w:tcW w:w="3023" w:type="dxa"/>
        </w:tcPr>
        <w:p w14:paraId="1D10C4A3" w14:textId="6989DF5E" w:rsidR="00C47F47" w:rsidRDefault="00C47F47" w:rsidP="00C47F47">
          <w:pPr>
            <w:pStyle w:val="Header"/>
            <w:jc w:val="center"/>
          </w:pPr>
        </w:p>
      </w:tc>
      <w:tc>
        <w:tcPr>
          <w:tcW w:w="3023" w:type="dxa"/>
        </w:tcPr>
        <w:p w14:paraId="46C7401C" w14:textId="7C747032" w:rsidR="00C47F47" w:rsidRDefault="00C47F47" w:rsidP="00C47F47">
          <w:pPr>
            <w:pStyle w:val="Header"/>
            <w:ind w:right="-115"/>
            <w:jc w:val="right"/>
          </w:pPr>
        </w:p>
      </w:tc>
    </w:tr>
  </w:tbl>
  <w:p w14:paraId="7273900E" w14:textId="039AB88D" w:rsidR="00C47F47" w:rsidRDefault="00C47F47" w:rsidP="00C47F4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028"/>
      <w:gridCol w:w="3028"/>
      <w:gridCol w:w="3028"/>
    </w:tblGrid>
    <w:tr w:rsidR="00C47F47" w14:paraId="5794EC9E" w14:textId="77777777" w:rsidTr="00C47F47">
      <w:tc>
        <w:tcPr>
          <w:tcW w:w="3028" w:type="dxa"/>
        </w:tcPr>
        <w:p w14:paraId="11DE7951" w14:textId="6EA302EA" w:rsidR="00C47F47" w:rsidRDefault="00C47F47" w:rsidP="00C47F47">
          <w:pPr>
            <w:pStyle w:val="Header"/>
            <w:ind w:left="-115"/>
          </w:pPr>
        </w:p>
      </w:tc>
      <w:tc>
        <w:tcPr>
          <w:tcW w:w="3028" w:type="dxa"/>
        </w:tcPr>
        <w:p w14:paraId="76E1DCC6" w14:textId="6F3DEBC3" w:rsidR="00C47F47" w:rsidRDefault="00C47F47" w:rsidP="00C47F47">
          <w:pPr>
            <w:pStyle w:val="Header"/>
            <w:jc w:val="center"/>
          </w:pPr>
        </w:p>
      </w:tc>
      <w:tc>
        <w:tcPr>
          <w:tcW w:w="3028" w:type="dxa"/>
        </w:tcPr>
        <w:p w14:paraId="2568A31A" w14:textId="318B089F" w:rsidR="00C47F47" w:rsidRDefault="00C47F47" w:rsidP="00C47F47">
          <w:pPr>
            <w:pStyle w:val="Header"/>
            <w:ind w:right="-115"/>
            <w:jc w:val="right"/>
          </w:pPr>
        </w:p>
      </w:tc>
    </w:tr>
  </w:tbl>
  <w:p w14:paraId="5DBA3854" w14:textId="5207EACA" w:rsidR="00C47F47" w:rsidRDefault="00C47F47" w:rsidP="00C47F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A688D"/>
    <w:multiLevelType w:val="hybridMultilevel"/>
    <w:tmpl w:val="101099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C878A3"/>
    <w:multiLevelType w:val="hybridMultilevel"/>
    <w:tmpl w:val="00B8F666"/>
    <w:lvl w:ilvl="0" w:tplc="004A8E5C">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082107A1"/>
    <w:multiLevelType w:val="hybridMultilevel"/>
    <w:tmpl w:val="293E9648"/>
    <w:lvl w:ilvl="0" w:tplc="E746F4F4">
      <w:start w:val="1"/>
      <w:numFmt w:val="decimal"/>
      <w:lvlText w:val="%1"/>
      <w:lvlJc w:val="left"/>
      <w:pPr>
        <w:ind w:left="720" w:hanging="360"/>
      </w:pPr>
      <w:rPr>
        <w:rFonts w:hint="default"/>
        <w:b/>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15:restartNumberingAfterBreak="0">
    <w:nsid w:val="0A3418C5"/>
    <w:multiLevelType w:val="hybridMultilevel"/>
    <w:tmpl w:val="B726C066"/>
    <w:lvl w:ilvl="0" w:tplc="004A8E5C">
      <w:start w:val="1"/>
      <w:numFmt w:val="bullet"/>
      <w:lvlText w:val=""/>
      <w:lvlJc w:val="left"/>
      <w:pPr>
        <w:ind w:left="360" w:hanging="360"/>
      </w:pPr>
      <w:rPr>
        <w:rFonts w:ascii="Symbol" w:hAnsi="Symbol"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4" w15:restartNumberingAfterBreak="0">
    <w:nsid w:val="0B347DC0"/>
    <w:multiLevelType w:val="hybridMultilevel"/>
    <w:tmpl w:val="01463E8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0F78320A"/>
    <w:multiLevelType w:val="hybridMultilevel"/>
    <w:tmpl w:val="C7D25E4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 w15:restartNumberingAfterBreak="0">
    <w:nsid w:val="0F7939D7"/>
    <w:multiLevelType w:val="hybridMultilevel"/>
    <w:tmpl w:val="D81E865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0FE9036C"/>
    <w:multiLevelType w:val="hybridMultilevel"/>
    <w:tmpl w:val="099AA6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10824E3"/>
    <w:multiLevelType w:val="hybridMultilevel"/>
    <w:tmpl w:val="7E24CB5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130D0D1D"/>
    <w:multiLevelType w:val="hybridMultilevel"/>
    <w:tmpl w:val="C9F44588"/>
    <w:lvl w:ilvl="0" w:tplc="004A8E5C">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0" w15:restartNumberingAfterBreak="0">
    <w:nsid w:val="15B15833"/>
    <w:multiLevelType w:val="hybridMultilevel"/>
    <w:tmpl w:val="A73E8A5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16561E80"/>
    <w:multiLevelType w:val="hybridMultilevel"/>
    <w:tmpl w:val="F79CD542"/>
    <w:lvl w:ilvl="0" w:tplc="004A8E5C">
      <w:start w:val="1"/>
      <w:numFmt w:val="bullet"/>
      <w:lvlText w:val=""/>
      <w:lvlJc w:val="left"/>
      <w:pPr>
        <w:ind w:left="360" w:hanging="360"/>
      </w:pPr>
      <w:rPr>
        <w:rFonts w:ascii="Symbol" w:hAnsi="Symbol" w:hint="default"/>
      </w:rPr>
    </w:lvl>
    <w:lvl w:ilvl="1" w:tplc="041B0019">
      <w:start w:val="1"/>
      <w:numFmt w:val="lowerLetter"/>
      <w:lvlText w:val="%2."/>
      <w:lvlJc w:val="left"/>
      <w:pPr>
        <w:ind w:left="1080" w:hanging="360"/>
      </w:pPr>
    </w:lvl>
    <w:lvl w:ilvl="2" w:tplc="041B001B">
      <w:start w:val="1"/>
      <w:numFmt w:val="lowerRoman"/>
      <w:lvlText w:val="%3."/>
      <w:lvlJc w:val="right"/>
      <w:pPr>
        <w:ind w:left="1800" w:hanging="180"/>
      </w:pPr>
    </w:lvl>
    <w:lvl w:ilvl="3" w:tplc="041B000F">
      <w:start w:val="1"/>
      <w:numFmt w:val="decimal"/>
      <w:lvlText w:val="%4."/>
      <w:lvlJc w:val="left"/>
      <w:pPr>
        <w:ind w:left="2520" w:hanging="360"/>
      </w:pPr>
    </w:lvl>
    <w:lvl w:ilvl="4" w:tplc="041B0019">
      <w:start w:val="1"/>
      <w:numFmt w:val="lowerLetter"/>
      <w:lvlText w:val="%5."/>
      <w:lvlJc w:val="left"/>
      <w:pPr>
        <w:ind w:left="3240" w:hanging="360"/>
      </w:pPr>
    </w:lvl>
    <w:lvl w:ilvl="5" w:tplc="041B001B">
      <w:start w:val="1"/>
      <w:numFmt w:val="lowerRoman"/>
      <w:lvlText w:val="%6."/>
      <w:lvlJc w:val="right"/>
      <w:pPr>
        <w:ind w:left="3960" w:hanging="180"/>
      </w:pPr>
    </w:lvl>
    <w:lvl w:ilvl="6" w:tplc="041B000F">
      <w:start w:val="1"/>
      <w:numFmt w:val="decimal"/>
      <w:lvlText w:val="%7."/>
      <w:lvlJc w:val="left"/>
      <w:pPr>
        <w:ind w:left="4680" w:hanging="360"/>
      </w:pPr>
    </w:lvl>
    <w:lvl w:ilvl="7" w:tplc="041B0019">
      <w:start w:val="1"/>
      <w:numFmt w:val="lowerLetter"/>
      <w:lvlText w:val="%8."/>
      <w:lvlJc w:val="left"/>
      <w:pPr>
        <w:ind w:left="5400" w:hanging="360"/>
      </w:pPr>
    </w:lvl>
    <w:lvl w:ilvl="8" w:tplc="041B001B">
      <w:start w:val="1"/>
      <w:numFmt w:val="lowerRoman"/>
      <w:lvlText w:val="%9."/>
      <w:lvlJc w:val="right"/>
      <w:pPr>
        <w:ind w:left="6120" w:hanging="180"/>
      </w:pPr>
    </w:lvl>
  </w:abstractNum>
  <w:abstractNum w:abstractNumId="12" w15:restartNumberingAfterBreak="0">
    <w:nsid w:val="1A321A6F"/>
    <w:multiLevelType w:val="hybridMultilevel"/>
    <w:tmpl w:val="938850CC"/>
    <w:lvl w:ilvl="0" w:tplc="004A8E5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1F971B8B"/>
    <w:multiLevelType w:val="hybridMultilevel"/>
    <w:tmpl w:val="2C7E3A36"/>
    <w:lvl w:ilvl="0" w:tplc="7F94C68C">
      <w:start w:val="1"/>
      <w:numFmt w:val="decimal"/>
      <w:lvlText w:val="2.%1"/>
      <w:lvlJc w:val="left"/>
      <w:pPr>
        <w:ind w:left="720" w:hanging="360"/>
      </w:pPr>
      <w:rPr>
        <w:rFonts w:hint="default"/>
        <w:b/>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20727737"/>
    <w:multiLevelType w:val="hybridMultilevel"/>
    <w:tmpl w:val="8D3A7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1556281"/>
    <w:multiLevelType w:val="hybridMultilevel"/>
    <w:tmpl w:val="963C2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024EE4"/>
    <w:multiLevelType w:val="hybridMultilevel"/>
    <w:tmpl w:val="9D4C0C4E"/>
    <w:lvl w:ilvl="0" w:tplc="EB7821B6">
      <w:start w:val="89"/>
      <w:numFmt w:val="bullet"/>
      <w:lvlText w:val="-"/>
      <w:lvlJc w:val="left"/>
      <w:pPr>
        <w:ind w:left="408" w:hanging="360"/>
      </w:pPr>
      <w:rPr>
        <w:rFonts w:ascii="Constantia" w:eastAsia="Times New Roman" w:hAnsi="Constantia" w:cs="Times New Roman"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17" w15:restartNumberingAfterBreak="0">
    <w:nsid w:val="220A7FA7"/>
    <w:multiLevelType w:val="hybridMultilevel"/>
    <w:tmpl w:val="82D6E58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15:restartNumberingAfterBreak="0">
    <w:nsid w:val="23A817C6"/>
    <w:multiLevelType w:val="hybridMultilevel"/>
    <w:tmpl w:val="85E2BA9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9" w15:restartNumberingAfterBreak="0">
    <w:nsid w:val="26315DF5"/>
    <w:multiLevelType w:val="hybridMultilevel"/>
    <w:tmpl w:val="8DE61FF4"/>
    <w:lvl w:ilvl="0" w:tplc="041B0001">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15:restartNumberingAfterBreak="0">
    <w:nsid w:val="2775703B"/>
    <w:multiLevelType w:val="hybridMultilevel"/>
    <w:tmpl w:val="64F2031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28447A02"/>
    <w:multiLevelType w:val="hybridMultilevel"/>
    <w:tmpl w:val="005E508E"/>
    <w:lvl w:ilvl="0" w:tplc="04090001">
      <w:start w:val="1"/>
      <w:numFmt w:val="bullet"/>
      <w:lvlText w:val=""/>
      <w:lvlJc w:val="left"/>
      <w:pPr>
        <w:ind w:left="408"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087900"/>
    <w:multiLevelType w:val="hybridMultilevel"/>
    <w:tmpl w:val="AC16320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2E9F4EEB"/>
    <w:multiLevelType w:val="hybridMultilevel"/>
    <w:tmpl w:val="C3949CE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341124FB"/>
    <w:multiLevelType w:val="hybridMultilevel"/>
    <w:tmpl w:val="B1CEB2EC"/>
    <w:lvl w:ilvl="0" w:tplc="0409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38E866E4"/>
    <w:multiLevelType w:val="hybridMultilevel"/>
    <w:tmpl w:val="C81C745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6" w15:restartNumberingAfterBreak="0">
    <w:nsid w:val="3A0054B5"/>
    <w:multiLevelType w:val="hybridMultilevel"/>
    <w:tmpl w:val="601C74C4"/>
    <w:lvl w:ilvl="0" w:tplc="434403C0">
      <w:start w:val="1"/>
      <w:numFmt w:val="decimal"/>
      <w:lvlText w:val="%1"/>
      <w:lvlJc w:val="left"/>
      <w:pPr>
        <w:ind w:left="720" w:hanging="360"/>
      </w:pPr>
      <w:rPr>
        <w:rFonts w:hint="default"/>
      </w:rPr>
    </w:lvl>
    <w:lvl w:ilvl="1" w:tplc="63E48DE8">
      <w:start w:val="1"/>
      <w:numFmt w:val="decimal"/>
      <w:lvlText w:val="3.%2"/>
      <w:lvlJc w:val="left"/>
      <w:pPr>
        <w:ind w:left="1440" w:hanging="360"/>
      </w:pPr>
      <w:rPr>
        <w:rFonts w:hint="default"/>
        <w:b/>
      </w:r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3B4E6AF0"/>
    <w:multiLevelType w:val="hybridMultilevel"/>
    <w:tmpl w:val="15223008"/>
    <w:lvl w:ilvl="0" w:tplc="BA7A7DB8">
      <w:start w:val="1"/>
      <w:numFmt w:val="bullet"/>
      <w:lvlText w:val=""/>
      <w:lvlJc w:val="left"/>
      <w:pPr>
        <w:ind w:left="717" w:hanging="360"/>
      </w:pPr>
      <w:rPr>
        <w:rFonts w:ascii="Symbol" w:hAnsi="Symbol" w:hint="default"/>
        <w:color w:val="auto"/>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8" w15:restartNumberingAfterBreak="0">
    <w:nsid w:val="3F1379FE"/>
    <w:multiLevelType w:val="hybridMultilevel"/>
    <w:tmpl w:val="AD307B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FEA3E8A"/>
    <w:multiLevelType w:val="hybridMultilevel"/>
    <w:tmpl w:val="06FA0DA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00962D6"/>
    <w:multiLevelType w:val="hybridMultilevel"/>
    <w:tmpl w:val="9810291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43B66495"/>
    <w:multiLevelType w:val="hybridMultilevel"/>
    <w:tmpl w:val="50E0F314"/>
    <w:lvl w:ilvl="0" w:tplc="004A8E5C">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2" w15:restartNumberingAfterBreak="0">
    <w:nsid w:val="453535EA"/>
    <w:multiLevelType w:val="hybridMultilevel"/>
    <w:tmpl w:val="301854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67D7CE5"/>
    <w:multiLevelType w:val="hybridMultilevel"/>
    <w:tmpl w:val="AC6ACC06"/>
    <w:lvl w:ilvl="0" w:tplc="004A8E5C">
      <w:start w:val="1"/>
      <w:numFmt w:val="bullet"/>
      <w:lvlText w:val=""/>
      <w:lvlJc w:val="left"/>
      <w:pPr>
        <w:ind w:left="921" w:hanging="360"/>
      </w:pPr>
      <w:rPr>
        <w:rFonts w:ascii="Symbol" w:hAnsi="Symbol" w:hint="default"/>
      </w:rPr>
    </w:lvl>
    <w:lvl w:ilvl="1" w:tplc="041B0003" w:tentative="1">
      <w:start w:val="1"/>
      <w:numFmt w:val="bullet"/>
      <w:lvlText w:val="o"/>
      <w:lvlJc w:val="left"/>
      <w:pPr>
        <w:ind w:left="1641" w:hanging="360"/>
      </w:pPr>
      <w:rPr>
        <w:rFonts w:ascii="Courier New" w:hAnsi="Courier New" w:cs="Courier New" w:hint="default"/>
      </w:rPr>
    </w:lvl>
    <w:lvl w:ilvl="2" w:tplc="041B0005" w:tentative="1">
      <w:start w:val="1"/>
      <w:numFmt w:val="bullet"/>
      <w:lvlText w:val=""/>
      <w:lvlJc w:val="left"/>
      <w:pPr>
        <w:ind w:left="2361" w:hanging="360"/>
      </w:pPr>
      <w:rPr>
        <w:rFonts w:ascii="Wingdings" w:hAnsi="Wingdings" w:hint="default"/>
      </w:rPr>
    </w:lvl>
    <w:lvl w:ilvl="3" w:tplc="041B0001" w:tentative="1">
      <w:start w:val="1"/>
      <w:numFmt w:val="bullet"/>
      <w:lvlText w:val=""/>
      <w:lvlJc w:val="left"/>
      <w:pPr>
        <w:ind w:left="3081" w:hanging="360"/>
      </w:pPr>
      <w:rPr>
        <w:rFonts w:ascii="Symbol" w:hAnsi="Symbol" w:hint="default"/>
      </w:rPr>
    </w:lvl>
    <w:lvl w:ilvl="4" w:tplc="041B0003" w:tentative="1">
      <w:start w:val="1"/>
      <w:numFmt w:val="bullet"/>
      <w:lvlText w:val="o"/>
      <w:lvlJc w:val="left"/>
      <w:pPr>
        <w:ind w:left="3801" w:hanging="360"/>
      </w:pPr>
      <w:rPr>
        <w:rFonts w:ascii="Courier New" w:hAnsi="Courier New" w:cs="Courier New" w:hint="default"/>
      </w:rPr>
    </w:lvl>
    <w:lvl w:ilvl="5" w:tplc="041B0005" w:tentative="1">
      <w:start w:val="1"/>
      <w:numFmt w:val="bullet"/>
      <w:lvlText w:val=""/>
      <w:lvlJc w:val="left"/>
      <w:pPr>
        <w:ind w:left="4521" w:hanging="360"/>
      </w:pPr>
      <w:rPr>
        <w:rFonts w:ascii="Wingdings" w:hAnsi="Wingdings" w:hint="default"/>
      </w:rPr>
    </w:lvl>
    <w:lvl w:ilvl="6" w:tplc="041B0001" w:tentative="1">
      <w:start w:val="1"/>
      <w:numFmt w:val="bullet"/>
      <w:lvlText w:val=""/>
      <w:lvlJc w:val="left"/>
      <w:pPr>
        <w:ind w:left="5241" w:hanging="360"/>
      </w:pPr>
      <w:rPr>
        <w:rFonts w:ascii="Symbol" w:hAnsi="Symbol" w:hint="default"/>
      </w:rPr>
    </w:lvl>
    <w:lvl w:ilvl="7" w:tplc="041B0003" w:tentative="1">
      <w:start w:val="1"/>
      <w:numFmt w:val="bullet"/>
      <w:lvlText w:val="o"/>
      <w:lvlJc w:val="left"/>
      <w:pPr>
        <w:ind w:left="5961" w:hanging="360"/>
      </w:pPr>
      <w:rPr>
        <w:rFonts w:ascii="Courier New" w:hAnsi="Courier New" w:cs="Courier New" w:hint="default"/>
      </w:rPr>
    </w:lvl>
    <w:lvl w:ilvl="8" w:tplc="041B0005" w:tentative="1">
      <w:start w:val="1"/>
      <w:numFmt w:val="bullet"/>
      <w:lvlText w:val=""/>
      <w:lvlJc w:val="left"/>
      <w:pPr>
        <w:ind w:left="6681" w:hanging="360"/>
      </w:pPr>
      <w:rPr>
        <w:rFonts w:ascii="Wingdings" w:hAnsi="Wingdings" w:hint="default"/>
      </w:rPr>
    </w:lvl>
  </w:abstractNum>
  <w:abstractNum w:abstractNumId="34" w15:restartNumberingAfterBreak="0">
    <w:nsid w:val="47CA5F7D"/>
    <w:multiLevelType w:val="hybridMultilevel"/>
    <w:tmpl w:val="90467052"/>
    <w:lvl w:ilvl="0" w:tplc="004A8E5C">
      <w:start w:val="1"/>
      <w:numFmt w:val="bullet"/>
      <w:lvlText w:val=""/>
      <w:lvlJc w:val="left"/>
      <w:pPr>
        <w:ind w:left="721" w:hanging="360"/>
      </w:pPr>
      <w:rPr>
        <w:rFonts w:ascii="Symbol" w:hAnsi="Symbol" w:hint="default"/>
      </w:rPr>
    </w:lvl>
    <w:lvl w:ilvl="1" w:tplc="041B0003" w:tentative="1">
      <w:start w:val="1"/>
      <w:numFmt w:val="bullet"/>
      <w:lvlText w:val="o"/>
      <w:lvlJc w:val="left"/>
      <w:pPr>
        <w:ind w:left="1441" w:hanging="360"/>
      </w:pPr>
      <w:rPr>
        <w:rFonts w:ascii="Courier New" w:hAnsi="Courier New" w:cs="Courier New" w:hint="default"/>
      </w:rPr>
    </w:lvl>
    <w:lvl w:ilvl="2" w:tplc="041B0005" w:tentative="1">
      <w:start w:val="1"/>
      <w:numFmt w:val="bullet"/>
      <w:lvlText w:val=""/>
      <w:lvlJc w:val="left"/>
      <w:pPr>
        <w:ind w:left="2161" w:hanging="360"/>
      </w:pPr>
      <w:rPr>
        <w:rFonts w:ascii="Wingdings" w:hAnsi="Wingdings" w:hint="default"/>
      </w:rPr>
    </w:lvl>
    <w:lvl w:ilvl="3" w:tplc="041B0001" w:tentative="1">
      <w:start w:val="1"/>
      <w:numFmt w:val="bullet"/>
      <w:lvlText w:val=""/>
      <w:lvlJc w:val="left"/>
      <w:pPr>
        <w:ind w:left="2881" w:hanging="360"/>
      </w:pPr>
      <w:rPr>
        <w:rFonts w:ascii="Symbol" w:hAnsi="Symbol" w:hint="default"/>
      </w:rPr>
    </w:lvl>
    <w:lvl w:ilvl="4" w:tplc="041B0003" w:tentative="1">
      <w:start w:val="1"/>
      <w:numFmt w:val="bullet"/>
      <w:lvlText w:val="o"/>
      <w:lvlJc w:val="left"/>
      <w:pPr>
        <w:ind w:left="3601" w:hanging="360"/>
      </w:pPr>
      <w:rPr>
        <w:rFonts w:ascii="Courier New" w:hAnsi="Courier New" w:cs="Courier New" w:hint="default"/>
      </w:rPr>
    </w:lvl>
    <w:lvl w:ilvl="5" w:tplc="041B0005" w:tentative="1">
      <w:start w:val="1"/>
      <w:numFmt w:val="bullet"/>
      <w:lvlText w:val=""/>
      <w:lvlJc w:val="left"/>
      <w:pPr>
        <w:ind w:left="4321" w:hanging="360"/>
      </w:pPr>
      <w:rPr>
        <w:rFonts w:ascii="Wingdings" w:hAnsi="Wingdings" w:hint="default"/>
      </w:rPr>
    </w:lvl>
    <w:lvl w:ilvl="6" w:tplc="041B0001" w:tentative="1">
      <w:start w:val="1"/>
      <w:numFmt w:val="bullet"/>
      <w:lvlText w:val=""/>
      <w:lvlJc w:val="left"/>
      <w:pPr>
        <w:ind w:left="5041" w:hanging="360"/>
      </w:pPr>
      <w:rPr>
        <w:rFonts w:ascii="Symbol" w:hAnsi="Symbol" w:hint="default"/>
      </w:rPr>
    </w:lvl>
    <w:lvl w:ilvl="7" w:tplc="041B0003" w:tentative="1">
      <w:start w:val="1"/>
      <w:numFmt w:val="bullet"/>
      <w:lvlText w:val="o"/>
      <w:lvlJc w:val="left"/>
      <w:pPr>
        <w:ind w:left="5761" w:hanging="360"/>
      </w:pPr>
      <w:rPr>
        <w:rFonts w:ascii="Courier New" w:hAnsi="Courier New" w:cs="Courier New" w:hint="default"/>
      </w:rPr>
    </w:lvl>
    <w:lvl w:ilvl="8" w:tplc="041B0005" w:tentative="1">
      <w:start w:val="1"/>
      <w:numFmt w:val="bullet"/>
      <w:lvlText w:val=""/>
      <w:lvlJc w:val="left"/>
      <w:pPr>
        <w:ind w:left="6481" w:hanging="360"/>
      </w:pPr>
      <w:rPr>
        <w:rFonts w:ascii="Wingdings" w:hAnsi="Wingdings" w:hint="default"/>
      </w:rPr>
    </w:lvl>
  </w:abstractNum>
  <w:abstractNum w:abstractNumId="35" w15:restartNumberingAfterBreak="0">
    <w:nsid w:val="47DC09EA"/>
    <w:multiLevelType w:val="hybridMultilevel"/>
    <w:tmpl w:val="D292AC7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48FC338B"/>
    <w:multiLevelType w:val="hybridMultilevel"/>
    <w:tmpl w:val="712AE836"/>
    <w:lvl w:ilvl="0" w:tplc="004A8E5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7" w15:restartNumberingAfterBreak="0">
    <w:nsid w:val="4993478D"/>
    <w:multiLevelType w:val="hybridMultilevel"/>
    <w:tmpl w:val="36E08C4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8" w15:restartNumberingAfterBreak="0">
    <w:nsid w:val="50F92BE1"/>
    <w:multiLevelType w:val="hybridMultilevel"/>
    <w:tmpl w:val="FFF271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556F4A5D"/>
    <w:multiLevelType w:val="hybridMultilevel"/>
    <w:tmpl w:val="47144A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7F22A1C"/>
    <w:multiLevelType w:val="hybridMultilevel"/>
    <w:tmpl w:val="4796D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CB30037"/>
    <w:multiLevelType w:val="hybridMultilevel"/>
    <w:tmpl w:val="2ACC54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15:restartNumberingAfterBreak="0">
    <w:nsid w:val="5E1D4C16"/>
    <w:multiLevelType w:val="hybridMultilevel"/>
    <w:tmpl w:val="9E92F8DC"/>
    <w:lvl w:ilvl="0" w:tplc="BA7A7DB8">
      <w:start w:val="1"/>
      <w:numFmt w:val="bullet"/>
      <w:lvlText w:val=""/>
      <w:lvlJc w:val="left"/>
      <w:pPr>
        <w:ind w:left="360" w:hanging="360"/>
      </w:pPr>
      <w:rPr>
        <w:rFonts w:ascii="Symbol" w:hAnsi="Symbol" w:hint="default"/>
        <w:color w:val="auto"/>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3" w15:restartNumberingAfterBreak="0">
    <w:nsid w:val="5ED25E03"/>
    <w:multiLevelType w:val="hybridMultilevel"/>
    <w:tmpl w:val="B088D1CC"/>
    <w:lvl w:ilvl="0" w:tplc="041B0001">
      <w:start w:val="1"/>
      <w:numFmt w:val="bullet"/>
      <w:lvlText w:val=""/>
      <w:lvlJc w:val="left"/>
      <w:pPr>
        <w:ind w:left="884" w:hanging="360"/>
      </w:pPr>
      <w:rPr>
        <w:rFonts w:ascii="Symbol" w:hAnsi="Symbol" w:hint="default"/>
      </w:rPr>
    </w:lvl>
    <w:lvl w:ilvl="1" w:tplc="041B0003">
      <w:start w:val="1"/>
      <w:numFmt w:val="bullet"/>
      <w:lvlText w:val="o"/>
      <w:lvlJc w:val="left"/>
      <w:pPr>
        <w:ind w:left="1604" w:hanging="360"/>
      </w:pPr>
      <w:rPr>
        <w:rFonts w:ascii="Courier New" w:hAnsi="Courier New" w:cs="Courier New" w:hint="default"/>
      </w:rPr>
    </w:lvl>
    <w:lvl w:ilvl="2" w:tplc="041B0005" w:tentative="1">
      <w:start w:val="1"/>
      <w:numFmt w:val="bullet"/>
      <w:lvlText w:val=""/>
      <w:lvlJc w:val="left"/>
      <w:pPr>
        <w:ind w:left="2324" w:hanging="360"/>
      </w:pPr>
      <w:rPr>
        <w:rFonts w:ascii="Wingdings" w:hAnsi="Wingdings" w:hint="default"/>
      </w:rPr>
    </w:lvl>
    <w:lvl w:ilvl="3" w:tplc="041B0001" w:tentative="1">
      <w:start w:val="1"/>
      <w:numFmt w:val="bullet"/>
      <w:lvlText w:val=""/>
      <w:lvlJc w:val="left"/>
      <w:pPr>
        <w:ind w:left="3044" w:hanging="360"/>
      </w:pPr>
      <w:rPr>
        <w:rFonts w:ascii="Symbol" w:hAnsi="Symbol" w:hint="default"/>
      </w:rPr>
    </w:lvl>
    <w:lvl w:ilvl="4" w:tplc="041B0003" w:tentative="1">
      <w:start w:val="1"/>
      <w:numFmt w:val="bullet"/>
      <w:lvlText w:val="o"/>
      <w:lvlJc w:val="left"/>
      <w:pPr>
        <w:ind w:left="3764" w:hanging="360"/>
      </w:pPr>
      <w:rPr>
        <w:rFonts w:ascii="Courier New" w:hAnsi="Courier New" w:cs="Courier New" w:hint="default"/>
      </w:rPr>
    </w:lvl>
    <w:lvl w:ilvl="5" w:tplc="041B0005" w:tentative="1">
      <w:start w:val="1"/>
      <w:numFmt w:val="bullet"/>
      <w:lvlText w:val=""/>
      <w:lvlJc w:val="left"/>
      <w:pPr>
        <w:ind w:left="4484" w:hanging="360"/>
      </w:pPr>
      <w:rPr>
        <w:rFonts w:ascii="Wingdings" w:hAnsi="Wingdings" w:hint="default"/>
      </w:rPr>
    </w:lvl>
    <w:lvl w:ilvl="6" w:tplc="041B0001" w:tentative="1">
      <w:start w:val="1"/>
      <w:numFmt w:val="bullet"/>
      <w:lvlText w:val=""/>
      <w:lvlJc w:val="left"/>
      <w:pPr>
        <w:ind w:left="5204" w:hanging="360"/>
      </w:pPr>
      <w:rPr>
        <w:rFonts w:ascii="Symbol" w:hAnsi="Symbol" w:hint="default"/>
      </w:rPr>
    </w:lvl>
    <w:lvl w:ilvl="7" w:tplc="041B0003" w:tentative="1">
      <w:start w:val="1"/>
      <w:numFmt w:val="bullet"/>
      <w:lvlText w:val="o"/>
      <w:lvlJc w:val="left"/>
      <w:pPr>
        <w:ind w:left="5924" w:hanging="360"/>
      </w:pPr>
      <w:rPr>
        <w:rFonts w:ascii="Courier New" w:hAnsi="Courier New" w:cs="Courier New" w:hint="default"/>
      </w:rPr>
    </w:lvl>
    <w:lvl w:ilvl="8" w:tplc="041B0005" w:tentative="1">
      <w:start w:val="1"/>
      <w:numFmt w:val="bullet"/>
      <w:lvlText w:val=""/>
      <w:lvlJc w:val="left"/>
      <w:pPr>
        <w:ind w:left="6644" w:hanging="360"/>
      </w:pPr>
      <w:rPr>
        <w:rFonts w:ascii="Wingdings" w:hAnsi="Wingdings" w:hint="default"/>
      </w:rPr>
    </w:lvl>
  </w:abstractNum>
  <w:abstractNum w:abstractNumId="44" w15:restartNumberingAfterBreak="0">
    <w:nsid w:val="5F201913"/>
    <w:multiLevelType w:val="hybridMultilevel"/>
    <w:tmpl w:val="5C7097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615A72B9"/>
    <w:multiLevelType w:val="hybridMultilevel"/>
    <w:tmpl w:val="0664718E"/>
    <w:lvl w:ilvl="0" w:tplc="004A8E5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15:restartNumberingAfterBreak="0">
    <w:nsid w:val="62412617"/>
    <w:multiLevelType w:val="hybridMultilevel"/>
    <w:tmpl w:val="E8CA541C"/>
    <w:lvl w:ilvl="0" w:tplc="004A8E5C">
      <w:start w:val="1"/>
      <w:numFmt w:val="bullet"/>
      <w:lvlText w:val=""/>
      <w:lvlJc w:val="left"/>
      <w:pPr>
        <w:ind w:left="360" w:hanging="360"/>
      </w:pPr>
      <w:rPr>
        <w:rFonts w:ascii="Symbol" w:hAnsi="Symbol"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47" w15:restartNumberingAfterBreak="0">
    <w:nsid w:val="62436147"/>
    <w:multiLevelType w:val="hybridMultilevel"/>
    <w:tmpl w:val="076AC87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8" w15:restartNumberingAfterBreak="0">
    <w:nsid w:val="631B4815"/>
    <w:multiLevelType w:val="hybridMultilevel"/>
    <w:tmpl w:val="05FC1778"/>
    <w:lvl w:ilvl="0" w:tplc="004A8E5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9" w15:restartNumberingAfterBreak="0">
    <w:nsid w:val="6BEB6487"/>
    <w:multiLevelType w:val="hybridMultilevel"/>
    <w:tmpl w:val="D21AC24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0" w15:restartNumberingAfterBreak="0">
    <w:nsid w:val="72B309C3"/>
    <w:multiLevelType w:val="hybridMultilevel"/>
    <w:tmpl w:val="D2B4EA3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1" w15:restartNumberingAfterBreak="0">
    <w:nsid w:val="742D3C56"/>
    <w:multiLevelType w:val="hybridMultilevel"/>
    <w:tmpl w:val="EC2CE2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55514CA"/>
    <w:multiLevelType w:val="hybridMultilevel"/>
    <w:tmpl w:val="81A05624"/>
    <w:lvl w:ilvl="0" w:tplc="004A8E5C">
      <w:start w:val="1"/>
      <w:numFmt w:val="bullet"/>
      <w:lvlText w:val=""/>
      <w:lvlJc w:val="left"/>
      <w:pPr>
        <w:ind w:left="360" w:hanging="360"/>
      </w:pPr>
      <w:rPr>
        <w:rFonts w:ascii="Symbol" w:hAnsi="Symbol"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53" w15:restartNumberingAfterBreak="0">
    <w:nsid w:val="792313BF"/>
    <w:multiLevelType w:val="hybridMultilevel"/>
    <w:tmpl w:val="6786E0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7FB10A66"/>
    <w:multiLevelType w:val="hybridMultilevel"/>
    <w:tmpl w:val="599E8BB6"/>
    <w:lvl w:ilvl="0" w:tplc="004A8E5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4"/>
  </w:num>
  <w:num w:numId="2">
    <w:abstractNumId w:val="26"/>
  </w:num>
  <w:num w:numId="3">
    <w:abstractNumId w:val="2"/>
  </w:num>
  <w:num w:numId="4">
    <w:abstractNumId w:val="13"/>
  </w:num>
  <w:num w:numId="5">
    <w:abstractNumId w:val="42"/>
  </w:num>
  <w:num w:numId="6">
    <w:abstractNumId w:val="50"/>
  </w:num>
  <w:num w:numId="7">
    <w:abstractNumId w:val="10"/>
  </w:num>
  <w:num w:numId="8">
    <w:abstractNumId w:val="20"/>
  </w:num>
  <w:num w:numId="9">
    <w:abstractNumId w:val="37"/>
  </w:num>
  <w:num w:numId="10">
    <w:abstractNumId w:val="6"/>
  </w:num>
  <w:num w:numId="11">
    <w:abstractNumId w:val="22"/>
  </w:num>
  <w:num w:numId="12">
    <w:abstractNumId w:val="35"/>
  </w:num>
  <w:num w:numId="13">
    <w:abstractNumId w:val="23"/>
  </w:num>
  <w:num w:numId="14">
    <w:abstractNumId w:val="43"/>
  </w:num>
  <w:num w:numId="15">
    <w:abstractNumId w:val="19"/>
  </w:num>
  <w:num w:numId="16">
    <w:abstractNumId w:val="27"/>
  </w:num>
  <w:num w:numId="17">
    <w:abstractNumId w:val="47"/>
  </w:num>
  <w:num w:numId="18">
    <w:abstractNumId w:val="30"/>
  </w:num>
  <w:num w:numId="19">
    <w:abstractNumId w:val="49"/>
  </w:num>
  <w:num w:numId="20">
    <w:abstractNumId w:val="41"/>
  </w:num>
  <w:num w:numId="21">
    <w:abstractNumId w:val="18"/>
  </w:num>
  <w:num w:numId="22">
    <w:abstractNumId w:val="1"/>
  </w:num>
  <w:num w:numId="23">
    <w:abstractNumId w:val="45"/>
  </w:num>
  <w:num w:numId="24">
    <w:abstractNumId w:val="12"/>
  </w:num>
  <w:num w:numId="25">
    <w:abstractNumId w:val="33"/>
  </w:num>
  <w:num w:numId="26">
    <w:abstractNumId w:val="48"/>
  </w:num>
  <w:num w:numId="27">
    <w:abstractNumId w:val="34"/>
  </w:num>
  <w:num w:numId="28">
    <w:abstractNumId w:val="36"/>
  </w:num>
  <w:num w:numId="29">
    <w:abstractNumId w:val="3"/>
  </w:num>
  <w:num w:numId="30">
    <w:abstractNumId w:val="46"/>
  </w:num>
  <w:num w:numId="31">
    <w:abstractNumId w:val="54"/>
  </w:num>
  <w:num w:numId="32">
    <w:abstractNumId w:val="31"/>
  </w:num>
  <w:num w:numId="33">
    <w:abstractNumId w:val="11"/>
  </w:num>
  <w:num w:numId="34">
    <w:abstractNumId w:val="52"/>
  </w:num>
  <w:num w:numId="35">
    <w:abstractNumId w:val="9"/>
  </w:num>
  <w:num w:numId="36">
    <w:abstractNumId w:val="8"/>
  </w:num>
  <w:num w:numId="37">
    <w:abstractNumId w:val="17"/>
  </w:num>
  <w:num w:numId="38">
    <w:abstractNumId w:val="32"/>
  </w:num>
  <w:num w:numId="39">
    <w:abstractNumId w:val="14"/>
  </w:num>
  <w:num w:numId="40">
    <w:abstractNumId w:val="51"/>
  </w:num>
  <w:num w:numId="41">
    <w:abstractNumId w:val="39"/>
  </w:num>
  <w:num w:numId="42">
    <w:abstractNumId w:val="16"/>
  </w:num>
  <w:num w:numId="43">
    <w:abstractNumId w:val="21"/>
  </w:num>
  <w:num w:numId="44">
    <w:abstractNumId w:val="53"/>
  </w:num>
  <w:num w:numId="45">
    <w:abstractNumId w:val="7"/>
  </w:num>
  <w:num w:numId="46">
    <w:abstractNumId w:val="25"/>
  </w:num>
  <w:num w:numId="47">
    <w:abstractNumId w:val="0"/>
  </w:num>
  <w:num w:numId="48">
    <w:abstractNumId w:val="29"/>
  </w:num>
  <w:num w:numId="49">
    <w:abstractNumId w:val="15"/>
  </w:num>
  <w:num w:numId="50">
    <w:abstractNumId w:val="40"/>
  </w:num>
  <w:num w:numId="51">
    <w:abstractNumId w:val="44"/>
  </w:num>
  <w:num w:numId="52">
    <w:abstractNumId w:val="28"/>
  </w:num>
  <w:num w:numId="53">
    <w:abstractNumId w:val="38"/>
  </w:num>
  <w:num w:numId="54">
    <w:abstractNumId w:val="24"/>
  </w:num>
  <w:num w:numId="55">
    <w:abstractNumId w:val="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66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2935"/>
    <w:rsid w:val="00000017"/>
    <w:rsid w:val="00000496"/>
    <w:rsid w:val="00000B63"/>
    <w:rsid w:val="00000D33"/>
    <w:rsid w:val="00000E53"/>
    <w:rsid w:val="000011A4"/>
    <w:rsid w:val="00001355"/>
    <w:rsid w:val="000013E3"/>
    <w:rsid w:val="0000146C"/>
    <w:rsid w:val="00001636"/>
    <w:rsid w:val="000018B6"/>
    <w:rsid w:val="00001BEC"/>
    <w:rsid w:val="00001F00"/>
    <w:rsid w:val="00002007"/>
    <w:rsid w:val="0000212F"/>
    <w:rsid w:val="0000268E"/>
    <w:rsid w:val="000026BE"/>
    <w:rsid w:val="0000277D"/>
    <w:rsid w:val="00002ABC"/>
    <w:rsid w:val="00002CC7"/>
    <w:rsid w:val="00002DAD"/>
    <w:rsid w:val="00002E6D"/>
    <w:rsid w:val="00002EAB"/>
    <w:rsid w:val="00002F2E"/>
    <w:rsid w:val="00002FFC"/>
    <w:rsid w:val="000031EC"/>
    <w:rsid w:val="000035A2"/>
    <w:rsid w:val="000035B3"/>
    <w:rsid w:val="00003794"/>
    <w:rsid w:val="00003814"/>
    <w:rsid w:val="000038A2"/>
    <w:rsid w:val="00003C00"/>
    <w:rsid w:val="00003EAE"/>
    <w:rsid w:val="0000406A"/>
    <w:rsid w:val="000041F3"/>
    <w:rsid w:val="00004291"/>
    <w:rsid w:val="00004607"/>
    <w:rsid w:val="00004845"/>
    <w:rsid w:val="0000496A"/>
    <w:rsid w:val="00004A3D"/>
    <w:rsid w:val="00004BC5"/>
    <w:rsid w:val="00005227"/>
    <w:rsid w:val="00005667"/>
    <w:rsid w:val="0000574F"/>
    <w:rsid w:val="000059BE"/>
    <w:rsid w:val="00005FED"/>
    <w:rsid w:val="000060B3"/>
    <w:rsid w:val="00006392"/>
    <w:rsid w:val="000065FC"/>
    <w:rsid w:val="0000660B"/>
    <w:rsid w:val="0000671B"/>
    <w:rsid w:val="000068F6"/>
    <w:rsid w:val="00006E0A"/>
    <w:rsid w:val="000077B6"/>
    <w:rsid w:val="00007E1D"/>
    <w:rsid w:val="000103A6"/>
    <w:rsid w:val="00010842"/>
    <w:rsid w:val="000108D6"/>
    <w:rsid w:val="00010A39"/>
    <w:rsid w:val="00010B23"/>
    <w:rsid w:val="00010D44"/>
    <w:rsid w:val="00010F55"/>
    <w:rsid w:val="00010F89"/>
    <w:rsid w:val="000110E0"/>
    <w:rsid w:val="00011DF0"/>
    <w:rsid w:val="00011E52"/>
    <w:rsid w:val="00011FD0"/>
    <w:rsid w:val="0001206B"/>
    <w:rsid w:val="0001233C"/>
    <w:rsid w:val="00012654"/>
    <w:rsid w:val="00012745"/>
    <w:rsid w:val="0001295B"/>
    <w:rsid w:val="00012992"/>
    <w:rsid w:val="00012E8F"/>
    <w:rsid w:val="00012F9A"/>
    <w:rsid w:val="00013024"/>
    <w:rsid w:val="0001304B"/>
    <w:rsid w:val="00013073"/>
    <w:rsid w:val="00013383"/>
    <w:rsid w:val="000137D6"/>
    <w:rsid w:val="00013E91"/>
    <w:rsid w:val="00013F76"/>
    <w:rsid w:val="000141BD"/>
    <w:rsid w:val="000147F6"/>
    <w:rsid w:val="00014A0F"/>
    <w:rsid w:val="00014E14"/>
    <w:rsid w:val="00014FA6"/>
    <w:rsid w:val="000150E2"/>
    <w:rsid w:val="00015142"/>
    <w:rsid w:val="00015C29"/>
    <w:rsid w:val="00015C7D"/>
    <w:rsid w:val="00015D26"/>
    <w:rsid w:val="00016456"/>
    <w:rsid w:val="000164E2"/>
    <w:rsid w:val="0001680A"/>
    <w:rsid w:val="00016889"/>
    <w:rsid w:val="000168FA"/>
    <w:rsid w:val="00016996"/>
    <w:rsid w:val="000169AB"/>
    <w:rsid w:val="00016D84"/>
    <w:rsid w:val="00017038"/>
    <w:rsid w:val="00017260"/>
    <w:rsid w:val="000172F2"/>
    <w:rsid w:val="000174FE"/>
    <w:rsid w:val="000175B7"/>
    <w:rsid w:val="00017864"/>
    <w:rsid w:val="00017867"/>
    <w:rsid w:val="00017A3B"/>
    <w:rsid w:val="00017B10"/>
    <w:rsid w:val="00017D7B"/>
    <w:rsid w:val="000202B2"/>
    <w:rsid w:val="00020304"/>
    <w:rsid w:val="0002052C"/>
    <w:rsid w:val="00020897"/>
    <w:rsid w:val="00020B90"/>
    <w:rsid w:val="00020C1D"/>
    <w:rsid w:val="00020C72"/>
    <w:rsid w:val="00020C83"/>
    <w:rsid w:val="00020CFB"/>
    <w:rsid w:val="00020DFD"/>
    <w:rsid w:val="00020E79"/>
    <w:rsid w:val="0002101A"/>
    <w:rsid w:val="00021209"/>
    <w:rsid w:val="000212DA"/>
    <w:rsid w:val="0002142D"/>
    <w:rsid w:val="0002192F"/>
    <w:rsid w:val="00021ACC"/>
    <w:rsid w:val="00021E14"/>
    <w:rsid w:val="000223A1"/>
    <w:rsid w:val="00022704"/>
    <w:rsid w:val="00022780"/>
    <w:rsid w:val="00022848"/>
    <w:rsid w:val="00022933"/>
    <w:rsid w:val="00022AF8"/>
    <w:rsid w:val="00022B11"/>
    <w:rsid w:val="00022EBB"/>
    <w:rsid w:val="00022F1F"/>
    <w:rsid w:val="00022F5A"/>
    <w:rsid w:val="00023054"/>
    <w:rsid w:val="00023158"/>
    <w:rsid w:val="00023548"/>
    <w:rsid w:val="000236C2"/>
    <w:rsid w:val="0002395D"/>
    <w:rsid w:val="00024071"/>
    <w:rsid w:val="000242C7"/>
    <w:rsid w:val="000242CA"/>
    <w:rsid w:val="00024563"/>
    <w:rsid w:val="00024A04"/>
    <w:rsid w:val="00025044"/>
    <w:rsid w:val="00025202"/>
    <w:rsid w:val="00025367"/>
    <w:rsid w:val="00025668"/>
    <w:rsid w:val="000257AA"/>
    <w:rsid w:val="000259AD"/>
    <w:rsid w:val="000259D7"/>
    <w:rsid w:val="00025ABA"/>
    <w:rsid w:val="00025ACD"/>
    <w:rsid w:val="00025E9F"/>
    <w:rsid w:val="00026229"/>
    <w:rsid w:val="00026548"/>
    <w:rsid w:val="000266A0"/>
    <w:rsid w:val="000266D2"/>
    <w:rsid w:val="00026826"/>
    <w:rsid w:val="00026D85"/>
    <w:rsid w:val="00026F09"/>
    <w:rsid w:val="00027227"/>
    <w:rsid w:val="0002733C"/>
    <w:rsid w:val="00027477"/>
    <w:rsid w:val="00027581"/>
    <w:rsid w:val="0002763A"/>
    <w:rsid w:val="000277A9"/>
    <w:rsid w:val="0002788B"/>
    <w:rsid w:val="00027A91"/>
    <w:rsid w:val="00027CE3"/>
    <w:rsid w:val="00027DE7"/>
    <w:rsid w:val="00027DFA"/>
    <w:rsid w:val="0003002B"/>
    <w:rsid w:val="000300BD"/>
    <w:rsid w:val="00030204"/>
    <w:rsid w:val="000302A3"/>
    <w:rsid w:val="000303B0"/>
    <w:rsid w:val="00030461"/>
    <w:rsid w:val="000305FA"/>
    <w:rsid w:val="000306A0"/>
    <w:rsid w:val="00030718"/>
    <w:rsid w:val="00030B32"/>
    <w:rsid w:val="00030D79"/>
    <w:rsid w:val="00030D8E"/>
    <w:rsid w:val="00030DA8"/>
    <w:rsid w:val="00030E67"/>
    <w:rsid w:val="000312C1"/>
    <w:rsid w:val="000314CD"/>
    <w:rsid w:val="000316F5"/>
    <w:rsid w:val="0003177A"/>
    <w:rsid w:val="00031C88"/>
    <w:rsid w:val="00032035"/>
    <w:rsid w:val="0003220D"/>
    <w:rsid w:val="00032386"/>
    <w:rsid w:val="000326AC"/>
    <w:rsid w:val="00032835"/>
    <w:rsid w:val="0003283D"/>
    <w:rsid w:val="000328F0"/>
    <w:rsid w:val="00032C46"/>
    <w:rsid w:val="00032EB1"/>
    <w:rsid w:val="00033042"/>
    <w:rsid w:val="000333C8"/>
    <w:rsid w:val="00033646"/>
    <w:rsid w:val="00033688"/>
    <w:rsid w:val="00033879"/>
    <w:rsid w:val="0003394B"/>
    <w:rsid w:val="00033956"/>
    <w:rsid w:val="000339A2"/>
    <w:rsid w:val="00033B80"/>
    <w:rsid w:val="00033F2E"/>
    <w:rsid w:val="000342A5"/>
    <w:rsid w:val="000342C5"/>
    <w:rsid w:val="00034388"/>
    <w:rsid w:val="00034532"/>
    <w:rsid w:val="0003467A"/>
    <w:rsid w:val="00034861"/>
    <w:rsid w:val="00034A22"/>
    <w:rsid w:val="00034AE4"/>
    <w:rsid w:val="00034D95"/>
    <w:rsid w:val="00035649"/>
    <w:rsid w:val="000356B2"/>
    <w:rsid w:val="00035C97"/>
    <w:rsid w:val="00035E01"/>
    <w:rsid w:val="00035E4B"/>
    <w:rsid w:val="000366C7"/>
    <w:rsid w:val="00036793"/>
    <w:rsid w:val="00036AD5"/>
    <w:rsid w:val="00036BE8"/>
    <w:rsid w:val="00036BEE"/>
    <w:rsid w:val="00036EAC"/>
    <w:rsid w:val="00036FDE"/>
    <w:rsid w:val="000372B0"/>
    <w:rsid w:val="000377C7"/>
    <w:rsid w:val="00037AA2"/>
    <w:rsid w:val="00037E31"/>
    <w:rsid w:val="0004017F"/>
    <w:rsid w:val="00040635"/>
    <w:rsid w:val="000407DB"/>
    <w:rsid w:val="0004084C"/>
    <w:rsid w:val="00040DCB"/>
    <w:rsid w:val="00040DE6"/>
    <w:rsid w:val="00040DEE"/>
    <w:rsid w:val="000411D2"/>
    <w:rsid w:val="000416FB"/>
    <w:rsid w:val="00041866"/>
    <w:rsid w:val="00041E02"/>
    <w:rsid w:val="00041E0A"/>
    <w:rsid w:val="00041EA8"/>
    <w:rsid w:val="00042148"/>
    <w:rsid w:val="00042501"/>
    <w:rsid w:val="000425FC"/>
    <w:rsid w:val="0004269C"/>
    <w:rsid w:val="00042904"/>
    <w:rsid w:val="00042B87"/>
    <w:rsid w:val="00042DD3"/>
    <w:rsid w:val="00042E19"/>
    <w:rsid w:val="00042E36"/>
    <w:rsid w:val="00042EA9"/>
    <w:rsid w:val="00042F36"/>
    <w:rsid w:val="00043062"/>
    <w:rsid w:val="00043182"/>
    <w:rsid w:val="00043624"/>
    <w:rsid w:val="0004376E"/>
    <w:rsid w:val="000439A3"/>
    <w:rsid w:val="00043B8B"/>
    <w:rsid w:val="00043BFE"/>
    <w:rsid w:val="00043CB3"/>
    <w:rsid w:val="00043DB9"/>
    <w:rsid w:val="00044882"/>
    <w:rsid w:val="00044C1F"/>
    <w:rsid w:val="000450E5"/>
    <w:rsid w:val="00045432"/>
    <w:rsid w:val="000454DA"/>
    <w:rsid w:val="000455CA"/>
    <w:rsid w:val="00045603"/>
    <w:rsid w:val="0004568E"/>
    <w:rsid w:val="000458E6"/>
    <w:rsid w:val="000459C3"/>
    <w:rsid w:val="000459EF"/>
    <w:rsid w:val="00045A5A"/>
    <w:rsid w:val="00045B26"/>
    <w:rsid w:val="00045C71"/>
    <w:rsid w:val="00045C72"/>
    <w:rsid w:val="00045E1F"/>
    <w:rsid w:val="00045E92"/>
    <w:rsid w:val="00045F3B"/>
    <w:rsid w:val="00046256"/>
    <w:rsid w:val="000464BC"/>
    <w:rsid w:val="000464CB"/>
    <w:rsid w:val="000465DF"/>
    <w:rsid w:val="000465EB"/>
    <w:rsid w:val="000467C0"/>
    <w:rsid w:val="00046C2A"/>
    <w:rsid w:val="00046D05"/>
    <w:rsid w:val="00046F95"/>
    <w:rsid w:val="00046FA1"/>
    <w:rsid w:val="00047469"/>
    <w:rsid w:val="0004762E"/>
    <w:rsid w:val="00047702"/>
    <w:rsid w:val="00047731"/>
    <w:rsid w:val="000478E2"/>
    <w:rsid w:val="000479B1"/>
    <w:rsid w:val="00047B92"/>
    <w:rsid w:val="00047D53"/>
    <w:rsid w:val="00047D5C"/>
    <w:rsid w:val="00047D81"/>
    <w:rsid w:val="00047EAE"/>
    <w:rsid w:val="000501C4"/>
    <w:rsid w:val="00050265"/>
    <w:rsid w:val="00050859"/>
    <w:rsid w:val="000509E1"/>
    <w:rsid w:val="00050CF2"/>
    <w:rsid w:val="00050DD6"/>
    <w:rsid w:val="00050EF2"/>
    <w:rsid w:val="0005108D"/>
    <w:rsid w:val="00051497"/>
    <w:rsid w:val="000514E4"/>
    <w:rsid w:val="00051603"/>
    <w:rsid w:val="000517CA"/>
    <w:rsid w:val="00051B96"/>
    <w:rsid w:val="00052136"/>
    <w:rsid w:val="00052454"/>
    <w:rsid w:val="000527AC"/>
    <w:rsid w:val="00052A35"/>
    <w:rsid w:val="00052A62"/>
    <w:rsid w:val="00052FDA"/>
    <w:rsid w:val="00053018"/>
    <w:rsid w:val="000532EF"/>
    <w:rsid w:val="00053724"/>
    <w:rsid w:val="00053B93"/>
    <w:rsid w:val="00053BB7"/>
    <w:rsid w:val="00053ECE"/>
    <w:rsid w:val="00053FB4"/>
    <w:rsid w:val="00054689"/>
    <w:rsid w:val="0005497F"/>
    <w:rsid w:val="00054BEC"/>
    <w:rsid w:val="00054FA7"/>
    <w:rsid w:val="000552CC"/>
    <w:rsid w:val="00055457"/>
    <w:rsid w:val="00055816"/>
    <w:rsid w:val="00055A20"/>
    <w:rsid w:val="00055A68"/>
    <w:rsid w:val="00055AD8"/>
    <w:rsid w:val="00055C66"/>
    <w:rsid w:val="00055D17"/>
    <w:rsid w:val="00055DBE"/>
    <w:rsid w:val="0005603C"/>
    <w:rsid w:val="0005608A"/>
    <w:rsid w:val="0005648F"/>
    <w:rsid w:val="0005672A"/>
    <w:rsid w:val="0005674B"/>
    <w:rsid w:val="000567BB"/>
    <w:rsid w:val="0005683C"/>
    <w:rsid w:val="000569E6"/>
    <w:rsid w:val="00056A92"/>
    <w:rsid w:val="00056BB6"/>
    <w:rsid w:val="00056CFF"/>
    <w:rsid w:val="00056E3D"/>
    <w:rsid w:val="00056E4F"/>
    <w:rsid w:val="00057401"/>
    <w:rsid w:val="0005759B"/>
    <w:rsid w:val="0005798C"/>
    <w:rsid w:val="00057C06"/>
    <w:rsid w:val="00057CAB"/>
    <w:rsid w:val="00057CB6"/>
    <w:rsid w:val="00060062"/>
    <w:rsid w:val="000601C4"/>
    <w:rsid w:val="000601CA"/>
    <w:rsid w:val="0006083C"/>
    <w:rsid w:val="000609B7"/>
    <w:rsid w:val="00060D0E"/>
    <w:rsid w:val="00060D1A"/>
    <w:rsid w:val="00060DD7"/>
    <w:rsid w:val="00060E69"/>
    <w:rsid w:val="000610CD"/>
    <w:rsid w:val="000617D3"/>
    <w:rsid w:val="000617E3"/>
    <w:rsid w:val="00061D68"/>
    <w:rsid w:val="00062096"/>
    <w:rsid w:val="00062187"/>
    <w:rsid w:val="00062423"/>
    <w:rsid w:val="0006254C"/>
    <w:rsid w:val="000625D8"/>
    <w:rsid w:val="00062714"/>
    <w:rsid w:val="00062EAC"/>
    <w:rsid w:val="00062FA5"/>
    <w:rsid w:val="00063005"/>
    <w:rsid w:val="000630C8"/>
    <w:rsid w:val="000631B7"/>
    <w:rsid w:val="000632DC"/>
    <w:rsid w:val="00063425"/>
    <w:rsid w:val="00063440"/>
    <w:rsid w:val="00063C1A"/>
    <w:rsid w:val="00063DF9"/>
    <w:rsid w:val="00064069"/>
    <w:rsid w:val="0006456A"/>
    <w:rsid w:val="00064601"/>
    <w:rsid w:val="000646D0"/>
    <w:rsid w:val="00064C5F"/>
    <w:rsid w:val="00064D28"/>
    <w:rsid w:val="00064D7D"/>
    <w:rsid w:val="00065131"/>
    <w:rsid w:val="000654F8"/>
    <w:rsid w:val="0006596F"/>
    <w:rsid w:val="00065CA4"/>
    <w:rsid w:val="00065D0C"/>
    <w:rsid w:val="00065E0C"/>
    <w:rsid w:val="00065E62"/>
    <w:rsid w:val="0006613A"/>
    <w:rsid w:val="00066200"/>
    <w:rsid w:val="0006639A"/>
    <w:rsid w:val="0006644D"/>
    <w:rsid w:val="00066539"/>
    <w:rsid w:val="000667FE"/>
    <w:rsid w:val="00066B23"/>
    <w:rsid w:val="00066BD0"/>
    <w:rsid w:val="00066BF1"/>
    <w:rsid w:val="00067331"/>
    <w:rsid w:val="000675F4"/>
    <w:rsid w:val="000676B4"/>
    <w:rsid w:val="000676C9"/>
    <w:rsid w:val="0006780D"/>
    <w:rsid w:val="000678FD"/>
    <w:rsid w:val="00067E92"/>
    <w:rsid w:val="0007002C"/>
    <w:rsid w:val="000700D8"/>
    <w:rsid w:val="0007062E"/>
    <w:rsid w:val="00070940"/>
    <w:rsid w:val="00070A47"/>
    <w:rsid w:val="00070F3B"/>
    <w:rsid w:val="00071015"/>
    <w:rsid w:val="000711D8"/>
    <w:rsid w:val="00071500"/>
    <w:rsid w:val="00071560"/>
    <w:rsid w:val="00071980"/>
    <w:rsid w:val="00071B04"/>
    <w:rsid w:val="00071C9C"/>
    <w:rsid w:val="00071E50"/>
    <w:rsid w:val="000723A8"/>
    <w:rsid w:val="00072634"/>
    <w:rsid w:val="0007278D"/>
    <w:rsid w:val="000727BE"/>
    <w:rsid w:val="00072A8F"/>
    <w:rsid w:val="00072A9C"/>
    <w:rsid w:val="00072C57"/>
    <w:rsid w:val="00072CAB"/>
    <w:rsid w:val="00072D58"/>
    <w:rsid w:val="00072DE5"/>
    <w:rsid w:val="0007320D"/>
    <w:rsid w:val="000732E6"/>
    <w:rsid w:val="000732F4"/>
    <w:rsid w:val="000733BC"/>
    <w:rsid w:val="0007349A"/>
    <w:rsid w:val="000735D6"/>
    <w:rsid w:val="0007383C"/>
    <w:rsid w:val="00073BBA"/>
    <w:rsid w:val="00073C5B"/>
    <w:rsid w:val="00073D81"/>
    <w:rsid w:val="00073F3D"/>
    <w:rsid w:val="00074145"/>
    <w:rsid w:val="000747CF"/>
    <w:rsid w:val="0007492E"/>
    <w:rsid w:val="00074B57"/>
    <w:rsid w:val="00074D3D"/>
    <w:rsid w:val="00074DC8"/>
    <w:rsid w:val="00074EF9"/>
    <w:rsid w:val="00074FC7"/>
    <w:rsid w:val="00075010"/>
    <w:rsid w:val="000750C2"/>
    <w:rsid w:val="000750E5"/>
    <w:rsid w:val="00075112"/>
    <w:rsid w:val="00075132"/>
    <w:rsid w:val="00075198"/>
    <w:rsid w:val="000754D2"/>
    <w:rsid w:val="000755EC"/>
    <w:rsid w:val="000756E8"/>
    <w:rsid w:val="00075BB2"/>
    <w:rsid w:val="00075E42"/>
    <w:rsid w:val="00075F5B"/>
    <w:rsid w:val="000762DF"/>
    <w:rsid w:val="00076568"/>
    <w:rsid w:val="00076A35"/>
    <w:rsid w:val="00076F51"/>
    <w:rsid w:val="00076F9D"/>
    <w:rsid w:val="000773F0"/>
    <w:rsid w:val="000774B9"/>
    <w:rsid w:val="00077620"/>
    <w:rsid w:val="000777AF"/>
    <w:rsid w:val="000777E2"/>
    <w:rsid w:val="00077B6A"/>
    <w:rsid w:val="00077BB1"/>
    <w:rsid w:val="00080181"/>
    <w:rsid w:val="00080835"/>
    <w:rsid w:val="000808E1"/>
    <w:rsid w:val="00080939"/>
    <w:rsid w:val="00080ACE"/>
    <w:rsid w:val="00080DB1"/>
    <w:rsid w:val="00080F72"/>
    <w:rsid w:val="00081148"/>
    <w:rsid w:val="0008124E"/>
    <w:rsid w:val="0008144A"/>
    <w:rsid w:val="0008172C"/>
    <w:rsid w:val="000819F5"/>
    <w:rsid w:val="00081BED"/>
    <w:rsid w:val="00081C8B"/>
    <w:rsid w:val="00081EA0"/>
    <w:rsid w:val="00082186"/>
    <w:rsid w:val="0008224D"/>
    <w:rsid w:val="000822AC"/>
    <w:rsid w:val="000822D6"/>
    <w:rsid w:val="00082590"/>
    <w:rsid w:val="00082BAD"/>
    <w:rsid w:val="00082F18"/>
    <w:rsid w:val="00082FB1"/>
    <w:rsid w:val="00083035"/>
    <w:rsid w:val="000832EC"/>
    <w:rsid w:val="00083370"/>
    <w:rsid w:val="00083445"/>
    <w:rsid w:val="000834EA"/>
    <w:rsid w:val="00083617"/>
    <w:rsid w:val="000836C1"/>
    <w:rsid w:val="000836D9"/>
    <w:rsid w:val="000838BE"/>
    <w:rsid w:val="00083D9B"/>
    <w:rsid w:val="00084131"/>
    <w:rsid w:val="00084333"/>
    <w:rsid w:val="000844D3"/>
    <w:rsid w:val="000845FE"/>
    <w:rsid w:val="000847F7"/>
    <w:rsid w:val="00084925"/>
    <w:rsid w:val="00084CFA"/>
    <w:rsid w:val="00084D2D"/>
    <w:rsid w:val="00084DA7"/>
    <w:rsid w:val="00084DAB"/>
    <w:rsid w:val="00085761"/>
    <w:rsid w:val="000858FF"/>
    <w:rsid w:val="00085A39"/>
    <w:rsid w:val="00085A73"/>
    <w:rsid w:val="00085A74"/>
    <w:rsid w:val="00085F91"/>
    <w:rsid w:val="0008635C"/>
    <w:rsid w:val="000863D4"/>
    <w:rsid w:val="0008678E"/>
    <w:rsid w:val="00086896"/>
    <w:rsid w:val="00086A66"/>
    <w:rsid w:val="00086A86"/>
    <w:rsid w:val="00086B3A"/>
    <w:rsid w:val="00086C62"/>
    <w:rsid w:val="00086F2B"/>
    <w:rsid w:val="00087761"/>
    <w:rsid w:val="00087784"/>
    <w:rsid w:val="000878C3"/>
    <w:rsid w:val="00087FB6"/>
    <w:rsid w:val="000904CC"/>
    <w:rsid w:val="000906BA"/>
    <w:rsid w:val="00090A7F"/>
    <w:rsid w:val="00090B6B"/>
    <w:rsid w:val="00090C6D"/>
    <w:rsid w:val="00090D12"/>
    <w:rsid w:val="00090D74"/>
    <w:rsid w:val="000913C5"/>
    <w:rsid w:val="00091A87"/>
    <w:rsid w:val="00091AB4"/>
    <w:rsid w:val="00091E2A"/>
    <w:rsid w:val="00092304"/>
    <w:rsid w:val="0009232F"/>
    <w:rsid w:val="0009244D"/>
    <w:rsid w:val="0009253B"/>
    <w:rsid w:val="00092798"/>
    <w:rsid w:val="00092B26"/>
    <w:rsid w:val="00092CF6"/>
    <w:rsid w:val="00092EC1"/>
    <w:rsid w:val="00092EFE"/>
    <w:rsid w:val="00093642"/>
    <w:rsid w:val="00093721"/>
    <w:rsid w:val="000938F6"/>
    <w:rsid w:val="00093C53"/>
    <w:rsid w:val="00093D6E"/>
    <w:rsid w:val="00093E74"/>
    <w:rsid w:val="00093FA4"/>
    <w:rsid w:val="000942A8"/>
    <w:rsid w:val="000942BF"/>
    <w:rsid w:val="000947E5"/>
    <w:rsid w:val="00094860"/>
    <w:rsid w:val="00094906"/>
    <w:rsid w:val="00094A5E"/>
    <w:rsid w:val="00094D27"/>
    <w:rsid w:val="00094EEF"/>
    <w:rsid w:val="00094F55"/>
    <w:rsid w:val="00095496"/>
    <w:rsid w:val="000955CB"/>
    <w:rsid w:val="00095790"/>
    <w:rsid w:val="00095801"/>
    <w:rsid w:val="00095A17"/>
    <w:rsid w:val="0009606A"/>
    <w:rsid w:val="00096097"/>
    <w:rsid w:val="000960A0"/>
    <w:rsid w:val="00096116"/>
    <w:rsid w:val="0009614D"/>
    <w:rsid w:val="0009651A"/>
    <w:rsid w:val="00096AB0"/>
    <w:rsid w:val="00096DEE"/>
    <w:rsid w:val="000971BC"/>
    <w:rsid w:val="000974CD"/>
    <w:rsid w:val="00097662"/>
    <w:rsid w:val="00097ABB"/>
    <w:rsid w:val="000A00D5"/>
    <w:rsid w:val="000A042E"/>
    <w:rsid w:val="000A05C7"/>
    <w:rsid w:val="000A063C"/>
    <w:rsid w:val="000A0844"/>
    <w:rsid w:val="000A0B92"/>
    <w:rsid w:val="000A0E21"/>
    <w:rsid w:val="000A148C"/>
    <w:rsid w:val="000A175A"/>
    <w:rsid w:val="000A1877"/>
    <w:rsid w:val="000A1A3B"/>
    <w:rsid w:val="000A1C49"/>
    <w:rsid w:val="000A1E22"/>
    <w:rsid w:val="000A1EEC"/>
    <w:rsid w:val="000A1EF0"/>
    <w:rsid w:val="000A1FAC"/>
    <w:rsid w:val="000A23D2"/>
    <w:rsid w:val="000A23DB"/>
    <w:rsid w:val="000A28F8"/>
    <w:rsid w:val="000A29BB"/>
    <w:rsid w:val="000A2B65"/>
    <w:rsid w:val="000A2C74"/>
    <w:rsid w:val="000A2CC4"/>
    <w:rsid w:val="000A2FE9"/>
    <w:rsid w:val="000A307A"/>
    <w:rsid w:val="000A3159"/>
    <w:rsid w:val="000A31D1"/>
    <w:rsid w:val="000A3451"/>
    <w:rsid w:val="000A3497"/>
    <w:rsid w:val="000A357A"/>
    <w:rsid w:val="000A3952"/>
    <w:rsid w:val="000A3A46"/>
    <w:rsid w:val="000A4161"/>
    <w:rsid w:val="000A41D4"/>
    <w:rsid w:val="000A431D"/>
    <w:rsid w:val="000A4377"/>
    <w:rsid w:val="000A43F9"/>
    <w:rsid w:val="000A45BF"/>
    <w:rsid w:val="000A46FF"/>
    <w:rsid w:val="000A4850"/>
    <w:rsid w:val="000A4AED"/>
    <w:rsid w:val="000A4B7C"/>
    <w:rsid w:val="000A4BBF"/>
    <w:rsid w:val="000A4E8D"/>
    <w:rsid w:val="000A55F1"/>
    <w:rsid w:val="000A5627"/>
    <w:rsid w:val="000A5665"/>
    <w:rsid w:val="000A5735"/>
    <w:rsid w:val="000A5762"/>
    <w:rsid w:val="000A59E0"/>
    <w:rsid w:val="000A5C4A"/>
    <w:rsid w:val="000A5E17"/>
    <w:rsid w:val="000A5ECC"/>
    <w:rsid w:val="000A5F05"/>
    <w:rsid w:val="000A60B1"/>
    <w:rsid w:val="000A6269"/>
    <w:rsid w:val="000A6348"/>
    <w:rsid w:val="000A6367"/>
    <w:rsid w:val="000A63FA"/>
    <w:rsid w:val="000A65E6"/>
    <w:rsid w:val="000A6BD0"/>
    <w:rsid w:val="000A6C68"/>
    <w:rsid w:val="000A6E02"/>
    <w:rsid w:val="000A76D9"/>
    <w:rsid w:val="000A7701"/>
    <w:rsid w:val="000A7761"/>
    <w:rsid w:val="000A7AE8"/>
    <w:rsid w:val="000B021B"/>
    <w:rsid w:val="000B02E4"/>
    <w:rsid w:val="000B0519"/>
    <w:rsid w:val="000B05C9"/>
    <w:rsid w:val="000B1097"/>
    <w:rsid w:val="000B129A"/>
    <w:rsid w:val="000B1537"/>
    <w:rsid w:val="000B155C"/>
    <w:rsid w:val="000B156A"/>
    <w:rsid w:val="000B174F"/>
    <w:rsid w:val="000B1904"/>
    <w:rsid w:val="000B1952"/>
    <w:rsid w:val="000B19EF"/>
    <w:rsid w:val="000B1A7D"/>
    <w:rsid w:val="000B1D3D"/>
    <w:rsid w:val="000B1E17"/>
    <w:rsid w:val="000B26C2"/>
    <w:rsid w:val="000B2AA9"/>
    <w:rsid w:val="000B2B25"/>
    <w:rsid w:val="000B2CB3"/>
    <w:rsid w:val="000B2E86"/>
    <w:rsid w:val="000B3050"/>
    <w:rsid w:val="000B33D8"/>
    <w:rsid w:val="000B34E2"/>
    <w:rsid w:val="000B377D"/>
    <w:rsid w:val="000B390B"/>
    <w:rsid w:val="000B3D09"/>
    <w:rsid w:val="000B427E"/>
    <w:rsid w:val="000B4794"/>
    <w:rsid w:val="000B4B3C"/>
    <w:rsid w:val="000B4FFA"/>
    <w:rsid w:val="000B502A"/>
    <w:rsid w:val="000B50CB"/>
    <w:rsid w:val="000B55D3"/>
    <w:rsid w:val="000B563E"/>
    <w:rsid w:val="000B57C4"/>
    <w:rsid w:val="000B57F0"/>
    <w:rsid w:val="000B5A80"/>
    <w:rsid w:val="000B5B36"/>
    <w:rsid w:val="000B5BF5"/>
    <w:rsid w:val="000B5E7C"/>
    <w:rsid w:val="000B65E6"/>
    <w:rsid w:val="000B6A2C"/>
    <w:rsid w:val="000B6A7D"/>
    <w:rsid w:val="000B6ACD"/>
    <w:rsid w:val="000B6BCC"/>
    <w:rsid w:val="000B6DEA"/>
    <w:rsid w:val="000B70B9"/>
    <w:rsid w:val="000B778D"/>
    <w:rsid w:val="000B7844"/>
    <w:rsid w:val="000B7887"/>
    <w:rsid w:val="000B7998"/>
    <w:rsid w:val="000B7C6F"/>
    <w:rsid w:val="000B7CCB"/>
    <w:rsid w:val="000B7D28"/>
    <w:rsid w:val="000B7F82"/>
    <w:rsid w:val="000C03D7"/>
    <w:rsid w:val="000C0922"/>
    <w:rsid w:val="000C0DCF"/>
    <w:rsid w:val="000C0ED0"/>
    <w:rsid w:val="000C0F5C"/>
    <w:rsid w:val="000C1157"/>
    <w:rsid w:val="000C15BD"/>
    <w:rsid w:val="000C1777"/>
    <w:rsid w:val="000C1C38"/>
    <w:rsid w:val="000C1C57"/>
    <w:rsid w:val="000C1CE4"/>
    <w:rsid w:val="000C1E43"/>
    <w:rsid w:val="000C1EB1"/>
    <w:rsid w:val="000C20EB"/>
    <w:rsid w:val="000C22DA"/>
    <w:rsid w:val="000C26E4"/>
    <w:rsid w:val="000C26FC"/>
    <w:rsid w:val="000C2CF8"/>
    <w:rsid w:val="000C2D9D"/>
    <w:rsid w:val="000C3087"/>
    <w:rsid w:val="000C3096"/>
    <w:rsid w:val="000C3479"/>
    <w:rsid w:val="000C36BE"/>
    <w:rsid w:val="000C36CF"/>
    <w:rsid w:val="000C3973"/>
    <w:rsid w:val="000C3994"/>
    <w:rsid w:val="000C3A06"/>
    <w:rsid w:val="000C3BE4"/>
    <w:rsid w:val="000C3F43"/>
    <w:rsid w:val="000C4049"/>
    <w:rsid w:val="000C439D"/>
    <w:rsid w:val="000C4466"/>
    <w:rsid w:val="000C4499"/>
    <w:rsid w:val="000C4727"/>
    <w:rsid w:val="000C48E1"/>
    <w:rsid w:val="000C49E1"/>
    <w:rsid w:val="000C4B4D"/>
    <w:rsid w:val="000C4C21"/>
    <w:rsid w:val="000C4F3A"/>
    <w:rsid w:val="000C541D"/>
    <w:rsid w:val="000C5A4C"/>
    <w:rsid w:val="000C5A5E"/>
    <w:rsid w:val="000C5BDD"/>
    <w:rsid w:val="000C64DC"/>
    <w:rsid w:val="000C6643"/>
    <w:rsid w:val="000C6669"/>
    <w:rsid w:val="000C6716"/>
    <w:rsid w:val="000C683E"/>
    <w:rsid w:val="000C6958"/>
    <w:rsid w:val="000C6A1D"/>
    <w:rsid w:val="000C6A6C"/>
    <w:rsid w:val="000C6ABC"/>
    <w:rsid w:val="000C7086"/>
    <w:rsid w:val="000C73D6"/>
    <w:rsid w:val="000C7640"/>
    <w:rsid w:val="000C7850"/>
    <w:rsid w:val="000C7853"/>
    <w:rsid w:val="000C7D5A"/>
    <w:rsid w:val="000C7E7E"/>
    <w:rsid w:val="000D015B"/>
    <w:rsid w:val="000D02AD"/>
    <w:rsid w:val="000D06D0"/>
    <w:rsid w:val="000D0705"/>
    <w:rsid w:val="000D086E"/>
    <w:rsid w:val="000D0C5A"/>
    <w:rsid w:val="000D0CE3"/>
    <w:rsid w:val="000D0F3B"/>
    <w:rsid w:val="000D1045"/>
    <w:rsid w:val="000D137A"/>
    <w:rsid w:val="000D18F1"/>
    <w:rsid w:val="000D1B38"/>
    <w:rsid w:val="000D21A6"/>
    <w:rsid w:val="000D21DE"/>
    <w:rsid w:val="000D246F"/>
    <w:rsid w:val="000D2C7B"/>
    <w:rsid w:val="000D2D3E"/>
    <w:rsid w:val="000D2DEB"/>
    <w:rsid w:val="000D2FD6"/>
    <w:rsid w:val="000D3098"/>
    <w:rsid w:val="000D32DC"/>
    <w:rsid w:val="000D3822"/>
    <w:rsid w:val="000D38E7"/>
    <w:rsid w:val="000D3EDA"/>
    <w:rsid w:val="000D3FCD"/>
    <w:rsid w:val="000D4151"/>
    <w:rsid w:val="000D4175"/>
    <w:rsid w:val="000D41AA"/>
    <w:rsid w:val="000D4442"/>
    <w:rsid w:val="000D4518"/>
    <w:rsid w:val="000D45B3"/>
    <w:rsid w:val="000D4885"/>
    <w:rsid w:val="000D4C48"/>
    <w:rsid w:val="000D5010"/>
    <w:rsid w:val="000D5628"/>
    <w:rsid w:val="000D56D8"/>
    <w:rsid w:val="000D57D5"/>
    <w:rsid w:val="000D5898"/>
    <w:rsid w:val="000D5A52"/>
    <w:rsid w:val="000D5D15"/>
    <w:rsid w:val="000D5DFD"/>
    <w:rsid w:val="000D5E2A"/>
    <w:rsid w:val="000D5F56"/>
    <w:rsid w:val="000D623D"/>
    <w:rsid w:val="000D6257"/>
    <w:rsid w:val="000D63AC"/>
    <w:rsid w:val="000D65A9"/>
    <w:rsid w:val="000D65D3"/>
    <w:rsid w:val="000D685C"/>
    <w:rsid w:val="000D6AB1"/>
    <w:rsid w:val="000D6C07"/>
    <w:rsid w:val="000D6D57"/>
    <w:rsid w:val="000D6F64"/>
    <w:rsid w:val="000D70AE"/>
    <w:rsid w:val="000D7104"/>
    <w:rsid w:val="000D722C"/>
    <w:rsid w:val="000D731F"/>
    <w:rsid w:val="000D7472"/>
    <w:rsid w:val="000D74A5"/>
    <w:rsid w:val="000D7BFC"/>
    <w:rsid w:val="000D7C2A"/>
    <w:rsid w:val="000D7F00"/>
    <w:rsid w:val="000E00D3"/>
    <w:rsid w:val="000E02CE"/>
    <w:rsid w:val="000E042D"/>
    <w:rsid w:val="000E0593"/>
    <w:rsid w:val="000E0649"/>
    <w:rsid w:val="000E087E"/>
    <w:rsid w:val="000E0B1E"/>
    <w:rsid w:val="000E0CDE"/>
    <w:rsid w:val="000E10BA"/>
    <w:rsid w:val="000E11F9"/>
    <w:rsid w:val="000E1298"/>
    <w:rsid w:val="000E13C9"/>
    <w:rsid w:val="000E15ED"/>
    <w:rsid w:val="000E1670"/>
    <w:rsid w:val="000E18A6"/>
    <w:rsid w:val="000E1A22"/>
    <w:rsid w:val="000E1D18"/>
    <w:rsid w:val="000E2474"/>
    <w:rsid w:val="000E2682"/>
    <w:rsid w:val="000E2AF4"/>
    <w:rsid w:val="000E2C8B"/>
    <w:rsid w:val="000E2FC1"/>
    <w:rsid w:val="000E3091"/>
    <w:rsid w:val="000E323B"/>
    <w:rsid w:val="000E3342"/>
    <w:rsid w:val="000E36CD"/>
    <w:rsid w:val="000E3735"/>
    <w:rsid w:val="000E3A0B"/>
    <w:rsid w:val="000E3B29"/>
    <w:rsid w:val="000E3F40"/>
    <w:rsid w:val="000E3FD1"/>
    <w:rsid w:val="000E426D"/>
    <w:rsid w:val="000E4335"/>
    <w:rsid w:val="000E43E6"/>
    <w:rsid w:val="000E43FF"/>
    <w:rsid w:val="000E4425"/>
    <w:rsid w:val="000E46CE"/>
    <w:rsid w:val="000E486F"/>
    <w:rsid w:val="000E4A13"/>
    <w:rsid w:val="000E5057"/>
    <w:rsid w:val="000E5254"/>
    <w:rsid w:val="000E526A"/>
    <w:rsid w:val="000E5634"/>
    <w:rsid w:val="000E578C"/>
    <w:rsid w:val="000E57A2"/>
    <w:rsid w:val="000E5AFF"/>
    <w:rsid w:val="000E5DAA"/>
    <w:rsid w:val="000E5EF0"/>
    <w:rsid w:val="000E657A"/>
    <w:rsid w:val="000E65B3"/>
    <w:rsid w:val="000E670F"/>
    <w:rsid w:val="000E68E4"/>
    <w:rsid w:val="000E6966"/>
    <w:rsid w:val="000E6E3D"/>
    <w:rsid w:val="000E6E50"/>
    <w:rsid w:val="000E7111"/>
    <w:rsid w:val="000E748D"/>
    <w:rsid w:val="000E775D"/>
    <w:rsid w:val="000E792E"/>
    <w:rsid w:val="000E7A67"/>
    <w:rsid w:val="000F02EC"/>
    <w:rsid w:val="000F0743"/>
    <w:rsid w:val="000F0846"/>
    <w:rsid w:val="000F093A"/>
    <w:rsid w:val="000F0BFA"/>
    <w:rsid w:val="000F10C5"/>
    <w:rsid w:val="000F14CB"/>
    <w:rsid w:val="000F1686"/>
    <w:rsid w:val="000F16DB"/>
    <w:rsid w:val="000F1B18"/>
    <w:rsid w:val="000F1DF1"/>
    <w:rsid w:val="000F219E"/>
    <w:rsid w:val="000F21BA"/>
    <w:rsid w:val="000F24F3"/>
    <w:rsid w:val="000F25D2"/>
    <w:rsid w:val="000F25FF"/>
    <w:rsid w:val="000F26D9"/>
    <w:rsid w:val="000F2782"/>
    <w:rsid w:val="000F27B9"/>
    <w:rsid w:val="000F28FC"/>
    <w:rsid w:val="000F2D9A"/>
    <w:rsid w:val="000F31C2"/>
    <w:rsid w:val="000F3289"/>
    <w:rsid w:val="000F36C3"/>
    <w:rsid w:val="000F3C60"/>
    <w:rsid w:val="000F4083"/>
    <w:rsid w:val="000F4696"/>
    <w:rsid w:val="000F46FF"/>
    <w:rsid w:val="000F4740"/>
    <w:rsid w:val="000F494F"/>
    <w:rsid w:val="000F4969"/>
    <w:rsid w:val="000F4A45"/>
    <w:rsid w:val="000F4B93"/>
    <w:rsid w:val="000F4CF6"/>
    <w:rsid w:val="000F4D88"/>
    <w:rsid w:val="000F4E46"/>
    <w:rsid w:val="000F4EB1"/>
    <w:rsid w:val="000F4F77"/>
    <w:rsid w:val="000F516F"/>
    <w:rsid w:val="000F5171"/>
    <w:rsid w:val="000F53C4"/>
    <w:rsid w:val="000F5458"/>
    <w:rsid w:val="000F5ADB"/>
    <w:rsid w:val="000F5C6A"/>
    <w:rsid w:val="000F5D28"/>
    <w:rsid w:val="000F5E7A"/>
    <w:rsid w:val="000F6148"/>
    <w:rsid w:val="000F635F"/>
    <w:rsid w:val="000F6CDF"/>
    <w:rsid w:val="000F6F2B"/>
    <w:rsid w:val="000F7020"/>
    <w:rsid w:val="000F7359"/>
    <w:rsid w:val="000F75D5"/>
    <w:rsid w:val="000F77E7"/>
    <w:rsid w:val="000F796D"/>
    <w:rsid w:val="000F7A8D"/>
    <w:rsid w:val="000F7D99"/>
    <w:rsid w:val="000F7F54"/>
    <w:rsid w:val="0010036C"/>
    <w:rsid w:val="00100545"/>
    <w:rsid w:val="001007B5"/>
    <w:rsid w:val="0010089F"/>
    <w:rsid w:val="00100998"/>
    <w:rsid w:val="00100B68"/>
    <w:rsid w:val="00100BFE"/>
    <w:rsid w:val="00100C98"/>
    <w:rsid w:val="001012DD"/>
    <w:rsid w:val="00101527"/>
    <w:rsid w:val="00101678"/>
    <w:rsid w:val="00101914"/>
    <w:rsid w:val="00101962"/>
    <w:rsid w:val="00101ACC"/>
    <w:rsid w:val="00101B06"/>
    <w:rsid w:val="00101B3F"/>
    <w:rsid w:val="00101D95"/>
    <w:rsid w:val="00101DC6"/>
    <w:rsid w:val="00102008"/>
    <w:rsid w:val="00102141"/>
    <w:rsid w:val="00102800"/>
    <w:rsid w:val="00102811"/>
    <w:rsid w:val="00102A35"/>
    <w:rsid w:val="001031C9"/>
    <w:rsid w:val="001038CF"/>
    <w:rsid w:val="001038DF"/>
    <w:rsid w:val="00103A51"/>
    <w:rsid w:val="00103B68"/>
    <w:rsid w:val="00103D39"/>
    <w:rsid w:val="00103DC2"/>
    <w:rsid w:val="001041DD"/>
    <w:rsid w:val="00104419"/>
    <w:rsid w:val="001046D4"/>
    <w:rsid w:val="00104C80"/>
    <w:rsid w:val="00105081"/>
    <w:rsid w:val="00105331"/>
    <w:rsid w:val="001054C2"/>
    <w:rsid w:val="0010562E"/>
    <w:rsid w:val="001056D8"/>
    <w:rsid w:val="001056FA"/>
    <w:rsid w:val="001058FF"/>
    <w:rsid w:val="00105D9D"/>
    <w:rsid w:val="00105E84"/>
    <w:rsid w:val="00105F78"/>
    <w:rsid w:val="00105FAB"/>
    <w:rsid w:val="00106106"/>
    <w:rsid w:val="00106176"/>
    <w:rsid w:val="0010625F"/>
    <w:rsid w:val="00106390"/>
    <w:rsid w:val="00106769"/>
    <w:rsid w:val="0010688A"/>
    <w:rsid w:val="001069AF"/>
    <w:rsid w:val="00106B08"/>
    <w:rsid w:val="00107782"/>
    <w:rsid w:val="00107898"/>
    <w:rsid w:val="00107946"/>
    <w:rsid w:val="00107B86"/>
    <w:rsid w:val="001100ED"/>
    <w:rsid w:val="00110665"/>
    <w:rsid w:val="00110699"/>
    <w:rsid w:val="00110794"/>
    <w:rsid w:val="0011081A"/>
    <w:rsid w:val="00110860"/>
    <w:rsid w:val="001108F6"/>
    <w:rsid w:val="00110C54"/>
    <w:rsid w:val="00110FB4"/>
    <w:rsid w:val="00111475"/>
    <w:rsid w:val="001114BE"/>
    <w:rsid w:val="001114CE"/>
    <w:rsid w:val="001117A1"/>
    <w:rsid w:val="00111A93"/>
    <w:rsid w:val="00111D0F"/>
    <w:rsid w:val="00111D1A"/>
    <w:rsid w:val="00111EC3"/>
    <w:rsid w:val="0011229C"/>
    <w:rsid w:val="00112374"/>
    <w:rsid w:val="00112454"/>
    <w:rsid w:val="001126DB"/>
    <w:rsid w:val="001129EC"/>
    <w:rsid w:val="00112BE7"/>
    <w:rsid w:val="00112C5E"/>
    <w:rsid w:val="0011314F"/>
    <w:rsid w:val="001131E8"/>
    <w:rsid w:val="001133CA"/>
    <w:rsid w:val="001134FB"/>
    <w:rsid w:val="0011371E"/>
    <w:rsid w:val="00113ADE"/>
    <w:rsid w:val="00113BDA"/>
    <w:rsid w:val="00113E58"/>
    <w:rsid w:val="001140E8"/>
    <w:rsid w:val="0011410D"/>
    <w:rsid w:val="001141F6"/>
    <w:rsid w:val="001142EC"/>
    <w:rsid w:val="00114317"/>
    <w:rsid w:val="001143B8"/>
    <w:rsid w:val="001148BC"/>
    <w:rsid w:val="00114A01"/>
    <w:rsid w:val="00114C62"/>
    <w:rsid w:val="00114C77"/>
    <w:rsid w:val="00114DCB"/>
    <w:rsid w:val="001158DF"/>
    <w:rsid w:val="001158EE"/>
    <w:rsid w:val="0011598E"/>
    <w:rsid w:val="00115D22"/>
    <w:rsid w:val="00116217"/>
    <w:rsid w:val="00116421"/>
    <w:rsid w:val="0011688B"/>
    <w:rsid w:val="00116AE6"/>
    <w:rsid w:val="00116CF8"/>
    <w:rsid w:val="00116DDD"/>
    <w:rsid w:val="0011700D"/>
    <w:rsid w:val="0011707A"/>
    <w:rsid w:val="0011708F"/>
    <w:rsid w:val="0011709D"/>
    <w:rsid w:val="001171A5"/>
    <w:rsid w:val="0011728C"/>
    <w:rsid w:val="0011747F"/>
    <w:rsid w:val="001174AD"/>
    <w:rsid w:val="00117506"/>
    <w:rsid w:val="00117535"/>
    <w:rsid w:val="00117AF2"/>
    <w:rsid w:val="00117B03"/>
    <w:rsid w:val="00117BFF"/>
    <w:rsid w:val="00117D60"/>
    <w:rsid w:val="00120091"/>
    <w:rsid w:val="001200E9"/>
    <w:rsid w:val="00120361"/>
    <w:rsid w:val="001206A2"/>
    <w:rsid w:val="001207B5"/>
    <w:rsid w:val="00120AD1"/>
    <w:rsid w:val="00120C79"/>
    <w:rsid w:val="00120EC1"/>
    <w:rsid w:val="001211FE"/>
    <w:rsid w:val="001214B0"/>
    <w:rsid w:val="001215DB"/>
    <w:rsid w:val="00121615"/>
    <w:rsid w:val="0012194F"/>
    <w:rsid w:val="00121C31"/>
    <w:rsid w:val="00122266"/>
    <w:rsid w:val="00122444"/>
    <w:rsid w:val="00122774"/>
    <w:rsid w:val="00122882"/>
    <w:rsid w:val="00122B8C"/>
    <w:rsid w:val="00122D27"/>
    <w:rsid w:val="00122DB1"/>
    <w:rsid w:val="00122E96"/>
    <w:rsid w:val="00123142"/>
    <w:rsid w:val="0012327B"/>
    <w:rsid w:val="001234E0"/>
    <w:rsid w:val="0012356E"/>
    <w:rsid w:val="00123663"/>
    <w:rsid w:val="00123762"/>
    <w:rsid w:val="00123C0D"/>
    <w:rsid w:val="00123C13"/>
    <w:rsid w:val="00123CAB"/>
    <w:rsid w:val="00123CC4"/>
    <w:rsid w:val="0012407E"/>
    <w:rsid w:val="00124A4A"/>
    <w:rsid w:val="00124AF7"/>
    <w:rsid w:val="00124C32"/>
    <w:rsid w:val="00124E4B"/>
    <w:rsid w:val="00125323"/>
    <w:rsid w:val="00125428"/>
    <w:rsid w:val="00125E9B"/>
    <w:rsid w:val="00126055"/>
    <w:rsid w:val="00126080"/>
    <w:rsid w:val="0012609E"/>
    <w:rsid w:val="00126919"/>
    <w:rsid w:val="00126A07"/>
    <w:rsid w:val="00126D5C"/>
    <w:rsid w:val="00127253"/>
    <w:rsid w:val="001272A6"/>
    <w:rsid w:val="0012748A"/>
    <w:rsid w:val="001277DF"/>
    <w:rsid w:val="00127FC0"/>
    <w:rsid w:val="001301A4"/>
    <w:rsid w:val="00130294"/>
    <w:rsid w:val="00130382"/>
    <w:rsid w:val="001307A1"/>
    <w:rsid w:val="0013083A"/>
    <w:rsid w:val="00130A6F"/>
    <w:rsid w:val="00130DDE"/>
    <w:rsid w:val="00130E0D"/>
    <w:rsid w:val="001310ED"/>
    <w:rsid w:val="00131216"/>
    <w:rsid w:val="001314F4"/>
    <w:rsid w:val="0013152D"/>
    <w:rsid w:val="00131630"/>
    <w:rsid w:val="001316BB"/>
    <w:rsid w:val="001316E6"/>
    <w:rsid w:val="00131A18"/>
    <w:rsid w:val="00131A46"/>
    <w:rsid w:val="00131B85"/>
    <w:rsid w:val="00131BAA"/>
    <w:rsid w:val="00131FC5"/>
    <w:rsid w:val="0013203D"/>
    <w:rsid w:val="001320AF"/>
    <w:rsid w:val="00132606"/>
    <w:rsid w:val="00132664"/>
    <w:rsid w:val="00132680"/>
    <w:rsid w:val="001326FE"/>
    <w:rsid w:val="0013270D"/>
    <w:rsid w:val="0013280A"/>
    <w:rsid w:val="00132A2D"/>
    <w:rsid w:val="00132D2D"/>
    <w:rsid w:val="00133108"/>
    <w:rsid w:val="001336FB"/>
    <w:rsid w:val="00133B9F"/>
    <w:rsid w:val="00133C0D"/>
    <w:rsid w:val="00133E4A"/>
    <w:rsid w:val="00133E50"/>
    <w:rsid w:val="00133EA9"/>
    <w:rsid w:val="00133F54"/>
    <w:rsid w:val="0013442F"/>
    <w:rsid w:val="00134763"/>
    <w:rsid w:val="00134921"/>
    <w:rsid w:val="00134BA0"/>
    <w:rsid w:val="00134F8F"/>
    <w:rsid w:val="00134FCF"/>
    <w:rsid w:val="0013546A"/>
    <w:rsid w:val="001356CD"/>
    <w:rsid w:val="00135825"/>
    <w:rsid w:val="001358CE"/>
    <w:rsid w:val="0013592D"/>
    <w:rsid w:val="00135A02"/>
    <w:rsid w:val="00135D4F"/>
    <w:rsid w:val="00135E57"/>
    <w:rsid w:val="00136258"/>
    <w:rsid w:val="00136305"/>
    <w:rsid w:val="001366F7"/>
    <w:rsid w:val="001367A4"/>
    <w:rsid w:val="00136920"/>
    <w:rsid w:val="001369E1"/>
    <w:rsid w:val="00136DA7"/>
    <w:rsid w:val="00136DE4"/>
    <w:rsid w:val="00136E5B"/>
    <w:rsid w:val="00136F22"/>
    <w:rsid w:val="00136F55"/>
    <w:rsid w:val="00136F85"/>
    <w:rsid w:val="001370FD"/>
    <w:rsid w:val="0013782B"/>
    <w:rsid w:val="0013797B"/>
    <w:rsid w:val="00137986"/>
    <w:rsid w:val="00137D7A"/>
    <w:rsid w:val="00137EBA"/>
    <w:rsid w:val="001401C0"/>
    <w:rsid w:val="00140499"/>
    <w:rsid w:val="00140518"/>
    <w:rsid w:val="00140569"/>
    <w:rsid w:val="001405B3"/>
    <w:rsid w:val="00140667"/>
    <w:rsid w:val="0014068F"/>
    <w:rsid w:val="00140867"/>
    <w:rsid w:val="00140888"/>
    <w:rsid w:val="001408A0"/>
    <w:rsid w:val="00140A91"/>
    <w:rsid w:val="00141010"/>
    <w:rsid w:val="00141429"/>
    <w:rsid w:val="001415F6"/>
    <w:rsid w:val="001417D3"/>
    <w:rsid w:val="00141A4D"/>
    <w:rsid w:val="00141AC1"/>
    <w:rsid w:val="00141CEB"/>
    <w:rsid w:val="00141D10"/>
    <w:rsid w:val="00141E37"/>
    <w:rsid w:val="00141E89"/>
    <w:rsid w:val="001420D0"/>
    <w:rsid w:val="001421C1"/>
    <w:rsid w:val="001421FC"/>
    <w:rsid w:val="001422CC"/>
    <w:rsid w:val="001424D1"/>
    <w:rsid w:val="00142556"/>
    <w:rsid w:val="001426B7"/>
    <w:rsid w:val="001427CB"/>
    <w:rsid w:val="0014284B"/>
    <w:rsid w:val="00142C72"/>
    <w:rsid w:val="00142D0D"/>
    <w:rsid w:val="00143282"/>
    <w:rsid w:val="001436E0"/>
    <w:rsid w:val="001437C6"/>
    <w:rsid w:val="001439E0"/>
    <w:rsid w:val="00143D42"/>
    <w:rsid w:val="00144125"/>
    <w:rsid w:val="0014434F"/>
    <w:rsid w:val="00144602"/>
    <w:rsid w:val="0014467A"/>
    <w:rsid w:val="00144708"/>
    <w:rsid w:val="00144B13"/>
    <w:rsid w:val="001451D3"/>
    <w:rsid w:val="00145224"/>
    <w:rsid w:val="001452BB"/>
    <w:rsid w:val="001452DA"/>
    <w:rsid w:val="00145546"/>
    <w:rsid w:val="001457D3"/>
    <w:rsid w:val="00145C1E"/>
    <w:rsid w:val="00145C8B"/>
    <w:rsid w:val="00145CD2"/>
    <w:rsid w:val="001462AE"/>
    <w:rsid w:val="00146307"/>
    <w:rsid w:val="001466E8"/>
    <w:rsid w:val="0014711C"/>
    <w:rsid w:val="00147186"/>
    <w:rsid w:val="0014733C"/>
    <w:rsid w:val="0014752F"/>
    <w:rsid w:val="00147C60"/>
    <w:rsid w:val="001501A5"/>
    <w:rsid w:val="0015030A"/>
    <w:rsid w:val="0015032C"/>
    <w:rsid w:val="00150425"/>
    <w:rsid w:val="001504AE"/>
    <w:rsid w:val="00150632"/>
    <w:rsid w:val="00150E4C"/>
    <w:rsid w:val="00150EBF"/>
    <w:rsid w:val="0015105C"/>
    <w:rsid w:val="00151301"/>
    <w:rsid w:val="00151371"/>
    <w:rsid w:val="00151585"/>
    <w:rsid w:val="001518C7"/>
    <w:rsid w:val="001518FA"/>
    <w:rsid w:val="001519DE"/>
    <w:rsid w:val="00151A1F"/>
    <w:rsid w:val="00151D20"/>
    <w:rsid w:val="00151D86"/>
    <w:rsid w:val="00151DA6"/>
    <w:rsid w:val="00152756"/>
    <w:rsid w:val="001527CE"/>
    <w:rsid w:val="00152A8B"/>
    <w:rsid w:val="00152ABA"/>
    <w:rsid w:val="00152AF9"/>
    <w:rsid w:val="00152B26"/>
    <w:rsid w:val="00152C5F"/>
    <w:rsid w:val="00152CE8"/>
    <w:rsid w:val="00152D64"/>
    <w:rsid w:val="00152EDF"/>
    <w:rsid w:val="00153093"/>
    <w:rsid w:val="00153219"/>
    <w:rsid w:val="001533DE"/>
    <w:rsid w:val="001535EC"/>
    <w:rsid w:val="001535FF"/>
    <w:rsid w:val="00153661"/>
    <w:rsid w:val="001537DB"/>
    <w:rsid w:val="00153A48"/>
    <w:rsid w:val="00153B3F"/>
    <w:rsid w:val="00153B8B"/>
    <w:rsid w:val="00154313"/>
    <w:rsid w:val="00154610"/>
    <w:rsid w:val="001546FA"/>
    <w:rsid w:val="00154C78"/>
    <w:rsid w:val="00154CFD"/>
    <w:rsid w:val="00154DD9"/>
    <w:rsid w:val="001551B3"/>
    <w:rsid w:val="001552C1"/>
    <w:rsid w:val="0015571F"/>
    <w:rsid w:val="0015576B"/>
    <w:rsid w:val="00155C2D"/>
    <w:rsid w:val="00155C4F"/>
    <w:rsid w:val="00155C6B"/>
    <w:rsid w:val="00155D03"/>
    <w:rsid w:val="00155DCC"/>
    <w:rsid w:val="00155F35"/>
    <w:rsid w:val="00155FF5"/>
    <w:rsid w:val="001560F7"/>
    <w:rsid w:val="001561BE"/>
    <w:rsid w:val="001562D0"/>
    <w:rsid w:val="00156321"/>
    <w:rsid w:val="00156A1A"/>
    <w:rsid w:val="00156BC0"/>
    <w:rsid w:val="00156FD7"/>
    <w:rsid w:val="0015716F"/>
    <w:rsid w:val="00157AAC"/>
    <w:rsid w:val="00157B06"/>
    <w:rsid w:val="001601DD"/>
    <w:rsid w:val="00160415"/>
    <w:rsid w:val="0016065A"/>
    <w:rsid w:val="0016073E"/>
    <w:rsid w:val="001608C8"/>
    <w:rsid w:val="00160A5B"/>
    <w:rsid w:val="00160B1A"/>
    <w:rsid w:val="00160DD1"/>
    <w:rsid w:val="00160E3B"/>
    <w:rsid w:val="001610D7"/>
    <w:rsid w:val="00161528"/>
    <w:rsid w:val="0016158C"/>
    <w:rsid w:val="001615B5"/>
    <w:rsid w:val="00161A55"/>
    <w:rsid w:val="00161D41"/>
    <w:rsid w:val="00161DFC"/>
    <w:rsid w:val="00161FCF"/>
    <w:rsid w:val="00162014"/>
    <w:rsid w:val="00162438"/>
    <w:rsid w:val="001625E7"/>
    <w:rsid w:val="0016281A"/>
    <w:rsid w:val="001628CF"/>
    <w:rsid w:val="00162A2B"/>
    <w:rsid w:val="00162C01"/>
    <w:rsid w:val="00162D46"/>
    <w:rsid w:val="0016333D"/>
    <w:rsid w:val="00163A0C"/>
    <w:rsid w:val="00163AAF"/>
    <w:rsid w:val="00163CE5"/>
    <w:rsid w:val="00163E8C"/>
    <w:rsid w:val="00163EE2"/>
    <w:rsid w:val="0016408A"/>
    <w:rsid w:val="00164212"/>
    <w:rsid w:val="00164AB8"/>
    <w:rsid w:val="00164F70"/>
    <w:rsid w:val="0016526A"/>
    <w:rsid w:val="001652C4"/>
    <w:rsid w:val="00165528"/>
    <w:rsid w:val="0016555E"/>
    <w:rsid w:val="001657E4"/>
    <w:rsid w:val="00165AB7"/>
    <w:rsid w:val="00165CF6"/>
    <w:rsid w:val="00165F08"/>
    <w:rsid w:val="001664F6"/>
    <w:rsid w:val="00166F48"/>
    <w:rsid w:val="0016704B"/>
    <w:rsid w:val="00167759"/>
    <w:rsid w:val="001678C7"/>
    <w:rsid w:val="00167A6E"/>
    <w:rsid w:val="00167AFE"/>
    <w:rsid w:val="00167C6A"/>
    <w:rsid w:val="00167F17"/>
    <w:rsid w:val="00167FFB"/>
    <w:rsid w:val="0017000A"/>
    <w:rsid w:val="001702BA"/>
    <w:rsid w:val="001708C6"/>
    <w:rsid w:val="00170C3D"/>
    <w:rsid w:val="00170EF6"/>
    <w:rsid w:val="001710B2"/>
    <w:rsid w:val="00171105"/>
    <w:rsid w:val="0017142E"/>
    <w:rsid w:val="00171634"/>
    <w:rsid w:val="00171731"/>
    <w:rsid w:val="00171745"/>
    <w:rsid w:val="001717AC"/>
    <w:rsid w:val="001718CF"/>
    <w:rsid w:val="00171D73"/>
    <w:rsid w:val="00171D7C"/>
    <w:rsid w:val="00171E99"/>
    <w:rsid w:val="00171FF1"/>
    <w:rsid w:val="0017204B"/>
    <w:rsid w:val="00172108"/>
    <w:rsid w:val="0017213B"/>
    <w:rsid w:val="001724C0"/>
    <w:rsid w:val="001724D7"/>
    <w:rsid w:val="00172575"/>
    <w:rsid w:val="00172836"/>
    <w:rsid w:val="001728D7"/>
    <w:rsid w:val="00172971"/>
    <w:rsid w:val="00172A28"/>
    <w:rsid w:val="00172A52"/>
    <w:rsid w:val="00173042"/>
    <w:rsid w:val="0017320D"/>
    <w:rsid w:val="0017337D"/>
    <w:rsid w:val="001735A5"/>
    <w:rsid w:val="001738FA"/>
    <w:rsid w:val="00173920"/>
    <w:rsid w:val="00174AD4"/>
    <w:rsid w:val="001753B5"/>
    <w:rsid w:val="00175D73"/>
    <w:rsid w:val="00175DAC"/>
    <w:rsid w:val="00175F3D"/>
    <w:rsid w:val="00175F9F"/>
    <w:rsid w:val="00176083"/>
    <w:rsid w:val="001760C3"/>
    <w:rsid w:val="00176143"/>
    <w:rsid w:val="00176165"/>
    <w:rsid w:val="001764B3"/>
    <w:rsid w:val="00176A7C"/>
    <w:rsid w:val="00176AD9"/>
    <w:rsid w:val="00176C75"/>
    <w:rsid w:val="0017703B"/>
    <w:rsid w:val="00177654"/>
    <w:rsid w:val="00177912"/>
    <w:rsid w:val="00177AEC"/>
    <w:rsid w:val="00177B3C"/>
    <w:rsid w:val="00177DA2"/>
    <w:rsid w:val="00177ED1"/>
    <w:rsid w:val="00177F47"/>
    <w:rsid w:val="001800B8"/>
    <w:rsid w:val="0018050B"/>
    <w:rsid w:val="0018053F"/>
    <w:rsid w:val="00180584"/>
    <w:rsid w:val="001807DA"/>
    <w:rsid w:val="001809A7"/>
    <w:rsid w:val="00180DF0"/>
    <w:rsid w:val="00181033"/>
    <w:rsid w:val="00181114"/>
    <w:rsid w:val="0018121C"/>
    <w:rsid w:val="001812A2"/>
    <w:rsid w:val="001814CA"/>
    <w:rsid w:val="00181941"/>
    <w:rsid w:val="001819A4"/>
    <w:rsid w:val="00181DC3"/>
    <w:rsid w:val="00181EAB"/>
    <w:rsid w:val="001822B2"/>
    <w:rsid w:val="001823E5"/>
    <w:rsid w:val="0018276F"/>
    <w:rsid w:val="00182802"/>
    <w:rsid w:val="00182BD9"/>
    <w:rsid w:val="00182C59"/>
    <w:rsid w:val="00182F8F"/>
    <w:rsid w:val="0018316E"/>
    <w:rsid w:val="00183276"/>
    <w:rsid w:val="00183466"/>
    <w:rsid w:val="00183677"/>
    <w:rsid w:val="0018367D"/>
    <w:rsid w:val="001836FD"/>
    <w:rsid w:val="00183A34"/>
    <w:rsid w:val="00184065"/>
    <w:rsid w:val="001840DA"/>
    <w:rsid w:val="00184123"/>
    <w:rsid w:val="0018441A"/>
    <w:rsid w:val="001847D7"/>
    <w:rsid w:val="00184A2A"/>
    <w:rsid w:val="00184CD6"/>
    <w:rsid w:val="00184CF1"/>
    <w:rsid w:val="00184E65"/>
    <w:rsid w:val="00184EC6"/>
    <w:rsid w:val="00184F75"/>
    <w:rsid w:val="00184FB2"/>
    <w:rsid w:val="00185188"/>
    <w:rsid w:val="001853DD"/>
    <w:rsid w:val="00185667"/>
    <w:rsid w:val="0018580A"/>
    <w:rsid w:val="00185867"/>
    <w:rsid w:val="00185BCE"/>
    <w:rsid w:val="00185F8C"/>
    <w:rsid w:val="00186040"/>
    <w:rsid w:val="001862E1"/>
    <w:rsid w:val="00186398"/>
    <w:rsid w:val="0018640A"/>
    <w:rsid w:val="0018668F"/>
    <w:rsid w:val="0018671F"/>
    <w:rsid w:val="00186F2E"/>
    <w:rsid w:val="00186F49"/>
    <w:rsid w:val="00186FC7"/>
    <w:rsid w:val="00187293"/>
    <w:rsid w:val="00187384"/>
    <w:rsid w:val="001873A6"/>
    <w:rsid w:val="0018780A"/>
    <w:rsid w:val="0018797C"/>
    <w:rsid w:val="001879EF"/>
    <w:rsid w:val="00187A25"/>
    <w:rsid w:val="00187AE4"/>
    <w:rsid w:val="00187B7D"/>
    <w:rsid w:val="00187DF3"/>
    <w:rsid w:val="00187E62"/>
    <w:rsid w:val="00187EB8"/>
    <w:rsid w:val="00187FFE"/>
    <w:rsid w:val="0019004E"/>
    <w:rsid w:val="00190496"/>
    <w:rsid w:val="0019088E"/>
    <w:rsid w:val="00190E82"/>
    <w:rsid w:val="00190EBA"/>
    <w:rsid w:val="00190FE6"/>
    <w:rsid w:val="0019156A"/>
    <w:rsid w:val="001917DB"/>
    <w:rsid w:val="00191A7F"/>
    <w:rsid w:val="00191B7A"/>
    <w:rsid w:val="00191BC2"/>
    <w:rsid w:val="00191BCE"/>
    <w:rsid w:val="00191E78"/>
    <w:rsid w:val="001924F8"/>
    <w:rsid w:val="00192696"/>
    <w:rsid w:val="00192AAD"/>
    <w:rsid w:val="00192C34"/>
    <w:rsid w:val="00192E4C"/>
    <w:rsid w:val="00192F45"/>
    <w:rsid w:val="00193378"/>
    <w:rsid w:val="0019355C"/>
    <w:rsid w:val="001938C1"/>
    <w:rsid w:val="00193BB2"/>
    <w:rsid w:val="00193C6E"/>
    <w:rsid w:val="00193FAE"/>
    <w:rsid w:val="001940E2"/>
    <w:rsid w:val="001942E0"/>
    <w:rsid w:val="00194351"/>
    <w:rsid w:val="001947C9"/>
    <w:rsid w:val="001948B6"/>
    <w:rsid w:val="00194B22"/>
    <w:rsid w:val="00194B28"/>
    <w:rsid w:val="00194EF7"/>
    <w:rsid w:val="00194F69"/>
    <w:rsid w:val="0019504C"/>
    <w:rsid w:val="001952C8"/>
    <w:rsid w:val="00195539"/>
    <w:rsid w:val="0019583F"/>
    <w:rsid w:val="00195913"/>
    <w:rsid w:val="00195939"/>
    <w:rsid w:val="001959A5"/>
    <w:rsid w:val="00195B0E"/>
    <w:rsid w:val="00195E2D"/>
    <w:rsid w:val="00195F9F"/>
    <w:rsid w:val="00195FBC"/>
    <w:rsid w:val="001960FF"/>
    <w:rsid w:val="001965C4"/>
    <w:rsid w:val="001967C5"/>
    <w:rsid w:val="00196A25"/>
    <w:rsid w:val="00197456"/>
    <w:rsid w:val="00197561"/>
    <w:rsid w:val="0019766B"/>
    <w:rsid w:val="001979C3"/>
    <w:rsid w:val="001979D2"/>
    <w:rsid w:val="00197C75"/>
    <w:rsid w:val="00197D51"/>
    <w:rsid w:val="00197D9D"/>
    <w:rsid w:val="00197DD7"/>
    <w:rsid w:val="00197DFC"/>
    <w:rsid w:val="00197E96"/>
    <w:rsid w:val="00197F89"/>
    <w:rsid w:val="001A016D"/>
    <w:rsid w:val="001A0313"/>
    <w:rsid w:val="001A0606"/>
    <w:rsid w:val="001A0730"/>
    <w:rsid w:val="001A0752"/>
    <w:rsid w:val="001A0B4F"/>
    <w:rsid w:val="001A0B70"/>
    <w:rsid w:val="001A0CC1"/>
    <w:rsid w:val="001A0DC8"/>
    <w:rsid w:val="001A110F"/>
    <w:rsid w:val="001A1307"/>
    <w:rsid w:val="001A13A4"/>
    <w:rsid w:val="001A1559"/>
    <w:rsid w:val="001A155A"/>
    <w:rsid w:val="001A173A"/>
    <w:rsid w:val="001A1835"/>
    <w:rsid w:val="001A190E"/>
    <w:rsid w:val="001A1A08"/>
    <w:rsid w:val="001A1CB6"/>
    <w:rsid w:val="001A21E5"/>
    <w:rsid w:val="001A2616"/>
    <w:rsid w:val="001A2EDE"/>
    <w:rsid w:val="001A2F32"/>
    <w:rsid w:val="001A32C2"/>
    <w:rsid w:val="001A33CC"/>
    <w:rsid w:val="001A34D9"/>
    <w:rsid w:val="001A3503"/>
    <w:rsid w:val="001A36C1"/>
    <w:rsid w:val="001A38EF"/>
    <w:rsid w:val="001A3A9E"/>
    <w:rsid w:val="001A3CEE"/>
    <w:rsid w:val="001A3D9D"/>
    <w:rsid w:val="001A4009"/>
    <w:rsid w:val="001A4134"/>
    <w:rsid w:val="001A4444"/>
    <w:rsid w:val="001A45EB"/>
    <w:rsid w:val="001A46BF"/>
    <w:rsid w:val="001A47AA"/>
    <w:rsid w:val="001A4D7F"/>
    <w:rsid w:val="001A4F97"/>
    <w:rsid w:val="001A503C"/>
    <w:rsid w:val="001A50C9"/>
    <w:rsid w:val="001A5345"/>
    <w:rsid w:val="001A537F"/>
    <w:rsid w:val="001A557A"/>
    <w:rsid w:val="001A565C"/>
    <w:rsid w:val="001A596B"/>
    <w:rsid w:val="001A5CDB"/>
    <w:rsid w:val="001A5D33"/>
    <w:rsid w:val="001A5E3F"/>
    <w:rsid w:val="001A5E79"/>
    <w:rsid w:val="001A60CC"/>
    <w:rsid w:val="001A66E2"/>
    <w:rsid w:val="001A67E0"/>
    <w:rsid w:val="001A67F7"/>
    <w:rsid w:val="001A6848"/>
    <w:rsid w:val="001A6B67"/>
    <w:rsid w:val="001A6BB4"/>
    <w:rsid w:val="001A6C1B"/>
    <w:rsid w:val="001A6C5E"/>
    <w:rsid w:val="001A703E"/>
    <w:rsid w:val="001A73AA"/>
    <w:rsid w:val="001A73F9"/>
    <w:rsid w:val="001A7878"/>
    <w:rsid w:val="001A7A9B"/>
    <w:rsid w:val="001A7BFE"/>
    <w:rsid w:val="001A7D01"/>
    <w:rsid w:val="001A7EAE"/>
    <w:rsid w:val="001A7F16"/>
    <w:rsid w:val="001B01DA"/>
    <w:rsid w:val="001B0320"/>
    <w:rsid w:val="001B032F"/>
    <w:rsid w:val="001B0875"/>
    <w:rsid w:val="001B0AA2"/>
    <w:rsid w:val="001B0BA0"/>
    <w:rsid w:val="001B0C20"/>
    <w:rsid w:val="001B0F01"/>
    <w:rsid w:val="001B0FB7"/>
    <w:rsid w:val="001B1025"/>
    <w:rsid w:val="001B128A"/>
    <w:rsid w:val="001B13BC"/>
    <w:rsid w:val="001B1616"/>
    <w:rsid w:val="001B182F"/>
    <w:rsid w:val="001B18F7"/>
    <w:rsid w:val="001B1C9F"/>
    <w:rsid w:val="001B1E9B"/>
    <w:rsid w:val="001B2171"/>
    <w:rsid w:val="001B251C"/>
    <w:rsid w:val="001B2570"/>
    <w:rsid w:val="001B2739"/>
    <w:rsid w:val="001B28B4"/>
    <w:rsid w:val="001B2E74"/>
    <w:rsid w:val="001B2E81"/>
    <w:rsid w:val="001B34B1"/>
    <w:rsid w:val="001B35BE"/>
    <w:rsid w:val="001B379E"/>
    <w:rsid w:val="001B3AE2"/>
    <w:rsid w:val="001B3D3C"/>
    <w:rsid w:val="001B3DDB"/>
    <w:rsid w:val="001B3F32"/>
    <w:rsid w:val="001B4056"/>
    <w:rsid w:val="001B43A5"/>
    <w:rsid w:val="001B451E"/>
    <w:rsid w:val="001B4594"/>
    <w:rsid w:val="001B45D4"/>
    <w:rsid w:val="001B4660"/>
    <w:rsid w:val="001B4859"/>
    <w:rsid w:val="001B4F48"/>
    <w:rsid w:val="001B4F54"/>
    <w:rsid w:val="001B5235"/>
    <w:rsid w:val="001B5545"/>
    <w:rsid w:val="001B5547"/>
    <w:rsid w:val="001B5629"/>
    <w:rsid w:val="001B564E"/>
    <w:rsid w:val="001B5680"/>
    <w:rsid w:val="001B5B65"/>
    <w:rsid w:val="001B60F3"/>
    <w:rsid w:val="001B619C"/>
    <w:rsid w:val="001B61BF"/>
    <w:rsid w:val="001B64BA"/>
    <w:rsid w:val="001B6866"/>
    <w:rsid w:val="001B699B"/>
    <w:rsid w:val="001B6CB1"/>
    <w:rsid w:val="001B6D1E"/>
    <w:rsid w:val="001B6DCD"/>
    <w:rsid w:val="001B7066"/>
    <w:rsid w:val="001B7138"/>
    <w:rsid w:val="001B7202"/>
    <w:rsid w:val="001B73D0"/>
    <w:rsid w:val="001B7479"/>
    <w:rsid w:val="001B760E"/>
    <w:rsid w:val="001B77A9"/>
    <w:rsid w:val="001B7A05"/>
    <w:rsid w:val="001B7CF4"/>
    <w:rsid w:val="001B7F1A"/>
    <w:rsid w:val="001C0280"/>
    <w:rsid w:val="001C076C"/>
    <w:rsid w:val="001C085A"/>
    <w:rsid w:val="001C0C99"/>
    <w:rsid w:val="001C1318"/>
    <w:rsid w:val="001C138C"/>
    <w:rsid w:val="001C1456"/>
    <w:rsid w:val="001C1562"/>
    <w:rsid w:val="001C1583"/>
    <w:rsid w:val="001C1BA8"/>
    <w:rsid w:val="001C1E78"/>
    <w:rsid w:val="001C1F3D"/>
    <w:rsid w:val="001C23CB"/>
    <w:rsid w:val="001C25B1"/>
    <w:rsid w:val="001C2DB7"/>
    <w:rsid w:val="001C3056"/>
    <w:rsid w:val="001C308A"/>
    <w:rsid w:val="001C30AB"/>
    <w:rsid w:val="001C3446"/>
    <w:rsid w:val="001C38FC"/>
    <w:rsid w:val="001C3D7F"/>
    <w:rsid w:val="001C3DCF"/>
    <w:rsid w:val="001C3E1A"/>
    <w:rsid w:val="001C40CF"/>
    <w:rsid w:val="001C425B"/>
    <w:rsid w:val="001C438C"/>
    <w:rsid w:val="001C4765"/>
    <w:rsid w:val="001C47A5"/>
    <w:rsid w:val="001C47A7"/>
    <w:rsid w:val="001C4A0A"/>
    <w:rsid w:val="001C4B93"/>
    <w:rsid w:val="001C4E56"/>
    <w:rsid w:val="001C542E"/>
    <w:rsid w:val="001C5B92"/>
    <w:rsid w:val="001C5FCD"/>
    <w:rsid w:val="001C6040"/>
    <w:rsid w:val="001C62F3"/>
    <w:rsid w:val="001C62FC"/>
    <w:rsid w:val="001C643B"/>
    <w:rsid w:val="001C6637"/>
    <w:rsid w:val="001C6657"/>
    <w:rsid w:val="001C66CF"/>
    <w:rsid w:val="001C682A"/>
    <w:rsid w:val="001C6D22"/>
    <w:rsid w:val="001C6D3B"/>
    <w:rsid w:val="001C6E64"/>
    <w:rsid w:val="001C70DF"/>
    <w:rsid w:val="001C73C1"/>
    <w:rsid w:val="001C7463"/>
    <w:rsid w:val="001C79EA"/>
    <w:rsid w:val="001C7AEB"/>
    <w:rsid w:val="001C7C69"/>
    <w:rsid w:val="001C7D96"/>
    <w:rsid w:val="001C7F17"/>
    <w:rsid w:val="001C7FE8"/>
    <w:rsid w:val="001D01BD"/>
    <w:rsid w:val="001D01FC"/>
    <w:rsid w:val="001D037A"/>
    <w:rsid w:val="001D038C"/>
    <w:rsid w:val="001D04C9"/>
    <w:rsid w:val="001D07C5"/>
    <w:rsid w:val="001D07F3"/>
    <w:rsid w:val="001D09CE"/>
    <w:rsid w:val="001D0C10"/>
    <w:rsid w:val="001D0CE5"/>
    <w:rsid w:val="001D0F93"/>
    <w:rsid w:val="001D144D"/>
    <w:rsid w:val="001D1979"/>
    <w:rsid w:val="001D1FC4"/>
    <w:rsid w:val="001D1FD0"/>
    <w:rsid w:val="001D2036"/>
    <w:rsid w:val="001D2221"/>
    <w:rsid w:val="001D28C0"/>
    <w:rsid w:val="001D2953"/>
    <w:rsid w:val="001D2B8E"/>
    <w:rsid w:val="001D2F10"/>
    <w:rsid w:val="001D38AB"/>
    <w:rsid w:val="001D3985"/>
    <w:rsid w:val="001D3C32"/>
    <w:rsid w:val="001D3C9A"/>
    <w:rsid w:val="001D3F8E"/>
    <w:rsid w:val="001D4296"/>
    <w:rsid w:val="001D43D2"/>
    <w:rsid w:val="001D4438"/>
    <w:rsid w:val="001D452E"/>
    <w:rsid w:val="001D46C6"/>
    <w:rsid w:val="001D4F12"/>
    <w:rsid w:val="001D4F2D"/>
    <w:rsid w:val="001D4F67"/>
    <w:rsid w:val="001D4FBE"/>
    <w:rsid w:val="001D51D5"/>
    <w:rsid w:val="001D54D1"/>
    <w:rsid w:val="001D56E1"/>
    <w:rsid w:val="001D5784"/>
    <w:rsid w:val="001D57C9"/>
    <w:rsid w:val="001D598B"/>
    <w:rsid w:val="001D5A32"/>
    <w:rsid w:val="001D5B91"/>
    <w:rsid w:val="001D5CEE"/>
    <w:rsid w:val="001D5D22"/>
    <w:rsid w:val="001D5DEC"/>
    <w:rsid w:val="001D601B"/>
    <w:rsid w:val="001D611C"/>
    <w:rsid w:val="001D683D"/>
    <w:rsid w:val="001D6899"/>
    <w:rsid w:val="001D7267"/>
    <w:rsid w:val="001D733D"/>
    <w:rsid w:val="001D794A"/>
    <w:rsid w:val="001D7D06"/>
    <w:rsid w:val="001D7D35"/>
    <w:rsid w:val="001D7DDC"/>
    <w:rsid w:val="001D7E3F"/>
    <w:rsid w:val="001D7E97"/>
    <w:rsid w:val="001E037D"/>
    <w:rsid w:val="001E0580"/>
    <w:rsid w:val="001E06F9"/>
    <w:rsid w:val="001E09F5"/>
    <w:rsid w:val="001E0B23"/>
    <w:rsid w:val="001E0BDD"/>
    <w:rsid w:val="001E0C7F"/>
    <w:rsid w:val="001E1036"/>
    <w:rsid w:val="001E125E"/>
    <w:rsid w:val="001E1267"/>
    <w:rsid w:val="001E12C3"/>
    <w:rsid w:val="001E13CE"/>
    <w:rsid w:val="001E156E"/>
    <w:rsid w:val="001E1721"/>
    <w:rsid w:val="001E1770"/>
    <w:rsid w:val="001E1C7E"/>
    <w:rsid w:val="001E1E7F"/>
    <w:rsid w:val="001E1F35"/>
    <w:rsid w:val="001E1F47"/>
    <w:rsid w:val="001E2005"/>
    <w:rsid w:val="001E221C"/>
    <w:rsid w:val="001E23A9"/>
    <w:rsid w:val="001E2759"/>
    <w:rsid w:val="001E29B3"/>
    <w:rsid w:val="001E2B5F"/>
    <w:rsid w:val="001E2B7D"/>
    <w:rsid w:val="001E2CC9"/>
    <w:rsid w:val="001E2EE1"/>
    <w:rsid w:val="001E2EE6"/>
    <w:rsid w:val="001E308E"/>
    <w:rsid w:val="001E3399"/>
    <w:rsid w:val="001E355E"/>
    <w:rsid w:val="001E359D"/>
    <w:rsid w:val="001E37DE"/>
    <w:rsid w:val="001E3BB4"/>
    <w:rsid w:val="001E3F6C"/>
    <w:rsid w:val="001E42B3"/>
    <w:rsid w:val="001E462F"/>
    <w:rsid w:val="001E46DF"/>
    <w:rsid w:val="001E4949"/>
    <w:rsid w:val="001E4A12"/>
    <w:rsid w:val="001E4C0D"/>
    <w:rsid w:val="001E4D03"/>
    <w:rsid w:val="001E4E0A"/>
    <w:rsid w:val="001E5087"/>
    <w:rsid w:val="001E51B1"/>
    <w:rsid w:val="001E51D7"/>
    <w:rsid w:val="001E5262"/>
    <w:rsid w:val="001E53D1"/>
    <w:rsid w:val="001E54FF"/>
    <w:rsid w:val="001E5757"/>
    <w:rsid w:val="001E5A08"/>
    <w:rsid w:val="001E5B29"/>
    <w:rsid w:val="001E6030"/>
    <w:rsid w:val="001E60B5"/>
    <w:rsid w:val="001E633B"/>
    <w:rsid w:val="001E640B"/>
    <w:rsid w:val="001E652A"/>
    <w:rsid w:val="001E6553"/>
    <w:rsid w:val="001E65AE"/>
    <w:rsid w:val="001E6A24"/>
    <w:rsid w:val="001E6BE2"/>
    <w:rsid w:val="001E6EEA"/>
    <w:rsid w:val="001E7049"/>
    <w:rsid w:val="001E7112"/>
    <w:rsid w:val="001E7309"/>
    <w:rsid w:val="001E7335"/>
    <w:rsid w:val="001E7633"/>
    <w:rsid w:val="001E781B"/>
    <w:rsid w:val="001E7855"/>
    <w:rsid w:val="001E7BFA"/>
    <w:rsid w:val="001E7CD8"/>
    <w:rsid w:val="001E7D21"/>
    <w:rsid w:val="001E7EFB"/>
    <w:rsid w:val="001F023F"/>
    <w:rsid w:val="001F05CB"/>
    <w:rsid w:val="001F0AB6"/>
    <w:rsid w:val="001F0C84"/>
    <w:rsid w:val="001F0EB2"/>
    <w:rsid w:val="001F1060"/>
    <w:rsid w:val="001F1713"/>
    <w:rsid w:val="001F17EE"/>
    <w:rsid w:val="001F1AE2"/>
    <w:rsid w:val="001F1D66"/>
    <w:rsid w:val="001F1F43"/>
    <w:rsid w:val="001F203B"/>
    <w:rsid w:val="001F20CE"/>
    <w:rsid w:val="001F2205"/>
    <w:rsid w:val="001F2568"/>
    <w:rsid w:val="001F298B"/>
    <w:rsid w:val="001F2B8B"/>
    <w:rsid w:val="001F2CBE"/>
    <w:rsid w:val="001F2EF9"/>
    <w:rsid w:val="001F3098"/>
    <w:rsid w:val="001F3414"/>
    <w:rsid w:val="001F345D"/>
    <w:rsid w:val="001F36CE"/>
    <w:rsid w:val="001F3703"/>
    <w:rsid w:val="001F372D"/>
    <w:rsid w:val="001F375E"/>
    <w:rsid w:val="001F3855"/>
    <w:rsid w:val="001F39A8"/>
    <w:rsid w:val="001F3D37"/>
    <w:rsid w:val="001F3D4D"/>
    <w:rsid w:val="001F450D"/>
    <w:rsid w:val="001F4535"/>
    <w:rsid w:val="001F4566"/>
    <w:rsid w:val="001F4595"/>
    <w:rsid w:val="001F4750"/>
    <w:rsid w:val="001F4843"/>
    <w:rsid w:val="001F487A"/>
    <w:rsid w:val="001F4A3C"/>
    <w:rsid w:val="001F4C71"/>
    <w:rsid w:val="001F4CD2"/>
    <w:rsid w:val="001F4D34"/>
    <w:rsid w:val="001F4F92"/>
    <w:rsid w:val="001F530A"/>
    <w:rsid w:val="001F5504"/>
    <w:rsid w:val="001F58B3"/>
    <w:rsid w:val="001F58B4"/>
    <w:rsid w:val="001F5B6D"/>
    <w:rsid w:val="001F5BA0"/>
    <w:rsid w:val="001F5BF9"/>
    <w:rsid w:val="001F5CCE"/>
    <w:rsid w:val="001F5DF0"/>
    <w:rsid w:val="001F5E01"/>
    <w:rsid w:val="001F5F30"/>
    <w:rsid w:val="001F5F5B"/>
    <w:rsid w:val="001F625B"/>
    <w:rsid w:val="001F6293"/>
    <w:rsid w:val="001F6305"/>
    <w:rsid w:val="001F6E35"/>
    <w:rsid w:val="001F6EFF"/>
    <w:rsid w:val="001F7384"/>
    <w:rsid w:val="001F747B"/>
    <w:rsid w:val="001F747F"/>
    <w:rsid w:val="001F74A3"/>
    <w:rsid w:val="001F794A"/>
    <w:rsid w:val="001F7A3D"/>
    <w:rsid w:val="001F7B10"/>
    <w:rsid w:val="001F7B40"/>
    <w:rsid w:val="001F7BCB"/>
    <w:rsid w:val="001F7D06"/>
    <w:rsid w:val="00200054"/>
    <w:rsid w:val="002005E5"/>
    <w:rsid w:val="002008ED"/>
    <w:rsid w:val="00200AA9"/>
    <w:rsid w:val="00201030"/>
    <w:rsid w:val="0020175F"/>
    <w:rsid w:val="00201C22"/>
    <w:rsid w:val="00201C3F"/>
    <w:rsid w:val="00201D62"/>
    <w:rsid w:val="00202257"/>
    <w:rsid w:val="00202286"/>
    <w:rsid w:val="00202604"/>
    <w:rsid w:val="002027A8"/>
    <w:rsid w:val="00202864"/>
    <w:rsid w:val="00202C49"/>
    <w:rsid w:val="00202EC0"/>
    <w:rsid w:val="002030E5"/>
    <w:rsid w:val="00203459"/>
    <w:rsid w:val="00203834"/>
    <w:rsid w:val="00203BD1"/>
    <w:rsid w:val="00203CD4"/>
    <w:rsid w:val="00203D3A"/>
    <w:rsid w:val="00203FF7"/>
    <w:rsid w:val="0020457C"/>
    <w:rsid w:val="00204586"/>
    <w:rsid w:val="0020472C"/>
    <w:rsid w:val="0020497E"/>
    <w:rsid w:val="00204A3A"/>
    <w:rsid w:val="00204A94"/>
    <w:rsid w:val="00204C2E"/>
    <w:rsid w:val="00204C68"/>
    <w:rsid w:val="00204CF9"/>
    <w:rsid w:val="00204D57"/>
    <w:rsid w:val="00205028"/>
    <w:rsid w:val="002052B9"/>
    <w:rsid w:val="00205627"/>
    <w:rsid w:val="002057A7"/>
    <w:rsid w:val="002057FA"/>
    <w:rsid w:val="00205C10"/>
    <w:rsid w:val="00205CAC"/>
    <w:rsid w:val="0020611C"/>
    <w:rsid w:val="00206315"/>
    <w:rsid w:val="002067CE"/>
    <w:rsid w:val="002068C7"/>
    <w:rsid w:val="002069D5"/>
    <w:rsid w:val="00207080"/>
    <w:rsid w:val="0020739C"/>
    <w:rsid w:val="002076E9"/>
    <w:rsid w:val="002077C7"/>
    <w:rsid w:val="002078F9"/>
    <w:rsid w:val="0020790F"/>
    <w:rsid w:val="00207AF3"/>
    <w:rsid w:val="00207B64"/>
    <w:rsid w:val="00207CEB"/>
    <w:rsid w:val="00207F2E"/>
    <w:rsid w:val="002100AF"/>
    <w:rsid w:val="00210160"/>
    <w:rsid w:val="00210221"/>
    <w:rsid w:val="002103ED"/>
    <w:rsid w:val="0021079B"/>
    <w:rsid w:val="0021086F"/>
    <w:rsid w:val="0021097E"/>
    <w:rsid w:val="00210990"/>
    <w:rsid w:val="00210C1E"/>
    <w:rsid w:val="00210EFC"/>
    <w:rsid w:val="00210FE3"/>
    <w:rsid w:val="00211150"/>
    <w:rsid w:val="00211260"/>
    <w:rsid w:val="002113A1"/>
    <w:rsid w:val="00211A16"/>
    <w:rsid w:val="00211CBD"/>
    <w:rsid w:val="00211CC6"/>
    <w:rsid w:val="00211E51"/>
    <w:rsid w:val="00212003"/>
    <w:rsid w:val="002120D9"/>
    <w:rsid w:val="002123B8"/>
    <w:rsid w:val="002124AF"/>
    <w:rsid w:val="0021275C"/>
    <w:rsid w:val="0021296F"/>
    <w:rsid w:val="00212B6F"/>
    <w:rsid w:val="00213378"/>
    <w:rsid w:val="002139DC"/>
    <w:rsid w:val="00213A61"/>
    <w:rsid w:val="002143A2"/>
    <w:rsid w:val="002145FF"/>
    <w:rsid w:val="00214AFE"/>
    <w:rsid w:val="00214D4E"/>
    <w:rsid w:val="00214F20"/>
    <w:rsid w:val="002151D4"/>
    <w:rsid w:val="002154DE"/>
    <w:rsid w:val="002154EE"/>
    <w:rsid w:val="0021576E"/>
    <w:rsid w:val="002157C3"/>
    <w:rsid w:val="002157E3"/>
    <w:rsid w:val="002157E7"/>
    <w:rsid w:val="00215909"/>
    <w:rsid w:val="00215913"/>
    <w:rsid w:val="002159CD"/>
    <w:rsid w:val="00215B5D"/>
    <w:rsid w:val="00215C59"/>
    <w:rsid w:val="00215D3E"/>
    <w:rsid w:val="002160B5"/>
    <w:rsid w:val="002160C2"/>
    <w:rsid w:val="00216750"/>
    <w:rsid w:val="00216CD1"/>
    <w:rsid w:val="00217155"/>
    <w:rsid w:val="002173F0"/>
    <w:rsid w:val="00217BEA"/>
    <w:rsid w:val="00217FF6"/>
    <w:rsid w:val="00220418"/>
    <w:rsid w:val="002204D1"/>
    <w:rsid w:val="0022101F"/>
    <w:rsid w:val="002212D2"/>
    <w:rsid w:val="002213B2"/>
    <w:rsid w:val="0022165C"/>
    <w:rsid w:val="00221969"/>
    <w:rsid w:val="002226D6"/>
    <w:rsid w:val="0022291A"/>
    <w:rsid w:val="0022291D"/>
    <w:rsid w:val="00222939"/>
    <w:rsid w:val="00222D7E"/>
    <w:rsid w:val="00222E02"/>
    <w:rsid w:val="002230A3"/>
    <w:rsid w:val="0022346B"/>
    <w:rsid w:val="00223838"/>
    <w:rsid w:val="00223960"/>
    <w:rsid w:val="00223BE4"/>
    <w:rsid w:val="0022408E"/>
    <w:rsid w:val="0022495B"/>
    <w:rsid w:val="00224AF7"/>
    <w:rsid w:val="00224C36"/>
    <w:rsid w:val="00224CE3"/>
    <w:rsid w:val="00225056"/>
    <w:rsid w:val="002253A7"/>
    <w:rsid w:val="002254A7"/>
    <w:rsid w:val="002255D3"/>
    <w:rsid w:val="0022594E"/>
    <w:rsid w:val="00225996"/>
    <w:rsid w:val="00225D42"/>
    <w:rsid w:val="00225D70"/>
    <w:rsid w:val="00225F23"/>
    <w:rsid w:val="00225FD7"/>
    <w:rsid w:val="002260E9"/>
    <w:rsid w:val="002261F2"/>
    <w:rsid w:val="00226548"/>
    <w:rsid w:val="00226617"/>
    <w:rsid w:val="002268CA"/>
    <w:rsid w:val="00226D17"/>
    <w:rsid w:val="00226E17"/>
    <w:rsid w:val="002270B4"/>
    <w:rsid w:val="0022710B"/>
    <w:rsid w:val="00227485"/>
    <w:rsid w:val="00227722"/>
    <w:rsid w:val="0022773A"/>
    <w:rsid w:val="0022776B"/>
    <w:rsid w:val="00227BEA"/>
    <w:rsid w:val="00227C78"/>
    <w:rsid w:val="00227D11"/>
    <w:rsid w:val="0023024F"/>
    <w:rsid w:val="002302AC"/>
    <w:rsid w:val="00230608"/>
    <w:rsid w:val="0023096D"/>
    <w:rsid w:val="00230A55"/>
    <w:rsid w:val="00230F59"/>
    <w:rsid w:val="00231139"/>
    <w:rsid w:val="0023130E"/>
    <w:rsid w:val="0023159C"/>
    <w:rsid w:val="00231C5D"/>
    <w:rsid w:val="00231D51"/>
    <w:rsid w:val="00231D72"/>
    <w:rsid w:val="00231DC2"/>
    <w:rsid w:val="00231FF4"/>
    <w:rsid w:val="00232102"/>
    <w:rsid w:val="00232495"/>
    <w:rsid w:val="00232A3A"/>
    <w:rsid w:val="00232A87"/>
    <w:rsid w:val="00232B66"/>
    <w:rsid w:val="00232C12"/>
    <w:rsid w:val="00232D3E"/>
    <w:rsid w:val="00232EFF"/>
    <w:rsid w:val="00232F6D"/>
    <w:rsid w:val="00233050"/>
    <w:rsid w:val="002331D7"/>
    <w:rsid w:val="00233298"/>
    <w:rsid w:val="002334D1"/>
    <w:rsid w:val="00233879"/>
    <w:rsid w:val="0023399F"/>
    <w:rsid w:val="00233AEC"/>
    <w:rsid w:val="00233E0C"/>
    <w:rsid w:val="00233E4A"/>
    <w:rsid w:val="0023400E"/>
    <w:rsid w:val="002341B8"/>
    <w:rsid w:val="002344EA"/>
    <w:rsid w:val="0023465D"/>
    <w:rsid w:val="002347BB"/>
    <w:rsid w:val="0023488E"/>
    <w:rsid w:val="00234B95"/>
    <w:rsid w:val="00234BA2"/>
    <w:rsid w:val="00234C12"/>
    <w:rsid w:val="00234EAA"/>
    <w:rsid w:val="00235005"/>
    <w:rsid w:val="002350B6"/>
    <w:rsid w:val="00235104"/>
    <w:rsid w:val="002353B3"/>
    <w:rsid w:val="00235570"/>
    <w:rsid w:val="00235688"/>
    <w:rsid w:val="00235926"/>
    <w:rsid w:val="00235ACF"/>
    <w:rsid w:val="00235B55"/>
    <w:rsid w:val="00235CE7"/>
    <w:rsid w:val="00235E18"/>
    <w:rsid w:val="00235E36"/>
    <w:rsid w:val="00235F61"/>
    <w:rsid w:val="0023618A"/>
    <w:rsid w:val="002364A5"/>
    <w:rsid w:val="0023663F"/>
    <w:rsid w:val="002367B1"/>
    <w:rsid w:val="00236886"/>
    <w:rsid w:val="00236956"/>
    <w:rsid w:val="00236F2F"/>
    <w:rsid w:val="00237068"/>
    <w:rsid w:val="0023713F"/>
    <w:rsid w:val="002373B8"/>
    <w:rsid w:val="00237440"/>
    <w:rsid w:val="002374AE"/>
    <w:rsid w:val="00237CC5"/>
    <w:rsid w:val="00237D8E"/>
    <w:rsid w:val="00237F80"/>
    <w:rsid w:val="00240143"/>
    <w:rsid w:val="00240340"/>
    <w:rsid w:val="00240432"/>
    <w:rsid w:val="0024051D"/>
    <w:rsid w:val="0024095D"/>
    <w:rsid w:val="00240A43"/>
    <w:rsid w:val="00241119"/>
    <w:rsid w:val="0024197E"/>
    <w:rsid w:val="002419B1"/>
    <w:rsid w:val="00241A73"/>
    <w:rsid w:val="00241CF8"/>
    <w:rsid w:val="00241D0A"/>
    <w:rsid w:val="00241F7E"/>
    <w:rsid w:val="0024208D"/>
    <w:rsid w:val="00242197"/>
    <w:rsid w:val="002423BD"/>
    <w:rsid w:val="002425DF"/>
    <w:rsid w:val="0024294A"/>
    <w:rsid w:val="00242C8F"/>
    <w:rsid w:val="00242DB8"/>
    <w:rsid w:val="00242EA1"/>
    <w:rsid w:val="00242EF0"/>
    <w:rsid w:val="00242EF3"/>
    <w:rsid w:val="002430CE"/>
    <w:rsid w:val="002430F6"/>
    <w:rsid w:val="00243148"/>
    <w:rsid w:val="0024315F"/>
    <w:rsid w:val="00243244"/>
    <w:rsid w:val="002435DD"/>
    <w:rsid w:val="00243640"/>
    <w:rsid w:val="00243663"/>
    <w:rsid w:val="002437F7"/>
    <w:rsid w:val="00243C6D"/>
    <w:rsid w:val="00243CD2"/>
    <w:rsid w:val="002447A5"/>
    <w:rsid w:val="002447AF"/>
    <w:rsid w:val="002447E1"/>
    <w:rsid w:val="002448B8"/>
    <w:rsid w:val="002448CC"/>
    <w:rsid w:val="00244B10"/>
    <w:rsid w:val="00244C38"/>
    <w:rsid w:val="00244C6E"/>
    <w:rsid w:val="00244D91"/>
    <w:rsid w:val="002450A5"/>
    <w:rsid w:val="00245266"/>
    <w:rsid w:val="002455B9"/>
    <w:rsid w:val="00245A84"/>
    <w:rsid w:val="00245C0F"/>
    <w:rsid w:val="00245E9E"/>
    <w:rsid w:val="00245FB5"/>
    <w:rsid w:val="00245FF3"/>
    <w:rsid w:val="0024649F"/>
    <w:rsid w:val="00246571"/>
    <w:rsid w:val="00247241"/>
    <w:rsid w:val="002474F0"/>
    <w:rsid w:val="00247627"/>
    <w:rsid w:val="00247687"/>
    <w:rsid w:val="0024785E"/>
    <w:rsid w:val="00247C83"/>
    <w:rsid w:val="00247D23"/>
    <w:rsid w:val="00247F67"/>
    <w:rsid w:val="002500B7"/>
    <w:rsid w:val="00250137"/>
    <w:rsid w:val="0025060B"/>
    <w:rsid w:val="0025080E"/>
    <w:rsid w:val="00250987"/>
    <w:rsid w:val="00250A50"/>
    <w:rsid w:val="00250BCC"/>
    <w:rsid w:val="00250FA3"/>
    <w:rsid w:val="00251060"/>
    <w:rsid w:val="0025155A"/>
    <w:rsid w:val="0025166C"/>
    <w:rsid w:val="00251A9E"/>
    <w:rsid w:val="00251CEB"/>
    <w:rsid w:val="00251E1A"/>
    <w:rsid w:val="00251EDB"/>
    <w:rsid w:val="0025212E"/>
    <w:rsid w:val="0025228A"/>
    <w:rsid w:val="002523DC"/>
    <w:rsid w:val="002524C0"/>
    <w:rsid w:val="0025260B"/>
    <w:rsid w:val="002526F1"/>
    <w:rsid w:val="00252ECA"/>
    <w:rsid w:val="00252F21"/>
    <w:rsid w:val="00253090"/>
    <w:rsid w:val="00253112"/>
    <w:rsid w:val="0025311A"/>
    <w:rsid w:val="002531E1"/>
    <w:rsid w:val="0025325A"/>
    <w:rsid w:val="002533F6"/>
    <w:rsid w:val="00253508"/>
    <w:rsid w:val="002535F2"/>
    <w:rsid w:val="00253715"/>
    <w:rsid w:val="00253812"/>
    <w:rsid w:val="0025389B"/>
    <w:rsid w:val="002539DC"/>
    <w:rsid w:val="00253A81"/>
    <w:rsid w:val="00253E19"/>
    <w:rsid w:val="00253EDE"/>
    <w:rsid w:val="002544CC"/>
    <w:rsid w:val="00254620"/>
    <w:rsid w:val="00254668"/>
    <w:rsid w:val="00254693"/>
    <w:rsid w:val="00254AC3"/>
    <w:rsid w:val="002555B1"/>
    <w:rsid w:val="0025564E"/>
    <w:rsid w:val="002557FE"/>
    <w:rsid w:val="0025585B"/>
    <w:rsid w:val="00255A11"/>
    <w:rsid w:val="0025655B"/>
    <w:rsid w:val="00256781"/>
    <w:rsid w:val="0025679F"/>
    <w:rsid w:val="00256A75"/>
    <w:rsid w:val="00256C09"/>
    <w:rsid w:val="00256C48"/>
    <w:rsid w:val="00256D19"/>
    <w:rsid w:val="00256D6D"/>
    <w:rsid w:val="00256F13"/>
    <w:rsid w:val="002571A2"/>
    <w:rsid w:val="00257215"/>
    <w:rsid w:val="00257255"/>
    <w:rsid w:val="002572E3"/>
    <w:rsid w:val="00257591"/>
    <w:rsid w:val="00257774"/>
    <w:rsid w:val="00257A30"/>
    <w:rsid w:val="00257BBC"/>
    <w:rsid w:val="00257C51"/>
    <w:rsid w:val="00257C56"/>
    <w:rsid w:val="00257C78"/>
    <w:rsid w:val="00257CFC"/>
    <w:rsid w:val="00257FAB"/>
    <w:rsid w:val="00260070"/>
    <w:rsid w:val="002602B4"/>
    <w:rsid w:val="0026071A"/>
    <w:rsid w:val="002607BC"/>
    <w:rsid w:val="00260D30"/>
    <w:rsid w:val="00260E37"/>
    <w:rsid w:val="00261467"/>
    <w:rsid w:val="002614BF"/>
    <w:rsid w:val="00261FA6"/>
    <w:rsid w:val="00262090"/>
    <w:rsid w:val="0026240D"/>
    <w:rsid w:val="0026251F"/>
    <w:rsid w:val="00262581"/>
    <w:rsid w:val="00262979"/>
    <w:rsid w:val="00262CD3"/>
    <w:rsid w:val="00262D3A"/>
    <w:rsid w:val="00262E2F"/>
    <w:rsid w:val="00263163"/>
    <w:rsid w:val="0026318D"/>
    <w:rsid w:val="0026322F"/>
    <w:rsid w:val="002634A0"/>
    <w:rsid w:val="002634D9"/>
    <w:rsid w:val="00263541"/>
    <w:rsid w:val="00263861"/>
    <w:rsid w:val="00263D74"/>
    <w:rsid w:val="0026414F"/>
    <w:rsid w:val="0026434D"/>
    <w:rsid w:val="00264393"/>
    <w:rsid w:val="002644A7"/>
    <w:rsid w:val="002647A3"/>
    <w:rsid w:val="00264B0C"/>
    <w:rsid w:val="00264CB7"/>
    <w:rsid w:val="00264D40"/>
    <w:rsid w:val="00264D7F"/>
    <w:rsid w:val="00265005"/>
    <w:rsid w:val="00265031"/>
    <w:rsid w:val="0026518F"/>
    <w:rsid w:val="00265695"/>
    <w:rsid w:val="00265AE8"/>
    <w:rsid w:val="00265AFF"/>
    <w:rsid w:val="00265D21"/>
    <w:rsid w:val="00265F88"/>
    <w:rsid w:val="00265FFA"/>
    <w:rsid w:val="0026609F"/>
    <w:rsid w:val="00266610"/>
    <w:rsid w:val="00266988"/>
    <w:rsid w:val="00266A4A"/>
    <w:rsid w:val="00266C70"/>
    <w:rsid w:val="00266E9A"/>
    <w:rsid w:val="0026707D"/>
    <w:rsid w:val="002670A0"/>
    <w:rsid w:val="002671AC"/>
    <w:rsid w:val="002672C1"/>
    <w:rsid w:val="0026778C"/>
    <w:rsid w:val="002677D6"/>
    <w:rsid w:val="00267BD1"/>
    <w:rsid w:val="00270039"/>
    <w:rsid w:val="00270292"/>
    <w:rsid w:val="002703C1"/>
    <w:rsid w:val="00270634"/>
    <w:rsid w:val="00270886"/>
    <w:rsid w:val="00270BC9"/>
    <w:rsid w:val="00270E29"/>
    <w:rsid w:val="00271014"/>
    <w:rsid w:val="00271083"/>
    <w:rsid w:val="00271111"/>
    <w:rsid w:val="0027124C"/>
    <w:rsid w:val="00271424"/>
    <w:rsid w:val="00271646"/>
    <w:rsid w:val="00271711"/>
    <w:rsid w:val="002718DC"/>
    <w:rsid w:val="0027193E"/>
    <w:rsid w:val="00271A28"/>
    <w:rsid w:val="00271B16"/>
    <w:rsid w:val="00271FAE"/>
    <w:rsid w:val="0027215C"/>
    <w:rsid w:val="002722CB"/>
    <w:rsid w:val="00272553"/>
    <w:rsid w:val="0027286A"/>
    <w:rsid w:val="0027290E"/>
    <w:rsid w:val="002729EE"/>
    <w:rsid w:val="00272B9B"/>
    <w:rsid w:val="00272DA2"/>
    <w:rsid w:val="00272F32"/>
    <w:rsid w:val="00272F4E"/>
    <w:rsid w:val="002736B4"/>
    <w:rsid w:val="002737DE"/>
    <w:rsid w:val="002737F7"/>
    <w:rsid w:val="002738E8"/>
    <w:rsid w:val="00273ADA"/>
    <w:rsid w:val="00273C8F"/>
    <w:rsid w:val="00273CFD"/>
    <w:rsid w:val="002740B4"/>
    <w:rsid w:val="0027492B"/>
    <w:rsid w:val="00274FDA"/>
    <w:rsid w:val="00275164"/>
    <w:rsid w:val="00275173"/>
    <w:rsid w:val="00275306"/>
    <w:rsid w:val="002754DB"/>
    <w:rsid w:val="002758E9"/>
    <w:rsid w:val="00275EF6"/>
    <w:rsid w:val="00275F6B"/>
    <w:rsid w:val="00275FB8"/>
    <w:rsid w:val="0027608F"/>
    <w:rsid w:val="002763F4"/>
    <w:rsid w:val="00276465"/>
    <w:rsid w:val="002764DF"/>
    <w:rsid w:val="00276716"/>
    <w:rsid w:val="00276825"/>
    <w:rsid w:val="002769F9"/>
    <w:rsid w:val="00276A36"/>
    <w:rsid w:val="00276B15"/>
    <w:rsid w:val="00276B7B"/>
    <w:rsid w:val="00276D2A"/>
    <w:rsid w:val="00276D83"/>
    <w:rsid w:val="00276DB5"/>
    <w:rsid w:val="0027723D"/>
    <w:rsid w:val="00277696"/>
    <w:rsid w:val="00277727"/>
    <w:rsid w:val="002778C2"/>
    <w:rsid w:val="00277A1F"/>
    <w:rsid w:val="00277D63"/>
    <w:rsid w:val="00277D82"/>
    <w:rsid w:val="00277E31"/>
    <w:rsid w:val="00280058"/>
    <w:rsid w:val="00280091"/>
    <w:rsid w:val="0028014A"/>
    <w:rsid w:val="002802A6"/>
    <w:rsid w:val="00280547"/>
    <w:rsid w:val="00280625"/>
    <w:rsid w:val="00280A79"/>
    <w:rsid w:val="00280AC0"/>
    <w:rsid w:val="00280BEF"/>
    <w:rsid w:val="00280D8A"/>
    <w:rsid w:val="00281300"/>
    <w:rsid w:val="002814FE"/>
    <w:rsid w:val="00281763"/>
    <w:rsid w:val="002818B2"/>
    <w:rsid w:val="00281966"/>
    <w:rsid w:val="00281BEF"/>
    <w:rsid w:val="00281C23"/>
    <w:rsid w:val="00281C66"/>
    <w:rsid w:val="00281CDA"/>
    <w:rsid w:val="00281D14"/>
    <w:rsid w:val="00282134"/>
    <w:rsid w:val="002825E2"/>
    <w:rsid w:val="002826DD"/>
    <w:rsid w:val="0028298F"/>
    <w:rsid w:val="00282AD3"/>
    <w:rsid w:val="00282C29"/>
    <w:rsid w:val="00282D71"/>
    <w:rsid w:val="00282D85"/>
    <w:rsid w:val="00282EBE"/>
    <w:rsid w:val="00282F11"/>
    <w:rsid w:val="00283004"/>
    <w:rsid w:val="00283135"/>
    <w:rsid w:val="00283221"/>
    <w:rsid w:val="002832A2"/>
    <w:rsid w:val="00283F78"/>
    <w:rsid w:val="00284121"/>
    <w:rsid w:val="0028446F"/>
    <w:rsid w:val="002846DC"/>
    <w:rsid w:val="00284C97"/>
    <w:rsid w:val="00284DC6"/>
    <w:rsid w:val="00284F30"/>
    <w:rsid w:val="00285003"/>
    <w:rsid w:val="0028561F"/>
    <w:rsid w:val="0028562B"/>
    <w:rsid w:val="00285703"/>
    <w:rsid w:val="00285913"/>
    <w:rsid w:val="0028593A"/>
    <w:rsid w:val="002859D7"/>
    <w:rsid w:val="00285A9D"/>
    <w:rsid w:val="00285C0E"/>
    <w:rsid w:val="00285D2C"/>
    <w:rsid w:val="00285F9F"/>
    <w:rsid w:val="002863B8"/>
    <w:rsid w:val="002864A5"/>
    <w:rsid w:val="0028668C"/>
    <w:rsid w:val="002868BA"/>
    <w:rsid w:val="002871E9"/>
    <w:rsid w:val="002873E7"/>
    <w:rsid w:val="002875D4"/>
    <w:rsid w:val="0028763F"/>
    <w:rsid w:val="0028769C"/>
    <w:rsid w:val="0028773C"/>
    <w:rsid w:val="00287920"/>
    <w:rsid w:val="00287B8C"/>
    <w:rsid w:val="00287CC8"/>
    <w:rsid w:val="00287DB6"/>
    <w:rsid w:val="0029013A"/>
    <w:rsid w:val="002905D4"/>
    <w:rsid w:val="002905E8"/>
    <w:rsid w:val="002908E9"/>
    <w:rsid w:val="0029121F"/>
    <w:rsid w:val="00291259"/>
    <w:rsid w:val="00291815"/>
    <w:rsid w:val="002919A3"/>
    <w:rsid w:val="00291B63"/>
    <w:rsid w:val="00291D1E"/>
    <w:rsid w:val="00291E84"/>
    <w:rsid w:val="00291FA4"/>
    <w:rsid w:val="00291FF1"/>
    <w:rsid w:val="002920F4"/>
    <w:rsid w:val="002923C3"/>
    <w:rsid w:val="0029241C"/>
    <w:rsid w:val="00292879"/>
    <w:rsid w:val="00292D9C"/>
    <w:rsid w:val="00293BC3"/>
    <w:rsid w:val="0029400E"/>
    <w:rsid w:val="002942E0"/>
    <w:rsid w:val="002945D3"/>
    <w:rsid w:val="0029486C"/>
    <w:rsid w:val="002948E0"/>
    <w:rsid w:val="002948FA"/>
    <w:rsid w:val="00294B08"/>
    <w:rsid w:val="00294E8B"/>
    <w:rsid w:val="00294EC8"/>
    <w:rsid w:val="0029529E"/>
    <w:rsid w:val="00295926"/>
    <w:rsid w:val="00295E38"/>
    <w:rsid w:val="0029644E"/>
    <w:rsid w:val="0029673B"/>
    <w:rsid w:val="0029688A"/>
    <w:rsid w:val="00296B8F"/>
    <w:rsid w:val="00296C77"/>
    <w:rsid w:val="00296DB3"/>
    <w:rsid w:val="00296DD9"/>
    <w:rsid w:val="00296EFE"/>
    <w:rsid w:val="00297418"/>
    <w:rsid w:val="002974AB"/>
    <w:rsid w:val="00297541"/>
    <w:rsid w:val="002975B5"/>
    <w:rsid w:val="00297E77"/>
    <w:rsid w:val="002A0221"/>
    <w:rsid w:val="002A0394"/>
    <w:rsid w:val="002A05CC"/>
    <w:rsid w:val="002A0727"/>
    <w:rsid w:val="002A087F"/>
    <w:rsid w:val="002A0CD9"/>
    <w:rsid w:val="002A10FD"/>
    <w:rsid w:val="002A113B"/>
    <w:rsid w:val="002A1745"/>
    <w:rsid w:val="002A1885"/>
    <w:rsid w:val="002A196C"/>
    <w:rsid w:val="002A19A5"/>
    <w:rsid w:val="002A1ADF"/>
    <w:rsid w:val="002A1C1A"/>
    <w:rsid w:val="002A1E21"/>
    <w:rsid w:val="002A1ECA"/>
    <w:rsid w:val="002A1FE8"/>
    <w:rsid w:val="002A24FA"/>
    <w:rsid w:val="002A259E"/>
    <w:rsid w:val="002A278E"/>
    <w:rsid w:val="002A2B98"/>
    <w:rsid w:val="002A2C0B"/>
    <w:rsid w:val="002A2CC7"/>
    <w:rsid w:val="002A2D72"/>
    <w:rsid w:val="002A2E3E"/>
    <w:rsid w:val="002A2EAB"/>
    <w:rsid w:val="002A2FE1"/>
    <w:rsid w:val="002A36AA"/>
    <w:rsid w:val="002A37AB"/>
    <w:rsid w:val="002A3894"/>
    <w:rsid w:val="002A38AA"/>
    <w:rsid w:val="002A3A48"/>
    <w:rsid w:val="002A3A9B"/>
    <w:rsid w:val="002A3B05"/>
    <w:rsid w:val="002A3D74"/>
    <w:rsid w:val="002A4544"/>
    <w:rsid w:val="002A4619"/>
    <w:rsid w:val="002A4934"/>
    <w:rsid w:val="002A4DF8"/>
    <w:rsid w:val="002A53C2"/>
    <w:rsid w:val="002A5518"/>
    <w:rsid w:val="002A5747"/>
    <w:rsid w:val="002A57AD"/>
    <w:rsid w:val="002A58AC"/>
    <w:rsid w:val="002A58C6"/>
    <w:rsid w:val="002A5948"/>
    <w:rsid w:val="002A59DC"/>
    <w:rsid w:val="002A629F"/>
    <w:rsid w:val="002A6814"/>
    <w:rsid w:val="002A6BB5"/>
    <w:rsid w:val="002A6DF6"/>
    <w:rsid w:val="002A6E34"/>
    <w:rsid w:val="002A6EF0"/>
    <w:rsid w:val="002A720D"/>
    <w:rsid w:val="002A73C2"/>
    <w:rsid w:val="002A7658"/>
    <w:rsid w:val="002A7676"/>
    <w:rsid w:val="002A78EA"/>
    <w:rsid w:val="002A7930"/>
    <w:rsid w:val="002B014D"/>
    <w:rsid w:val="002B01B1"/>
    <w:rsid w:val="002B03D6"/>
    <w:rsid w:val="002B07DE"/>
    <w:rsid w:val="002B08F7"/>
    <w:rsid w:val="002B0A9C"/>
    <w:rsid w:val="002B0FA0"/>
    <w:rsid w:val="002B104D"/>
    <w:rsid w:val="002B1095"/>
    <w:rsid w:val="002B10C1"/>
    <w:rsid w:val="002B11F0"/>
    <w:rsid w:val="002B16A7"/>
    <w:rsid w:val="002B1709"/>
    <w:rsid w:val="002B1731"/>
    <w:rsid w:val="002B1864"/>
    <w:rsid w:val="002B18E7"/>
    <w:rsid w:val="002B1BBF"/>
    <w:rsid w:val="002B1D07"/>
    <w:rsid w:val="002B1D84"/>
    <w:rsid w:val="002B1ED3"/>
    <w:rsid w:val="002B221C"/>
    <w:rsid w:val="002B2573"/>
    <w:rsid w:val="002B2604"/>
    <w:rsid w:val="002B2947"/>
    <w:rsid w:val="002B2D2E"/>
    <w:rsid w:val="002B2F70"/>
    <w:rsid w:val="002B316C"/>
    <w:rsid w:val="002B318C"/>
    <w:rsid w:val="002B323A"/>
    <w:rsid w:val="002B32E5"/>
    <w:rsid w:val="002B34F6"/>
    <w:rsid w:val="002B38B9"/>
    <w:rsid w:val="002B3B26"/>
    <w:rsid w:val="002B3B5B"/>
    <w:rsid w:val="002B3C57"/>
    <w:rsid w:val="002B3C84"/>
    <w:rsid w:val="002B3D27"/>
    <w:rsid w:val="002B3FD1"/>
    <w:rsid w:val="002B3FF3"/>
    <w:rsid w:val="002B41E7"/>
    <w:rsid w:val="002B422B"/>
    <w:rsid w:val="002B43D4"/>
    <w:rsid w:val="002B447D"/>
    <w:rsid w:val="002B4485"/>
    <w:rsid w:val="002B474A"/>
    <w:rsid w:val="002B4D3F"/>
    <w:rsid w:val="002B507E"/>
    <w:rsid w:val="002B5296"/>
    <w:rsid w:val="002B5425"/>
    <w:rsid w:val="002B544B"/>
    <w:rsid w:val="002B54A9"/>
    <w:rsid w:val="002B5B2C"/>
    <w:rsid w:val="002B619C"/>
    <w:rsid w:val="002B62CB"/>
    <w:rsid w:val="002B62FC"/>
    <w:rsid w:val="002B6340"/>
    <w:rsid w:val="002B6465"/>
    <w:rsid w:val="002B65BA"/>
    <w:rsid w:val="002B65CA"/>
    <w:rsid w:val="002B6665"/>
    <w:rsid w:val="002B68FD"/>
    <w:rsid w:val="002B694D"/>
    <w:rsid w:val="002B6BD2"/>
    <w:rsid w:val="002B6D4E"/>
    <w:rsid w:val="002B6FE8"/>
    <w:rsid w:val="002B71AD"/>
    <w:rsid w:val="002B72FB"/>
    <w:rsid w:val="002B743A"/>
    <w:rsid w:val="002B7580"/>
    <w:rsid w:val="002B76FB"/>
    <w:rsid w:val="002B7A95"/>
    <w:rsid w:val="002B7BB1"/>
    <w:rsid w:val="002B7CB4"/>
    <w:rsid w:val="002B7D90"/>
    <w:rsid w:val="002B7DF2"/>
    <w:rsid w:val="002C0027"/>
    <w:rsid w:val="002C0539"/>
    <w:rsid w:val="002C05A3"/>
    <w:rsid w:val="002C06B3"/>
    <w:rsid w:val="002C0960"/>
    <w:rsid w:val="002C09E0"/>
    <w:rsid w:val="002C0C7C"/>
    <w:rsid w:val="002C1850"/>
    <w:rsid w:val="002C18F5"/>
    <w:rsid w:val="002C1B60"/>
    <w:rsid w:val="002C1CFC"/>
    <w:rsid w:val="002C1FCA"/>
    <w:rsid w:val="002C2388"/>
    <w:rsid w:val="002C25A6"/>
    <w:rsid w:val="002C26A3"/>
    <w:rsid w:val="002C26BA"/>
    <w:rsid w:val="002C28AA"/>
    <w:rsid w:val="002C291A"/>
    <w:rsid w:val="002C2B1F"/>
    <w:rsid w:val="002C2B28"/>
    <w:rsid w:val="002C2BDB"/>
    <w:rsid w:val="002C2C82"/>
    <w:rsid w:val="002C2CBE"/>
    <w:rsid w:val="002C3048"/>
    <w:rsid w:val="002C31DE"/>
    <w:rsid w:val="002C3433"/>
    <w:rsid w:val="002C34B6"/>
    <w:rsid w:val="002C3718"/>
    <w:rsid w:val="002C3F36"/>
    <w:rsid w:val="002C3F75"/>
    <w:rsid w:val="002C4052"/>
    <w:rsid w:val="002C415E"/>
    <w:rsid w:val="002C448C"/>
    <w:rsid w:val="002C46D4"/>
    <w:rsid w:val="002C4857"/>
    <w:rsid w:val="002C4920"/>
    <w:rsid w:val="002C4F8E"/>
    <w:rsid w:val="002C500C"/>
    <w:rsid w:val="002C517D"/>
    <w:rsid w:val="002C5325"/>
    <w:rsid w:val="002C53FB"/>
    <w:rsid w:val="002C550F"/>
    <w:rsid w:val="002C557B"/>
    <w:rsid w:val="002C564F"/>
    <w:rsid w:val="002C57FC"/>
    <w:rsid w:val="002C5918"/>
    <w:rsid w:val="002C5B57"/>
    <w:rsid w:val="002C5BAD"/>
    <w:rsid w:val="002C6144"/>
    <w:rsid w:val="002C61DC"/>
    <w:rsid w:val="002C6498"/>
    <w:rsid w:val="002C68AF"/>
    <w:rsid w:val="002C6C99"/>
    <w:rsid w:val="002C6F8E"/>
    <w:rsid w:val="002C7025"/>
    <w:rsid w:val="002C7041"/>
    <w:rsid w:val="002C713A"/>
    <w:rsid w:val="002C71B6"/>
    <w:rsid w:val="002C73B7"/>
    <w:rsid w:val="002C74CA"/>
    <w:rsid w:val="002C74E8"/>
    <w:rsid w:val="002C7720"/>
    <w:rsid w:val="002C7ABB"/>
    <w:rsid w:val="002C7D10"/>
    <w:rsid w:val="002D0D36"/>
    <w:rsid w:val="002D0E89"/>
    <w:rsid w:val="002D0F33"/>
    <w:rsid w:val="002D10E2"/>
    <w:rsid w:val="002D12E4"/>
    <w:rsid w:val="002D1557"/>
    <w:rsid w:val="002D1611"/>
    <w:rsid w:val="002D1626"/>
    <w:rsid w:val="002D1707"/>
    <w:rsid w:val="002D1739"/>
    <w:rsid w:val="002D182A"/>
    <w:rsid w:val="002D18A3"/>
    <w:rsid w:val="002D194A"/>
    <w:rsid w:val="002D1C23"/>
    <w:rsid w:val="002D1D5C"/>
    <w:rsid w:val="002D21D2"/>
    <w:rsid w:val="002D25D3"/>
    <w:rsid w:val="002D2870"/>
    <w:rsid w:val="002D2B00"/>
    <w:rsid w:val="002D2FAF"/>
    <w:rsid w:val="002D31B2"/>
    <w:rsid w:val="002D37C9"/>
    <w:rsid w:val="002D3857"/>
    <w:rsid w:val="002D3C2C"/>
    <w:rsid w:val="002D3CAA"/>
    <w:rsid w:val="002D3D6B"/>
    <w:rsid w:val="002D45D6"/>
    <w:rsid w:val="002D4883"/>
    <w:rsid w:val="002D4ACE"/>
    <w:rsid w:val="002D4F20"/>
    <w:rsid w:val="002D57EB"/>
    <w:rsid w:val="002D58C9"/>
    <w:rsid w:val="002D5C70"/>
    <w:rsid w:val="002D5EAB"/>
    <w:rsid w:val="002D5EC1"/>
    <w:rsid w:val="002D5FEE"/>
    <w:rsid w:val="002D60A7"/>
    <w:rsid w:val="002D61B4"/>
    <w:rsid w:val="002D6A4D"/>
    <w:rsid w:val="002D6B1F"/>
    <w:rsid w:val="002D6BB0"/>
    <w:rsid w:val="002D6CE6"/>
    <w:rsid w:val="002D6EE5"/>
    <w:rsid w:val="002D6F73"/>
    <w:rsid w:val="002D71E6"/>
    <w:rsid w:val="002D73A1"/>
    <w:rsid w:val="002D7555"/>
    <w:rsid w:val="002D7753"/>
    <w:rsid w:val="002D77D9"/>
    <w:rsid w:val="002D782B"/>
    <w:rsid w:val="002D7864"/>
    <w:rsid w:val="002E0030"/>
    <w:rsid w:val="002E00BD"/>
    <w:rsid w:val="002E0C12"/>
    <w:rsid w:val="002E0EAA"/>
    <w:rsid w:val="002E0FCD"/>
    <w:rsid w:val="002E1020"/>
    <w:rsid w:val="002E1266"/>
    <w:rsid w:val="002E17DD"/>
    <w:rsid w:val="002E1A43"/>
    <w:rsid w:val="002E1B2D"/>
    <w:rsid w:val="002E1C2E"/>
    <w:rsid w:val="002E1C9E"/>
    <w:rsid w:val="002E1D33"/>
    <w:rsid w:val="002E1F91"/>
    <w:rsid w:val="002E2025"/>
    <w:rsid w:val="002E225F"/>
    <w:rsid w:val="002E24EB"/>
    <w:rsid w:val="002E252C"/>
    <w:rsid w:val="002E293F"/>
    <w:rsid w:val="002E2A7F"/>
    <w:rsid w:val="002E2C55"/>
    <w:rsid w:val="002E2CB0"/>
    <w:rsid w:val="002E2CD6"/>
    <w:rsid w:val="002E2D4E"/>
    <w:rsid w:val="002E2ED2"/>
    <w:rsid w:val="002E2FEF"/>
    <w:rsid w:val="002E31B1"/>
    <w:rsid w:val="002E3213"/>
    <w:rsid w:val="002E3232"/>
    <w:rsid w:val="002E34F0"/>
    <w:rsid w:val="002E3569"/>
    <w:rsid w:val="002E3A5C"/>
    <w:rsid w:val="002E3EE7"/>
    <w:rsid w:val="002E405B"/>
    <w:rsid w:val="002E40BC"/>
    <w:rsid w:val="002E41BF"/>
    <w:rsid w:val="002E4240"/>
    <w:rsid w:val="002E4387"/>
    <w:rsid w:val="002E450B"/>
    <w:rsid w:val="002E4611"/>
    <w:rsid w:val="002E47AF"/>
    <w:rsid w:val="002E4B03"/>
    <w:rsid w:val="002E4E71"/>
    <w:rsid w:val="002E545F"/>
    <w:rsid w:val="002E5518"/>
    <w:rsid w:val="002E5A3B"/>
    <w:rsid w:val="002E5C3C"/>
    <w:rsid w:val="002E5E03"/>
    <w:rsid w:val="002E5ED6"/>
    <w:rsid w:val="002E6476"/>
    <w:rsid w:val="002E64E2"/>
    <w:rsid w:val="002E6699"/>
    <w:rsid w:val="002E67B7"/>
    <w:rsid w:val="002E67F6"/>
    <w:rsid w:val="002E6963"/>
    <w:rsid w:val="002E69FF"/>
    <w:rsid w:val="002E6ABD"/>
    <w:rsid w:val="002E6EC9"/>
    <w:rsid w:val="002E717D"/>
    <w:rsid w:val="002E73D4"/>
    <w:rsid w:val="002E744F"/>
    <w:rsid w:val="002E7533"/>
    <w:rsid w:val="002E75DE"/>
    <w:rsid w:val="002E79CD"/>
    <w:rsid w:val="002E7B04"/>
    <w:rsid w:val="002E7BA2"/>
    <w:rsid w:val="002E7C49"/>
    <w:rsid w:val="002F00C4"/>
    <w:rsid w:val="002F035D"/>
    <w:rsid w:val="002F03B8"/>
    <w:rsid w:val="002F0638"/>
    <w:rsid w:val="002F0783"/>
    <w:rsid w:val="002F078E"/>
    <w:rsid w:val="002F0812"/>
    <w:rsid w:val="002F0D0E"/>
    <w:rsid w:val="002F103A"/>
    <w:rsid w:val="002F12AE"/>
    <w:rsid w:val="002F182D"/>
    <w:rsid w:val="002F1B74"/>
    <w:rsid w:val="002F1FAB"/>
    <w:rsid w:val="002F2313"/>
    <w:rsid w:val="002F282E"/>
    <w:rsid w:val="002F283F"/>
    <w:rsid w:val="002F2974"/>
    <w:rsid w:val="002F2B88"/>
    <w:rsid w:val="002F32DF"/>
    <w:rsid w:val="002F33DB"/>
    <w:rsid w:val="002F3452"/>
    <w:rsid w:val="002F3CE6"/>
    <w:rsid w:val="002F3FF4"/>
    <w:rsid w:val="002F4563"/>
    <w:rsid w:val="002F47A2"/>
    <w:rsid w:val="002F4902"/>
    <w:rsid w:val="002F49BE"/>
    <w:rsid w:val="002F4B99"/>
    <w:rsid w:val="002F5135"/>
    <w:rsid w:val="002F539A"/>
    <w:rsid w:val="002F558E"/>
    <w:rsid w:val="002F560C"/>
    <w:rsid w:val="002F569A"/>
    <w:rsid w:val="002F57D7"/>
    <w:rsid w:val="002F57E2"/>
    <w:rsid w:val="002F59B1"/>
    <w:rsid w:val="002F5AE3"/>
    <w:rsid w:val="002F5AF7"/>
    <w:rsid w:val="002F5B22"/>
    <w:rsid w:val="002F5B72"/>
    <w:rsid w:val="002F5E09"/>
    <w:rsid w:val="002F65C9"/>
    <w:rsid w:val="002F68EB"/>
    <w:rsid w:val="002F6F02"/>
    <w:rsid w:val="002F6F0D"/>
    <w:rsid w:val="002F7B2D"/>
    <w:rsid w:val="002F7BE6"/>
    <w:rsid w:val="002F7CD6"/>
    <w:rsid w:val="002F7D8E"/>
    <w:rsid w:val="002F7E21"/>
    <w:rsid w:val="002F7E25"/>
    <w:rsid w:val="002F7FDE"/>
    <w:rsid w:val="003004D2"/>
    <w:rsid w:val="003008A0"/>
    <w:rsid w:val="00300A04"/>
    <w:rsid w:val="00300B45"/>
    <w:rsid w:val="00300CDE"/>
    <w:rsid w:val="00300E54"/>
    <w:rsid w:val="00301067"/>
    <w:rsid w:val="0030112E"/>
    <w:rsid w:val="00301174"/>
    <w:rsid w:val="003014EA"/>
    <w:rsid w:val="00301733"/>
    <w:rsid w:val="00301B4C"/>
    <w:rsid w:val="00301D09"/>
    <w:rsid w:val="00301FD2"/>
    <w:rsid w:val="00302282"/>
    <w:rsid w:val="003024C1"/>
    <w:rsid w:val="0030273A"/>
    <w:rsid w:val="0030277B"/>
    <w:rsid w:val="00302A50"/>
    <w:rsid w:val="00302AF6"/>
    <w:rsid w:val="00302BC8"/>
    <w:rsid w:val="00302BC9"/>
    <w:rsid w:val="00302C68"/>
    <w:rsid w:val="00302C9C"/>
    <w:rsid w:val="00302DC2"/>
    <w:rsid w:val="00302DE1"/>
    <w:rsid w:val="00302ED1"/>
    <w:rsid w:val="003031E7"/>
    <w:rsid w:val="003032C9"/>
    <w:rsid w:val="003032F3"/>
    <w:rsid w:val="003033B2"/>
    <w:rsid w:val="00303703"/>
    <w:rsid w:val="0030391A"/>
    <w:rsid w:val="00303E01"/>
    <w:rsid w:val="00303EFF"/>
    <w:rsid w:val="003040B3"/>
    <w:rsid w:val="00304199"/>
    <w:rsid w:val="00304374"/>
    <w:rsid w:val="003043A5"/>
    <w:rsid w:val="0030480D"/>
    <w:rsid w:val="00304B93"/>
    <w:rsid w:val="00304D3C"/>
    <w:rsid w:val="0030504F"/>
    <w:rsid w:val="00305620"/>
    <w:rsid w:val="003056E5"/>
    <w:rsid w:val="003059AF"/>
    <w:rsid w:val="00306135"/>
    <w:rsid w:val="003064EF"/>
    <w:rsid w:val="00306765"/>
    <w:rsid w:val="00306998"/>
    <w:rsid w:val="00306F42"/>
    <w:rsid w:val="0030704D"/>
    <w:rsid w:val="003074E8"/>
    <w:rsid w:val="00307815"/>
    <w:rsid w:val="00307BD9"/>
    <w:rsid w:val="00307BFA"/>
    <w:rsid w:val="00307C4D"/>
    <w:rsid w:val="00307CA4"/>
    <w:rsid w:val="00307E2D"/>
    <w:rsid w:val="00307EC8"/>
    <w:rsid w:val="00310081"/>
    <w:rsid w:val="003104F4"/>
    <w:rsid w:val="00310512"/>
    <w:rsid w:val="003106B8"/>
    <w:rsid w:val="00310882"/>
    <w:rsid w:val="00310AF9"/>
    <w:rsid w:val="00310C05"/>
    <w:rsid w:val="00310C29"/>
    <w:rsid w:val="00310E19"/>
    <w:rsid w:val="0031112A"/>
    <w:rsid w:val="00311214"/>
    <w:rsid w:val="00311377"/>
    <w:rsid w:val="0031149E"/>
    <w:rsid w:val="0031162F"/>
    <w:rsid w:val="00311644"/>
    <w:rsid w:val="003116E5"/>
    <w:rsid w:val="00311C8E"/>
    <w:rsid w:val="00311D72"/>
    <w:rsid w:val="00312368"/>
    <w:rsid w:val="00312A67"/>
    <w:rsid w:val="003131D8"/>
    <w:rsid w:val="003132FB"/>
    <w:rsid w:val="00313581"/>
    <w:rsid w:val="00313AC4"/>
    <w:rsid w:val="00313BD6"/>
    <w:rsid w:val="00314373"/>
    <w:rsid w:val="003143D8"/>
    <w:rsid w:val="003143F1"/>
    <w:rsid w:val="003145C2"/>
    <w:rsid w:val="0031479C"/>
    <w:rsid w:val="00314A4D"/>
    <w:rsid w:val="00314BBA"/>
    <w:rsid w:val="00314BD7"/>
    <w:rsid w:val="00314EB1"/>
    <w:rsid w:val="00314FAD"/>
    <w:rsid w:val="00314FBE"/>
    <w:rsid w:val="00315912"/>
    <w:rsid w:val="00315998"/>
    <w:rsid w:val="00315A59"/>
    <w:rsid w:val="00315B43"/>
    <w:rsid w:val="00315B62"/>
    <w:rsid w:val="00315D5B"/>
    <w:rsid w:val="0031615A"/>
    <w:rsid w:val="0031618F"/>
    <w:rsid w:val="0031649C"/>
    <w:rsid w:val="003165EE"/>
    <w:rsid w:val="00316D4B"/>
    <w:rsid w:val="00316DCE"/>
    <w:rsid w:val="003176D1"/>
    <w:rsid w:val="00317701"/>
    <w:rsid w:val="00317717"/>
    <w:rsid w:val="00317836"/>
    <w:rsid w:val="0031792B"/>
    <w:rsid w:val="00317CB1"/>
    <w:rsid w:val="00317F0F"/>
    <w:rsid w:val="00320345"/>
    <w:rsid w:val="00320620"/>
    <w:rsid w:val="00320670"/>
    <w:rsid w:val="0032076B"/>
    <w:rsid w:val="0032078D"/>
    <w:rsid w:val="003208F0"/>
    <w:rsid w:val="00320ACC"/>
    <w:rsid w:val="00320B5A"/>
    <w:rsid w:val="00320BFB"/>
    <w:rsid w:val="00320F99"/>
    <w:rsid w:val="0032137B"/>
    <w:rsid w:val="0032146F"/>
    <w:rsid w:val="00321536"/>
    <w:rsid w:val="00321639"/>
    <w:rsid w:val="003216B5"/>
    <w:rsid w:val="00321854"/>
    <w:rsid w:val="00321A67"/>
    <w:rsid w:val="00321C55"/>
    <w:rsid w:val="00321D49"/>
    <w:rsid w:val="00321E15"/>
    <w:rsid w:val="003223B0"/>
    <w:rsid w:val="00322E28"/>
    <w:rsid w:val="00323544"/>
    <w:rsid w:val="003237C9"/>
    <w:rsid w:val="003238B2"/>
    <w:rsid w:val="00323963"/>
    <w:rsid w:val="0032398B"/>
    <w:rsid w:val="00323A09"/>
    <w:rsid w:val="00324158"/>
    <w:rsid w:val="0032481D"/>
    <w:rsid w:val="003248A2"/>
    <w:rsid w:val="00324C59"/>
    <w:rsid w:val="00324C8E"/>
    <w:rsid w:val="003253A0"/>
    <w:rsid w:val="003256C5"/>
    <w:rsid w:val="00325818"/>
    <w:rsid w:val="00325B46"/>
    <w:rsid w:val="00325CF2"/>
    <w:rsid w:val="00325D9B"/>
    <w:rsid w:val="0032628F"/>
    <w:rsid w:val="00326366"/>
    <w:rsid w:val="00326426"/>
    <w:rsid w:val="00326610"/>
    <w:rsid w:val="00326A29"/>
    <w:rsid w:val="00326B01"/>
    <w:rsid w:val="00326D50"/>
    <w:rsid w:val="00326E2C"/>
    <w:rsid w:val="00327161"/>
    <w:rsid w:val="003274AE"/>
    <w:rsid w:val="0032760D"/>
    <w:rsid w:val="00327971"/>
    <w:rsid w:val="00327B34"/>
    <w:rsid w:val="00327B52"/>
    <w:rsid w:val="00327BC5"/>
    <w:rsid w:val="00327D90"/>
    <w:rsid w:val="00327E89"/>
    <w:rsid w:val="00327FA7"/>
    <w:rsid w:val="00330503"/>
    <w:rsid w:val="00330DDF"/>
    <w:rsid w:val="00330EAA"/>
    <w:rsid w:val="00330F6F"/>
    <w:rsid w:val="00330F83"/>
    <w:rsid w:val="003311B2"/>
    <w:rsid w:val="003314E0"/>
    <w:rsid w:val="0033168E"/>
    <w:rsid w:val="00331896"/>
    <w:rsid w:val="00331978"/>
    <w:rsid w:val="00331996"/>
    <w:rsid w:val="00331BAD"/>
    <w:rsid w:val="00331C56"/>
    <w:rsid w:val="00331D33"/>
    <w:rsid w:val="00331F88"/>
    <w:rsid w:val="00332197"/>
    <w:rsid w:val="00332415"/>
    <w:rsid w:val="003324F6"/>
    <w:rsid w:val="003325E2"/>
    <w:rsid w:val="00332B87"/>
    <w:rsid w:val="00332D10"/>
    <w:rsid w:val="003330A7"/>
    <w:rsid w:val="003330DA"/>
    <w:rsid w:val="00333119"/>
    <w:rsid w:val="003331F9"/>
    <w:rsid w:val="003332BA"/>
    <w:rsid w:val="003332DB"/>
    <w:rsid w:val="00333450"/>
    <w:rsid w:val="003334A3"/>
    <w:rsid w:val="0033375F"/>
    <w:rsid w:val="0033380C"/>
    <w:rsid w:val="00333A10"/>
    <w:rsid w:val="0033402E"/>
    <w:rsid w:val="003342DF"/>
    <w:rsid w:val="00334937"/>
    <w:rsid w:val="00334949"/>
    <w:rsid w:val="00334CF3"/>
    <w:rsid w:val="00334D65"/>
    <w:rsid w:val="00334E5A"/>
    <w:rsid w:val="0033505F"/>
    <w:rsid w:val="0033531B"/>
    <w:rsid w:val="0033586C"/>
    <w:rsid w:val="003359EB"/>
    <w:rsid w:val="00335A14"/>
    <w:rsid w:val="00335D13"/>
    <w:rsid w:val="00335D58"/>
    <w:rsid w:val="003360C3"/>
    <w:rsid w:val="00336372"/>
    <w:rsid w:val="0033644C"/>
    <w:rsid w:val="0033655F"/>
    <w:rsid w:val="00336715"/>
    <w:rsid w:val="0033708B"/>
    <w:rsid w:val="00337144"/>
    <w:rsid w:val="0033727A"/>
    <w:rsid w:val="003372FD"/>
    <w:rsid w:val="0033752D"/>
    <w:rsid w:val="003376E7"/>
    <w:rsid w:val="0033776B"/>
    <w:rsid w:val="003378C6"/>
    <w:rsid w:val="0033790A"/>
    <w:rsid w:val="00337917"/>
    <w:rsid w:val="00337CDB"/>
    <w:rsid w:val="00337D1D"/>
    <w:rsid w:val="0034007F"/>
    <w:rsid w:val="00340182"/>
    <w:rsid w:val="00340321"/>
    <w:rsid w:val="003404FA"/>
    <w:rsid w:val="00340591"/>
    <w:rsid w:val="00340869"/>
    <w:rsid w:val="003408E7"/>
    <w:rsid w:val="00340B62"/>
    <w:rsid w:val="00340BC2"/>
    <w:rsid w:val="00340FDD"/>
    <w:rsid w:val="003410E3"/>
    <w:rsid w:val="0034150B"/>
    <w:rsid w:val="00341BC4"/>
    <w:rsid w:val="00341C89"/>
    <w:rsid w:val="00341E8C"/>
    <w:rsid w:val="00342671"/>
    <w:rsid w:val="00342714"/>
    <w:rsid w:val="003427AB"/>
    <w:rsid w:val="003428A1"/>
    <w:rsid w:val="00342AA8"/>
    <w:rsid w:val="00342E5E"/>
    <w:rsid w:val="00343252"/>
    <w:rsid w:val="003432C4"/>
    <w:rsid w:val="0034330C"/>
    <w:rsid w:val="00343319"/>
    <w:rsid w:val="003435A4"/>
    <w:rsid w:val="003435CC"/>
    <w:rsid w:val="0034360F"/>
    <w:rsid w:val="00343932"/>
    <w:rsid w:val="00343B65"/>
    <w:rsid w:val="00343C6E"/>
    <w:rsid w:val="00343EBC"/>
    <w:rsid w:val="0034403E"/>
    <w:rsid w:val="0034419E"/>
    <w:rsid w:val="003443FB"/>
    <w:rsid w:val="0034463D"/>
    <w:rsid w:val="0034496C"/>
    <w:rsid w:val="00344AFB"/>
    <w:rsid w:val="00344CAB"/>
    <w:rsid w:val="00344DA0"/>
    <w:rsid w:val="00345119"/>
    <w:rsid w:val="003451C0"/>
    <w:rsid w:val="00345238"/>
    <w:rsid w:val="00345342"/>
    <w:rsid w:val="00345572"/>
    <w:rsid w:val="003456C6"/>
    <w:rsid w:val="00345EAE"/>
    <w:rsid w:val="00345F20"/>
    <w:rsid w:val="00346358"/>
    <w:rsid w:val="003463AF"/>
    <w:rsid w:val="00346CC1"/>
    <w:rsid w:val="00346EF8"/>
    <w:rsid w:val="00346F0D"/>
    <w:rsid w:val="00346FED"/>
    <w:rsid w:val="0034704A"/>
    <w:rsid w:val="003471E1"/>
    <w:rsid w:val="00347789"/>
    <w:rsid w:val="003478B7"/>
    <w:rsid w:val="00347C8C"/>
    <w:rsid w:val="003500C4"/>
    <w:rsid w:val="003500F3"/>
    <w:rsid w:val="003503A6"/>
    <w:rsid w:val="00350A20"/>
    <w:rsid w:val="00350F4C"/>
    <w:rsid w:val="0035104F"/>
    <w:rsid w:val="0035119B"/>
    <w:rsid w:val="00351522"/>
    <w:rsid w:val="00351689"/>
    <w:rsid w:val="00351765"/>
    <w:rsid w:val="00351AAB"/>
    <w:rsid w:val="00351B17"/>
    <w:rsid w:val="00351B5E"/>
    <w:rsid w:val="00351BDC"/>
    <w:rsid w:val="00351EFF"/>
    <w:rsid w:val="00351F8A"/>
    <w:rsid w:val="003524CE"/>
    <w:rsid w:val="0035262E"/>
    <w:rsid w:val="00352643"/>
    <w:rsid w:val="0035276F"/>
    <w:rsid w:val="00352898"/>
    <w:rsid w:val="00352B03"/>
    <w:rsid w:val="00352CFD"/>
    <w:rsid w:val="00352DF9"/>
    <w:rsid w:val="00352FE5"/>
    <w:rsid w:val="0035341A"/>
    <w:rsid w:val="003537CB"/>
    <w:rsid w:val="00353845"/>
    <w:rsid w:val="00353BD5"/>
    <w:rsid w:val="00353D55"/>
    <w:rsid w:val="00353FFB"/>
    <w:rsid w:val="0035473E"/>
    <w:rsid w:val="00354F1C"/>
    <w:rsid w:val="00354F68"/>
    <w:rsid w:val="003550EA"/>
    <w:rsid w:val="003552CD"/>
    <w:rsid w:val="00355645"/>
    <w:rsid w:val="003556FC"/>
    <w:rsid w:val="0035572C"/>
    <w:rsid w:val="003558BD"/>
    <w:rsid w:val="0035591C"/>
    <w:rsid w:val="00355D5F"/>
    <w:rsid w:val="00356166"/>
    <w:rsid w:val="003562C1"/>
    <w:rsid w:val="003566D4"/>
    <w:rsid w:val="003568F3"/>
    <w:rsid w:val="00356990"/>
    <w:rsid w:val="00356B5E"/>
    <w:rsid w:val="00356E93"/>
    <w:rsid w:val="00356F73"/>
    <w:rsid w:val="003570BB"/>
    <w:rsid w:val="00357644"/>
    <w:rsid w:val="00357858"/>
    <w:rsid w:val="003579B4"/>
    <w:rsid w:val="00357AEB"/>
    <w:rsid w:val="00357F0C"/>
    <w:rsid w:val="00357F50"/>
    <w:rsid w:val="00360093"/>
    <w:rsid w:val="00360220"/>
    <w:rsid w:val="0036081B"/>
    <w:rsid w:val="00360C4B"/>
    <w:rsid w:val="00360FD5"/>
    <w:rsid w:val="003610FC"/>
    <w:rsid w:val="00361335"/>
    <w:rsid w:val="00361401"/>
    <w:rsid w:val="0036184F"/>
    <w:rsid w:val="0036186E"/>
    <w:rsid w:val="00361B7D"/>
    <w:rsid w:val="00362398"/>
    <w:rsid w:val="00362A94"/>
    <w:rsid w:val="00362DC1"/>
    <w:rsid w:val="00362FAF"/>
    <w:rsid w:val="00363323"/>
    <w:rsid w:val="003636A3"/>
    <w:rsid w:val="00363BBE"/>
    <w:rsid w:val="00363BCE"/>
    <w:rsid w:val="00363C56"/>
    <w:rsid w:val="00363CA6"/>
    <w:rsid w:val="00363DD6"/>
    <w:rsid w:val="0036405C"/>
    <w:rsid w:val="00364146"/>
    <w:rsid w:val="00364274"/>
    <w:rsid w:val="003643A5"/>
    <w:rsid w:val="003645D1"/>
    <w:rsid w:val="003645E5"/>
    <w:rsid w:val="003648D9"/>
    <w:rsid w:val="00364A0D"/>
    <w:rsid w:val="00364A19"/>
    <w:rsid w:val="00364D58"/>
    <w:rsid w:val="00364EEE"/>
    <w:rsid w:val="00364F57"/>
    <w:rsid w:val="00364FE6"/>
    <w:rsid w:val="0036509A"/>
    <w:rsid w:val="0036516F"/>
    <w:rsid w:val="00365187"/>
    <w:rsid w:val="003659BB"/>
    <w:rsid w:val="00365B13"/>
    <w:rsid w:val="00365CF7"/>
    <w:rsid w:val="00365D3B"/>
    <w:rsid w:val="00365E56"/>
    <w:rsid w:val="00365E5A"/>
    <w:rsid w:val="00365EA4"/>
    <w:rsid w:val="00365F96"/>
    <w:rsid w:val="00366050"/>
    <w:rsid w:val="00366311"/>
    <w:rsid w:val="003664A5"/>
    <w:rsid w:val="00366525"/>
    <w:rsid w:val="003665F9"/>
    <w:rsid w:val="0036667D"/>
    <w:rsid w:val="003666D8"/>
    <w:rsid w:val="00366754"/>
    <w:rsid w:val="00366790"/>
    <w:rsid w:val="00366BD9"/>
    <w:rsid w:val="00366C64"/>
    <w:rsid w:val="0036726A"/>
    <w:rsid w:val="003672E3"/>
    <w:rsid w:val="0036733E"/>
    <w:rsid w:val="0036738D"/>
    <w:rsid w:val="00367505"/>
    <w:rsid w:val="003678EB"/>
    <w:rsid w:val="00367C98"/>
    <w:rsid w:val="00367E0B"/>
    <w:rsid w:val="003702A7"/>
    <w:rsid w:val="00370A2E"/>
    <w:rsid w:val="00370AC8"/>
    <w:rsid w:val="003710AC"/>
    <w:rsid w:val="00371817"/>
    <w:rsid w:val="00371D00"/>
    <w:rsid w:val="00371FC2"/>
    <w:rsid w:val="003720A2"/>
    <w:rsid w:val="00372352"/>
    <w:rsid w:val="0037243F"/>
    <w:rsid w:val="00372458"/>
    <w:rsid w:val="0037286C"/>
    <w:rsid w:val="00372B84"/>
    <w:rsid w:val="00372E75"/>
    <w:rsid w:val="00372E7F"/>
    <w:rsid w:val="00372EE6"/>
    <w:rsid w:val="00373560"/>
    <w:rsid w:val="00373663"/>
    <w:rsid w:val="003736E5"/>
    <w:rsid w:val="0037393A"/>
    <w:rsid w:val="00373A97"/>
    <w:rsid w:val="00373AFF"/>
    <w:rsid w:val="00373CAA"/>
    <w:rsid w:val="00373E4C"/>
    <w:rsid w:val="00373EA4"/>
    <w:rsid w:val="00373F6D"/>
    <w:rsid w:val="00373F9A"/>
    <w:rsid w:val="003740C9"/>
    <w:rsid w:val="00374392"/>
    <w:rsid w:val="003745C6"/>
    <w:rsid w:val="003756B7"/>
    <w:rsid w:val="00375B28"/>
    <w:rsid w:val="00375D31"/>
    <w:rsid w:val="00375F05"/>
    <w:rsid w:val="003760ED"/>
    <w:rsid w:val="003761A9"/>
    <w:rsid w:val="0037620C"/>
    <w:rsid w:val="003762A8"/>
    <w:rsid w:val="0037688A"/>
    <w:rsid w:val="003769BC"/>
    <w:rsid w:val="00377219"/>
    <w:rsid w:val="0037722A"/>
    <w:rsid w:val="003774AD"/>
    <w:rsid w:val="00377591"/>
    <w:rsid w:val="003776F6"/>
    <w:rsid w:val="003778B1"/>
    <w:rsid w:val="003778CD"/>
    <w:rsid w:val="00377A2D"/>
    <w:rsid w:val="0038005D"/>
    <w:rsid w:val="003800AF"/>
    <w:rsid w:val="00380278"/>
    <w:rsid w:val="0038056F"/>
    <w:rsid w:val="00380943"/>
    <w:rsid w:val="00380E28"/>
    <w:rsid w:val="00380FA7"/>
    <w:rsid w:val="00380FCB"/>
    <w:rsid w:val="00381124"/>
    <w:rsid w:val="003819F0"/>
    <w:rsid w:val="00381B34"/>
    <w:rsid w:val="00381BD5"/>
    <w:rsid w:val="00381CA4"/>
    <w:rsid w:val="0038210F"/>
    <w:rsid w:val="003822D6"/>
    <w:rsid w:val="003826C6"/>
    <w:rsid w:val="0038272D"/>
    <w:rsid w:val="00382744"/>
    <w:rsid w:val="00382B4D"/>
    <w:rsid w:val="00382C9C"/>
    <w:rsid w:val="00383068"/>
    <w:rsid w:val="003836BC"/>
    <w:rsid w:val="00383928"/>
    <w:rsid w:val="00383BE0"/>
    <w:rsid w:val="00384227"/>
    <w:rsid w:val="00384299"/>
    <w:rsid w:val="0038482C"/>
    <w:rsid w:val="00384FC7"/>
    <w:rsid w:val="00384FCB"/>
    <w:rsid w:val="00385536"/>
    <w:rsid w:val="00385594"/>
    <w:rsid w:val="00385637"/>
    <w:rsid w:val="003856AD"/>
    <w:rsid w:val="003862CB"/>
    <w:rsid w:val="00386323"/>
    <w:rsid w:val="00386730"/>
    <w:rsid w:val="00386BEB"/>
    <w:rsid w:val="00386C12"/>
    <w:rsid w:val="00386F77"/>
    <w:rsid w:val="003870BB"/>
    <w:rsid w:val="00387233"/>
    <w:rsid w:val="003872D1"/>
    <w:rsid w:val="003873E9"/>
    <w:rsid w:val="003878F0"/>
    <w:rsid w:val="00387933"/>
    <w:rsid w:val="00387B20"/>
    <w:rsid w:val="00387B84"/>
    <w:rsid w:val="00387BCA"/>
    <w:rsid w:val="00387C81"/>
    <w:rsid w:val="00387F40"/>
    <w:rsid w:val="00390237"/>
    <w:rsid w:val="003903CD"/>
    <w:rsid w:val="003903D4"/>
    <w:rsid w:val="003906CA"/>
    <w:rsid w:val="00390886"/>
    <w:rsid w:val="00390968"/>
    <w:rsid w:val="0039096E"/>
    <w:rsid w:val="00390AD0"/>
    <w:rsid w:val="00390D8A"/>
    <w:rsid w:val="0039101D"/>
    <w:rsid w:val="00391101"/>
    <w:rsid w:val="00391173"/>
    <w:rsid w:val="00391251"/>
    <w:rsid w:val="003914B9"/>
    <w:rsid w:val="00391965"/>
    <w:rsid w:val="00391B94"/>
    <w:rsid w:val="00391BD7"/>
    <w:rsid w:val="00391D89"/>
    <w:rsid w:val="003922F3"/>
    <w:rsid w:val="003922FC"/>
    <w:rsid w:val="00392414"/>
    <w:rsid w:val="0039270E"/>
    <w:rsid w:val="00392908"/>
    <w:rsid w:val="00392A10"/>
    <w:rsid w:val="00392AA1"/>
    <w:rsid w:val="00392CB5"/>
    <w:rsid w:val="00392F80"/>
    <w:rsid w:val="00393033"/>
    <w:rsid w:val="0039329B"/>
    <w:rsid w:val="00393480"/>
    <w:rsid w:val="00393E3B"/>
    <w:rsid w:val="00393EB8"/>
    <w:rsid w:val="0039404F"/>
    <w:rsid w:val="00394058"/>
    <w:rsid w:val="003943A1"/>
    <w:rsid w:val="003945D1"/>
    <w:rsid w:val="00394749"/>
    <w:rsid w:val="003948C2"/>
    <w:rsid w:val="003949B8"/>
    <w:rsid w:val="00394D8F"/>
    <w:rsid w:val="0039505A"/>
    <w:rsid w:val="003956D8"/>
    <w:rsid w:val="00395883"/>
    <w:rsid w:val="00395B27"/>
    <w:rsid w:val="00395B2D"/>
    <w:rsid w:val="00395C1E"/>
    <w:rsid w:val="00395F7A"/>
    <w:rsid w:val="00395FE2"/>
    <w:rsid w:val="00396118"/>
    <w:rsid w:val="0039624C"/>
    <w:rsid w:val="00396A7F"/>
    <w:rsid w:val="00396C8B"/>
    <w:rsid w:val="00397295"/>
    <w:rsid w:val="003977C5"/>
    <w:rsid w:val="0039797D"/>
    <w:rsid w:val="0039799A"/>
    <w:rsid w:val="003A009C"/>
    <w:rsid w:val="003A00FE"/>
    <w:rsid w:val="003A0534"/>
    <w:rsid w:val="003A07AE"/>
    <w:rsid w:val="003A0EAD"/>
    <w:rsid w:val="003A1101"/>
    <w:rsid w:val="003A20D2"/>
    <w:rsid w:val="003A2267"/>
    <w:rsid w:val="003A226E"/>
    <w:rsid w:val="003A28C2"/>
    <w:rsid w:val="003A2935"/>
    <w:rsid w:val="003A2ABD"/>
    <w:rsid w:val="003A2B37"/>
    <w:rsid w:val="003A2B3C"/>
    <w:rsid w:val="003A2D41"/>
    <w:rsid w:val="003A3006"/>
    <w:rsid w:val="003A3121"/>
    <w:rsid w:val="003A323F"/>
    <w:rsid w:val="003A3588"/>
    <w:rsid w:val="003A35CE"/>
    <w:rsid w:val="003A36C0"/>
    <w:rsid w:val="003A3945"/>
    <w:rsid w:val="003A39F6"/>
    <w:rsid w:val="003A3C5F"/>
    <w:rsid w:val="003A3C9A"/>
    <w:rsid w:val="003A3F5D"/>
    <w:rsid w:val="003A419A"/>
    <w:rsid w:val="003A457E"/>
    <w:rsid w:val="003A4DEF"/>
    <w:rsid w:val="003A4E98"/>
    <w:rsid w:val="003A4F6D"/>
    <w:rsid w:val="003A53A6"/>
    <w:rsid w:val="003A595D"/>
    <w:rsid w:val="003A5B45"/>
    <w:rsid w:val="003A5B98"/>
    <w:rsid w:val="003A626A"/>
    <w:rsid w:val="003A6665"/>
    <w:rsid w:val="003A6C59"/>
    <w:rsid w:val="003A6E6C"/>
    <w:rsid w:val="003A72AE"/>
    <w:rsid w:val="003A7533"/>
    <w:rsid w:val="003A7559"/>
    <w:rsid w:val="003A78A4"/>
    <w:rsid w:val="003A78E5"/>
    <w:rsid w:val="003A792C"/>
    <w:rsid w:val="003A7D27"/>
    <w:rsid w:val="003B0281"/>
    <w:rsid w:val="003B02EB"/>
    <w:rsid w:val="003B0885"/>
    <w:rsid w:val="003B0975"/>
    <w:rsid w:val="003B0992"/>
    <w:rsid w:val="003B0C30"/>
    <w:rsid w:val="003B0CBA"/>
    <w:rsid w:val="003B104C"/>
    <w:rsid w:val="003B2217"/>
    <w:rsid w:val="003B2343"/>
    <w:rsid w:val="003B279F"/>
    <w:rsid w:val="003B2970"/>
    <w:rsid w:val="003B2D81"/>
    <w:rsid w:val="003B2DC4"/>
    <w:rsid w:val="003B301B"/>
    <w:rsid w:val="003B30AC"/>
    <w:rsid w:val="003B326F"/>
    <w:rsid w:val="003B3568"/>
    <w:rsid w:val="003B35E1"/>
    <w:rsid w:val="003B3666"/>
    <w:rsid w:val="003B38F7"/>
    <w:rsid w:val="003B39A9"/>
    <w:rsid w:val="003B39EA"/>
    <w:rsid w:val="003B3B4A"/>
    <w:rsid w:val="003B3C85"/>
    <w:rsid w:val="003B3F6B"/>
    <w:rsid w:val="003B4301"/>
    <w:rsid w:val="003B45A1"/>
    <w:rsid w:val="003B45E7"/>
    <w:rsid w:val="003B4700"/>
    <w:rsid w:val="003B4E62"/>
    <w:rsid w:val="003B5088"/>
    <w:rsid w:val="003B5375"/>
    <w:rsid w:val="003B54CE"/>
    <w:rsid w:val="003B54EC"/>
    <w:rsid w:val="003B557B"/>
    <w:rsid w:val="003B5740"/>
    <w:rsid w:val="003B57D1"/>
    <w:rsid w:val="003B5BAA"/>
    <w:rsid w:val="003B5D16"/>
    <w:rsid w:val="003B5E84"/>
    <w:rsid w:val="003B5E99"/>
    <w:rsid w:val="003B60F0"/>
    <w:rsid w:val="003B6265"/>
    <w:rsid w:val="003B6346"/>
    <w:rsid w:val="003B6366"/>
    <w:rsid w:val="003B641A"/>
    <w:rsid w:val="003B66D3"/>
    <w:rsid w:val="003B6966"/>
    <w:rsid w:val="003B6A50"/>
    <w:rsid w:val="003B6B2D"/>
    <w:rsid w:val="003B6D77"/>
    <w:rsid w:val="003B70B7"/>
    <w:rsid w:val="003B70ED"/>
    <w:rsid w:val="003B7675"/>
    <w:rsid w:val="003B7AC2"/>
    <w:rsid w:val="003B7DD8"/>
    <w:rsid w:val="003B7F71"/>
    <w:rsid w:val="003C0520"/>
    <w:rsid w:val="003C0669"/>
    <w:rsid w:val="003C0688"/>
    <w:rsid w:val="003C0B23"/>
    <w:rsid w:val="003C0C63"/>
    <w:rsid w:val="003C0D89"/>
    <w:rsid w:val="003C1059"/>
    <w:rsid w:val="003C1414"/>
    <w:rsid w:val="003C142E"/>
    <w:rsid w:val="003C15F1"/>
    <w:rsid w:val="003C1656"/>
    <w:rsid w:val="003C1784"/>
    <w:rsid w:val="003C18B2"/>
    <w:rsid w:val="003C1A6F"/>
    <w:rsid w:val="003C1DFA"/>
    <w:rsid w:val="003C1ECC"/>
    <w:rsid w:val="003C1F2D"/>
    <w:rsid w:val="003C21ED"/>
    <w:rsid w:val="003C2358"/>
    <w:rsid w:val="003C24FC"/>
    <w:rsid w:val="003C25E4"/>
    <w:rsid w:val="003C27FA"/>
    <w:rsid w:val="003C2846"/>
    <w:rsid w:val="003C28CE"/>
    <w:rsid w:val="003C29A9"/>
    <w:rsid w:val="003C29D4"/>
    <w:rsid w:val="003C2A54"/>
    <w:rsid w:val="003C2C74"/>
    <w:rsid w:val="003C2FC5"/>
    <w:rsid w:val="003C3009"/>
    <w:rsid w:val="003C3015"/>
    <w:rsid w:val="003C30A9"/>
    <w:rsid w:val="003C3146"/>
    <w:rsid w:val="003C316C"/>
    <w:rsid w:val="003C32E9"/>
    <w:rsid w:val="003C3365"/>
    <w:rsid w:val="003C355D"/>
    <w:rsid w:val="003C36BC"/>
    <w:rsid w:val="003C37DC"/>
    <w:rsid w:val="003C3BE7"/>
    <w:rsid w:val="003C3C80"/>
    <w:rsid w:val="003C3F20"/>
    <w:rsid w:val="003C42B4"/>
    <w:rsid w:val="003C4521"/>
    <w:rsid w:val="003C4ACE"/>
    <w:rsid w:val="003C4C85"/>
    <w:rsid w:val="003C504B"/>
    <w:rsid w:val="003C542F"/>
    <w:rsid w:val="003C547D"/>
    <w:rsid w:val="003C54E1"/>
    <w:rsid w:val="003C56FB"/>
    <w:rsid w:val="003C5723"/>
    <w:rsid w:val="003C5788"/>
    <w:rsid w:val="003C61A2"/>
    <w:rsid w:val="003C64F9"/>
    <w:rsid w:val="003C66B8"/>
    <w:rsid w:val="003C677D"/>
    <w:rsid w:val="003C67EE"/>
    <w:rsid w:val="003C6A4A"/>
    <w:rsid w:val="003C6A65"/>
    <w:rsid w:val="003C6B7E"/>
    <w:rsid w:val="003C6BA5"/>
    <w:rsid w:val="003C6DF0"/>
    <w:rsid w:val="003C7125"/>
    <w:rsid w:val="003C73A3"/>
    <w:rsid w:val="003C767B"/>
    <w:rsid w:val="003C7B51"/>
    <w:rsid w:val="003C7C04"/>
    <w:rsid w:val="003C7F36"/>
    <w:rsid w:val="003C7F77"/>
    <w:rsid w:val="003D0037"/>
    <w:rsid w:val="003D0329"/>
    <w:rsid w:val="003D036F"/>
    <w:rsid w:val="003D0780"/>
    <w:rsid w:val="003D0D5F"/>
    <w:rsid w:val="003D0D93"/>
    <w:rsid w:val="003D0E73"/>
    <w:rsid w:val="003D0FE7"/>
    <w:rsid w:val="003D10D4"/>
    <w:rsid w:val="003D115D"/>
    <w:rsid w:val="003D1163"/>
    <w:rsid w:val="003D1422"/>
    <w:rsid w:val="003D14A8"/>
    <w:rsid w:val="003D1807"/>
    <w:rsid w:val="003D1892"/>
    <w:rsid w:val="003D193C"/>
    <w:rsid w:val="003D1F1C"/>
    <w:rsid w:val="003D2207"/>
    <w:rsid w:val="003D26C6"/>
    <w:rsid w:val="003D2EE3"/>
    <w:rsid w:val="003D3015"/>
    <w:rsid w:val="003D32A8"/>
    <w:rsid w:val="003D32F7"/>
    <w:rsid w:val="003D3355"/>
    <w:rsid w:val="003D364E"/>
    <w:rsid w:val="003D3870"/>
    <w:rsid w:val="003D3B96"/>
    <w:rsid w:val="003D3FC4"/>
    <w:rsid w:val="003D412F"/>
    <w:rsid w:val="003D4500"/>
    <w:rsid w:val="003D48D3"/>
    <w:rsid w:val="003D4BC1"/>
    <w:rsid w:val="003D4E9B"/>
    <w:rsid w:val="003D4F4A"/>
    <w:rsid w:val="003D508E"/>
    <w:rsid w:val="003D5351"/>
    <w:rsid w:val="003D5702"/>
    <w:rsid w:val="003D5708"/>
    <w:rsid w:val="003D59D8"/>
    <w:rsid w:val="003D5AA8"/>
    <w:rsid w:val="003D5F53"/>
    <w:rsid w:val="003D6177"/>
    <w:rsid w:val="003D61CA"/>
    <w:rsid w:val="003D61DE"/>
    <w:rsid w:val="003D61E0"/>
    <w:rsid w:val="003D6949"/>
    <w:rsid w:val="003D6B3A"/>
    <w:rsid w:val="003D725A"/>
    <w:rsid w:val="003D7373"/>
    <w:rsid w:val="003D740B"/>
    <w:rsid w:val="003D7515"/>
    <w:rsid w:val="003D76BD"/>
    <w:rsid w:val="003D76E3"/>
    <w:rsid w:val="003D7B13"/>
    <w:rsid w:val="003E00B3"/>
    <w:rsid w:val="003E0160"/>
    <w:rsid w:val="003E026D"/>
    <w:rsid w:val="003E027F"/>
    <w:rsid w:val="003E04A4"/>
    <w:rsid w:val="003E090E"/>
    <w:rsid w:val="003E098D"/>
    <w:rsid w:val="003E0ABA"/>
    <w:rsid w:val="003E0B3A"/>
    <w:rsid w:val="003E0E09"/>
    <w:rsid w:val="003E0E60"/>
    <w:rsid w:val="003E11CE"/>
    <w:rsid w:val="003E1581"/>
    <w:rsid w:val="003E1983"/>
    <w:rsid w:val="003E1AE5"/>
    <w:rsid w:val="003E2035"/>
    <w:rsid w:val="003E2054"/>
    <w:rsid w:val="003E2087"/>
    <w:rsid w:val="003E20C0"/>
    <w:rsid w:val="003E242E"/>
    <w:rsid w:val="003E26E8"/>
    <w:rsid w:val="003E28FF"/>
    <w:rsid w:val="003E2A01"/>
    <w:rsid w:val="003E2A16"/>
    <w:rsid w:val="003E2DAE"/>
    <w:rsid w:val="003E30E5"/>
    <w:rsid w:val="003E3194"/>
    <w:rsid w:val="003E33A6"/>
    <w:rsid w:val="003E3665"/>
    <w:rsid w:val="003E3766"/>
    <w:rsid w:val="003E3956"/>
    <w:rsid w:val="003E3CE4"/>
    <w:rsid w:val="003E3E5F"/>
    <w:rsid w:val="003E4052"/>
    <w:rsid w:val="003E432F"/>
    <w:rsid w:val="003E479A"/>
    <w:rsid w:val="003E47A6"/>
    <w:rsid w:val="003E489D"/>
    <w:rsid w:val="003E4F04"/>
    <w:rsid w:val="003E50B4"/>
    <w:rsid w:val="003E50D2"/>
    <w:rsid w:val="003E5119"/>
    <w:rsid w:val="003E5243"/>
    <w:rsid w:val="003E52F2"/>
    <w:rsid w:val="003E54BC"/>
    <w:rsid w:val="003E5559"/>
    <w:rsid w:val="003E55C9"/>
    <w:rsid w:val="003E570D"/>
    <w:rsid w:val="003E5801"/>
    <w:rsid w:val="003E5968"/>
    <w:rsid w:val="003E5973"/>
    <w:rsid w:val="003E598F"/>
    <w:rsid w:val="003E6090"/>
    <w:rsid w:val="003E60A7"/>
    <w:rsid w:val="003E61C7"/>
    <w:rsid w:val="003E6411"/>
    <w:rsid w:val="003E6948"/>
    <w:rsid w:val="003E708A"/>
    <w:rsid w:val="003E71A1"/>
    <w:rsid w:val="003E71AA"/>
    <w:rsid w:val="003E7377"/>
    <w:rsid w:val="003E7478"/>
    <w:rsid w:val="003E74E6"/>
    <w:rsid w:val="003E76EF"/>
    <w:rsid w:val="003E773E"/>
    <w:rsid w:val="003E778E"/>
    <w:rsid w:val="003E783A"/>
    <w:rsid w:val="003E7BD0"/>
    <w:rsid w:val="003E7C99"/>
    <w:rsid w:val="003E7E28"/>
    <w:rsid w:val="003E7FF6"/>
    <w:rsid w:val="003F019A"/>
    <w:rsid w:val="003F0760"/>
    <w:rsid w:val="003F0773"/>
    <w:rsid w:val="003F07BE"/>
    <w:rsid w:val="003F10E4"/>
    <w:rsid w:val="003F14CA"/>
    <w:rsid w:val="003F1547"/>
    <w:rsid w:val="003F159B"/>
    <w:rsid w:val="003F1710"/>
    <w:rsid w:val="003F19BF"/>
    <w:rsid w:val="003F1A51"/>
    <w:rsid w:val="003F1A72"/>
    <w:rsid w:val="003F1B8E"/>
    <w:rsid w:val="003F1D2C"/>
    <w:rsid w:val="003F1E0B"/>
    <w:rsid w:val="003F2258"/>
    <w:rsid w:val="003F2334"/>
    <w:rsid w:val="003F24A5"/>
    <w:rsid w:val="003F2A9B"/>
    <w:rsid w:val="003F2AED"/>
    <w:rsid w:val="003F308B"/>
    <w:rsid w:val="003F32E4"/>
    <w:rsid w:val="003F3313"/>
    <w:rsid w:val="003F362B"/>
    <w:rsid w:val="003F3A7D"/>
    <w:rsid w:val="003F3C0C"/>
    <w:rsid w:val="003F3F38"/>
    <w:rsid w:val="003F438D"/>
    <w:rsid w:val="003F4529"/>
    <w:rsid w:val="003F491F"/>
    <w:rsid w:val="003F4C90"/>
    <w:rsid w:val="003F507A"/>
    <w:rsid w:val="003F530A"/>
    <w:rsid w:val="003F5399"/>
    <w:rsid w:val="003F55F1"/>
    <w:rsid w:val="003F5E80"/>
    <w:rsid w:val="003F6000"/>
    <w:rsid w:val="003F6019"/>
    <w:rsid w:val="003F653B"/>
    <w:rsid w:val="003F66C6"/>
    <w:rsid w:val="003F680D"/>
    <w:rsid w:val="003F68D1"/>
    <w:rsid w:val="003F6C5F"/>
    <w:rsid w:val="003F6D58"/>
    <w:rsid w:val="003F6EDE"/>
    <w:rsid w:val="003F77DB"/>
    <w:rsid w:val="003F7884"/>
    <w:rsid w:val="003F7AC9"/>
    <w:rsid w:val="003F7D5C"/>
    <w:rsid w:val="003F7E60"/>
    <w:rsid w:val="004002C3"/>
    <w:rsid w:val="00400479"/>
    <w:rsid w:val="0040094D"/>
    <w:rsid w:val="004009E7"/>
    <w:rsid w:val="00400A73"/>
    <w:rsid w:val="004011DB"/>
    <w:rsid w:val="004012DD"/>
    <w:rsid w:val="004015CB"/>
    <w:rsid w:val="00401889"/>
    <w:rsid w:val="00401BEE"/>
    <w:rsid w:val="00401CC2"/>
    <w:rsid w:val="00401D1C"/>
    <w:rsid w:val="00401EAD"/>
    <w:rsid w:val="004020F9"/>
    <w:rsid w:val="00402211"/>
    <w:rsid w:val="00402356"/>
    <w:rsid w:val="004023E1"/>
    <w:rsid w:val="00402482"/>
    <w:rsid w:val="004024C9"/>
    <w:rsid w:val="0040266D"/>
    <w:rsid w:val="004026A9"/>
    <w:rsid w:val="0040272A"/>
    <w:rsid w:val="004027D0"/>
    <w:rsid w:val="00402813"/>
    <w:rsid w:val="004028CB"/>
    <w:rsid w:val="004028EC"/>
    <w:rsid w:val="00402910"/>
    <w:rsid w:val="00402A61"/>
    <w:rsid w:val="00402B52"/>
    <w:rsid w:val="00402CA5"/>
    <w:rsid w:val="00403064"/>
    <w:rsid w:val="0040338B"/>
    <w:rsid w:val="00403680"/>
    <w:rsid w:val="0040372B"/>
    <w:rsid w:val="00403A1D"/>
    <w:rsid w:val="00403D30"/>
    <w:rsid w:val="00404014"/>
    <w:rsid w:val="00404341"/>
    <w:rsid w:val="00404459"/>
    <w:rsid w:val="00404500"/>
    <w:rsid w:val="00404C16"/>
    <w:rsid w:val="00404EBE"/>
    <w:rsid w:val="00404F85"/>
    <w:rsid w:val="00405298"/>
    <w:rsid w:val="00405574"/>
    <w:rsid w:val="00405671"/>
    <w:rsid w:val="00405717"/>
    <w:rsid w:val="0040595B"/>
    <w:rsid w:val="00405A56"/>
    <w:rsid w:val="00405DE0"/>
    <w:rsid w:val="00406034"/>
    <w:rsid w:val="004060D3"/>
    <w:rsid w:val="00406ADE"/>
    <w:rsid w:val="00406BBC"/>
    <w:rsid w:val="00406DF4"/>
    <w:rsid w:val="00406FEB"/>
    <w:rsid w:val="00407555"/>
    <w:rsid w:val="0040764C"/>
    <w:rsid w:val="00407660"/>
    <w:rsid w:val="0040774B"/>
    <w:rsid w:val="00407784"/>
    <w:rsid w:val="00407E13"/>
    <w:rsid w:val="00407EC8"/>
    <w:rsid w:val="00407EFF"/>
    <w:rsid w:val="00407F70"/>
    <w:rsid w:val="0041043B"/>
    <w:rsid w:val="00410515"/>
    <w:rsid w:val="004105D2"/>
    <w:rsid w:val="00410663"/>
    <w:rsid w:val="00410938"/>
    <w:rsid w:val="00410950"/>
    <w:rsid w:val="00410DBB"/>
    <w:rsid w:val="00410F61"/>
    <w:rsid w:val="0041141B"/>
    <w:rsid w:val="004114A7"/>
    <w:rsid w:val="004116A0"/>
    <w:rsid w:val="00411C2E"/>
    <w:rsid w:val="00411DE3"/>
    <w:rsid w:val="00411FC9"/>
    <w:rsid w:val="00411FF5"/>
    <w:rsid w:val="004121FB"/>
    <w:rsid w:val="00412375"/>
    <w:rsid w:val="00412478"/>
    <w:rsid w:val="00412A7B"/>
    <w:rsid w:val="00412C23"/>
    <w:rsid w:val="0041344F"/>
    <w:rsid w:val="004134B0"/>
    <w:rsid w:val="00413CB0"/>
    <w:rsid w:val="004140A7"/>
    <w:rsid w:val="00414AE2"/>
    <w:rsid w:val="00414EBE"/>
    <w:rsid w:val="00415003"/>
    <w:rsid w:val="00415378"/>
    <w:rsid w:val="00415478"/>
    <w:rsid w:val="00415650"/>
    <w:rsid w:val="00415CB7"/>
    <w:rsid w:val="00415D38"/>
    <w:rsid w:val="00415FFB"/>
    <w:rsid w:val="00416126"/>
    <w:rsid w:val="0041621B"/>
    <w:rsid w:val="004164EF"/>
    <w:rsid w:val="0041654B"/>
    <w:rsid w:val="00416585"/>
    <w:rsid w:val="004165B5"/>
    <w:rsid w:val="00416682"/>
    <w:rsid w:val="00416732"/>
    <w:rsid w:val="004167D8"/>
    <w:rsid w:val="00417128"/>
    <w:rsid w:val="00417360"/>
    <w:rsid w:val="00417376"/>
    <w:rsid w:val="004173C1"/>
    <w:rsid w:val="0041740A"/>
    <w:rsid w:val="00417428"/>
    <w:rsid w:val="00417437"/>
    <w:rsid w:val="004174B6"/>
    <w:rsid w:val="00417C8B"/>
    <w:rsid w:val="00417CB2"/>
    <w:rsid w:val="004202B3"/>
    <w:rsid w:val="004202B9"/>
    <w:rsid w:val="004202C1"/>
    <w:rsid w:val="004202EF"/>
    <w:rsid w:val="00420341"/>
    <w:rsid w:val="00420357"/>
    <w:rsid w:val="004205A7"/>
    <w:rsid w:val="00420667"/>
    <w:rsid w:val="0042066F"/>
    <w:rsid w:val="0042072A"/>
    <w:rsid w:val="00420756"/>
    <w:rsid w:val="00420A12"/>
    <w:rsid w:val="00420B22"/>
    <w:rsid w:val="00420C01"/>
    <w:rsid w:val="004213B2"/>
    <w:rsid w:val="004216E5"/>
    <w:rsid w:val="004216FA"/>
    <w:rsid w:val="00421891"/>
    <w:rsid w:val="004218A2"/>
    <w:rsid w:val="00421A47"/>
    <w:rsid w:val="00421C87"/>
    <w:rsid w:val="00421DE0"/>
    <w:rsid w:val="00422198"/>
    <w:rsid w:val="004221BF"/>
    <w:rsid w:val="0042243E"/>
    <w:rsid w:val="004224E0"/>
    <w:rsid w:val="0042257B"/>
    <w:rsid w:val="0042274E"/>
    <w:rsid w:val="00422835"/>
    <w:rsid w:val="00422A30"/>
    <w:rsid w:val="00422AFA"/>
    <w:rsid w:val="00422D18"/>
    <w:rsid w:val="00422DC9"/>
    <w:rsid w:val="00422E46"/>
    <w:rsid w:val="00423207"/>
    <w:rsid w:val="004237AB"/>
    <w:rsid w:val="00423A7C"/>
    <w:rsid w:val="00423C31"/>
    <w:rsid w:val="00423E2D"/>
    <w:rsid w:val="00424510"/>
    <w:rsid w:val="0042468C"/>
    <w:rsid w:val="00424809"/>
    <w:rsid w:val="00424AF6"/>
    <w:rsid w:val="00424DC9"/>
    <w:rsid w:val="00424F5F"/>
    <w:rsid w:val="00425283"/>
    <w:rsid w:val="00425402"/>
    <w:rsid w:val="004254D8"/>
    <w:rsid w:val="00425B8E"/>
    <w:rsid w:val="00425D1B"/>
    <w:rsid w:val="0042602E"/>
    <w:rsid w:val="00426089"/>
    <w:rsid w:val="0042646D"/>
    <w:rsid w:val="00426503"/>
    <w:rsid w:val="004267CC"/>
    <w:rsid w:val="0042680A"/>
    <w:rsid w:val="00426B45"/>
    <w:rsid w:val="00426CC6"/>
    <w:rsid w:val="00426E21"/>
    <w:rsid w:val="00426E67"/>
    <w:rsid w:val="004271C9"/>
    <w:rsid w:val="0042753D"/>
    <w:rsid w:val="00427551"/>
    <w:rsid w:val="004279D0"/>
    <w:rsid w:val="00427BC2"/>
    <w:rsid w:val="00427C3E"/>
    <w:rsid w:val="00430498"/>
    <w:rsid w:val="00430527"/>
    <w:rsid w:val="0043079C"/>
    <w:rsid w:val="004309DA"/>
    <w:rsid w:val="00430B93"/>
    <w:rsid w:val="00430F1A"/>
    <w:rsid w:val="00431168"/>
    <w:rsid w:val="0043117D"/>
    <w:rsid w:val="00431661"/>
    <w:rsid w:val="00431BBA"/>
    <w:rsid w:val="00431EF1"/>
    <w:rsid w:val="00431FFD"/>
    <w:rsid w:val="00432339"/>
    <w:rsid w:val="0043237A"/>
    <w:rsid w:val="004325E1"/>
    <w:rsid w:val="00432663"/>
    <w:rsid w:val="00432707"/>
    <w:rsid w:val="004328F4"/>
    <w:rsid w:val="00432999"/>
    <w:rsid w:val="00432CAA"/>
    <w:rsid w:val="0043317F"/>
    <w:rsid w:val="0043341D"/>
    <w:rsid w:val="004336EC"/>
    <w:rsid w:val="00433823"/>
    <w:rsid w:val="00433AE6"/>
    <w:rsid w:val="00433B01"/>
    <w:rsid w:val="00433B98"/>
    <w:rsid w:val="00433D82"/>
    <w:rsid w:val="00433DD5"/>
    <w:rsid w:val="00433EF2"/>
    <w:rsid w:val="00434308"/>
    <w:rsid w:val="0043441D"/>
    <w:rsid w:val="00434593"/>
    <w:rsid w:val="00434845"/>
    <w:rsid w:val="00434A51"/>
    <w:rsid w:val="00434AA6"/>
    <w:rsid w:val="00434B7B"/>
    <w:rsid w:val="00434E22"/>
    <w:rsid w:val="00434FD0"/>
    <w:rsid w:val="00435329"/>
    <w:rsid w:val="00435781"/>
    <w:rsid w:val="00435C45"/>
    <w:rsid w:val="00435CA8"/>
    <w:rsid w:val="00435E5F"/>
    <w:rsid w:val="00435F93"/>
    <w:rsid w:val="00436038"/>
    <w:rsid w:val="004360AB"/>
    <w:rsid w:val="00436249"/>
    <w:rsid w:val="004363B6"/>
    <w:rsid w:val="0043657E"/>
    <w:rsid w:val="004365F2"/>
    <w:rsid w:val="00436761"/>
    <w:rsid w:val="00436B71"/>
    <w:rsid w:val="00436C91"/>
    <w:rsid w:val="00436D57"/>
    <w:rsid w:val="00436E83"/>
    <w:rsid w:val="00436FC7"/>
    <w:rsid w:val="00437017"/>
    <w:rsid w:val="00437128"/>
    <w:rsid w:val="004371A9"/>
    <w:rsid w:val="004372F5"/>
    <w:rsid w:val="0043794E"/>
    <w:rsid w:val="004379D3"/>
    <w:rsid w:val="00437B18"/>
    <w:rsid w:val="00437C79"/>
    <w:rsid w:val="00437D05"/>
    <w:rsid w:val="00437DD8"/>
    <w:rsid w:val="00437EEA"/>
    <w:rsid w:val="00440077"/>
    <w:rsid w:val="004402F8"/>
    <w:rsid w:val="0044031E"/>
    <w:rsid w:val="004403BB"/>
    <w:rsid w:val="00440B9C"/>
    <w:rsid w:val="00440F2D"/>
    <w:rsid w:val="00440F81"/>
    <w:rsid w:val="00440FFE"/>
    <w:rsid w:val="00441123"/>
    <w:rsid w:val="00441584"/>
    <w:rsid w:val="00441B01"/>
    <w:rsid w:val="00441CCD"/>
    <w:rsid w:val="00442156"/>
    <w:rsid w:val="004421E5"/>
    <w:rsid w:val="00442238"/>
    <w:rsid w:val="00442369"/>
    <w:rsid w:val="004424B7"/>
    <w:rsid w:val="00442500"/>
    <w:rsid w:val="00442676"/>
    <w:rsid w:val="0044293A"/>
    <w:rsid w:val="0044294D"/>
    <w:rsid w:val="00442C22"/>
    <w:rsid w:val="00442D57"/>
    <w:rsid w:val="00442DDC"/>
    <w:rsid w:val="00442F08"/>
    <w:rsid w:val="00443DBF"/>
    <w:rsid w:val="00444AE4"/>
    <w:rsid w:val="00444CC5"/>
    <w:rsid w:val="00444E7D"/>
    <w:rsid w:val="00445149"/>
    <w:rsid w:val="00445154"/>
    <w:rsid w:val="004452C4"/>
    <w:rsid w:val="00445663"/>
    <w:rsid w:val="004456E1"/>
    <w:rsid w:val="00445784"/>
    <w:rsid w:val="00445922"/>
    <w:rsid w:val="00445A1F"/>
    <w:rsid w:val="00445B60"/>
    <w:rsid w:val="00445DD6"/>
    <w:rsid w:val="00446348"/>
    <w:rsid w:val="00446551"/>
    <w:rsid w:val="00446567"/>
    <w:rsid w:val="004467C5"/>
    <w:rsid w:val="004468F2"/>
    <w:rsid w:val="00446EC5"/>
    <w:rsid w:val="00447167"/>
    <w:rsid w:val="004471E8"/>
    <w:rsid w:val="0044736B"/>
    <w:rsid w:val="0044755A"/>
    <w:rsid w:val="004475B3"/>
    <w:rsid w:val="004477D2"/>
    <w:rsid w:val="00447B46"/>
    <w:rsid w:val="00447E7C"/>
    <w:rsid w:val="00447E92"/>
    <w:rsid w:val="00447FD8"/>
    <w:rsid w:val="00450103"/>
    <w:rsid w:val="004507BD"/>
    <w:rsid w:val="00450B1B"/>
    <w:rsid w:val="00450E8B"/>
    <w:rsid w:val="00450F62"/>
    <w:rsid w:val="00450F84"/>
    <w:rsid w:val="00451357"/>
    <w:rsid w:val="00451DF0"/>
    <w:rsid w:val="00452237"/>
    <w:rsid w:val="00452797"/>
    <w:rsid w:val="00452908"/>
    <w:rsid w:val="00452CCB"/>
    <w:rsid w:val="00452DC8"/>
    <w:rsid w:val="00452E9F"/>
    <w:rsid w:val="00452F17"/>
    <w:rsid w:val="00453584"/>
    <w:rsid w:val="0045376A"/>
    <w:rsid w:val="0045389C"/>
    <w:rsid w:val="00453CC9"/>
    <w:rsid w:val="00453CCA"/>
    <w:rsid w:val="00453DBD"/>
    <w:rsid w:val="00454160"/>
    <w:rsid w:val="0045451C"/>
    <w:rsid w:val="00454B3E"/>
    <w:rsid w:val="00454D7A"/>
    <w:rsid w:val="00454D82"/>
    <w:rsid w:val="00454D9D"/>
    <w:rsid w:val="00454FAF"/>
    <w:rsid w:val="00455011"/>
    <w:rsid w:val="0045502B"/>
    <w:rsid w:val="00455072"/>
    <w:rsid w:val="004551E6"/>
    <w:rsid w:val="00455487"/>
    <w:rsid w:val="00455833"/>
    <w:rsid w:val="004558B5"/>
    <w:rsid w:val="00455FAB"/>
    <w:rsid w:val="0045637C"/>
    <w:rsid w:val="00456480"/>
    <w:rsid w:val="00456D57"/>
    <w:rsid w:val="00456D6B"/>
    <w:rsid w:val="00456DC1"/>
    <w:rsid w:val="00456DE0"/>
    <w:rsid w:val="00456F7C"/>
    <w:rsid w:val="00456FCB"/>
    <w:rsid w:val="0045707E"/>
    <w:rsid w:val="004570AA"/>
    <w:rsid w:val="00457EC8"/>
    <w:rsid w:val="00457EFC"/>
    <w:rsid w:val="00457F26"/>
    <w:rsid w:val="00457FAA"/>
    <w:rsid w:val="00457FEC"/>
    <w:rsid w:val="00460103"/>
    <w:rsid w:val="0046047A"/>
    <w:rsid w:val="004606B9"/>
    <w:rsid w:val="00460744"/>
    <w:rsid w:val="00460B0B"/>
    <w:rsid w:val="00460BB8"/>
    <w:rsid w:val="004617A5"/>
    <w:rsid w:val="004618E6"/>
    <w:rsid w:val="00461AA8"/>
    <w:rsid w:val="00461C8E"/>
    <w:rsid w:val="00462051"/>
    <w:rsid w:val="0046218B"/>
    <w:rsid w:val="0046221B"/>
    <w:rsid w:val="00462865"/>
    <w:rsid w:val="004629C2"/>
    <w:rsid w:val="00462F43"/>
    <w:rsid w:val="0046311A"/>
    <w:rsid w:val="00463195"/>
    <w:rsid w:val="00463365"/>
    <w:rsid w:val="004635AB"/>
    <w:rsid w:val="0046391F"/>
    <w:rsid w:val="00463CC9"/>
    <w:rsid w:val="00463D12"/>
    <w:rsid w:val="00463DEC"/>
    <w:rsid w:val="00464348"/>
    <w:rsid w:val="00464380"/>
    <w:rsid w:val="0046460E"/>
    <w:rsid w:val="00464639"/>
    <w:rsid w:val="004647A4"/>
    <w:rsid w:val="004649A4"/>
    <w:rsid w:val="004651A6"/>
    <w:rsid w:val="0046544D"/>
    <w:rsid w:val="0046567D"/>
    <w:rsid w:val="00465712"/>
    <w:rsid w:val="004657EA"/>
    <w:rsid w:val="00465858"/>
    <w:rsid w:val="00465D00"/>
    <w:rsid w:val="00465DC8"/>
    <w:rsid w:val="004665D1"/>
    <w:rsid w:val="004665EB"/>
    <w:rsid w:val="004668E6"/>
    <w:rsid w:val="00466910"/>
    <w:rsid w:val="00466AAC"/>
    <w:rsid w:val="00466AC4"/>
    <w:rsid w:val="00466CE2"/>
    <w:rsid w:val="0046726C"/>
    <w:rsid w:val="004674C6"/>
    <w:rsid w:val="00467589"/>
    <w:rsid w:val="0046767B"/>
    <w:rsid w:val="004676AC"/>
    <w:rsid w:val="0046792B"/>
    <w:rsid w:val="004679B2"/>
    <w:rsid w:val="00467A11"/>
    <w:rsid w:val="00467A8A"/>
    <w:rsid w:val="00467CC5"/>
    <w:rsid w:val="00467F39"/>
    <w:rsid w:val="004704BB"/>
    <w:rsid w:val="00470633"/>
    <w:rsid w:val="004706BB"/>
    <w:rsid w:val="004707BA"/>
    <w:rsid w:val="00470A2F"/>
    <w:rsid w:val="00470CED"/>
    <w:rsid w:val="00470CF5"/>
    <w:rsid w:val="004711E6"/>
    <w:rsid w:val="00471252"/>
    <w:rsid w:val="004712B2"/>
    <w:rsid w:val="004714D0"/>
    <w:rsid w:val="004716A0"/>
    <w:rsid w:val="0047183A"/>
    <w:rsid w:val="00471A30"/>
    <w:rsid w:val="00471AF2"/>
    <w:rsid w:val="00471C69"/>
    <w:rsid w:val="00471D13"/>
    <w:rsid w:val="00471FF2"/>
    <w:rsid w:val="00472006"/>
    <w:rsid w:val="004723B0"/>
    <w:rsid w:val="004723F4"/>
    <w:rsid w:val="004724BA"/>
    <w:rsid w:val="004728B9"/>
    <w:rsid w:val="004728E2"/>
    <w:rsid w:val="00472A88"/>
    <w:rsid w:val="00472BCE"/>
    <w:rsid w:val="00472D7B"/>
    <w:rsid w:val="00472FA4"/>
    <w:rsid w:val="00473061"/>
    <w:rsid w:val="004731AA"/>
    <w:rsid w:val="00473234"/>
    <w:rsid w:val="0047323D"/>
    <w:rsid w:val="004733C9"/>
    <w:rsid w:val="0047340E"/>
    <w:rsid w:val="0047347B"/>
    <w:rsid w:val="0047379D"/>
    <w:rsid w:val="00473A73"/>
    <w:rsid w:val="00473BE7"/>
    <w:rsid w:val="00473C63"/>
    <w:rsid w:val="00474293"/>
    <w:rsid w:val="004742E3"/>
    <w:rsid w:val="00474615"/>
    <w:rsid w:val="00474CD7"/>
    <w:rsid w:val="00474E0D"/>
    <w:rsid w:val="00475086"/>
    <w:rsid w:val="00475229"/>
    <w:rsid w:val="004753DF"/>
    <w:rsid w:val="00475596"/>
    <w:rsid w:val="00475A24"/>
    <w:rsid w:val="004760C6"/>
    <w:rsid w:val="004762A5"/>
    <w:rsid w:val="0047662E"/>
    <w:rsid w:val="004767E8"/>
    <w:rsid w:val="00476953"/>
    <w:rsid w:val="0047698B"/>
    <w:rsid w:val="00476B0E"/>
    <w:rsid w:val="00476B7C"/>
    <w:rsid w:val="00476F55"/>
    <w:rsid w:val="00477151"/>
    <w:rsid w:val="004771AE"/>
    <w:rsid w:val="004773AD"/>
    <w:rsid w:val="004776F5"/>
    <w:rsid w:val="00477749"/>
    <w:rsid w:val="00477767"/>
    <w:rsid w:val="0047795F"/>
    <w:rsid w:val="00477B77"/>
    <w:rsid w:val="00477BDC"/>
    <w:rsid w:val="00477DBF"/>
    <w:rsid w:val="00480285"/>
    <w:rsid w:val="004803A8"/>
    <w:rsid w:val="0048044B"/>
    <w:rsid w:val="0048047B"/>
    <w:rsid w:val="00480C2D"/>
    <w:rsid w:val="00480DDB"/>
    <w:rsid w:val="00480F34"/>
    <w:rsid w:val="004810F1"/>
    <w:rsid w:val="0048138B"/>
    <w:rsid w:val="004813FC"/>
    <w:rsid w:val="0048163E"/>
    <w:rsid w:val="00481695"/>
    <w:rsid w:val="00481A22"/>
    <w:rsid w:val="00481FB9"/>
    <w:rsid w:val="00482072"/>
    <w:rsid w:val="00482097"/>
    <w:rsid w:val="004820C3"/>
    <w:rsid w:val="004821B4"/>
    <w:rsid w:val="0048222F"/>
    <w:rsid w:val="0048241D"/>
    <w:rsid w:val="004825D4"/>
    <w:rsid w:val="004826AB"/>
    <w:rsid w:val="00482704"/>
    <w:rsid w:val="00482A7C"/>
    <w:rsid w:val="00482D5A"/>
    <w:rsid w:val="00482F7C"/>
    <w:rsid w:val="00482FC8"/>
    <w:rsid w:val="0048342B"/>
    <w:rsid w:val="004837C5"/>
    <w:rsid w:val="00483D81"/>
    <w:rsid w:val="00483F2C"/>
    <w:rsid w:val="00484788"/>
    <w:rsid w:val="004848D5"/>
    <w:rsid w:val="00484932"/>
    <w:rsid w:val="0048493C"/>
    <w:rsid w:val="00484A15"/>
    <w:rsid w:val="00484A39"/>
    <w:rsid w:val="00484E4F"/>
    <w:rsid w:val="00484F29"/>
    <w:rsid w:val="00484FE7"/>
    <w:rsid w:val="00485210"/>
    <w:rsid w:val="0048532D"/>
    <w:rsid w:val="0048534B"/>
    <w:rsid w:val="00485539"/>
    <w:rsid w:val="0048561D"/>
    <w:rsid w:val="00485868"/>
    <w:rsid w:val="00485A42"/>
    <w:rsid w:val="0048616C"/>
    <w:rsid w:val="004861B1"/>
    <w:rsid w:val="0048629A"/>
    <w:rsid w:val="00486676"/>
    <w:rsid w:val="0048679C"/>
    <w:rsid w:val="0048697B"/>
    <w:rsid w:val="004869DE"/>
    <w:rsid w:val="00486A9E"/>
    <w:rsid w:val="00486B57"/>
    <w:rsid w:val="00486BC0"/>
    <w:rsid w:val="00486E3B"/>
    <w:rsid w:val="00486EB1"/>
    <w:rsid w:val="004871D9"/>
    <w:rsid w:val="00487368"/>
    <w:rsid w:val="004873A8"/>
    <w:rsid w:val="00487690"/>
    <w:rsid w:val="004876E1"/>
    <w:rsid w:val="00487970"/>
    <w:rsid w:val="00487B6A"/>
    <w:rsid w:val="00487B95"/>
    <w:rsid w:val="00487C5C"/>
    <w:rsid w:val="00487CE6"/>
    <w:rsid w:val="00487DDD"/>
    <w:rsid w:val="00487F3D"/>
    <w:rsid w:val="00487F9E"/>
    <w:rsid w:val="0049035A"/>
    <w:rsid w:val="00490451"/>
    <w:rsid w:val="0049053B"/>
    <w:rsid w:val="0049063E"/>
    <w:rsid w:val="0049097B"/>
    <w:rsid w:val="00490A96"/>
    <w:rsid w:val="00490DEE"/>
    <w:rsid w:val="0049126E"/>
    <w:rsid w:val="004914E5"/>
    <w:rsid w:val="0049157C"/>
    <w:rsid w:val="00491A0A"/>
    <w:rsid w:val="00491C75"/>
    <w:rsid w:val="00491D09"/>
    <w:rsid w:val="00491F40"/>
    <w:rsid w:val="00492207"/>
    <w:rsid w:val="00492421"/>
    <w:rsid w:val="004924BB"/>
    <w:rsid w:val="0049251C"/>
    <w:rsid w:val="004927C1"/>
    <w:rsid w:val="004929F2"/>
    <w:rsid w:val="00492B30"/>
    <w:rsid w:val="00492D43"/>
    <w:rsid w:val="00492EEF"/>
    <w:rsid w:val="00492F67"/>
    <w:rsid w:val="004930C0"/>
    <w:rsid w:val="004935F9"/>
    <w:rsid w:val="0049390D"/>
    <w:rsid w:val="00493920"/>
    <w:rsid w:val="00493D7E"/>
    <w:rsid w:val="00493DEB"/>
    <w:rsid w:val="00494210"/>
    <w:rsid w:val="0049441D"/>
    <w:rsid w:val="00494541"/>
    <w:rsid w:val="00494589"/>
    <w:rsid w:val="004945BA"/>
    <w:rsid w:val="004945FD"/>
    <w:rsid w:val="00494615"/>
    <w:rsid w:val="0049474A"/>
    <w:rsid w:val="00494AD3"/>
    <w:rsid w:val="00494C30"/>
    <w:rsid w:val="00494F16"/>
    <w:rsid w:val="00495053"/>
    <w:rsid w:val="00495470"/>
    <w:rsid w:val="004954A2"/>
    <w:rsid w:val="00495555"/>
    <w:rsid w:val="00495587"/>
    <w:rsid w:val="0049560F"/>
    <w:rsid w:val="00495613"/>
    <w:rsid w:val="004958B4"/>
    <w:rsid w:val="00495900"/>
    <w:rsid w:val="00495D0B"/>
    <w:rsid w:val="00495FDA"/>
    <w:rsid w:val="004963AF"/>
    <w:rsid w:val="004964B5"/>
    <w:rsid w:val="00496577"/>
    <w:rsid w:val="00496656"/>
    <w:rsid w:val="004966C2"/>
    <w:rsid w:val="00496806"/>
    <w:rsid w:val="00496A5B"/>
    <w:rsid w:val="00496A9B"/>
    <w:rsid w:val="00496C50"/>
    <w:rsid w:val="00496D7E"/>
    <w:rsid w:val="00496F20"/>
    <w:rsid w:val="0049704A"/>
    <w:rsid w:val="004971DA"/>
    <w:rsid w:val="00497314"/>
    <w:rsid w:val="00497B25"/>
    <w:rsid w:val="00497B46"/>
    <w:rsid w:val="00497CA6"/>
    <w:rsid w:val="004A05CF"/>
    <w:rsid w:val="004A12D4"/>
    <w:rsid w:val="004A141E"/>
    <w:rsid w:val="004A157D"/>
    <w:rsid w:val="004A1945"/>
    <w:rsid w:val="004A1AA0"/>
    <w:rsid w:val="004A1BBC"/>
    <w:rsid w:val="004A1C17"/>
    <w:rsid w:val="004A1C91"/>
    <w:rsid w:val="004A1CE0"/>
    <w:rsid w:val="004A1D24"/>
    <w:rsid w:val="004A2181"/>
    <w:rsid w:val="004A21DA"/>
    <w:rsid w:val="004A2552"/>
    <w:rsid w:val="004A25D7"/>
    <w:rsid w:val="004A26D5"/>
    <w:rsid w:val="004A2818"/>
    <w:rsid w:val="004A2A19"/>
    <w:rsid w:val="004A2A64"/>
    <w:rsid w:val="004A2FBD"/>
    <w:rsid w:val="004A3173"/>
    <w:rsid w:val="004A34E4"/>
    <w:rsid w:val="004A37FF"/>
    <w:rsid w:val="004A3A4D"/>
    <w:rsid w:val="004A3E16"/>
    <w:rsid w:val="004A3E2D"/>
    <w:rsid w:val="004A3EB0"/>
    <w:rsid w:val="004A3ED7"/>
    <w:rsid w:val="004A3EEA"/>
    <w:rsid w:val="004A3FEC"/>
    <w:rsid w:val="004A4090"/>
    <w:rsid w:val="004A4312"/>
    <w:rsid w:val="004A4531"/>
    <w:rsid w:val="004A4AF0"/>
    <w:rsid w:val="004A4CE7"/>
    <w:rsid w:val="004A4FFA"/>
    <w:rsid w:val="004A59F4"/>
    <w:rsid w:val="004A5A83"/>
    <w:rsid w:val="004A5B2B"/>
    <w:rsid w:val="004A5C41"/>
    <w:rsid w:val="004A5C4D"/>
    <w:rsid w:val="004A5DFF"/>
    <w:rsid w:val="004A600B"/>
    <w:rsid w:val="004A621A"/>
    <w:rsid w:val="004A621D"/>
    <w:rsid w:val="004A6483"/>
    <w:rsid w:val="004A674C"/>
    <w:rsid w:val="004A692C"/>
    <w:rsid w:val="004A6BA3"/>
    <w:rsid w:val="004A6D6A"/>
    <w:rsid w:val="004A6E60"/>
    <w:rsid w:val="004A6E8C"/>
    <w:rsid w:val="004A703F"/>
    <w:rsid w:val="004A7333"/>
    <w:rsid w:val="004A7772"/>
    <w:rsid w:val="004A7893"/>
    <w:rsid w:val="004A79A6"/>
    <w:rsid w:val="004A79D4"/>
    <w:rsid w:val="004A7E34"/>
    <w:rsid w:val="004A7FA6"/>
    <w:rsid w:val="004B01B2"/>
    <w:rsid w:val="004B02BC"/>
    <w:rsid w:val="004B0301"/>
    <w:rsid w:val="004B03E9"/>
    <w:rsid w:val="004B065C"/>
    <w:rsid w:val="004B0744"/>
    <w:rsid w:val="004B0C06"/>
    <w:rsid w:val="004B0C3F"/>
    <w:rsid w:val="004B0E3F"/>
    <w:rsid w:val="004B11C3"/>
    <w:rsid w:val="004B1294"/>
    <w:rsid w:val="004B142E"/>
    <w:rsid w:val="004B19B9"/>
    <w:rsid w:val="004B1AA4"/>
    <w:rsid w:val="004B208B"/>
    <w:rsid w:val="004B2377"/>
    <w:rsid w:val="004B23AF"/>
    <w:rsid w:val="004B26E3"/>
    <w:rsid w:val="004B29B4"/>
    <w:rsid w:val="004B2C71"/>
    <w:rsid w:val="004B2E2A"/>
    <w:rsid w:val="004B3286"/>
    <w:rsid w:val="004B365E"/>
    <w:rsid w:val="004B396D"/>
    <w:rsid w:val="004B3B8F"/>
    <w:rsid w:val="004B3C22"/>
    <w:rsid w:val="004B3F57"/>
    <w:rsid w:val="004B4420"/>
    <w:rsid w:val="004B4649"/>
    <w:rsid w:val="004B492E"/>
    <w:rsid w:val="004B4C5F"/>
    <w:rsid w:val="004B5041"/>
    <w:rsid w:val="004B52B6"/>
    <w:rsid w:val="004B54B1"/>
    <w:rsid w:val="004B561A"/>
    <w:rsid w:val="004B56C3"/>
    <w:rsid w:val="004B590A"/>
    <w:rsid w:val="004B5B87"/>
    <w:rsid w:val="004B5DB0"/>
    <w:rsid w:val="004B5DDB"/>
    <w:rsid w:val="004B5EAE"/>
    <w:rsid w:val="004B5FBB"/>
    <w:rsid w:val="004B6152"/>
    <w:rsid w:val="004B6738"/>
    <w:rsid w:val="004B688D"/>
    <w:rsid w:val="004B6A27"/>
    <w:rsid w:val="004B6E3E"/>
    <w:rsid w:val="004B6EAC"/>
    <w:rsid w:val="004B70ED"/>
    <w:rsid w:val="004B72C7"/>
    <w:rsid w:val="004B750F"/>
    <w:rsid w:val="004B7566"/>
    <w:rsid w:val="004B76B0"/>
    <w:rsid w:val="004B77DB"/>
    <w:rsid w:val="004B7FF0"/>
    <w:rsid w:val="004C0209"/>
    <w:rsid w:val="004C09AC"/>
    <w:rsid w:val="004C0B3C"/>
    <w:rsid w:val="004C0E9C"/>
    <w:rsid w:val="004C1078"/>
    <w:rsid w:val="004C1535"/>
    <w:rsid w:val="004C17A8"/>
    <w:rsid w:val="004C1B60"/>
    <w:rsid w:val="004C1DB5"/>
    <w:rsid w:val="004C22D0"/>
    <w:rsid w:val="004C23A8"/>
    <w:rsid w:val="004C2463"/>
    <w:rsid w:val="004C2A3C"/>
    <w:rsid w:val="004C2AE1"/>
    <w:rsid w:val="004C2BB7"/>
    <w:rsid w:val="004C2E08"/>
    <w:rsid w:val="004C2F18"/>
    <w:rsid w:val="004C3024"/>
    <w:rsid w:val="004C30AE"/>
    <w:rsid w:val="004C348C"/>
    <w:rsid w:val="004C35D1"/>
    <w:rsid w:val="004C365B"/>
    <w:rsid w:val="004C3950"/>
    <w:rsid w:val="004C3A61"/>
    <w:rsid w:val="004C4045"/>
    <w:rsid w:val="004C41A4"/>
    <w:rsid w:val="004C4C44"/>
    <w:rsid w:val="004C4D41"/>
    <w:rsid w:val="004C4E79"/>
    <w:rsid w:val="004C529D"/>
    <w:rsid w:val="004C5332"/>
    <w:rsid w:val="004C54F8"/>
    <w:rsid w:val="004C555B"/>
    <w:rsid w:val="004C5639"/>
    <w:rsid w:val="004C5CDC"/>
    <w:rsid w:val="004C5D3F"/>
    <w:rsid w:val="004C602E"/>
    <w:rsid w:val="004C62D5"/>
    <w:rsid w:val="004C632F"/>
    <w:rsid w:val="004C63B2"/>
    <w:rsid w:val="004C63BD"/>
    <w:rsid w:val="004C67F8"/>
    <w:rsid w:val="004C6BA6"/>
    <w:rsid w:val="004C6C20"/>
    <w:rsid w:val="004C6C91"/>
    <w:rsid w:val="004C6DC9"/>
    <w:rsid w:val="004C6E25"/>
    <w:rsid w:val="004C704A"/>
    <w:rsid w:val="004C710B"/>
    <w:rsid w:val="004C7352"/>
    <w:rsid w:val="004C74E8"/>
    <w:rsid w:val="004C7649"/>
    <w:rsid w:val="004C764D"/>
    <w:rsid w:val="004C774B"/>
    <w:rsid w:val="004C77E8"/>
    <w:rsid w:val="004C7B56"/>
    <w:rsid w:val="004C7CB1"/>
    <w:rsid w:val="004C7F53"/>
    <w:rsid w:val="004D0137"/>
    <w:rsid w:val="004D0404"/>
    <w:rsid w:val="004D05B2"/>
    <w:rsid w:val="004D06CB"/>
    <w:rsid w:val="004D0A49"/>
    <w:rsid w:val="004D0A97"/>
    <w:rsid w:val="004D10A8"/>
    <w:rsid w:val="004D11CC"/>
    <w:rsid w:val="004D13F4"/>
    <w:rsid w:val="004D1812"/>
    <w:rsid w:val="004D1A58"/>
    <w:rsid w:val="004D1B73"/>
    <w:rsid w:val="004D1BAD"/>
    <w:rsid w:val="004D225E"/>
    <w:rsid w:val="004D24B7"/>
    <w:rsid w:val="004D2B07"/>
    <w:rsid w:val="004D2D77"/>
    <w:rsid w:val="004D2D79"/>
    <w:rsid w:val="004D2E6B"/>
    <w:rsid w:val="004D30C5"/>
    <w:rsid w:val="004D30F9"/>
    <w:rsid w:val="004D3AF5"/>
    <w:rsid w:val="004D3C09"/>
    <w:rsid w:val="004D436E"/>
    <w:rsid w:val="004D43F9"/>
    <w:rsid w:val="004D4A83"/>
    <w:rsid w:val="004D4B49"/>
    <w:rsid w:val="004D4CB3"/>
    <w:rsid w:val="004D500C"/>
    <w:rsid w:val="004D512A"/>
    <w:rsid w:val="004D5453"/>
    <w:rsid w:val="004D559F"/>
    <w:rsid w:val="004D5644"/>
    <w:rsid w:val="004D5759"/>
    <w:rsid w:val="004D577A"/>
    <w:rsid w:val="004D57D1"/>
    <w:rsid w:val="004D5820"/>
    <w:rsid w:val="004D5911"/>
    <w:rsid w:val="004D5C01"/>
    <w:rsid w:val="004D5EA5"/>
    <w:rsid w:val="004D60AC"/>
    <w:rsid w:val="004D61C2"/>
    <w:rsid w:val="004D64C5"/>
    <w:rsid w:val="004D64E4"/>
    <w:rsid w:val="004D66F2"/>
    <w:rsid w:val="004D676F"/>
    <w:rsid w:val="004D6773"/>
    <w:rsid w:val="004D6AE9"/>
    <w:rsid w:val="004D730D"/>
    <w:rsid w:val="004D754C"/>
    <w:rsid w:val="004D7DBC"/>
    <w:rsid w:val="004E0206"/>
    <w:rsid w:val="004E0351"/>
    <w:rsid w:val="004E0451"/>
    <w:rsid w:val="004E0C32"/>
    <w:rsid w:val="004E0C7C"/>
    <w:rsid w:val="004E11F8"/>
    <w:rsid w:val="004E1318"/>
    <w:rsid w:val="004E1468"/>
    <w:rsid w:val="004E15FC"/>
    <w:rsid w:val="004E165B"/>
    <w:rsid w:val="004E1D22"/>
    <w:rsid w:val="004E1D60"/>
    <w:rsid w:val="004E1D76"/>
    <w:rsid w:val="004E1E2E"/>
    <w:rsid w:val="004E1F4A"/>
    <w:rsid w:val="004E2035"/>
    <w:rsid w:val="004E2198"/>
    <w:rsid w:val="004E23B8"/>
    <w:rsid w:val="004E240E"/>
    <w:rsid w:val="004E2487"/>
    <w:rsid w:val="004E262C"/>
    <w:rsid w:val="004E2797"/>
    <w:rsid w:val="004E2B9C"/>
    <w:rsid w:val="004E31AF"/>
    <w:rsid w:val="004E3287"/>
    <w:rsid w:val="004E33E6"/>
    <w:rsid w:val="004E3920"/>
    <w:rsid w:val="004E3C7F"/>
    <w:rsid w:val="004E3F3C"/>
    <w:rsid w:val="004E3F9E"/>
    <w:rsid w:val="004E41A2"/>
    <w:rsid w:val="004E41CC"/>
    <w:rsid w:val="004E41EE"/>
    <w:rsid w:val="004E4438"/>
    <w:rsid w:val="004E471B"/>
    <w:rsid w:val="004E47C8"/>
    <w:rsid w:val="004E4B23"/>
    <w:rsid w:val="004E4B3B"/>
    <w:rsid w:val="004E4D97"/>
    <w:rsid w:val="004E4E03"/>
    <w:rsid w:val="004E5664"/>
    <w:rsid w:val="004E5BF3"/>
    <w:rsid w:val="004E5C76"/>
    <w:rsid w:val="004E5D9E"/>
    <w:rsid w:val="004E5DE5"/>
    <w:rsid w:val="004E604D"/>
    <w:rsid w:val="004E615D"/>
    <w:rsid w:val="004E61B6"/>
    <w:rsid w:val="004E61D2"/>
    <w:rsid w:val="004E6225"/>
    <w:rsid w:val="004E6257"/>
    <w:rsid w:val="004E6782"/>
    <w:rsid w:val="004E69C4"/>
    <w:rsid w:val="004E6CAA"/>
    <w:rsid w:val="004E6CBA"/>
    <w:rsid w:val="004E6F42"/>
    <w:rsid w:val="004E7003"/>
    <w:rsid w:val="004E722C"/>
    <w:rsid w:val="004E73F1"/>
    <w:rsid w:val="004E75D5"/>
    <w:rsid w:val="004E772A"/>
    <w:rsid w:val="004E7943"/>
    <w:rsid w:val="004E7AAB"/>
    <w:rsid w:val="004E7D10"/>
    <w:rsid w:val="004F06F6"/>
    <w:rsid w:val="004F07D5"/>
    <w:rsid w:val="004F0A27"/>
    <w:rsid w:val="004F0A2E"/>
    <w:rsid w:val="004F0B34"/>
    <w:rsid w:val="004F0D17"/>
    <w:rsid w:val="004F1080"/>
    <w:rsid w:val="004F15E8"/>
    <w:rsid w:val="004F1622"/>
    <w:rsid w:val="004F1A59"/>
    <w:rsid w:val="004F202A"/>
    <w:rsid w:val="004F2362"/>
    <w:rsid w:val="004F289B"/>
    <w:rsid w:val="004F291B"/>
    <w:rsid w:val="004F2AF7"/>
    <w:rsid w:val="004F2E44"/>
    <w:rsid w:val="004F3232"/>
    <w:rsid w:val="004F34DC"/>
    <w:rsid w:val="004F37CA"/>
    <w:rsid w:val="004F3D5A"/>
    <w:rsid w:val="004F3D75"/>
    <w:rsid w:val="004F4430"/>
    <w:rsid w:val="004F47A7"/>
    <w:rsid w:val="004F4A5E"/>
    <w:rsid w:val="004F4A63"/>
    <w:rsid w:val="004F4ABD"/>
    <w:rsid w:val="004F4CD8"/>
    <w:rsid w:val="004F4DDE"/>
    <w:rsid w:val="004F4F5E"/>
    <w:rsid w:val="004F52CF"/>
    <w:rsid w:val="004F53E3"/>
    <w:rsid w:val="004F545F"/>
    <w:rsid w:val="004F55A1"/>
    <w:rsid w:val="004F55A7"/>
    <w:rsid w:val="004F55D0"/>
    <w:rsid w:val="004F5768"/>
    <w:rsid w:val="004F58E5"/>
    <w:rsid w:val="004F5A9B"/>
    <w:rsid w:val="004F5E6E"/>
    <w:rsid w:val="004F5FF0"/>
    <w:rsid w:val="004F609A"/>
    <w:rsid w:val="004F65E6"/>
    <w:rsid w:val="004F690B"/>
    <w:rsid w:val="004F6B66"/>
    <w:rsid w:val="004F72FB"/>
    <w:rsid w:val="004F7364"/>
    <w:rsid w:val="004F76A3"/>
    <w:rsid w:val="004F7EF1"/>
    <w:rsid w:val="00500102"/>
    <w:rsid w:val="00500341"/>
    <w:rsid w:val="00500626"/>
    <w:rsid w:val="005006B5"/>
    <w:rsid w:val="005007D1"/>
    <w:rsid w:val="00500A45"/>
    <w:rsid w:val="00500B40"/>
    <w:rsid w:val="00500BFF"/>
    <w:rsid w:val="00500D92"/>
    <w:rsid w:val="0050181D"/>
    <w:rsid w:val="005018C2"/>
    <w:rsid w:val="00501BA2"/>
    <w:rsid w:val="00501E23"/>
    <w:rsid w:val="00501E5F"/>
    <w:rsid w:val="0050246E"/>
    <w:rsid w:val="00502654"/>
    <w:rsid w:val="0050296A"/>
    <w:rsid w:val="00502AD7"/>
    <w:rsid w:val="00502FDE"/>
    <w:rsid w:val="00503044"/>
    <w:rsid w:val="00503201"/>
    <w:rsid w:val="00503679"/>
    <w:rsid w:val="00503761"/>
    <w:rsid w:val="00503937"/>
    <w:rsid w:val="0050394E"/>
    <w:rsid w:val="00503965"/>
    <w:rsid w:val="00503BC4"/>
    <w:rsid w:val="00504118"/>
    <w:rsid w:val="0050412F"/>
    <w:rsid w:val="0050451F"/>
    <w:rsid w:val="0050471C"/>
    <w:rsid w:val="005047C4"/>
    <w:rsid w:val="0050480E"/>
    <w:rsid w:val="00504D68"/>
    <w:rsid w:val="00505290"/>
    <w:rsid w:val="0050550D"/>
    <w:rsid w:val="0050553E"/>
    <w:rsid w:val="0050558E"/>
    <w:rsid w:val="005056AE"/>
    <w:rsid w:val="0050576F"/>
    <w:rsid w:val="005057C5"/>
    <w:rsid w:val="00505849"/>
    <w:rsid w:val="00505870"/>
    <w:rsid w:val="00505E7A"/>
    <w:rsid w:val="0050636F"/>
    <w:rsid w:val="005065C5"/>
    <w:rsid w:val="00506755"/>
    <w:rsid w:val="005068F0"/>
    <w:rsid w:val="00506A32"/>
    <w:rsid w:val="00506CD4"/>
    <w:rsid w:val="00506EF4"/>
    <w:rsid w:val="00506F23"/>
    <w:rsid w:val="00507781"/>
    <w:rsid w:val="00507883"/>
    <w:rsid w:val="005104D2"/>
    <w:rsid w:val="005105E9"/>
    <w:rsid w:val="0051075E"/>
    <w:rsid w:val="00510C2F"/>
    <w:rsid w:val="00510C59"/>
    <w:rsid w:val="00510DE0"/>
    <w:rsid w:val="00511013"/>
    <w:rsid w:val="0051101C"/>
    <w:rsid w:val="0051105A"/>
    <w:rsid w:val="005110B8"/>
    <w:rsid w:val="00511352"/>
    <w:rsid w:val="005118CE"/>
    <w:rsid w:val="0051197E"/>
    <w:rsid w:val="00511AF7"/>
    <w:rsid w:val="00511BF3"/>
    <w:rsid w:val="00511C93"/>
    <w:rsid w:val="00511E56"/>
    <w:rsid w:val="005120E2"/>
    <w:rsid w:val="00512191"/>
    <w:rsid w:val="005122DB"/>
    <w:rsid w:val="005122E4"/>
    <w:rsid w:val="005123CC"/>
    <w:rsid w:val="0051255C"/>
    <w:rsid w:val="005125D8"/>
    <w:rsid w:val="00512D07"/>
    <w:rsid w:val="00512D4D"/>
    <w:rsid w:val="00512D6C"/>
    <w:rsid w:val="00512DF8"/>
    <w:rsid w:val="00513224"/>
    <w:rsid w:val="00513273"/>
    <w:rsid w:val="0051348B"/>
    <w:rsid w:val="00513853"/>
    <w:rsid w:val="0051397A"/>
    <w:rsid w:val="00513B20"/>
    <w:rsid w:val="00513E56"/>
    <w:rsid w:val="00513EB5"/>
    <w:rsid w:val="00514176"/>
    <w:rsid w:val="005143A0"/>
    <w:rsid w:val="005145E5"/>
    <w:rsid w:val="00514CB8"/>
    <w:rsid w:val="00514CE6"/>
    <w:rsid w:val="005151B9"/>
    <w:rsid w:val="005152A3"/>
    <w:rsid w:val="00515325"/>
    <w:rsid w:val="005153AE"/>
    <w:rsid w:val="00515512"/>
    <w:rsid w:val="005157ED"/>
    <w:rsid w:val="00515856"/>
    <w:rsid w:val="00515AC0"/>
    <w:rsid w:val="00515F82"/>
    <w:rsid w:val="0051602C"/>
    <w:rsid w:val="00516496"/>
    <w:rsid w:val="00516626"/>
    <w:rsid w:val="0051681C"/>
    <w:rsid w:val="00516A31"/>
    <w:rsid w:val="00516BD6"/>
    <w:rsid w:val="00516C46"/>
    <w:rsid w:val="00516DC9"/>
    <w:rsid w:val="00516F81"/>
    <w:rsid w:val="00517125"/>
    <w:rsid w:val="005171D6"/>
    <w:rsid w:val="0051726E"/>
    <w:rsid w:val="005172A0"/>
    <w:rsid w:val="00517441"/>
    <w:rsid w:val="005177E8"/>
    <w:rsid w:val="0051785A"/>
    <w:rsid w:val="00517A3D"/>
    <w:rsid w:val="00517ACF"/>
    <w:rsid w:val="00517BBE"/>
    <w:rsid w:val="005201A6"/>
    <w:rsid w:val="005202EE"/>
    <w:rsid w:val="005204FA"/>
    <w:rsid w:val="00520504"/>
    <w:rsid w:val="0052069F"/>
    <w:rsid w:val="00520A6D"/>
    <w:rsid w:val="00520BA1"/>
    <w:rsid w:val="00520C0B"/>
    <w:rsid w:val="00520D44"/>
    <w:rsid w:val="00520D53"/>
    <w:rsid w:val="00520EF2"/>
    <w:rsid w:val="00520F43"/>
    <w:rsid w:val="00520F55"/>
    <w:rsid w:val="00521484"/>
    <w:rsid w:val="005215DA"/>
    <w:rsid w:val="0052190B"/>
    <w:rsid w:val="00521A58"/>
    <w:rsid w:val="00521C69"/>
    <w:rsid w:val="00521CCB"/>
    <w:rsid w:val="005225F6"/>
    <w:rsid w:val="005227F3"/>
    <w:rsid w:val="005229C5"/>
    <w:rsid w:val="00522C9D"/>
    <w:rsid w:val="005230F8"/>
    <w:rsid w:val="00523182"/>
    <w:rsid w:val="005233FA"/>
    <w:rsid w:val="005235DF"/>
    <w:rsid w:val="005236C7"/>
    <w:rsid w:val="005239FB"/>
    <w:rsid w:val="00523B69"/>
    <w:rsid w:val="0052407C"/>
    <w:rsid w:val="005240D8"/>
    <w:rsid w:val="00524156"/>
    <w:rsid w:val="005243DB"/>
    <w:rsid w:val="005244E2"/>
    <w:rsid w:val="005245C2"/>
    <w:rsid w:val="0052466D"/>
    <w:rsid w:val="00524C1B"/>
    <w:rsid w:val="00524C76"/>
    <w:rsid w:val="00524E9A"/>
    <w:rsid w:val="00524FA0"/>
    <w:rsid w:val="00524FF6"/>
    <w:rsid w:val="00525108"/>
    <w:rsid w:val="005252F3"/>
    <w:rsid w:val="00525373"/>
    <w:rsid w:val="005256CA"/>
    <w:rsid w:val="0052582B"/>
    <w:rsid w:val="0052595D"/>
    <w:rsid w:val="005260A8"/>
    <w:rsid w:val="00526486"/>
    <w:rsid w:val="005268CE"/>
    <w:rsid w:val="00526B0E"/>
    <w:rsid w:val="00527346"/>
    <w:rsid w:val="005276C6"/>
    <w:rsid w:val="005277B1"/>
    <w:rsid w:val="005279C7"/>
    <w:rsid w:val="00527ED5"/>
    <w:rsid w:val="00527F99"/>
    <w:rsid w:val="00530A7B"/>
    <w:rsid w:val="00530ED7"/>
    <w:rsid w:val="00530F0F"/>
    <w:rsid w:val="0053105C"/>
    <w:rsid w:val="0053122D"/>
    <w:rsid w:val="00531391"/>
    <w:rsid w:val="0053143B"/>
    <w:rsid w:val="0053156D"/>
    <w:rsid w:val="00531EDF"/>
    <w:rsid w:val="00531EE1"/>
    <w:rsid w:val="00532105"/>
    <w:rsid w:val="00532285"/>
    <w:rsid w:val="0053258C"/>
    <w:rsid w:val="00532815"/>
    <w:rsid w:val="005328EC"/>
    <w:rsid w:val="00532DD4"/>
    <w:rsid w:val="00533121"/>
    <w:rsid w:val="0053375A"/>
    <w:rsid w:val="0053380F"/>
    <w:rsid w:val="0053397F"/>
    <w:rsid w:val="0053398B"/>
    <w:rsid w:val="00533AE5"/>
    <w:rsid w:val="0053427C"/>
    <w:rsid w:val="00534A12"/>
    <w:rsid w:val="00534B65"/>
    <w:rsid w:val="0053572D"/>
    <w:rsid w:val="0053579D"/>
    <w:rsid w:val="00535854"/>
    <w:rsid w:val="00535A5C"/>
    <w:rsid w:val="00535BEE"/>
    <w:rsid w:val="00535F65"/>
    <w:rsid w:val="00535FB8"/>
    <w:rsid w:val="0053601E"/>
    <w:rsid w:val="0053627A"/>
    <w:rsid w:val="005364A7"/>
    <w:rsid w:val="005364D7"/>
    <w:rsid w:val="0053652A"/>
    <w:rsid w:val="00536743"/>
    <w:rsid w:val="0053692E"/>
    <w:rsid w:val="00536A8F"/>
    <w:rsid w:val="00536CE3"/>
    <w:rsid w:val="00536FF3"/>
    <w:rsid w:val="005372B3"/>
    <w:rsid w:val="00537638"/>
    <w:rsid w:val="0053777E"/>
    <w:rsid w:val="00537B69"/>
    <w:rsid w:val="00537F6B"/>
    <w:rsid w:val="0054003C"/>
    <w:rsid w:val="0054099A"/>
    <w:rsid w:val="00540A56"/>
    <w:rsid w:val="00540CB1"/>
    <w:rsid w:val="00540FEF"/>
    <w:rsid w:val="00541514"/>
    <w:rsid w:val="005417D8"/>
    <w:rsid w:val="00541B6F"/>
    <w:rsid w:val="00541BFF"/>
    <w:rsid w:val="0054207F"/>
    <w:rsid w:val="00542205"/>
    <w:rsid w:val="005424E3"/>
    <w:rsid w:val="005425C4"/>
    <w:rsid w:val="005425ED"/>
    <w:rsid w:val="0054263D"/>
    <w:rsid w:val="00542C9C"/>
    <w:rsid w:val="0054319B"/>
    <w:rsid w:val="00543461"/>
    <w:rsid w:val="005434E5"/>
    <w:rsid w:val="005435F8"/>
    <w:rsid w:val="005436CD"/>
    <w:rsid w:val="005438AC"/>
    <w:rsid w:val="00543B82"/>
    <w:rsid w:val="00543C5B"/>
    <w:rsid w:val="00543D09"/>
    <w:rsid w:val="005440CF"/>
    <w:rsid w:val="00544382"/>
    <w:rsid w:val="005443BD"/>
    <w:rsid w:val="00544497"/>
    <w:rsid w:val="005446F6"/>
    <w:rsid w:val="0054479A"/>
    <w:rsid w:val="0054489E"/>
    <w:rsid w:val="00544A49"/>
    <w:rsid w:val="00544BF7"/>
    <w:rsid w:val="00545027"/>
    <w:rsid w:val="005451D8"/>
    <w:rsid w:val="00545931"/>
    <w:rsid w:val="00545A64"/>
    <w:rsid w:val="0054647F"/>
    <w:rsid w:val="005464A6"/>
    <w:rsid w:val="00546651"/>
    <w:rsid w:val="00546E97"/>
    <w:rsid w:val="005470A2"/>
    <w:rsid w:val="0054731A"/>
    <w:rsid w:val="00547728"/>
    <w:rsid w:val="005478C0"/>
    <w:rsid w:val="00547932"/>
    <w:rsid w:val="00547945"/>
    <w:rsid w:val="00547B35"/>
    <w:rsid w:val="00547E41"/>
    <w:rsid w:val="005501C2"/>
    <w:rsid w:val="00550217"/>
    <w:rsid w:val="00550308"/>
    <w:rsid w:val="00550363"/>
    <w:rsid w:val="00550630"/>
    <w:rsid w:val="00550828"/>
    <w:rsid w:val="00550884"/>
    <w:rsid w:val="00550A53"/>
    <w:rsid w:val="00550C20"/>
    <w:rsid w:val="00550C29"/>
    <w:rsid w:val="00550DC2"/>
    <w:rsid w:val="00550DD7"/>
    <w:rsid w:val="00550FFD"/>
    <w:rsid w:val="00551537"/>
    <w:rsid w:val="00551AD0"/>
    <w:rsid w:val="00551CED"/>
    <w:rsid w:val="00551D65"/>
    <w:rsid w:val="00552296"/>
    <w:rsid w:val="0055249E"/>
    <w:rsid w:val="0055267B"/>
    <w:rsid w:val="00552979"/>
    <w:rsid w:val="00552C1C"/>
    <w:rsid w:val="00552CF7"/>
    <w:rsid w:val="00552D52"/>
    <w:rsid w:val="00552D56"/>
    <w:rsid w:val="00552DFC"/>
    <w:rsid w:val="005534EC"/>
    <w:rsid w:val="0055352C"/>
    <w:rsid w:val="00553626"/>
    <w:rsid w:val="005537C5"/>
    <w:rsid w:val="00553CB8"/>
    <w:rsid w:val="00553CDF"/>
    <w:rsid w:val="0055476B"/>
    <w:rsid w:val="00554B0C"/>
    <w:rsid w:val="00554D5A"/>
    <w:rsid w:val="00554E8A"/>
    <w:rsid w:val="00555339"/>
    <w:rsid w:val="0055540B"/>
    <w:rsid w:val="00555459"/>
    <w:rsid w:val="00555624"/>
    <w:rsid w:val="00555B70"/>
    <w:rsid w:val="00555ED5"/>
    <w:rsid w:val="00555FDC"/>
    <w:rsid w:val="00556517"/>
    <w:rsid w:val="00556631"/>
    <w:rsid w:val="00556A1A"/>
    <w:rsid w:val="00556C48"/>
    <w:rsid w:val="00556D51"/>
    <w:rsid w:val="0055734A"/>
    <w:rsid w:val="0055763A"/>
    <w:rsid w:val="00557DC7"/>
    <w:rsid w:val="00557FC6"/>
    <w:rsid w:val="005603A3"/>
    <w:rsid w:val="005604C2"/>
    <w:rsid w:val="005608E1"/>
    <w:rsid w:val="005608E6"/>
    <w:rsid w:val="00560AC9"/>
    <w:rsid w:val="00560C37"/>
    <w:rsid w:val="00560F0A"/>
    <w:rsid w:val="00561236"/>
    <w:rsid w:val="00561719"/>
    <w:rsid w:val="005619B9"/>
    <w:rsid w:val="00561A05"/>
    <w:rsid w:val="00561A52"/>
    <w:rsid w:val="00561F4A"/>
    <w:rsid w:val="00562017"/>
    <w:rsid w:val="005622E8"/>
    <w:rsid w:val="00562566"/>
    <w:rsid w:val="00562980"/>
    <w:rsid w:val="00562A34"/>
    <w:rsid w:val="00562B74"/>
    <w:rsid w:val="00562FB9"/>
    <w:rsid w:val="005630B5"/>
    <w:rsid w:val="0056327D"/>
    <w:rsid w:val="005633A8"/>
    <w:rsid w:val="00563636"/>
    <w:rsid w:val="00563906"/>
    <w:rsid w:val="00563948"/>
    <w:rsid w:val="00563AB9"/>
    <w:rsid w:val="00563B3E"/>
    <w:rsid w:val="00563D56"/>
    <w:rsid w:val="00563E9C"/>
    <w:rsid w:val="005640BE"/>
    <w:rsid w:val="0056423B"/>
    <w:rsid w:val="0056429F"/>
    <w:rsid w:val="005644D9"/>
    <w:rsid w:val="0056465F"/>
    <w:rsid w:val="005646B8"/>
    <w:rsid w:val="005648E1"/>
    <w:rsid w:val="005649C4"/>
    <w:rsid w:val="00564B2F"/>
    <w:rsid w:val="00564B94"/>
    <w:rsid w:val="00565107"/>
    <w:rsid w:val="00565140"/>
    <w:rsid w:val="00565243"/>
    <w:rsid w:val="005653F2"/>
    <w:rsid w:val="005656F9"/>
    <w:rsid w:val="005659FB"/>
    <w:rsid w:val="00565C87"/>
    <w:rsid w:val="00565D8D"/>
    <w:rsid w:val="00565F5E"/>
    <w:rsid w:val="00565FFD"/>
    <w:rsid w:val="005661F9"/>
    <w:rsid w:val="00566290"/>
    <w:rsid w:val="00566650"/>
    <w:rsid w:val="005667E2"/>
    <w:rsid w:val="00566870"/>
    <w:rsid w:val="00566925"/>
    <w:rsid w:val="00566936"/>
    <w:rsid w:val="00566A58"/>
    <w:rsid w:val="00566B6D"/>
    <w:rsid w:val="00566B9D"/>
    <w:rsid w:val="00566EAF"/>
    <w:rsid w:val="00566FD2"/>
    <w:rsid w:val="005670C1"/>
    <w:rsid w:val="005671BD"/>
    <w:rsid w:val="00567364"/>
    <w:rsid w:val="005673F7"/>
    <w:rsid w:val="005679C7"/>
    <w:rsid w:val="00567B44"/>
    <w:rsid w:val="00567F4D"/>
    <w:rsid w:val="005703E6"/>
    <w:rsid w:val="00570470"/>
    <w:rsid w:val="0057048D"/>
    <w:rsid w:val="005705AC"/>
    <w:rsid w:val="00570718"/>
    <w:rsid w:val="005707DA"/>
    <w:rsid w:val="00570940"/>
    <w:rsid w:val="00570E73"/>
    <w:rsid w:val="00571565"/>
    <w:rsid w:val="0057160F"/>
    <w:rsid w:val="005717CB"/>
    <w:rsid w:val="00571A17"/>
    <w:rsid w:val="00571AAF"/>
    <w:rsid w:val="00571B5D"/>
    <w:rsid w:val="00571C44"/>
    <w:rsid w:val="00571CAD"/>
    <w:rsid w:val="00572157"/>
    <w:rsid w:val="0057239F"/>
    <w:rsid w:val="00572859"/>
    <w:rsid w:val="005728D4"/>
    <w:rsid w:val="00572F67"/>
    <w:rsid w:val="00573146"/>
    <w:rsid w:val="00573179"/>
    <w:rsid w:val="0057319C"/>
    <w:rsid w:val="00573327"/>
    <w:rsid w:val="00573367"/>
    <w:rsid w:val="0057367D"/>
    <w:rsid w:val="00573949"/>
    <w:rsid w:val="00573B18"/>
    <w:rsid w:val="00573C7E"/>
    <w:rsid w:val="00573D2A"/>
    <w:rsid w:val="00573E65"/>
    <w:rsid w:val="00573F98"/>
    <w:rsid w:val="00573FEF"/>
    <w:rsid w:val="0057468A"/>
    <w:rsid w:val="00574D07"/>
    <w:rsid w:val="00575102"/>
    <w:rsid w:val="005752DA"/>
    <w:rsid w:val="0057536B"/>
    <w:rsid w:val="0057557B"/>
    <w:rsid w:val="0057569E"/>
    <w:rsid w:val="005759DC"/>
    <w:rsid w:val="0057601A"/>
    <w:rsid w:val="00576186"/>
    <w:rsid w:val="005766E0"/>
    <w:rsid w:val="00576829"/>
    <w:rsid w:val="00576C2C"/>
    <w:rsid w:val="00577633"/>
    <w:rsid w:val="00577877"/>
    <w:rsid w:val="00577A96"/>
    <w:rsid w:val="00577AF4"/>
    <w:rsid w:val="00580158"/>
    <w:rsid w:val="0058021B"/>
    <w:rsid w:val="0058022D"/>
    <w:rsid w:val="00580385"/>
    <w:rsid w:val="00581414"/>
    <w:rsid w:val="00581424"/>
    <w:rsid w:val="005817B8"/>
    <w:rsid w:val="0058187F"/>
    <w:rsid w:val="00581933"/>
    <w:rsid w:val="005819F6"/>
    <w:rsid w:val="00581CBE"/>
    <w:rsid w:val="00581FFB"/>
    <w:rsid w:val="00582284"/>
    <w:rsid w:val="00582574"/>
    <w:rsid w:val="0058274D"/>
    <w:rsid w:val="00582906"/>
    <w:rsid w:val="00582A19"/>
    <w:rsid w:val="00582B36"/>
    <w:rsid w:val="00582C0C"/>
    <w:rsid w:val="00582ECB"/>
    <w:rsid w:val="005830DD"/>
    <w:rsid w:val="0058334A"/>
    <w:rsid w:val="0058346A"/>
    <w:rsid w:val="005835CE"/>
    <w:rsid w:val="00583765"/>
    <w:rsid w:val="00583A18"/>
    <w:rsid w:val="00583C55"/>
    <w:rsid w:val="00583E17"/>
    <w:rsid w:val="005840AE"/>
    <w:rsid w:val="005840ED"/>
    <w:rsid w:val="00584237"/>
    <w:rsid w:val="0058429D"/>
    <w:rsid w:val="00584368"/>
    <w:rsid w:val="005845A0"/>
    <w:rsid w:val="005846DE"/>
    <w:rsid w:val="00584731"/>
    <w:rsid w:val="00584E5F"/>
    <w:rsid w:val="00584FE7"/>
    <w:rsid w:val="00584FF0"/>
    <w:rsid w:val="0058520B"/>
    <w:rsid w:val="00585302"/>
    <w:rsid w:val="0058536E"/>
    <w:rsid w:val="00585379"/>
    <w:rsid w:val="005853B4"/>
    <w:rsid w:val="005856C5"/>
    <w:rsid w:val="0058588A"/>
    <w:rsid w:val="00585A88"/>
    <w:rsid w:val="00585E87"/>
    <w:rsid w:val="00585EF0"/>
    <w:rsid w:val="00585FDA"/>
    <w:rsid w:val="00586050"/>
    <w:rsid w:val="00586098"/>
    <w:rsid w:val="00586546"/>
    <w:rsid w:val="005865B9"/>
    <w:rsid w:val="0058663E"/>
    <w:rsid w:val="0058670E"/>
    <w:rsid w:val="0058677D"/>
    <w:rsid w:val="005867AE"/>
    <w:rsid w:val="005868C1"/>
    <w:rsid w:val="0058695D"/>
    <w:rsid w:val="00586993"/>
    <w:rsid w:val="00586BFF"/>
    <w:rsid w:val="00586CB3"/>
    <w:rsid w:val="00586CED"/>
    <w:rsid w:val="00586D29"/>
    <w:rsid w:val="00586E3B"/>
    <w:rsid w:val="00587206"/>
    <w:rsid w:val="005873C8"/>
    <w:rsid w:val="005874F0"/>
    <w:rsid w:val="005876F2"/>
    <w:rsid w:val="00587865"/>
    <w:rsid w:val="005878FA"/>
    <w:rsid w:val="00587918"/>
    <w:rsid w:val="00587C91"/>
    <w:rsid w:val="00587DA2"/>
    <w:rsid w:val="00590294"/>
    <w:rsid w:val="005909C6"/>
    <w:rsid w:val="00590A56"/>
    <w:rsid w:val="00591464"/>
    <w:rsid w:val="0059168F"/>
    <w:rsid w:val="005916E8"/>
    <w:rsid w:val="00591703"/>
    <w:rsid w:val="005917BD"/>
    <w:rsid w:val="00591869"/>
    <w:rsid w:val="00591CD3"/>
    <w:rsid w:val="00591DF3"/>
    <w:rsid w:val="00592068"/>
    <w:rsid w:val="0059290F"/>
    <w:rsid w:val="0059297C"/>
    <w:rsid w:val="00592D47"/>
    <w:rsid w:val="00592E66"/>
    <w:rsid w:val="00592EE1"/>
    <w:rsid w:val="00592F8E"/>
    <w:rsid w:val="00592F9D"/>
    <w:rsid w:val="00593289"/>
    <w:rsid w:val="0059331C"/>
    <w:rsid w:val="0059343C"/>
    <w:rsid w:val="00593554"/>
    <w:rsid w:val="005937BF"/>
    <w:rsid w:val="005937F4"/>
    <w:rsid w:val="00593840"/>
    <w:rsid w:val="00593968"/>
    <w:rsid w:val="00593985"/>
    <w:rsid w:val="00593E8D"/>
    <w:rsid w:val="00593EBF"/>
    <w:rsid w:val="00594333"/>
    <w:rsid w:val="00594463"/>
    <w:rsid w:val="005944CD"/>
    <w:rsid w:val="005945D0"/>
    <w:rsid w:val="00594779"/>
    <w:rsid w:val="00594DAC"/>
    <w:rsid w:val="00594E44"/>
    <w:rsid w:val="00594EAD"/>
    <w:rsid w:val="00595004"/>
    <w:rsid w:val="0059503D"/>
    <w:rsid w:val="00595055"/>
    <w:rsid w:val="00595139"/>
    <w:rsid w:val="00595BC0"/>
    <w:rsid w:val="00595C4E"/>
    <w:rsid w:val="005963F1"/>
    <w:rsid w:val="00596AF1"/>
    <w:rsid w:val="00597176"/>
    <w:rsid w:val="00597203"/>
    <w:rsid w:val="005974B2"/>
    <w:rsid w:val="005976AF"/>
    <w:rsid w:val="005978CC"/>
    <w:rsid w:val="00597A1A"/>
    <w:rsid w:val="00597AF8"/>
    <w:rsid w:val="00597C7A"/>
    <w:rsid w:val="00597DE0"/>
    <w:rsid w:val="005A0120"/>
    <w:rsid w:val="005A04BB"/>
    <w:rsid w:val="005A0518"/>
    <w:rsid w:val="005A07B4"/>
    <w:rsid w:val="005A0A54"/>
    <w:rsid w:val="005A0F0C"/>
    <w:rsid w:val="005A10E8"/>
    <w:rsid w:val="005A1376"/>
    <w:rsid w:val="005A138B"/>
    <w:rsid w:val="005A1404"/>
    <w:rsid w:val="005A1780"/>
    <w:rsid w:val="005A18CC"/>
    <w:rsid w:val="005A1A00"/>
    <w:rsid w:val="005A1A63"/>
    <w:rsid w:val="005A1B97"/>
    <w:rsid w:val="005A1F9B"/>
    <w:rsid w:val="005A2309"/>
    <w:rsid w:val="005A2312"/>
    <w:rsid w:val="005A2507"/>
    <w:rsid w:val="005A260F"/>
    <w:rsid w:val="005A27A3"/>
    <w:rsid w:val="005A298A"/>
    <w:rsid w:val="005A2BAB"/>
    <w:rsid w:val="005A2DBD"/>
    <w:rsid w:val="005A300C"/>
    <w:rsid w:val="005A35C7"/>
    <w:rsid w:val="005A3617"/>
    <w:rsid w:val="005A3621"/>
    <w:rsid w:val="005A3A1F"/>
    <w:rsid w:val="005A3B71"/>
    <w:rsid w:val="005A3C6D"/>
    <w:rsid w:val="005A3D97"/>
    <w:rsid w:val="005A3DE2"/>
    <w:rsid w:val="005A3F9B"/>
    <w:rsid w:val="005A415F"/>
    <w:rsid w:val="005A4BC4"/>
    <w:rsid w:val="005A5631"/>
    <w:rsid w:val="005A57BF"/>
    <w:rsid w:val="005A5CDA"/>
    <w:rsid w:val="005A5DD1"/>
    <w:rsid w:val="005A5F9F"/>
    <w:rsid w:val="005A62CD"/>
    <w:rsid w:val="005A6DF6"/>
    <w:rsid w:val="005A707B"/>
    <w:rsid w:val="005A737E"/>
    <w:rsid w:val="005A78EB"/>
    <w:rsid w:val="005A78F3"/>
    <w:rsid w:val="005A7B3B"/>
    <w:rsid w:val="005A7CD4"/>
    <w:rsid w:val="005A7E6C"/>
    <w:rsid w:val="005A7EB2"/>
    <w:rsid w:val="005B00E9"/>
    <w:rsid w:val="005B031E"/>
    <w:rsid w:val="005B06D4"/>
    <w:rsid w:val="005B0784"/>
    <w:rsid w:val="005B0C2C"/>
    <w:rsid w:val="005B0D31"/>
    <w:rsid w:val="005B0F60"/>
    <w:rsid w:val="005B1027"/>
    <w:rsid w:val="005B1125"/>
    <w:rsid w:val="005B1134"/>
    <w:rsid w:val="005B12CA"/>
    <w:rsid w:val="005B13E0"/>
    <w:rsid w:val="005B142F"/>
    <w:rsid w:val="005B1494"/>
    <w:rsid w:val="005B1583"/>
    <w:rsid w:val="005B17F7"/>
    <w:rsid w:val="005B1F38"/>
    <w:rsid w:val="005B2445"/>
    <w:rsid w:val="005B25B3"/>
    <w:rsid w:val="005B2845"/>
    <w:rsid w:val="005B2920"/>
    <w:rsid w:val="005B2C29"/>
    <w:rsid w:val="005B30D0"/>
    <w:rsid w:val="005B347F"/>
    <w:rsid w:val="005B36E7"/>
    <w:rsid w:val="005B3755"/>
    <w:rsid w:val="005B3881"/>
    <w:rsid w:val="005B3893"/>
    <w:rsid w:val="005B38FC"/>
    <w:rsid w:val="005B396A"/>
    <w:rsid w:val="005B39AD"/>
    <w:rsid w:val="005B3E20"/>
    <w:rsid w:val="005B3FE1"/>
    <w:rsid w:val="005B4068"/>
    <w:rsid w:val="005B435A"/>
    <w:rsid w:val="005B4AC8"/>
    <w:rsid w:val="005B4B94"/>
    <w:rsid w:val="005B4C75"/>
    <w:rsid w:val="005B4ED4"/>
    <w:rsid w:val="005B4F62"/>
    <w:rsid w:val="005B502B"/>
    <w:rsid w:val="005B5035"/>
    <w:rsid w:val="005B54A7"/>
    <w:rsid w:val="005B552F"/>
    <w:rsid w:val="005B5565"/>
    <w:rsid w:val="005B5671"/>
    <w:rsid w:val="005B56D4"/>
    <w:rsid w:val="005B5795"/>
    <w:rsid w:val="005B5B2A"/>
    <w:rsid w:val="005B5BCA"/>
    <w:rsid w:val="005B5DF5"/>
    <w:rsid w:val="005B5FB4"/>
    <w:rsid w:val="005B61CA"/>
    <w:rsid w:val="005B630A"/>
    <w:rsid w:val="005B647A"/>
    <w:rsid w:val="005B6865"/>
    <w:rsid w:val="005B6AD4"/>
    <w:rsid w:val="005B6C5C"/>
    <w:rsid w:val="005B6DD8"/>
    <w:rsid w:val="005B6E07"/>
    <w:rsid w:val="005B6F84"/>
    <w:rsid w:val="005B755A"/>
    <w:rsid w:val="005B757D"/>
    <w:rsid w:val="005B759E"/>
    <w:rsid w:val="005B75D3"/>
    <w:rsid w:val="005B7A2C"/>
    <w:rsid w:val="005B7C74"/>
    <w:rsid w:val="005B7CEF"/>
    <w:rsid w:val="005B7D4A"/>
    <w:rsid w:val="005B7E5F"/>
    <w:rsid w:val="005C0077"/>
    <w:rsid w:val="005C0080"/>
    <w:rsid w:val="005C0157"/>
    <w:rsid w:val="005C0343"/>
    <w:rsid w:val="005C03D3"/>
    <w:rsid w:val="005C0F1E"/>
    <w:rsid w:val="005C0F3C"/>
    <w:rsid w:val="005C122E"/>
    <w:rsid w:val="005C1380"/>
    <w:rsid w:val="005C13AF"/>
    <w:rsid w:val="005C148C"/>
    <w:rsid w:val="005C157A"/>
    <w:rsid w:val="005C17FD"/>
    <w:rsid w:val="005C1AA1"/>
    <w:rsid w:val="005C1AE2"/>
    <w:rsid w:val="005C1F41"/>
    <w:rsid w:val="005C1FFF"/>
    <w:rsid w:val="005C2179"/>
    <w:rsid w:val="005C2188"/>
    <w:rsid w:val="005C2546"/>
    <w:rsid w:val="005C27D1"/>
    <w:rsid w:val="005C28C0"/>
    <w:rsid w:val="005C2B0D"/>
    <w:rsid w:val="005C2DB5"/>
    <w:rsid w:val="005C2EF7"/>
    <w:rsid w:val="005C2FA6"/>
    <w:rsid w:val="005C33E2"/>
    <w:rsid w:val="005C3702"/>
    <w:rsid w:val="005C387C"/>
    <w:rsid w:val="005C39C9"/>
    <w:rsid w:val="005C3A42"/>
    <w:rsid w:val="005C3ABF"/>
    <w:rsid w:val="005C455E"/>
    <w:rsid w:val="005C46C0"/>
    <w:rsid w:val="005C4823"/>
    <w:rsid w:val="005C4840"/>
    <w:rsid w:val="005C4ADB"/>
    <w:rsid w:val="005C4B34"/>
    <w:rsid w:val="005C4BB1"/>
    <w:rsid w:val="005C4BBD"/>
    <w:rsid w:val="005C4BDA"/>
    <w:rsid w:val="005C4BDB"/>
    <w:rsid w:val="005C5016"/>
    <w:rsid w:val="005C5066"/>
    <w:rsid w:val="005C5368"/>
    <w:rsid w:val="005C5488"/>
    <w:rsid w:val="005C54F1"/>
    <w:rsid w:val="005C56A4"/>
    <w:rsid w:val="005C56E1"/>
    <w:rsid w:val="005C5A4A"/>
    <w:rsid w:val="005C5A62"/>
    <w:rsid w:val="005C6070"/>
    <w:rsid w:val="005C60DA"/>
    <w:rsid w:val="005C6196"/>
    <w:rsid w:val="005C61CA"/>
    <w:rsid w:val="005C6309"/>
    <w:rsid w:val="005C63E8"/>
    <w:rsid w:val="005C6587"/>
    <w:rsid w:val="005C6949"/>
    <w:rsid w:val="005C6B31"/>
    <w:rsid w:val="005C6C70"/>
    <w:rsid w:val="005C6E33"/>
    <w:rsid w:val="005C70A4"/>
    <w:rsid w:val="005C70F1"/>
    <w:rsid w:val="005C741C"/>
    <w:rsid w:val="005C75C6"/>
    <w:rsid w:val="005C770A"/>
    <w:rsid w:val="005C779D"/>
    <w:rsid w:val="005C799D"/>
    <w:rsid w:val="005C7BF0"/>
    <w:rsid w:val="005D041B"/>
    <w:rsid w:val="005D0615"/>
    <w:rsid w:val="005D0628"/>
    <w:rsid w:val="005D093C"/>
    <w:rsid w:val="005D0AB7"/>
    <w:rsid w:val="005D0BCC"/>
    <w:rsid w:val="005D0DE2"/>
    <w:rsid w:val="005D10F3"/>
    <w:rsid w:val="005D1559"/>
    <w:rsid w:val="005D181D"/>
    <w:rsid w:val="005D1852"/>
    <w:rsid w:val="005D19BF"/>
    <w:rsid w:val="005D1CE0"/>
    <w:rsid w:val="005D1D69"/>
    <w:rsid w:val="005D20DE"/>
    <w:rsid w:val="005D231D"/>
    <w:rsid w:val="005D277C"/>
    <w:rsid w:val="005D29AF"/>
    <w:rsid w:val="005D2F1D"/>
    <w:rsid w:val="005D3193"/>
    <w:rsid w:val="005D319C"/>
    <w:rsid w:val="005D3354"/>
    <w:rsid w:val="005D33ED"/>
    <w:rsid w:val="005D3591"/>
    <w:rsid w:val="005D3795"/>
    <w:rsid w:val="005D38E2"/>
    <w:rsid w:val="005D3BDA"/>
    <w:rsid w:val="005D3D2C"/>
    <w:rsid w:val="005D40E4"/>
    <w:rsid w:val="005D420A"/>
    <w:rsid w:val="005D4255"/>
    <w:rsid w:val="005D4684"/>
    <w:rsid w:val="005D47DF"/>
    <w:rsid w:val="005D4A97"/>
    <w:rsid w:val="005D4E35"/>
    <w:rsid w:val="005D5458"/>
    <w:rsid w:val="005D5755"/>
    <w:rsid w:val="005D5880"/>
    <w:rsid w:val="005D5D06"/>
    <w:rsid w:val="005D5D5E"/>
    <w:rsid w:val="005D5D8D"/>
    <w:rsid w:val="005D5ECF"/>
    <w:rsid w:val="005D60D9"/>
    <w:rsid w:val="005D61D4"/>
    <w:rsid w:val="005D62A6"/>
    <w:rsid w:val="005D63C9"/>
    <w:rsid w:val="005D652F"/>
    <w:rsid w:val="005D6808"/>
    <w:rsid w:val="005D68B5"/>
    <w:rsid w:val="005D6BCD"/>
    <w:rsid w:val="005D6FBB"/>
    <w:rsid w:val="005D7259"/>
    <w:rsid w:val="005D7269"/>
    <w:rsid w:val="005D7516"/>
    <w:rsid w:val="005D7546"/>
    <w:rsid w:val="005D754F"/>
    <w:rsid w:val="005D7570"/>
    <w:rsid w:val="005D79A2"/>
    <w:rsid w:val="005D79FD"/>
    <w:rsid w:val="005D7AFF"/>
    <w:rsid w:val="005E0051"/>
    <w:rsid w:val="005E014E"/>
    <w:rsid w:val="005E035C"/>
    <w:rsid w:val="005E04FD"/>
    <w:rsid w:val="005E0554"/>
    <w:rsid w:val="005E0691"/>
    <w:rsid w:val="005E0A36"/>
    <w:rsid w:val="005E0CE1"/>
    <w:rsid w:val="005E0E9D"/>
    <w:rsid w:val="005E0FEE"/>
    <w:rsid w:val="005E1181"/>
    <w:rsid w:val="005E1A0A"/>
    <w:rsid w:val="005E1A3E"/>
    <w:rsid w:val="005E1AA1"/>
    <w:rsid w:val="005E1AB2"/>
    <w:rsid w:val="005E1DF5"/>
    <w:rsid w:val="005E20D2"/>
    <w:rsid w:val="005E20F6"/>
    <w:rsid w:val="005E24B7"/>
    <w:rsid w:val="005E2506"/>
    <w:rsid w:val="005E25EB"/>
    <w:rsid w:val="005E2693"/>
    <w:rsid w:val="005E26C8"/>
    <w:rsid w:val="005E2F8F"/>
    <w:rsid w:val="005E3339"/>
    <w:rsid w:val="005E34C6"/>
    <w:rsid w:val="005E3777"/>
    <w:rsid w:val="005E37AF"/>
    <w:rsid w:val="005E38AD"/>
    <w:rsid w:val="005E3E08"/>
    <w:rsid w:val="005E4307"/>
    <w:rsid w:val="005E47C1"/>
    <w:rsid w:val="005E48C7"/>
    <w:rsid w:val="005E4B10"/>
    <w:rsid w:val="005E4B74"/>
    <w:rsid w:val="005E4B7A"/>
    <w:rsid w:val="005E5457"/>
    <w:rsid w:val="005E5538"/>
    <w:rsid w:val="005E5838"/>
    <w:rsid w:val="005E5B5A"/>
    <w:rsid w:val="005E5BC3"/>
    <w:rsid w:val="005E616E"/>
    <w:rsid w:val="005E64C7"/>
    <w:rsid w:val="005E671A"/>
    <w:rsid w:val="005E672F"/>
    <w:rsid w:val="005E677B"/>
    <w:rsid w:val="005E6F92"/>
    <w:rsid w:val="005E7290"/>
    <w:rsid w:val="005E72B4"/>
    <w:rsid w:val="005E75C5"/>
    <w:rsid w:val="005E7724"/>
    <w:rsid w:val="005E777B"/>
    <w:rsid w:val="005E77F0"/>
    <w:rsid w:val="005E7E97"/>
    <w:rsid w:val="005E7F70"/>
    <w:rsid w:val="005F0066"/>
    <w:rsid w:val="005F045B"/>
    <w:rsid w:val="005F0471"/>
    <w:rsid w:val="005F0487"/>
    <w:rsid w:val="005F0529"/>
    <w:rsid w:val="005F0858"/>
    <w:rsid w:val="005F08A8"/>
    <w:rsid w:val="005F0B0A"/>
    <w:rsid w:val="005F0E21"/>
    <w:rsid w:val="005F0EC6"/>
    <w:rsid w:val="005F0EFF"/>
    <w:rsid w:val="005F0F95"/>
    <w:rsid w:val="005F1026"/>
    <w:rsid w:val="005F116B"/>
    <w:rsid w:val="005F137B"/>
    <w:rsid w:val="005F16DB"/>
    <w:rsid w:val="005F183D"/>
    <w:rsid w:val="005F1BCF"/>
    <w:rsid w:val="005F1BF8"/>
    <w:rsid w:val="005F1C0A"/>
    <w:rsid w:val="005F1D1F"/>
    <w:rsid w:val="005F1E59"/>
    <w:rsid w:val="005F24B3"/>
    <w:rsid w:val="005F2501"/>
    <w:rsid w:val="005F2659"/>
    <w:rsid w:val="005F2664"/>
    <w:rsid w:val="005F26BB"/>
    <w:rsid w:val="005F2A0B"/>
    <w:rsid w:val="005F2A67"/>
    <w:rsid w:val="005F2AD2"/>
    <w:rsid w:val="005F2DB5"/>
    <w:rsid w:val="005F33C3"/>
    <w:rsid w:val="005F33D6"/>
    <w:rsid w:val="005F355D"/>
    <w:rsid w:val="005F39C2"/>
    <w:rsid w:val="005F3A64"/>
    <w:rsid w:val="005F3ACE"/>
    <w:rsid w:val="005F42CA"/>
    <w:rsid w:val="005F4384"/>
    <w:rsid w:val="005F43BB"/>
    <w:rsid w:val="005F454E"/>
    <w:rsid w:val="005F45CD"/>
    <w:rsid w:val="005F4741"/>
    <w:rsid w:val="005F50BD"/>
    <w:rsid w:val="005F50D1"/>
    <w:rsid w:val="005F5416"/>
    <w:rsid w:val="005F59E9"/>
    <w:rsid w:val="005F5B20"/>
    <w:rsid w:val="005F5C20"/>
    <w:rsid w:val="005F5C77"/>
    <w:rsid w:val="005F5FA1"/>
    <w:rsid w:val="005F670E"/>
    <w:rsid w:val="005F6D8C"/>
    <w:rsid w:val="005F6E22"/>
    <w:rsid w:val="005F6ED2"/>
    <w:rsid w:val="005F70B3"/>
    <w:rsid w:val="005F72F3"/>
    <w:rsid w:val="005F7520"/>
    <w:rsid w:val="005F756F"/>
    <w:rsid w:val="005F7616"/>
    <w:rsid w:val="005F76F0"/>
    <w:rsid w:val="005F782E"/>
    <w:rsid w:val="005F79B1"/>
    <w:rsid w:val="005F7BE8"/>
    <w:rsid w:val="005F7CE1"/>
    <w:rsid w:val="005F7FEE"/>
    <w:rsid w:val="00600312"/>
    <w:rsid w:val="006004E6"/>
    <w:rsid w:val="00600649"/>
    <w:rsid w:val="00600654"/>
    <w:rsid w:val="00600925"/>
    <w:rsid w:val="0060099B"/>
    <w:rsid w:val="00600C38"/>
    <w:rsid w:val="00600D54"/>
    <w:rsid w:val="00601165"/>
    <w:rsid w:val="00601168"/>
    <w:rsid w:val="00601315"/>
    <w:rsid w:val="00601BB6"/>
    <w:rsid w:val="00601E7A"/>
    <w:rsid w:val="00601F40"/>
    <w:rsid w:val="00602008"/>
    <w:rsid w:val="006020EF"/>
    <w:rsid w:val="006020F3"/>
    <w:rsid w:val="006027C0"/>
    <w:rsid w:val="00602AC9"/>
    <w:rsid w:val="00602B14"/>
    <w:rsid w:val="00602E99"/>
    <w:rsid w:val="00603057"/>
    <w:rsid w:val="00603086"/>
    <w:rsid w:val="00603147"/>
    <w:rsid w:val="0060333E"/>
    <w:rsid w:val="00603367"/>
    <w:rsid w:val="006033DD"/>
    <w:rsid w:val="0060361F"/>
    <w:rsid w:val="0060364E"/>
    <w:rsid w:val="006036E3"/>
    <w:rsid w:val="0060385F"/>
    <w:rsid w:val="00603E6C"/>
    <w:rsid w:val="00603FA1"/>
    <w:rsid w:val="00604161"/>
    <w:rsid w:val="006042BE"/>
    <w:rsid w:val="00604628"/>
    <w:rsid w:val="0060483E"/>
    <w:rsid w:val="00604BA4"/>
    <w:rsid w:val="00604BCF"/>
    <w:rsid w:val="00604CB8"/>
    <w:rsid w:val="00604E85"/>
    <w:rsid w:val="0060552B"/>
    <w:rsid w:val="006057E8"/>
    <w:rsid w:val="00605933"/>
    <w:rsid w:val="00605AE2"/>
    <w:rsid w:val="00605CB1"/>
    <w:rsid w:val="00605E41"/>
    <w:rsid w:val="0060656C"/>
    <w:rsid w:val="0060657B"/>
    <w:rsid w:val="00606631"/>
    <w:rsid w:val="006067A9"/>
    <w:rsid w:val="006068E2"/>
    <w:rsid w:val="00606B9A"/>
    <w:rsid w:val="00606BA9"/>
    <w:rsid w:val="00606F73"/>
    <w:rsid w:val="00607AF1"/>
    <w:rsid w:val="00607D6F"/>
    <w:rsid w:val="006102F3"/>
    <w:rsid w:val="00610475"/>
    <w:rsid w:val="00610923"/>
    <w:rsid w:val="00610CB0"/>
    <w:rsid w:val="00611406"/>
    <w:rsid w:val="006116C1"/>
    <w:rsid w:val="006116E6"/>
    <w:rsid w:val="00611717"/>
    <w:rsid w:val="00611761"/>
    <w:rsid w:val="0061178B"/>
    <w:rsid w:val="00611893"/>
    <w:rsid w:val="00611F43"/>
    <w:rsid w:val="0061223B"/>
    <w:rsid w:val="006127DE"/>
    <w:rsid w:val="00612871"/>
    <w:rsid w:val="006128FF"/>
    <w:rsid w:val="00612A8E"/>
    <w:rsid w:val="00612A92"/>
    <w:rsid w:val="00612A96"/>
    <w:rsid w:val="00612BF8"/>
    <w:rsid w:val="00612D09"/>
    <w:rsid w:val="0061309F"/>
    <w:rsid w:val="006135E8"/>
    <w:rsid w:val="0061363A"/>
    <w:rsid w:val="00613748"/>
    <w:rsid w:val="006137D8"/>
    <w:rsid w:val="00614024"/>
    <w:rsid w:val="0061413F"/>
    <w:rsid w:val="006143C9"/>
    <w:rsid w:val="00614649"/>
    <w:rsid w:val="00614974"/>
    <w:rsid w:val="00614EB4"/>
    <w:rsid w:val="00615029"/>
    <w:rsid w:val="006150F1"/>
    <w:rsid w:val="00615414"/>
    <w:rsid w:val="0061575E"/>
    <w:rsid w:val="00615BB8"/>
    <w:rsid w:val="00615C3B"/>
    <w:rsid w:val="00615DC6"/>
    <w:rsid w:val="00615E0D"/>
    <w:rsid w:val="00615EB1"/>
    <w:rsid w:val="006161C5"/>
    <w:rsid w:val="0061638D"/>
    <w:rsid w:val="00616391"/>
    <w:rsid w:val="006164B1"/>
    <w:rsid w:val="00616899"/>
    <w:rsid w:val="00616B84"/>
    <w:rsid w:val="00616D6E"/>
    <w:rsid w:val="00617087"/>
    <w:rsid w:val="00617131"/>
    <w:rsid w:val="006171E7"/>
    <w:rsid w:val="00617401"/>
    <w:rsid w:val="006176AE"/>
    <w:rsid w:val="006177A7"/>
    <w:rsid w:val="00617A98"/>
    <w:rsid w:val="00617AEF"/>
    <w:rsid w:val="00617BF5"/>
    <w:rsid w:val="00617CAB"/>
    <w:rsid w:val="00617D48"/>
    <w:rsid w:val="006203D3"/>
    <w:rsid w:val="006205E4"/>
    <w:rsid w:val="00620635"/>
    <w:rsid w:val="00620643"/>
    <w:rsid w:val="006207A5"/>
    <w:rsid w:val="006208F6"/>
    <w:rsid w:val="00620994"/>
    <w:rsid w:val="00620A6E"/>
    <w:rsid w:val="00620FCC"/>
    <w:rsid w:val="00621426"/>
    <w:rsid w:val="006215A8"/>
    <w:rsid w:val="00621E04"/>
    <w:rsid w:val="00621FD0"/>
    <w:rsid w:val="00621FDB"/>
    <w:rsid w:val="006221A0"/>
    <w:rsid w:val="00622283"/>
    <w:rsid w:val="00622657"/>
    <w:rsid w:val="00622B85"/>
    <w:rsid w:val="00622BDD"/>
    <w:rsid w:val="00622CEE"/>
    <w:rsid w:val="00622EAA"/>
    <w:rsid w:val="006239EC"/>
    <w:rsid w:val="00624268"/>
    <w:rsid w:val="00625078"/>
    <w:rsid w:val="0062526F"/>
    <w:rsid w:val="0062535D"/>
    <w:rsid w:val="0062546A"/>
    <w:rsid w:val="00625567"/>
    <w:rsid w:val="00625916"/>
    <w:rsid w:val="00625A62"/>
    <w:rsid w:val="00625EB5"/>
    <w:rsid w:val="0062603E"/>
    <w:rsid w:val="00626439"/>
    <w:rsid w:val="006266DF"/>
    <w:rsid w:val="0062672A"/>
    <w:rsid w:val="00626908"/>
    <w:rsid w:val="006269DA"/>
    <w:rsid w:val="00626A9E"/>
    <w:rsid w:val="00626C3C"/>
    <w:rsid w:val="00627229"/>
    <w:rsid w:val="00627235"/>
    <w:rsid w:val="00627325"/>
    <w:rsid w:val="00627645"/>
    <w:rsid w:val="00627F37"/>
    <w:rsid w:val="0063006D"/>
    <w:rsid w:val="006302FA"/>
    <w:rsid w:val="00630433"/>
    <w:rsid w:val="006307FD"/>
    <w:rsid w:val="00630C41"/>
    <w:rsid w:val="00630F5D"/>
    <w:rsid w:val="00631577"/>
    <w:rsid w:val="0063157B"/>
    <w:rsid w:val="00631F5F"/>
    <w:rsid w:val="00632065"/>
    <w:rsid w:val="0063223F"/>
    <w:rsid w:val="0063246D"/>
    <w:rsid w:val="0063247F"/>
    <w:rsid w:val="006324CE"/>
    <w:rsid w:val="00632553"/>
    <w:rsid w:val="0063269E"/>
    <w:rsid w:val="0063285D"/>
    <w:rsid w:val="00632DE1"/>
    <w:rsid w:val="006333C6"/>
    <w:rsid w:val="00633607"/>
    <w:rsid w:val="006339C9"/>
    <w:rsid w:val="006343F8"/>
    <w:rsid w:val="006345BC"/>
    <w:rsid w:val="006345E8"/>
    <w:rsid w:val="0063480A"/>
    <w:rsid w:val="00634B35"/>
    <w:rsid w:val="00634ECE"/>
    <w:rsid w:val="006352D1"/>
    <w:rsid w:val="006356E8"/>
    <w:rsid w:val="0063580A"/>
    <w:rsid w:val="00635AA0"/>
    <w:rsid w:val="00635B5E"/>
    <w:rsid w:val="00635CCB"/>
    <w:rsid w:val="00635F0C"/>
    <w:rsid w:val="006360E0"/>
    <w:rsid w:val="00636105"/>
    <w:rsid w:val="006364F9"/>
    <w:rsid w:val="00636CD0"/>
    <w:rsid w:val="00636CF4"/>
    <w:rsid w:val="00636EF7"/>
    <w:rsid w:val="006373D0"/>
    <w:rsid w:val="00637740"/>
    <w:rsid w:val="0063798C"/>
    <w:rsid w:val="0063799C"/>
    <w:rsid w:val="00637B13"/>
    <w:rsid w:val="00637D6B"/>
    <w:rsid w:val="00637E21"/>
    <w:rsid w:val="0064015B"/>
    <w:rsid w:val="00640437"/>
    <w:rsid w:val="00640461"/>
    <w:rsid w:val="006405B8"/>
    <w:rsid w:val="00640619"/>
    <w:rsid w:val="00640689"/>
    <w:rsid w:val="006407B8"/>
    <w:rsid w:val="00640A0B"/>
    <w:rsid w:val="00640A1A"/>
    <w:rsid w:val="00640ACA"/>
    <w:rsid w:val="00640B2C"/>
    <w:rsid w:val="00640B3B"/>
    <w:rsid w:val="00640E50"/>
    <w:rsid w:val="00640FE8"/>
    <w:rsid w:val="00641516"/>
    <w:rsid w:val="006415CB"/>
    <w:rsid w:val="00641B8E"/>
    <w:rsid w:val="00641FC2"/>
    <w:rsid w:val="0064222D"/>
    <w:rsid w:val="00642256"/>
    <w:rsid w:val="00642E84"/>
    <w:rsid w:val="00642EBF"/>
    <w:rsid w:val="00642FA7"/>
    <w:rsid w:val="006431BC"/>
    <w:rsid w:val="0064380C"/>
    <w:rsid w:val="00643914"/>
    <w:rsid w:val="00643BE1"/>
    <w:rsid w:val="00643E0F"/>
    <w:rsid w:val="00643FED"/>
    <w:rsid w:val="006441DD"/>
    <w:rsid w:val="006445E8"/>
    <w:rsid w:val="00644980"/>
    <w:rsid w:val="006451E2"/>
    <w:rsid w:val="00645C72"/>
    <w:rsid w:val="00645F97"/>
    <w:rsid w:val="0064638C"/>
    <w:rsid w:val="00646A34"/>
    <w:rsid w:val="00646AE4"/>
    <w:rsid w:val="00646CB8"/>
    <w:rsid w:val="00646E77"/>
    <w:rsid w:val="006471CE"/>
    <w:rsid w:val="00647450"/>
    <w:rsid w:val="006477CE"/>
    <w:rsid w:val="00647A2D"/>
    <w:rsid w:val="00647DA9"/>
    <w:rsid w:val="00647E61"/>
    <w:rsid w:val="0065028A"/>
    <w:rsid w:val="0065048D"/>
    <w:rsid w:val="006504AA"/>
    <w:rsid w:val="00650628"/>
    <w:rsid w:val="00650940"/>
    <w:rsid w:val="00650D30"/>
    <w:rsid w:val="00650EC1"/>
    <w:rsid w:val="006516CC"/>
    <w:rsid w:val="006517C5"/>
    <w:rsid w:val="00651A4D"/>
    <w:rsid w:val="00651AAB"/>
    <w:rsid w:val="00651B9A"/>
    <w:rsid w:val="00651C3B"/>
    <w:rsid w:val="00651DDD"/>
    <w:rsid w:val="0065217A"/>
    <w:rsid w:val="00652283"/>
    <w:rsid w:val="006526F7"/>
    <w:rsid w:val="00652AF8"/>
    <w:rsid w:val="00652B6E"/>
    <w:rsid w:val="00652D45"/>
    <w:rsid w:val="00652DE2"/>
    <w:rsid w:val="00653396"/>
    <w:rsid w:val="00653960"/>
    <w:rsid w:val="00653A4E"/>
    <w:rsid w:val="00653FEA"/>
    <w:rsid w:val="006540EF"/>
    <w:rsid w:val="006541A4"/>
    <w:rsid w:val="0065422D"/>
    <w:rsid w:val="0065437C"/>
    <w:rsid w:val="0065469F"/>
    <w:rsid w:val="006546BE"/>
    <w:rsid w:val="00654749"/>
    <w:rsid w:val="00655008"/>
    <w:rsid w:val="006551E2"/>
    <w:rsid w:val="006552F2"/>
    <w:rsid w:val="0065550F"/>
    <w:rsid w:val="00655713"/>
    <w:rsid w:val="006557CE"/>
    <w:rsid w:val="0065581B"/>
    <w:rsid w:val="00655CE8"/>
    <w:rsid w:val="0065630E"/>
    <w:rsid w:val="00656795"/>
    <w:rsid w:val="0065682D"/>
    <w:rsid w:val="00656B70"/>
    <w:rsid w:val="00656FA5"/>
    <w:rsid w:val="00657026"/>
    <w:rsid w:val="00657261"/>
    <w:rsid w:val="00657587"/>
    <w:rsid w:val="00657AAA"/>
    <w:rsid w:val="00657F1A"/>
    <w:rsid w:val="0066042E"/>
    <w:rsid w:val="0066045A"/>
    <w:rsid w:val="006604CC"/>
    <w:rsid w:val="0066113D"/>
    <w:rsid w:val="00661222"/>
    <w:rsid w:val="0066127E"/>
    <w:rsid w:val="00661450"/>
    <w:rsid w:val="006614BB"/>
    <w:rsid w:val="00661841"/>
    <w:rsid w:val="006619DE"/>
    <w:rsid w:val="006619EF"/>
    <w:rsid w:val="00661B87"/>
    <w:rsid w:val="00661D16"/>
    <w:rsid w:val="00661E0D"/>
    <w:rsid w:val="0066225F"/>
    <w:rsid w:val="00662497"/>
    <w:rsid w:val="00662562"/>
    <w:rsid w:val="00662AA3"/>
    <w:rsid w:val="00663146"/>
    <w:rsid w:val="00663587"/>
    <w:rsid w:val="00663655"/>
    <w:rsid w:val="00663A98"/>
    <w:rsid w:val="00663D63"/>
    <w:rsid w:val="00663EFD"/>
    <w:rsid w:val="00663FB2"/>
    <w:rsid w:val="0066451A"/>
    <w:rsid w:val="00664757"/>
    <w:rsid w:val="00664A32"/>
    <w:rsid w:val="00664A86"/>
    <w:rsid w:val="00664D23"/>
    <w:rsid w:val="00664F5F"/>
    <w:rsid w:val="006652C7"/>
    <w:rsid w:val="006652C8"/>
    <w:rsid w:val="006654AA"/>
    <w:rsid w:val="006656C3"/>
    <w:rsid w:val="00665C3B"/>
    <w:rsid w:val="00665D6B"/>
    <w:rsid w:val="00665E19"/>
    <w:rsid w:val="00666254"/>
    <w:rsid w:val="006665D8"/>
    <w:rsid w:val="006666FE"/>
    <w:rsid w:val="00666925"/>
    <w:rsid w:val="006669E3"/>
    <w:rsid w:val="0066707F"/>
    <w:rsid w:val="00667106"/>
    <w:rsid w:val="0066724F"/>
    <w:rsid w:val="00667583"/>
    <w:rsid w:val="00667615"/>
    <w:rsid w:val="00667A3E"/>
    <w:rsid w:val="00667AED"/>
    <w:rsid w:val="00667AF5"/>
    <w:rsid w:val="00667C97"/>
    <w:rsid w:val="00667EFA"/>
    <w:rsid w:val="00670066"/>
    <w:rsid w:val="0067018F"/>
    <w:rsid w:val="006701A2"/>
    <w:rsid w:val="0067026A"/>
    <w:rsid w:val="006702B6"/>
    <w:rsid w:val="00670553"/>
    <w:rsid w:val="006706DD"/>
    <w:rsid w:val="006708A3"/>
    <w:rsid w:val="00670900"/>
    <w:rsid w:val="0067091E"/>
    <w:rsid w:val="0067099E"/>
    <w:rsid w:val="00670BD2"/>
    <w:rsid w:val="00670CEE"/>
    <w:rsid w:val="0067106D"/>
    <w:rsid w:val="006712D9"/>
    <w:rsid w:val="00671348"/>
    <w:rsid w:val="006713F7"/>
    <w:rsid w:val="00671634"/>
    <w:rsid w:val="0067194F"/>
    <w:rsid w:val="0067199D"/>
    <w:rsid w:val="00671A75"/>
    <w:rsid w:val="00671A9A"/>
    <w:rsid w:val="00671B38"/>
    <w:rsid w:val="00671CE8"/>
    <w:rsid w:val="00671D93"/>
    <w:rsid w:val="00671DDB"/>
    <w:rsid w:val="0067217F"/>
    <w:rsid w:val="0067236C"/>
    <w:rsid w:val="006725D1"/>
    <w:rsid w:val="006726A3"/>
    <w:rsid w:val="0067274F"/>
    <w:rsid w:val="00672A2C"/>
    <w:rsid w:val="00673002"/>
    <w:rsid w:val="00673023"/>
    <w:rsid w:val="006730B8"/>
    <w:rsid w:val="0067331B"/>
    <w:rsid w:val="006734D0"/>
    <w:rsid w:val="00673543"/>
    <w:rsid w:val="006736FA"/>
    <w:rsid w:val="0067370E"/>
    <w:rsid w:val="00673B1C"/>
    <w:rsid w:val="00673B2B"/>
    <w:rsid w:val="00673CD9"/>
    <w:rsid w:val="00673CDB"/>
    <w:rsid w:val="00673DC5"/>
    <w:rsid w:val="00673EF3"/>
    <w:rsid w:val="006740D5"/>
    <w:rsid w:val="00674159"/>
    <w:rsid w:val="0067434D"/>
    <w:rsid w:val="006744ED"/>
    <w:rsid w:val="0067478D"/>
    <w:rsid w:val="00674B05"/>
    <w:rsid w:val="006750A6"/>
    <w:rsid w:val="00675147"/>
    <w:rsid w:val="006751D3"/>
    <w:rsid w:val="006752DF"/>
    <w:rsid w:val="006752F3"/>
    <w:rsid w:val="00675938"/>
    <w:rsid w:val="00675A53"/>
    <w:rsid w:val="00675D2F"/>
    <w:rsid w:val="00675D71"/>
    <w:rsid w:val="00676019"/>
    <w:rsid w:val="0067628E"/>
    <w:rsid w:val="00676296"/>
    <w:rsid w:val="00676428"/>
    <w:rsid w:val="00676931"/>
    <w:rsid w:val="006769AB"/>
    <w:rsid w:val="00676A4C"/>
    <w:rsid w:val="00676C49"/>
    <w:rsid w:val="00677490"/>
    <w:rsid w:val="00677942"/>
    <w:rsid w:val="00677EBC"/>
    <w:rsid w:val="00677F70"/>
    <w:rsid w:val="006800BE"/>
    <w:rsid w:val="006801AA"/>
    <w:rsid w:val="00680663"/>
    <w:rsid w:val="006808FB"/>
    <w:rsid w:val="00680958"/>
    <w:rsid w:val="00680C6C"/>
    <w:rsid w:val="00681020"/>
    <w:rsid w:val="00681022"/>
    <w:rsid w:val="006810BE"/>
    <w:rsid w:val="006810D2"/>
    <w:rsid w:val="00681116"/>
    <w:rsid w:val="006811CF"/>
    <w:rsid w:val="006816C0"/>
    <w:rsid w:val="006817AD"/>
    <w:rsid w:val="00681CB7"/>
    <w:rsid w:val="00681D7E"/>
    <w:rsid w:val="006827DD"/>
    <w:rsid w:val="00683007"/>
    <w:rsid w:val="006831D1"/>
    <w:rsid w:val="0068324B"/>
    <w:rsid w:val="0068335B"/>
    <w:rsid w:val="006837FA"/>
    <w:rsid w:val="006838D1"/>
    <w:rsid w:val="00683BE9"/>
    <w:rsid w:val="00683C82"/>
    <w:rsid w:val="00683D7F"/>
    <w:rsid w:val="00684011"/>
    <w:rsid w:val="006842F5"/>
    <w:rsid w:val="006844B4"/>
    <w:rsid w:val="006845D5"/>
    <w:rsid w:val="006847AF"/>
    <w:rsid w:val="006847F6"/>
    <w:rsid w:val="006850E6"/>
    <w:rsid w:val="00685240"/>
    <w:rsid w:val="006854C6"/>
    <w:rsid w:val="0068552C"/>
    <w:rsid w:val="00685672"/>
    <w:rsid w:val="00685B3F"/>
    <w:rsid w:val="00686271"/>
    <w:rsid w:val="0068657E"/>
    <w:rsid w:val="0068694C"/>
    <w:rsid w:val="0068698B"/>
    <w:rsid w:val="00686AAD"/>
    <w:rsid w:val="00686C5A"/>
    <w:rsid w:val="00686DEE"/>
    <w:rsid w:val="00687207"/>
    <w:rsid w:val="00687604"/>
    <w:rsid w:val="0068774E"/>
    <w:rsid w:val="00687B72"/>
    <w:rsid w:val="00687C3B"/>
    <w:rsid w:val="00687F56"/>
    <w:rsid w:val="00690272"/>
    <w:rsid w:val="0069047C"/>
    <w:rsid w:val="00690515"/>
    <w:rsid w:val="00690B31"/>
    <w:rsid w:val="00690C9F"/>
    <w:rsid w:val="00690DA1"/>
    <w:rsid w:val="00691073"/>
    <w:rsid w:val="006910AF"/>
    <w:rsid w:val="0069127F"/>
    <w:rsid w:val="00691504"/>
    <w:rsid w:val="00691547"/>
    <w:rsid w:val="0069170B"/>
    <w:rsid w:val="00691963"/>
    <w:rsid w:val="00691F11"/>
    <w:rsid w:val="00691F5B"/>
    <w:rsid w:val="00691F8C"/>
    <w:rsid w:val="00691FF0"/>
    <w:rsid w:val="006921B9"/>
    <w:rsid w:val="00692326"/>
    <w:rsid w:val="00692353"/>
    <w:rsid w:val="006923C4"/>
    <w:rsid w:val="00692426"/>
    <w:rsid w:val="006925C9"/>
    <w:rsid w:val="006926B4"/>
    <w:rsid w:val="006926E8"/>
    <w:rsid w:val="00692945"/>
    <w:rsid w:val="00692CD0"/>
    <w:rsid w:val="00692DFF"/>
    <w:rsid w:val="006930F2"/>
    <w:rsid w:val="00693184"/>
    <w:rsid w:val="0069324E"/>
    <w:rsid w:val="006932BA"/>
    <w:rsid w:val="006934B3"/>
    <w:rsid w:val="006934BD"/>
    <w:rsid w:val="0069357E"/>
    <w:rsid w:val="00693623"/>
    <w:rsid w:val="0069362C"/>
    <w:rsid w:val="00693BCE"/>
    <w:rsid w:val="00693BE8"/>
    <w:rsid w:val="0069408B"/>
    <w:rsid w:val="0069409A"/>
    <w:rsid w:val="006941DC"/>
    <w:rsid w:val="006942A2"/>
    <w:rsid w:val="006944D3"/>
    <w:rsid w:val="00694525"/>
    <w:rsid w:val="0069472B"/>
    <w:rsid w:val="00694886"/>
    <w:rsid w:val="00694958"/>
    <w:rsid w:val="00694A50"/>
    <w:rsid w:val="00694AF2"/>
    <w:rsid w:val="00694DBD"/>
    <w:rsid w:val="00695313"/>
    <w:rsid w:val="006956AE"/>
    <w:rsid w:val="00695932"/>
    <w:rsid w:val="00695A13"/>
    <w:rsid w:val="00695C18"/>
    <w:rsid w:val="00695C1F"/>
    <w:rsid w:val="00695E0A"/>
    <w:rsid w:val="00695E67"/>
    <w:rsid w:val="00695F2A"/>
    <w:rsid w:val="0069629B"/>
    <w:rsid w:val="0069639E"/>
    <w:rsid w:val="0069643B"/>
    <w:rsid w:val="00696585"/>
    <w:rsid w:val="00696AFE"/>
    <w:rsid w:val="00696C23"/>
    <w:rsid w:val="00696FD6"/>
    <w:rsid w:val="006972AE"/>
    <w:rsid w:val="006972BA"/>
    <w:rsid w:val="00697356"/>
    <w:rsid w:val="006973D3"/>
    <w:rsid w:val="006973D9"/>
    <w:rsid w:val="006975DB"/>
    <w:rsid w:val="0069798A"/>
    <w:rsid w:val="00697A34"/>
    <w:rsid w:val="00697EF7"/>
    <w:rsid w:val="00697FF1"/>
    <w:rsid w:val="006A0384"/>
    <w:rsid w:val="006A05FD"/>
    <w:rsid w:val="006A08D1"/>
    <w:rsid w:val="006A0A46"/>
    <w:rsid w:val="006A0B1A"/>
    <w:rsid w:val="006A113E"/>
    <w:rsid w:val="006A13E3"/>
    <w:rsid w:val="006A1597"/>
    <w:rsid w:val="006A17E6"/>
    <w:rsid w:val="006A1879"/>
    <w:rsid w:val="006A18A4"/>
    <w:rsid w:val="006A1B43"/>
    <w:rsid w:val="006A1B8F"/>
    <w:rsid w:val="006A1C47"/>
    <w:rsid w:val="006A1D3A"/>
    <w:rsid w:val="006A1D3C"/>
    <w:rsid w:val="006A1EE4"/>
    <w:rsid w:val="006A232B"/>
    <w:rsid w:val="006A2614"/>
    <w:rsid w:val="006A27E0"/>
    <w:rsid w:val="006A2A3F"/>
    <w:rsid w:val="006A2BF8"/>
    <w:rsid w:val="006A2DCA"/>
    <w:rsid w:val="006A348C"/>
    <w:rsid w:val="006A3945"/>
    <w:rsid w:val="006A3A15"/>
    <w:rsid w:val="006A3DAF"/>
    <w:rsid w:val="006A3ED8"/>
    <w:rsid w:val="006A3FC1"/>
    <w:rsid w:val="006A40A1"/>
    <w:rsid w:val="006A4184"/>
    <w:rsid w:val="006A421A"/>
    <w:rsid w:val="006A42D5"/>
    <w:rsid w:val="006A4410"/>
    <w:rsid w:val="006A448F"/>
    <w:rsid w:val="006A4571"/>
    <w:rsid w:val="006A4A18"/>
    <w:rsid w:val="006A4A47"/>
    <w:rsid w:val="006A4C40"/>
    <w:rsid w:val="006A4C82"/>
    <w:rsid w:val="006A4CC6"/>
    <w:rsid w:val="006A4F10"/>
    <w:rsid w:val="006A527C"/>
    <w:rsid w:val="006A53A9"/>
    <w:rsid w:val="006A552C"/>
    <w:rsid w:val="006A557E"/>
    <w:rsid w:val="006A5607"/>
    <w:rsid w:val="006A5822"/>
    <w:rsid w:val="006A58D9"/>
    <w:rsid w:val="006A5977"/>
    <w:rsid w:val="006A5BD2"/>
    <w:rsid w:val="006A5D71"/>
    <w:rsid w:val="006A5E51"/>
    <w:rsid w:val="006A6198"/>
    <w:rsid w:val="006A62E0"/>
    <w:rsid w:val="006A6502"/>
    <w:rsid w:val="006A66DA"/>
    <w:rsid w:val="006A68F5"/>
    <w:rsid w:val="006A6EC5"/>
    <w:rsid w:val="006A70FE"/>
    <w:rsid w:val="006A73A2"/>
    <w:rsid w:val="006A742A"/>
    <w:rsid w:val="006A7B4E"/>
    <w:rsid w:val="006A7D7A"/>
    <w:rsid w:val="006A7E68"/>
    <w:rsid w:val="006A7F9C"/>
    <w:rsid w:val="006B0104"/>
    <w:rsid w:val="006B0182"/>
    <w:rsid w:val="006B04FC"/>
    <w:rsid w:val="006B0840"/>
    <w:rsid w:val="006B0984"/>
    <w:rsid w:val="006B0D84"/>
    <w:rsid w:val="006B0FB2"/>
    <w:rsid w:val="006B0FEA"/>
    <w:rsid w:val="006B1732"/>
    <w:rsid w:val="006B1802"/>
    <w:rsid w:val="006B1FF6"/>
    <w:rsid w:val="006B22D0"/>
    <w:rsid w:val="006B30B3"/>
    <w:rsid w:val="006B30F4"/>
    <w:rsid w:val="006B3154"/>
    <w:rsid w:val="006B329A"/>
    <w:rsid w:val="006B3328"/>
    <w:rsid w:val="006B354A"/>
    <w:rsid w:val="006B3595"/>
    <w:rsid w:val="006B35E8"/>
    <w:rsid w:val="006B38F4"/>
    <w:rsid w:val="006B3D0C"/>
    <w:rsid w:val="006B3D8E"/>
    <w:rsid w:val="006B3E67"/>
    <w:rsid w:val="006B4197"/>
    <w:rsid w:val="006B422E"/>
    <w:rsid w:val="006B45B8"/>
    <w:rsid w:val="006B46BA"/>
    <w:rsid w:val="006B478C"/>
    <w:rsid w:val="006B4DFC"/>
    <w:rsid w:val="006B4E48"/>
    <w:rsid w:val="006B4F80"/>
    <w:rsid w:val="006B5392"/>
    <w:rsid w:val="006B557C"/>
    <w:rsid w:val="006B5692"/>
    <w:rsid w:val="006B587F"/>
    <w:rsid w:val="006B5C49"/>
    <w:rsid w:val="006B5DA2"/>
    <w:rsid w:val="006B5E81"/>
    <w:rsid w:val="006B6343"/>
    <w:rsid w:val="006B66B1"/>
    <w:rsid w:val="006B6879"/>
    <w:rsid w:val="006B6FB4"/>
    <w:rsid w:val="006B71DA"/>
    <w:rsid w:val="006B73EA"/>
    <w:rsid w:val="006B7434"/>
    <w:rsid w:val="006B74E4"/>
    <w:rsid w:val="006B7E8F"/>
    <w:rsid w:val="006C0382"/>
    <w:rsid w:val="006C09D6"/>
    <w:rsid w:val="006C0A68"/>
    <w:rsid w:val="006C16B3"/>
    <w:rsid w:val="006C190D"/>
    <w:rsid w:val="006C1B97"/>
    <w:rsid w:val="006C1CFC"/>
    <w:rsid w:val="006C204D"/>
    <w:rsid w:val="006C224B"/>
    <w:rsid w:val="006C22BD"/>
    <w:rsid w:val="006C2385"/>
    <w:rsid w:val="006C23AA"/>
    <w:rsid w:val="006C2442"/>
    <w:rsid w:val="006C24A6"/>
    <w:rsid w:val="006C24B2"/>
    <w:rsid w:val="006C251A"/>
    <w:rsid w:val="006C2584"/>
    <w:rsid w:val="006C26E0"/>
    <w:rsid w:val="006C2B39"/>
    <w:rsid w:val="006C2DA0"/>
    <w:rsid w:val="006C2E9C"/>
    <w:rsid w:val="006C31E4"/>
    <w:rsid w:val="006C32A9"/>
    <w:rsid w:val="006C34DC"/>
    <w:rsid w:val="006C3761"/>
    <w:rsid w:val="006C3CFC"/>
    <w:rsid w:val="006C3D5C"/>
    <w:rsid w:val="006C3DCA"/>
    <w:rsid w:val="006C3E76"/>
    <w:rsid w:val="006C3F36"/>
    <w:rsid w:val="006C3FCA"/>
    <w:rsid w:val="006C4130"/>
    <w:rsid w:val="006C4186"/>
    <w:rsid w:val="006C437A"/>
    <w:rsid w:val="006C4945"/>
    <w:rsid w:val="006C4BF9"/>
    <w:rsid w:val="006C4CEE"/>
    <w:rsid w:val="006C4E05"/>
    <w:rsid w:val="006C4E32"/>
    <w:rsid w:val="006C507F"/>
    <w:rsid w:val="006C51C3"/>
    <w:rsid w:val="006C52BD"/>
    <w:rsid w:val="006C551D"/>
    <w:rsid w:val="006C557B"/>
    <w:rsid w:val="006C579C"/>
    <w:rsid w:val="006C5E6B"/>
    <w:rsid w:val="006C5EE7"/>
    <w:rsid w:val="006C6109"/>
    <w:rsid w:val="006C61C4"/>
    <w:rsid w:val="006C64E6"/>
    <w:rsid w:val="006C65BF"/>
    <w:rsid w:val="006C6A85"/>
    <w:rsid w:val="006C6BC2"/>
    <w:rsid w:val="006C6C1F"/>
    <w:rsid w:val="006C6C6F"/>
    <w:rsid w:val="006C6CE4"/>
    <w:rsid w:val="006C6D3F"/>
    <w:rsid w:val="006C6EB5"/>
    <w:rsid w:val="006C6FCA"/>
    <w:rsid w:val="006C738C"/>
    <w:rsid w:val="006C74FC"/>
    <w:rsid w:val="006C7944"/>
    <w:rsid w:val="006C7B74"/>
    <w:rsid w:val="006C7BD5"/>
    <w:rsid w:val="006C7F15"/>
    <w:rsid w:val="006D019D"/>
    <w:rsid w:val="006D0494"/>
    <w:rsid w:val="006D05E2"/>
    <w:rsid w:val="006D0A5E"/>
    <w:rsid w:val="006D0A60"/>
    <w:rsid w:val="006D0AD0"/>
    <w:rsid w:val="006D0C12"/>
    <w:rsid w:val="006D0D5F"/>
    <w:rsid w:val="006D0FD1"/>
    <w:rsid w:val="006D156A"/>
    <w:rsid w:val="006D1582"/>
    <w:rsid w:val="006D16F8"/>
    <w:rsid w:val="006D1C31"/>
    <w:rsid w:val="006D22A0"/>
    <w:rsid w:val="006D29DF"/>
    <w:rsid w:val="006D2BDA"/>
    <w:rsid w:val="006D2C7C"/>
    <w:rsid w:val="006D2D57"/>
    <w:rsid w:val="006D306F"/>
    <w:rsid w:val="006D3115"/>
    <w:rsid w:val="006D32F3"/>
    <w:rsid w:val="006D3327"/>
    <w:rsid w:val="006D332D"/>
    <w:rsid w:val="006D33F5"/>
    <w:rsid w:val="006D35AE"/>
    <w:rsid w:val="006D38B6"/>
    <w:rsid w:val="006D4166"/>
    <w:rsid w:val="006D455B"/>
    <w:rsid w:val="006D4DFF"/>
    <w:rsid w:val="006D52E6"/>
    <w:rsid w:val="006D52EF"/>
    <w:rsid w:val="006D5823"/>
    <w:rsid w:val="006D5ABD"/>
    <w:rsid w:val="006D5C13"/>
    <w:rsid w:val="006D5C9B"/>
    <w:rsid w:val="006D5D02"/>
    <w:rsid w:val="006D60B0"/>
    <w:rsid w:val="006D6216"/>
    <w:rsid w:val="006D642B"/>
    <w:rsid w:val="006D6639"/>
    <w:rsid w:val="006D66B0"/>
    <w:rsid w:val="006D66B3"/>
    <w:rsid w:val="006D6862"/>
    <w:rsid w:val="006D69F0"/>
    <w:rsid w:val="006D69F3"/>
    <w:rsid w:val="006D6B96"/>
    <w:rsid w:val="006D6FDD"/>
    <w:rsid w:val="006D723D"/>
    <w:rsid w:val="006D72C1"/>
    <w:rsid w:val="006D7540"/>
    <w:rsid w:val="006D765E"/>
    <w:rsid w:val="006D78AC"/>
    <w:rsid w:val="006D78E4"/>
    <w:rsid w:val="006D7B67"/>
    <w:rsid w:val="006D7B92"/>
    <w:rsid w:val="006D7D18"/>
    <w:rsid w:val="006E0046"/>
    <w:rsid w:val="006E020C"/>
    <w:rsid w:val="006E03FF"/>
    <w:rsid w:val="006E0709"/>
    <w:rsid w:val="006E0800"/>
    <w:rsid w:val="006E0A38"/>
    <w:rsid w:val="006E0B05"/>
    <w:rsid w:val="006E0CDB"/>
    <w:rsid w:val="006E0E35"/>
    <w:rsid w:val="006E1151"/>
    <w:rsid w:val="006E11D7"/>
    <w:rsid w:val="006E1390"/>
    <w:rsid w:val="006E142E"/>
    <w:rsid w:val="006E152A"/>
    <w:rsid w:val="006E1706"/>
    <w:rsid w:val="006E17DE"/>
    <w:rsid w:val="006E184F"/>
    <w:rsid w:val="006E1911"/>
    <w:rsid w:val="006E1B0A"/>
    <w:rsid w:val="006E1BAA"/>
    <w:rsid w:val="006E1BBD"/>
    <w:rsid w:val="006E1BDB"/>
    <w:rsid w:val="006E1F0E"/>
    <w:rsid w:val="006E20BC"/>
    <w:rsid w:val="006E214F"/>
    <w:rsid w:val="006E2227"/>
    <w:rsid w:val="006E2532"/>
    <w:rsid w:val="006E2DDD"/>
    <w:rsid w:val="006E2DE5"/>
    <w:rsid w:val="006E2FF0"/>
    <w:rsid w:val="006E3523"/>
    <w:rsid w:val="006E35A9"/>
    <w:rsid w:val="006E3601"/>
    <w:rsid w:val="006E37A8"/>
    <w:rsid w:val="006E3841"/>
    <w:rsid w:val="006E3944"/>
    <w:rsid w:val="006E39E6"/>
    <w:rsid w:val="006E3BCC"/>
    <w:rsid w:val="006E4248"/>
    <w:rsid w:val="006E4303"/>
    <w:rsid w:val="006E4474"/>
    <w:rsid w:val="006E44BB"/>
    <w:rsid w:val="006E48D5"/>
    <w:rsid w:val="006E48F5"/>
    <w:rsid w:val="006E4AE3"/>
    <w:rsid w:val="006E4BD7"/>
    <w:rsid w:val="006E4F9F"/>
    <w:rsid w:val="006E510D"/>
    <w:rsid w:val="006E53A4"/>
    <w:rsid w:val="006E53E0"/>
    <w:rsid w:val="006E5427"/>
    <w:rsid w:val="006E552D"/>
    <w:rsid w:val="006E56E6"/>
    <w:rsid w:val="006E572A"/>
    <w:rsid w:val="006E5AB3"/>
    <w:rsid w:val="006E5C24"/>
    <w:rsid w:val="006E5C2F"/>
    <w:rsid w:val="006E6189"/>
    <w:rsid w:val="006E6762"/>
    <w:rsid w:val="006E684E"/>
    <w:rsid w:val="006E6997"/>
    <w:rsid w:val="006E69B2"/>
    <w:rsid w:val="006E746F"/>
    <w:rsid w:val="006E79AB"/>
    <w:rsid w:val="006E7A5C"/>
    <w:rsid w:val="006E7A82"/>
    <w:rsid w:val="006E7B10"/>
    <w:rsid w:val="006E7C22"/>
    <w:rsid w:val="006E7D4F"/>
    <w:rsid w:val="006E7D69"/>
    <w:rsid w:val="006E7E0A"/>
    <w:rsid w:val="006E7EBC"/>
    <w:rsid w:val="006E7F5C"/>
    <w:rsid w:val="006F0165"/>
    <w:rsid w:val="006F01C7"/>
    <w:rsid w:val="006F02DA"/>
    <w:rsid w:val="006F0761"/>
    <w:rsid w:val="006F0B3F"/>
    <w:rsid w:val="006F0CC0"/>
    <w:rsid w:val="006F0EFF"/>
    <w:rsid w:val="006F13C5"/>
    <w:rsid w:val="006F13E1"/>
    <w:rsid w:val="006F16C6"/>
    <w:rsid w:val="006F1DBC"/>
    <w:rsid w:val="006F1E7B"/>
    <w:rsid w:val="006F24CA"/>
    <w:rsid w:val="006F2B4E"/>
    <w:rsid w:val="006F2D04"/>
    <w:rsid w:val="006F31D8"/>
    <w:rsid w:val="006F320E"/>
    <w:rsid w:val="006F327B"/>
    <w:rsid w:val="006F32A0"/>
    <w:rsid w:val="006F340A"/>
    <w:rsid w:val="006F3529"/>
    <w:rsid w:val="006F3726"/>
    <w:rsid w:val="006F373F"/>
    <w:rsid w:val="006F37E9"/>
    <w:rsid w:val="006F38F6"/>
    <w:rsid w:val="006F3933"/>
    <w:rsid w:val="006F3AD8"/>
    <w:rsid w:val="006F3D3D"/>
    <w:rsid w:val="006F3F88"/>
    <w:rsid w:val="006F414B"/>
    <w:rsid w:val="006F4186"/>
    <w:rsid w:val="006F49CD"/>
    <w:rsid w:val="006F4AC4"/>
    <w:rsid w:val="006F52F5"/>
    <w:rsid w:val="006F54D9"/>
    <w:rsid w:val="006F5658"/>
    <w:rsid w:val="006F56B5"/>
    <w:rsid w:val="006F57D1"/>
    <w:rsid w:val="006F5815"/>
    <w:rsid w:val="006F5A00"/>
    <w:rsid w:val="006F5AAC"/>
    <w:rsid w:val="006F5DA0"/>
    <w:rsid w:val="006F5DAE"/>
    <w:rsid w:val="006F5E16"/>
    <w:rsid w:val="006F5EEF"/>
    <w:rsid w:val="006F5FB9"/>
    <w:rsid w:val="006F6230"/>
    <w:rsid w:val="006F6478"/>
    <w:rsid w:val="006F6C68"/>
    <w:rsid w:val="006F6DC4"/>
    <w:rsid w:val="006F6ED7"/>
    <w:rsid w:val="006F700B"/>
    <w:rsid w:val="006F7351"/>
    <w:rsid w:val="006F7475"/>
    <w:rsid w:val="006F7545"/>
    <w:rsid w:val="006F772D"/>
    <w:rsid w:val="006F77E6"/>
    <w:rsid w:val="006F78E8"/>
    <w:rsid w:val="006F78EC"/>
    <w:rsid w:val="006F7DE3"/>
    <w:rsid w:val="006F7F3C"/>
    <w:rsid w:val="0070011D"/>
    <w:rsid w:val="00700338"/>
    <w:rsid w:val="007003D2"/>
    <w:rsid w:val="007007CD"/>
    <w:rsid w:val="007007EC"/>
    <w:rsid w:val="00700BC4"/>
    <w:rsid w:val="00700C44"/>
    <w:rsid w:val="00700EE7"/>
    <w:rsid w:val="00700FA3"/>
    <w:rsid w:val="0070109F"/>
    <w:rsid w:val="007015AC"/>
    <w:rsid w:val="00701E7E"/>
    <w:rsid w:val="00702038"/>
    <w:rsid w:val="007022D4"/>
    <w:rsid w:val="0070280D"/>
    <w:rsid w:val="007029FB"/>
    <w:rsid w:val="00702A36"/>
    <w:rsid w:val="00702B92"/>
    <w:rsid w:val="00702BA8"/>
    <w:rsid w:val="00702C95"/>
    <w:rsid w:val="00702CC7"/>
    <w:rsid w:val="00702D03"/>
    <w:rsid w:val="00702D60"/>
    <w:rsid w:val="00702F16"/>
    <w:rsid w:val="0070307F"/>
    <w:rsid w:val="0070326A"/>
    <w:rsid w:val="00703491"/>
    <w:rsid w:val="00703497"/>
    <w:rsid w:val="007035C1"/>
    <w:rsid w:val="00703851"/>
    <w:rsid w:val="0070399E"/>
    <w:rsid w:val="00703A9B"/>
    <w:rsid w:val="00703AFD"/>
    <w:rsid w:val="00703C73"/>
    <w:rsid w:val="00703CD0"/>
    <w:rsid w:val="00703D5D"/>
    <w:rsid w:val="00704118"/>
    <w:rsid w:val="0070445A"/>
    <w:rsid w:val="0070495F"/>
    <w:rsid w:val="00704A15"/>
    <w:rsid w:val="00704C4F"/>
    <w:rsid w:val="00704DE2"/>
    <w:rsid w:val="007050BC"/>
    <w:rsid w:val="00705257"/>
    <w:rsid w:val="0070555E"/>
    <w:rsid w:val="007055F0"/>
    <w:rsid w:val="00705725"/>
    <w:rsid w:val="00705769"/>
    <w:rsid w:val="00705C8C"/>
    <w:rsid w:val="00705F5F"/>
    <w:rsid w:val="00706097"/>
    <w:rsid w:val="007060DB"/>
    <w:rsid w:val="00706283"/>
    <w:rsid w:val="007062C8"/>
    <w:rsid w:val="0070665D"/>
    <w:rsid w:val="007067BF"/>
    <w:rsid w:val="007067E2"/>
    <w:rsid w:val="007067FE"/>
    <w:rsid w:val="00706A79"/>
    <w:rsid w:val="00706B61"/>
    <w:rsid w:val="00706C98"/>
    <w:rsid w:val="0070721E"/>
    <w:rsid w:val="0070737F"/>
    <w:rsid w:val="0070781F"/>
    <w:rsid w:val="007079D5"/>
    <w:rsid w:val="00707A39"/>
    <w:rsid w:val="00707AE9"/>
    <w:rsid w:val="00707B8B"/>
    <w:rsid w:val="00707C8D"/>
    <w:rsid w:val="00707D85"/>
    <w:rsid w:val="00707E25"/>
    <w:rsid w:val="00707EF2"/>
    <w:rsid w:val="00707F0A"/>
    <w:rsid w:val="00707F27"/>
    <w:rsid w:val="0071000C"/>
    <w:rsid w:val="007100F4"/>
    <w:rsid w:val="00710381"/>
    <w:rsid w:val="0071042F"/>
    <w:rsid w:val="00710557"/>
    <w:rsid w:val="007105DA"/>
    <w:rsid w:val="00710BD4"/>
    <w:rsid w:val="00711FDD"/>
    <w:rsid w:val="00711FF1"/>
    <w:rsid w:val="0071214E"/>
    <w:rsid w:val="00712305"/>
    <w:rsid w:val="00712457"/>
    <w:rsid w:val="007124FB"/>
    <w:rsid w:val="007127C4"/>
    <w:rsid w:val="00712B65"/>
    <w:rsid w:val="00712BDB"/>
    <w:rsid w:val="00712CA4"/>
    <w:rsid w:val="00712CBC"/>
    <w:rsid w:val="00712CC9"/>
    <w:rsid w:val="00712F78"/>
    <w:rsid w:val="007131A8"/>
    <w:rsid w:val="007133E4"/>
    <w:rsid w:val="007135C1"/>
    <w:rsid w:val="007137B6"/>
    <w:rsid w:val="00713852"/>
    <w:rsid w:val="00713B9D"/>
    <w:rsid w:val="007141AA"/>
    <w:rsid w:val="007141D2"/>
    <w:rsid w:val="0071444B"/>
    <w:rsid w:val="00714503"/>
    <w:rsid w:val="00714AED"/>
    <w:rsid w:val="00714B41"/>
    <w:rsid w:val="00714CCF"/>
    <w:rsid w:val="00715232"/>
    <w:rsid w:val="0071558D"/>
    <w:rsid w:val="00715A4F"/>
    <w:rsid w:val="00715C67"/>
    <w:rsid w:val="00715D33"/>
    <w:rsid w:val="00716103"/>
    <w:rsid w:val="0071610A"/>
    <w:rsid w:val="0071625C"/>
    <w:rsid w:val="00716587"/>
    <w:rsid w:val="00716D0E"/>
    <w:rsid w:val="00716DB2"/>
    <w:rsid w:val="007173C5"/>
    <w:rsid w:val="00717686"/>
    <w:rsid w:val="00717BE7"/>
    <w:rsid w:val="00717CC0"/>
    <w:rsid w:val="00717D94"/>
    <w:rsid w:val="00717EA9"/>
    <w:rsid w:val="0072001C"/>
    <w:rsid w:val="007202A5"/>
    <w:rsid w:val="007202B6"/>
    <w:rsid w:val="007203A5"/>
    <w:rsid w:val="0072066F"/>
    <w:rsid w:val="00720A67"/>
    <w:rsid w:val="00720AFC"/>
    <w:rsid w:val="00720B3F"/>
    <w:rsid w:val="00720E17"/>
    <w:rsid w:val="00720EB5"/>
    <w:rsid w:val="00721164"/>
    <w:rsid w:val="0072126C"/>
    <w:rsid w:val="00721467"/>
    <w:rsid w:val="007215A5"/>
    <w:rsid w:val="007218CA"/>
    <w:rsid w:val="00721970"/>
    <w:rsid w:val="00721AC5"/>
    <w:rsid w:val="00721D14"/>
    <w:rsid w:val="00722023"/>
    <w:rsid w:val="00722140"/>
    <w:rsid w:val="0072238E"/>
    <w:rsid w:val="0072253E"/>
    <w:rsid w:val="007226C6"/>
    <w:rsid w:val="0072303F"/>
    <w:rsid w:val="00723502"/>
    <w:rsid w:val="00723BE6"/>
    <w:rsid w:val="00723FF1"/>
    <w:rsid w:val="00724004"/>
    <w:rsid w:val="00724134"/>
    <w:rsid w:val="0072415D"/>
    <w:rsid w:val="007243C1"/>
    <w:rsid w:val="0072445E"/>
    <w:rsid w:val="007245E5"/>
    <w:rsid w:val="00724805"/>
    <w:rsid w:val="007249E5"/>
    <w:rsid w:val="00724D57"/>
    <w:rsid w:val="00725043"/>
    <w:rsid w:val="007251C8"/>
    <w:rsid w:val="007254CD"/>
    <w:rsid w:val="0072558D"/>
    <w:rsid w:val="007259A5"/>
    <w:rsid w:val="00725A53"/>
    <w:rsid w:val="00725BB7"/>
    <w:rsid w:val="00725D1F"/>
    <w:rsid w:val="00725D5A"/>
    <w:rsid w:val="007260CD"/>
    <w:rsid w:val="0072660B"/>
    <w:rsid w:val="007268F0"/>
    <w:rsid w:val="0072740D"/>
    <w:rsid w:val="00727502"/>
    <w:rsid w:val="007276EA"/>
    <w:rsid w:val="0072781F"/>
    <w:rsid w:val="007278C9"/>
    <w:rsid w:val="007279DC"/>
    <w:rsid w:val="00727E24"/>
    <w:rsid w:val="00730202"/>
    <w:rsid w:val="0073029E"/>
    <w:rsid w:val="00730412"/>
    <w:rsid w:val="007304C4"/>
    <w:rsid w:val="00730968"/>
    <w:rsid w:val="00730B93"/>
    <w:rsid w:val="00730BBB"/>
    <w:rsid w:val="00730EEC"/>
    <w:rsid w:val="00731056"/>
    <w:rsid w:val="0073119E"/>
    <w:rsid w:val="00731342"/>
    <w:rsid w:val="0073154D"/>
    <w:rsid w:val="00731733"/>
    <w:rsid w:val="00731918"/>
    <w:rsid w:val="00731A0B"/>
    <w:rsid w:val="00731CC4"/>
    <w:rsid w:val="00732314"/>
    <w:rsid w:val="00732349"/>
    <w:rsid w:val="00732476"/>
    <w:rsid w:val="007331A0"/>
    <w:rsid w:val="00733545"/>
    <w:rsid w:val="00733FDB"/>
    <w:rsid w:val="00734249"/>
    <w:rsid w:val="00734423"/>
    <w:rsid w:val="00734735"/>
    <w:rsid w:val="0073485A"/>
    <w:rsid w:val="007348C3"/>
    <w:rsid w:val="00734C1B"/>
    <w:rsid w:val="00734F41"/>
    <w:rsid w:val="0073513B"/>
    <w:rsid w:val="00735316"/>
    <w:rsid w:val="00735421"/>
    <w:rsid w:val="00735683"/>
    <w:rsid w:val="007356E5"/>
    <w:rsid w:val="00735BD8"/>
    <w:rsid w:val="00735DFC"/>
    <w:rsid w:val="00735EEB"/>
    <w:rsid w:val="0073611B"/>
    <w:rsid w:val="00736185"/>
    <w:rsid w:val="00736193"/>
    <w:rsid w:val="00736201"/>
    <w:rsid w:val="0073623F"/>
    <w:rsid w:val="007362E0"/>
    <w:rsid w:val="00736340"/>
    <w:rsid w:val="00736645"/>
    <w:rsid w:val="00736715"/>
    <w:rsid w:val="00736AE3"/>
    <w:rsid w:val="00736BF3"/>
    <w:rsid w:val="00736D4D"/>
    <w:rsid w:val="00736EBE"/>
    <w:rsid w:val="00736EDD"/>
    <w:rsid w:val="00736FB7"/>
    <w:rsid w:val="00737323"/>
    <w:rsid w:val="007373C4"/>
    <w:rsid w:val="007378C8"/>
    <w:rsid w:val="00737A93"/>
    <w:rsid w:val="00737E0F"/>
    <w:rsid w:val="007401A4"/>
    <w:rsid w:val="0074076A"/>
    <w:rsid w:val="007409A2"/>
    <w:rsid w:val="00740BF7"/>
    <w:rsid w:val="00740E35"/>
    <w:rsid w:val="00741186"/>
    <w:rsid w:val="007411A8"/>
    <w:rsid w:val="00741259"/>
    <w:rsid w:val="007413D2"/>
    <w:rsid w:val="007415EA"/>
    <w:rsid w:val="007417CB"/>
    <w:rsid w:val="00741990"/>
    <w:rsid w:val="00741BD8"/>
    <w:rsid w:val="00741F38"/>
    <w:rsid w:val="00742126"/>
    <w:rsid w:val="00742E7A"/>
    <w:rsid w:val="00743269"/>
    <w:rsid w:val="007432CB"/>
    <w:rsid w:val="00743322"/>
    <w:rsid w:val="007436AA"/>
    <w:rsid w:val="00743936"/>
    <w:rsid w:val="007439B9"/>
    <w:rsid w:val="007439FD"/>
    <w:rsid w:val="00744227"/>
    <w:rsid w:val="0074425E"/>
    <w:rsid w:val="00744349"/>
    <w:rsid w:val="00744522"/>
    <w:rsid w:val="00744759"/>
    <w:rsid w:val="007447DE"/>
    <w:rsid w:val="00744B49"/>
    <w:rsid w:val="00744C98"/>
    <w:rsid w:val="00744DA5"/>
    <w:rsid w:val="00744E78"/>
    <w:rsid w:val="00744ECF"/>
    <w:rsid w:val="00744EEC"/>
    <w:rsid w:val="00744F17"/>
    <w:rsid w:val="00744F7B"/>
    <w:rsid w:val="00744FB8"/>
    <w:rsid w:val="00744FFE"/>
    <w:rsid w:val="00745276"/>
    <w:rsid w:val="00745436"/>
    <w:rsid w:val="007457FA"/>
    <w:rsid w:val="0074580E"/>
    <w:rsid w:val="00745B42"/>
    <w:rsid w:val="00745E31"/>
    <w:rsid w:val="00745EAD"/>
    <w:rsid w:val="00745EED"/>
    <w:rsid w:val="00746232"/>
    <w:rsid w:val="007465EE"/>
    <w:rsid w:val="00746964"/>
    <w:rsid w:val="00746B91"/>
    <w:rsid w:val="00746FC9"/>
    <w:rsid w:val="007470A3"/>
    <w:rsid w:val="00747666"/>
    <w:rsid w:val="007477A6"/>
    <w:rsid w:val="0074783B"/>
    <w:rsid w:val="007479CC"/>
    <w:rsid w:val="00747A2E"/>
    <w:rsid w:val="00747C29"/>
    <w:rsid w:val="00747E96"/>
    <w:rsid w:val="007502C9"/>
    <w:rsid w:val="0075036B"/>
    <w:rsid w:val="0075049B"/>
    <w:rsid w:val="007504D7"/>
    <w:rsid w:val="007505DB"/>
    <w:rsid w:val="00750652"/>
    <w:rsid w:val="007507F9"/>
    <w:rsid w:val="007508F9"/>
    <w:rsid w:val="0075171F"/>
    <w:rsid w:val="00751969"/>
    <w:rsid w:val="00751A8B"/>
    <w:rsid w:val="00751B40"/>
    <w:rsid w:val="00751BC7"/>
    <w:rsid w:val="00751C59"/>
    <w:rsid w:val="00751C87"/>
    <w:rsid w:val="00751CCF"/>
    <w:rsid w:val="00752301"/>
    <w:rsid w:val="00752371"/>
    <w:rsid w:val="007529C8"/>
    <w:rsid w:val="00752A70"/>
    <w:rsid w:val="00752FDC"/>
    <w:rsid w:val="0075316E"/>
    <w:rsid w:val="0075336E"/>
    <w:rsid w:val="00753429"/>
    <w:rsid w:val="00753988"/>
    <w:rsid w:val="00753B04"/>
    <w:rsid w:val="00753C20"/>
    <w:rsid w:val="00753D06"/>
    <w:rsid w:val="00753EA9"/>
    <w:rsid w:val="00754369"/>
    <w:rsid w:val="0075473D"/>
    <w:rsid w:val="0075477D"/>
    <w:rsid w:val="007549A4"/>
    <w:rsid w:val="007550F4"/>
    <w:rsid w:val="007552C7"/>
    <w:rsid w:val="0075575D"/>
    <w:rsid w:val="007557E3"/>
    <w:rsid w:val="00755B84"/>
    <w:rsid w:val="00755D8E"/>
    <w:rsid w:val="00756545"/>
    <w:rsid w:val="007567AA"/>
    <w:rsid w:val="007568C0"/>
    <w:rsid w:val="00756910"/>
    <w:rsid w:val="00756DE3"/>
    <w:rsid w:val="007570AA"/>
    <w:rsid w:val="007571AE"/>
    <w:rsid w:val="007572D1"/>
    <w:rsid w:val="00757408"/>
    <w:rsid w:val="00757734"/>
    <w:rsid w:val="007578BD"/>
    <w:rsid w:val="00757A36"/>
    <w:rsid w:val="00757B1F"/>
    <w:rsid w:val="00757DA0"/>
    <w:rsid w:val="00757E8C"/>
    <w:rsid w:val="00757FC6"/>
    <w:rsid w:val="00760184"/>
    <w:rsid w:val="00760456"/>
    <w:rsid w:val="00760600"/>
    <w:rsid w:val="007608C5"/>
    <w:rsid w:val="007609FB"/>
    <w:rsid w:val="00760AC7"/>
    <w:rsid w:val="00760CC1"/>
    <w:rsid w:val="00760CD7"/>
    <w:rsid w:val="00760FA2"/>
    <w:rsid w:val="0076149C"/>
    <w:rsid w:val="0076169D"/>
    <w:rsid w:val="00761A60"/>
    <w:rsid w:val="007620C1"/>
    <w:rsid w:val="00762535"/>
    <w:rsid w:val="00762AAB"/>
    <w:rsid w:val="00762B5A"/>
    <w:rsid w:val="00762D05"/>
    <w:rsid w:val="0076313A"/>
    <w:rsid w:val="007634ED"/>
    <w:rsid w:val="007636C5"/>
    <w:rsid w:val="00763B05"/>
    <w:rsid w:val="00763CDB"/>
    <w:rsid w:val="00763F28"/>
    <w:rsid w:val="007640A4"/>
    <w:rsid w:val="0076418B"/>
    <w:rsid w:val="007642BF"/>
    <w:rsid w:val="0076466E"/>
    <w:rsid w:val="007649F8"/>
    <w:rsid w:val="00764AFE"/>
    <w:rsid w:val="00764EBB"/>
    <w:rsid w:val="00764F93"/>
    <w:rsid w:val="0076518C"/>
    <w:rsid w:val="007653C0"/>
    <w:rsid w:val="007654F4"/>
    <w:rsid w:val="0076550C"/>
    <w:rsid w:val="0076582D"/>
    <w:rsid w:val="00765851"/>
    <w:rsid w:val="00765A52"/>
    <w:rsid w:val="00765C2E"/>
    <w:rsid w:val="00765CFB"/>
    <w:rsid w:val="00765DBF"/>
    <w:rsid w:val="007666C3"/>
    <w:rsid w:val="00766AD3"/>
    <w:rsid w:val="00766BA9"/>
    <w:rsid w:val="00766CDA"/>
    <w:rsid w:val="00766D7E"/>
    <w:rsid w:val="00766D92"/>
    <w:rsid w:val="00766EAD"/>
    <w:rsid w:val="00766F48"/>
    <w:rsid w:val="00766F9A"/>
    <w:rsid w:val="00766FA8"/>
    <w:rsid w:val="00767076"/>
    <w:rsid w:val="00767137"/>
    <w:rsid w:val="00767171"/>
    <w:rsid w:val="0076731E"/>
    <w:rsid w:val="007673E6"/>
    <w:rsid w:val="007678DE"/>
    <w:rsid w:val="00767A98"/>
    <w:rsid w:val="00767AEA"/>
    <w:rsid w:val="00767BC7"/>
    <w:rsid w:val="00767BC8"/>
    <w:rsid w:val="00770083"/>
    <w:rsid w:val="00770555"/>
    <w:rsid w:val="00770741"/>
    <w:rsid w:val="00770C42"/>
    <w:rsid w:val="00771553"/>
    <w:rsid w:val="007717EB"/>
    <w:rsid w:val="007719A1"/>
    <w:rsid w:val="00771C6C"/>
    <w:rsid w:val="00771D5B"/>
    <w:rsid w:val="00771DE2"/>
    <w:rsid w:val="00771F60"/>
    <w:rsid w:val="00772551"/>
    <w:rsid w:val="007725CE"/>
    <w:rsid w:val="0077264C"/>
    <w:rsid w:val="00772715"/>
    <w:rsid w:val="00772AFA"/>
    <w:rsid w:val="00772B6A"/>
    <w:rsid w:val="00772BBA"/>
    <w:rsid w:val="007730F6"/>
    <w:rsid w:val="00773517"/>
    <w:rsid w:val="00773643"/>
    <w:rsid w:val="0077376C"/>
    <w:rsid w:val="00773904"/>
    <w:rsid w:val="00773C37"/>
    <w:rsid w:val="00773C84"/>
    <w:rsid w:val="00773ED6"/>
    <w:rsid w:val="0077432C"/>
    <w:rsid w:val="007748D5"/>
    <w:rsid w:val="00774CC8"/>
    <w:rsid w:val="00774E34"/>
    <w:rsid w:val="00775A3E"/>
    <w:rsid w:val="00775AAB"/>
    <w:rsid w:val="00775DCF"/>
    <w:rsid w:val="00775F9D"/>
    <w:rsid w:val="00776166"/>
    <w:rsid w:val="007761A7"/>
    <w:rsid w:val="007761DA"/>
    <w:rsid w:val="00776240"/>
    <w:rsid w:val="00776852"/>
    <w:rsid w:val="007769AA"/>
    <w:rsid w:val="007769C7"/>
    <w:rsid w:val="007769DE"/>
    <w:rsid w:val="00776A86"/>
    <w:rsid w:val="00776B26"/>
    <w:rsid w:val="00776B2B"/>
    <w:rsid w:val="00776D8C"/>
    <w:rsid w:val="00776DB9"/>
    <w:rsid w:val="00777023"/>
    <w:rsid w:val="00777103"/>
    <w:rsid w:val="007772E9"/>
    <w:rsid w:val="007776B4"/>
    <w:rsid w:val="007776EA"/>
    <w:rsid w:val="00777ED6"/>
    <w:rsid w:val="00777F27"/>
    <w:rsid w:val="00777F3D"/>
    <w:rsid w:val="007801FF"/>
    <w:rsid w:val="007806A7"/>
    <w:rsid w:val="00780E75"/>
    <w:rsid w:val="00780EB8"/>
    <w:rsid w:val="0078116F"/>
    <w:rsid w:val="007814A9"/>
    <w:rsid w:val="0078198E"/>
    <w:rsid w:val="00781BC9"/>
    <w:rsid w:val="00781E85"/>
    <w:rsid w:val="0078200E"/>
    <w:rsid w:val="00782070"/>
    <w:rsid w:val="00782125"/>
    <w:rsid w:val="0078219B"/>
    <w:rsid w:val="00782273"/>
    <w:rsid w:val="007824D2"/>
    <w:rsid w:val="0078283A"/>
    <w:rsid w:val="00782941"/>
    <w:rsid w:val="00782D03"/>
    <w:rsid w:val="00782D9F"/>
    <w:rsid w:val="00782EC1"/>
    <w:rsid w:val="00782FDF"/>
    <w:rsid w:val="0078303E"/>
    <w:rsid w:val="00783044"/>
    <w:rsid w:val="00783571"/>
    <w:rsid w:val="00783575"/>
    <w:rsid w:val="00783740"/>
    <w:rsid w:val="007838D6"/>
    <w:rsid w:val="00783A5D"/>
    <w:rsid w:val="00783AEF"/>
    <w:rsid w:val="00783D5F"/>
    <w:rsid w:val="007840D8"/>
    <w:rsid w:val="00784226"/>
    <w:rsid w:val="007842FD"/>
    <w:rsid w:val="0078435D"/>
    <w:rsid w:val="007847D7"/>
    <w:rsid w:val="00784817"/>
    <w:rsid w:val="00784A8C"/>
    <w:rsid w:val="00784ABC"/>
    <w:rsid w:val="00784AF5"/>
    <w:rsid w:val="00784B3C"/>
    <w:rsid w:val="00784BF2"/>
    <w:rsid w:val="00784DB2"/>
    <w:rsid w:val="00785031"/>
    <w:rsid w:val="007852A4"/>
    <w:rsid w:val="00785852"/>
    <w:rsid w:val="00785C77"/>
    <w:rsid w:val="00785FF9"/>
    <w:rsid w:val="00786148"/>
    <w:rsid w:val="007861C0"/>
    <w:rsid w:val="007862A0"/>
    <w:rsid w:val="0078644D"/>
    <w:rsid w:val="0078664E"/>
    <w:rsid w:val="007867B2"/>
    <w:rsid w:val="00786834"/>
    <w:rsid w:val="007868BC"/>
    <w:rsid w:val="00786C31"/>
    <w:rsid w:val="00786C54"/>
    <w:rsid w:val="0078725C"/>
    <w:rsid w:val="00787565"/>
    <w:rsid w:val="00787AD5"/>
    <w:rsid w:val="00787D5C"/>
    <w:rsid w:val="00787EE7"/>
    <w:rsid w:val="00790087"/>
    <w:rsid w:val="00790199"/>
    <w:rsid w:val="007905C6"/>
    <w:rsid w:val="0079073B"/>
    <w:rsid w:val="0079076A"/>
    <w:rsid w:val="00790DEE"/>
    <w:rsid w:val="00790F2C"/>
    <w:rsid w:val="00791149"/>
    <w:rsid w:val="00791582"/>
    <w:rsid w:val="007917DC"/>
    <w:rsid w:val="007919FE"/>
    <w:rsid w:val="00791C35"/>
    <w:rsid w:val="00791FCD"/>
    <w:rsid w:val="0079201F"/>
    <w:rsid w:val="007923F5"/>
    <w:rsid w:val="007925A2"/>
    <w:rsid w:val="007925F1"/>
    <w:rsid w:val="007926EB"/>
    <w:rsid w:val="007928D4"/>
    <w:rsid w:val="00792966"/>
    <w:rsid w:val="00792C41"/>
    <w:rsid w:val="007930D8"/>
    <w:rsid w:val="00793237"/>
    <w:rsid w:val="007932D0"/>
    <w:rsid w:val="007933AE"/>
    <w:rsid w:val="00793CDC"/>
    <w:rsid w:val="007941C1"/>
    <w:rsid w:val="00794212"/>
    <w:rsid w:val="0079435A"/>
    <w:rsid w:val="00794398"/>
    <w:rsid w:val="0079449D"/>
    <w:rsid w:val="007944DD"/>
    <w:rsid w:val="0079460A"/>
    <w:rsid w:val="00794611"/>
    <w:rsid w:val="00794CE6"/>
    <w:rsid w:val="00795212"/>
    <w:rsid w:val="00795547"/>
    <w:rsid w:val="007957C7"/>
    <w:rsid w:val="007959D8"/>
    <w:rsid w:val="00795A53"/>
    <w:rsid w:val="00795BA1"/>
    <w:rsid w:val="00795C4E"/>
    <w:rsid w:val="00795D37"/>
    <w:rsid w:val="00795EC7"/>
    <w:rsid w:val="0079613B"/>
    <w:rsid w:val="007965C5"/>
    <w:rsid w:val="00796864"/>
    <w:rsid w:val="00796957"/>
    <w:rsid w:val="00796B95"/>
    <w:rsid w:val="00796D4A"/>
    <w:rsid w:val="00796E8A"/>
    <w:rsid w:val="00797226"/>
    <w:rsid w:val="00797636"/>
    <w:rsid w:val="00797A64"/>
    <w:rsid w:val="007A006A"/>
    <w:rsid w:val="007A014D"/>
    <w:rsid w:val="007A0207"/>
    <w:rsid w:val="007A02FD"/>
    <w:rsid w:val="007A0502"/>
    <w:rsid w:val="007A0583"/>
    <w:rsid w:val="007A06C1"/>
    <w:rsid w:val="007A0D30"/>
    <w:rsid w:val="007A0D61"/>
    <w:rsid w:val="007A157D"/>
    <w:rsid w:val="007A168A"/>
    <w:rsid w:val="007A1ADD"/>
    <w:rsid w:val="007A1D7D"/>
    <w:rsid w:val="007A1DC7"/>
    <w:rsid w:val="007A1DEF"/>
    <w:rsid w:val="007A1E0D"/>
    <w:rsid w:val="007A1EB0"/>
    <w:rsid w:val="007A1F42"/>
    <w:rsid w:val="007A2270"/>
    <w:rsid w:val="007A260D"/>
    <w:rsid w:val="007A27C0"/>
    <w:rsid w:val="007A2A1F"/>
    <w:rsid w:val="007A2B84"/>
    <w:rsid w:val="007A2BB4"/>
    <w:rsid w:val="007A2E3C"/>
    <w:rsid w:val="007A314E"/>
    <w:rsid w:val="007A331E"/>
    <w:rsid w:val="007A3481"/>
    <w:rsid w:val="007A372A"/>
    <w:rsid w:val="007A3813"/>
    <w:rsid w:val="007A39F9"/>
    <w:rsid w:val="007A3A08"/>
    <w:rsid w:val="007A3A8C"/>
    <w:rsid w:val="007A3BDD"/>
    <w:rsid w:val="007A3E41"/>
    <w:rsid w:val="007A430C"/>
    <w:rsid w:val="007A438F"/>
    <w:rsid w:val="007A4A70"/>
    <w:rsid w:val="007A4AF5"/>
    <w:rsid w:val="007A4E3F"/>
    <w:rsid w:val="007A4F77"/>
    <w:rsid w:val="007A4FD8"/>
    <w:rsid w:val="007A50E9"/>
    <w:rsid w:val="007A515E"/>
    <w:rsid w:val="007A523D"/>
    <w:rsid w:val="007A5410"/>
    <w:rsid w:val="007A5A30"/>
    <w:rsid w:val="007A5A49"/>
    <w:rsid w:val="007A5FA6"/>
    <w:rsid w:val="007A60FB"/>
    <w:rsid w:val="007A6437"/>
    <w:rsid w:val="007A662F"/>
    <w:rsid w:val="007A670E"/>
    <w:rsid w:val="007A670F"/>
    <w:rsid w:val="007A6A60"/>
    <w:rsid w:val="007A6AD2"/>
    <w:rsid w:val="007A6C1E"/>
    <w:rsid w:val="007A6DCA"/>
    <w:rsid w:val="007A6DDD"/>
    <w:rsid w:val="007A722B"/>
    <w:rsid w:val="007A72DE"/>
    <w:rsid w:val="007A7A9B"/>
    <w:rsid w:val="007B0068"/>
    <w:rsid w:val="007B052D"/>
    <w:rsid w:val="007B0683"/>
    <w:rsid w:val="007B0824"/>
    <w:rsid w:val="007B0A41"/>
    <w:rsid w:val="007B0A77"/>
    <w:rsid w:val="007B0B0E"/>
    <w:rsid w:val="007B1129"/>
    <w:rsid w:val="007B142F"/>
    <w:rsid w:val="007B148C"/>
    <w:rsid w:val="007B1858"/>
    <w:rsid w:val="007B1937"/>
    <w:rsid w:val="007B1AF2"/>
    <w:rsid w:val="007B1B72"/>
    <w:rsid w:val="007B1DC5"/>
    <w:rsid w:val="007B1E2B"/>
    <w:rsid w:val="007B2060"/>
    <w:rsid w:val="007B20DD"/>
    <w:rsid w:val="007B21A4"/>
    <w:rsid w:val="007B21B3"/>
    <w:rsid w:val="007B2348"/>
    <w:rsid w:val="007B2511"/>
    <w:rsid w:val="007B2513"/>
    <w:rsid w:val="007B2681"/>
    <w:rsid w:val="007B27B2"/>
    <w:rsid w:val="007B2C2F"/>
    <w:rsid w:val="007B2C93"/>
    <w:rsid w:val="007B33D5"/>
    <w:rsid w:val="007B38C6"/>
    <w:rsid w:val="007B3C77"/>
    <w:rsid w:val="007B41DF"/>
    <w:rsid w:val="007B43E3"/>
    <w:rsid w:val="007B4761"/>
    <w:rsid w:val="007B4C28"/>
    <w:rsid w:val="007B4CD8"/>
    <w:rsid w:val="007B4E54"/>
    <w:rsid w:val="007B4E73"/>
    <w:rsid w:val="007B4FD1"/>
    <w:rsid w:val="007B5438"/>
    <w:rsid w:val="007B546E"/>
    <w:rsid w:val="007B5644"/>
    <w:rsid w:val="007B568A"/>
    <w:rsid w:val="007B5872"/>
    <w:rsid w:val="007B595D"/>
    <w:rsid w:val="007B5B3D"/>
    <w:rsid w:val="007B5D36"/>
    <w:rsid w:val="007B5EE7"/>
    <w:rsid w:val="007B6028"/>
    <w:rsid w:val="007B6070"/>
    <w:rsid w:val="007B62C1"/>
    <w:rsid w:val="007B62EC"/>
    <w:rsid w:val="007B6306"/>
    <w:rsid w:val="007B67FF"/>
    <w:rsid w:val="007B68DB"/>
    <w:rsid w:val="007B69A6"/>
    <w:rsid w:val="007B6CA2"/>
    <w:rsid w:val="007B6D1C"/>
    <w:rsid w:val="007B6F28"/>
    <w:rsid w:val="007B76B7"/>
    <w:rsid w:val="007B7BC5"/>
    <w:rsid w:val="007B7D1B"/>
    <w:rsid w:val="007B7DC1"/>
    <w:rsid w:val="007B7EB2"/>
    <w:rsid w:val="007B7F77"/>
    <w:rsid w:val="007C0042"/>
    <w:rsid w:val="007C0073"/>
    <w:rsid w:val="007C06DC"/>
    <w:rsid w:val="007C0717"/>
    <w:rsid w:val="007C0756"/>
    <w:rsid w:val="007C0C45"/>
    <w:rsid w:val="007C0FED"/>
    <w:rsid w:val="007C1001"/>
    <w:rsid w:val="007C1024"/>
    <w:rsid w:val="007C1381"/>
    <w:rsid w:val="007C1474"/>
    <w:rsid w:val="007C1A61"/>
    <w:rsid w:val="007C1B26"/>
    <w:rsid w:val="007C204D"/>
    <w:rsid w:val="007C22B3"/>
    <w:rsid w:val="007C237D"/>
    <w:rsid w:val="007C250B"/>
    <w:rsid w:val="007C271C"/>
    <w:rsid w:val="007C2954"/>
    <w:rsid w:val="007C2C10"/>
    <w:rsid w:val="007C2CA2"/>
    <w:rsid w:val="007C2D99"/>
    <w:rsid w:val="007C2DDD"/>
    <w:rsid w:val="007C2FB5"/>
    <w:rsid w:val="007C2FEF"/>
    <w:rsid w:val="007C3363"/>
    <w:rsid w:val="007C34E4"/>
    <w:rsid w:val="007C352C"/>
    <w:rsid w:val="007C37DC"/>
    <w:rsid w:val="007C3B55"/>
    <w:rsid w:val="007C3D70"/>
    <w:rsid w:val="007C3EEA"/>
    <w:rsid w:val="007C4432"/>
    <w:rsid w:val="007C44BB"/>
    <w:rsid w:val="007C4AEA"/>
    <w:rsid w:val="007C4C07"/>
    <w:rsid w:val="007C4DD2"/>
    <w:rsid w:val="007C500A"/>
    <w:rsid w:val="007C5166"/>
    <w:rsid w:val="007C5705"/>
    <w:rsid w:val="007C57B5"/>
    <w:rsid w:val="007C5877"/>
    <w:rsid w:val="007C5A01"/>
    <w:rsid w:val="007C5F7B"/>
    <w:rsid w:val="007C5F9C"/>
    <w:rsid w:val="007C6144"/>
    <w:rsid w:val="007C62E4"/>
    <w:rsid w:val="007C653E"/>
    <w:rsid w:val="007C6633"/>
    <w:rsid w:val="007C67C9"/>
    <w:rsid w:val="007C67F3"/>
    <w:rsid w:val="007C6A82"/>
    <w:rsid w:val="007C6CE0"/>
    <w:rsid w:val="007C6D58"/>
    <w:rsid w:val="007C74D1"/>
    <w:rsid w:val="007C74FF"/>
    <w:rsid w:val="007C7980"/>
    <w:rsid w:val="007C7E85"/>
    <w:rsid w:val="007D00BE"/>
    <w:rsid w:val="007D02DD"/>
    <w:rsid w:val="007D08EC"/>
    <w:rsid w:val="007D0C75"/>
    <w:rsid w:val="007D0D6F"/>
    <w:rsid w:val="007D12F2"/>
    <w:rsid w:val="007D1302"/>
    <w:rsid w:val="007D139E"/>
    <w:rsid w:val="007D13B6"/>
    <w:rsid w:val="007D13BE"/>
    <w:rsid w:val="007D15EE"/>
    <w:rsid w:val="007D2010"/>
    <w:rsid w:val="007D2107"/>
    <w:rsid w:val="007D22D5"/>
    <w:rsid w:val="007D2505"/>
    <w:rsid w:val="007D2699"/>
    <w:rsid w:val="007D2AA1"/>
    <w:rsid w:val="007D2BA0"/>
    <w:rsid w:val="007D2C88"/>
    <w:rsid w:val="007D2D56"/>
    <w:rsid w:val="007D2F8F"/>
    <w:rsid w:val="007D3163"/>
    <w:rsid w:val="007D324C"/>
    <w:rsid w:val="007D3389"/>
    <w:rsid w:val="007D372F"/>
    <w:rsid w:val="007D38F6"/>
    <w:rsid w:val="007D3D56"/>
    <w:rsid w:val="007D4287"/>
    <w:rsid w:val="007D43F7"/>
    <w:rsid w:val="007D4658"/>
    <w:rsid w:val="007D48C1"/>
    <w:rsid w:val="007D4A39"/>
    <w:rsid w:val="007D4CDE"/>
    <w:rsid w:val="007D4CE8"/>
    <w:rsid w:val="007D50B4"/>
    <w:rsid w:val="007D5178"/>
    <w:rsid w:val="007D51A8"/>
    <w:rsid w:val="007D52D7"/>
    <w:rsid w:val="007D5546"/>
    <w:rsid w:val="007D55AD"/>
    <w:rsid w:val="007D5809"/>
    <w:rsid w:val="007D5849"/>
    <w:rsid w:val="007D5A04"/>
    <w:rsid w:val="007D5A41"/>
    <w:rsid w:val="007D6291"/>
    <w:rsid w:val="007D657F"/>
    <w:rsid w:val="007D65F3"/>
    <w:rsid w:val="007D6626"/>
    <w:rsid w:val="007D673C"/>
    <w:rsid w:val="007D6A77"/>
    <w:rsid w:val="007D6C8D"/>
    <w:rsid w:val="007D6F34"/>
    <w:rsid w:val="007D6F64"/>
    <w:rsid w:val="007D7282"/>
    <w:rsid w:val="007D7369"/>
    <w:rsid w:val="007D760D"/>
    <w:rsid w:val="007D7D23"/>
    <w:rsid w:val="007E02E7"/>
    <w:rsid w:val="007E04FE"/>
    <w:rsid w:val="007E06B5"/>
    <w:rsid w:val="007E071F"/>
    <w:rsid w:val="007E0770"/>
    <w:rsid w:val="007E0918"/>
    <w:rsid w:val="007E0CA0"/>
    <w:rsid w:val="007E0CBD"/>
    <w:rsid w:val="007E126A"/>
    <w:rsid w:val="007E12DC"/>
    <w:rsid w:val="007E13F7"/>
    <w:rsid w:val="007E17D7"/>
    <w:rsid w:val="007E198C"/>
    <w:rsid w:val="007E198F"/>
    <w:rsid w:val="007E1AD3"/>
    <w:rsid w:val="007E1B0C"/>
    <w:rsid w:val="007E1BDA"/>
    <w:rsid w:val="007E2804"/>
    <w:rsid w:val="007E2BC1"/>
    <w:rsid w:val="007E2E06"/>
    <w:rsid w:val="007E3277"/>
    <w:rsid w:val="007E3280"/>
    <w:rsid w:val="007E33B5"/>
    <w:rsid w:val="007E3A4B"/>
    <w:rsid w:val="007E3C9D"/>
    <w:rsid w:val="007E3DF5"/>
    <w:rsid w:val="007E3FBA"/>
    <w:rsid w:val="007E41C8"/>
    <w:rsid w:val="007E488C"/>
    <w:rsid w:val="007E4B80"/>
    <w:rsid w:val="007E4CDB"/>
    <w:rsid w:val="007E4F3B"/>
    <w:rsid w:val="007E5226"/>
    <w:rsid w:val="007E5610"/>
    <w:rsid w:val="007E56E0"/>
    <w:rsid w:val="007E57C7"/>
    <w:rsid w:val="007E5ABF"/>
    <w:rsid w:val="007E5D48"/>
    <w:rsid w:val="007E5E2D"/>
    <w:rsid w:val="007E5E63"/>
    <w:rsid w:val="007E636E"/>
    <w:rsid w:val="007E63F1"/>
    <w:rsid w:val="007E6491"/>
    <w:rsid w:val="007E68B2"/>
    <w:rsid w:val="007E69C1"/>
    <w:rsid w:val="007E6AB2"/>
    <w:rsid w:val="007E6C97"/>
    <w:rsid w:val="007E6D15"/>
    <w:rsid w:val="007E6DC5"/>
    <w:rsid w:val="007E70A2"/>
    <w:rsid w:val="007E72F3"/>
    <w:rsid w:val="007E74F1"/>
    <w:rsid w:val="007E79F2"/>
    <w:rsid w:val="007E7A87"/>
    <w:rsid w:val="007E7D28"/>
    <w:rsid w:val="007E7F5F"/>
    <w:rsid w:val="007F0186"/>
    <w:rsid w:val="007F0371"/>
    <w:rsid w:val="007F060D"/>
    <w:rsid w:val="007F0837"/>
    <w:rsid w:val="007F0A54"/>
    <w:rsid w:val="007F0B61"/>
    <w:rsid w:val="007F0C14"/>
    <w:rsid w:val="007F0E5E"/>
    <w:rsid w:val="007F0E7C"/>
    <w:rsid w:val="007F0EE8"/>
    <w:rsid w:val="007F108A"/>
    <w:rsid w:val="007F13C7"/>
    <w:rsid w:val="007F1798"/>
    <w:rsid w:val="007F17E3"/>
    <w:rsid w:val="007F1B03"/>
    <w:rsid w:val="007F1B54"/>
    <w:rsid w:val="007F217F"/>
    <w:rsid w:val="007F22DD"/>
    <w:rsid w:val="007F26E7"/>
    <w:rsid w:val="007F28B1"/>
    <w:rsid w:val="007F2913"/>
    <w:rsid w:val="007F2DC0"/>
    <w:rsid w:val="007F309F"/>
    <w:rsid w:val="007F324E"/>
    <w:rsid w:val="007F33AC"/>
    <w:rsid w:val="007F33BB"/>
    <w:rsid w:val="007F373C"/>
    <w:rsid w:val="007F39E9"/>
    <w:rsid w:val="007F3A4D"/>
    <w:rsid w:val="007F3BC9"/>
    <w:rsid w:val="007F3E95"/>
    <w:rsid w:val="007F3F1A"/>
    <w:rsid w:val="007F482F"/>
    <w:rsid w:val="007F501E"/>
    <w:rsid w:val="007F538B"/>
    <w:rsid w:val="007F5482"/>
    <w:rsid w:val="007F54FE"/>
    <w:rsid w:val="007F5514"/>
    <w:rsid w:val="007F55EA"/>
    <w:rsid w:val="007F562B"/>
    <w:rsid w:val="007F595A"/>
    <w:rsid w:val="007F5ADB"/>
    <w:rsid w:val="007F5B01"/>
    <w:rsid w:val="007F5C33"/>
    <w:rsid w:val="007F60B9"/>
    <w:rsid w:val="007F60FE"/>
    <w:rsid w:val="007F618A"/>
    <w:rsid w:val="007F627E"/>
    <w:rsid w:val="007F65A1"/>
    <w:rsid w:val="007F681C"/>
    <w:rsid w:val="007F6EA8"/>
    <w:rsid w:val="007F6FB4"/>
    <w:rsid w:val="007F7022"/>
    <w:rsid w:val="007F70A7"/>
    <w:rsid w:val="007F7420"/>
    <w:rsid w:val="007F7BB0"/>
    <w:rsid w:val="007F7C77"/>
    <w:rsid w:val="0080003F"/>
    <w:rsid w:val="00800325"/>
    <w:rsid w:val="00800512"/>
    <w:rsid w:val="0080090E"/>
    <w:rsid w:val="008013FC"/>
    <w:rsid w:val="0080191F"/>
    <w:rsid w:val="0080195B"/>
    <w:rsid w:val="008022A1"/>
    <w:rsid w:val="008023B1"/>
    <w:rsid w:val="008023BE"/>
    <w:rsid w:val="0080249D"/>
    <w:rsid w:val="008028F8"/>
    <w:rsid w:val="008036FE"/>
    <w:rsid w:val="00803861"/>
    <w:rsid w:val="008039E6"/>
    <w:rsid w:val="00803F1B"/>
    <w:rsid w:val="00804431"/>
    <w:rsid w:val="00804EAA"/>
    <w:rsid w:val="0080503D"/>
    <w:rsid w:val="0080517F"/>
    <w:rsid w:val="008056C0"/>
    <w:rsid w:val="0080594C"/>
    <w:rsid w:val="00805FA2"/>
    <w:rsid w:val="0080614D"/>
    <w:rsid w:val="00806335"/>
    <w:rsid w:val="00806426"/>
    <w:rsid w:val="0080647C"/>
    <w:rsid w:val="008067C3"/>
    <w:rsid w:val="00806A3F"/>
    <w:rsid w:val="00806B0D"/>
    <w:rsid w:val="00806BC2"/>
    <w:rsid w:val="00807188"/>
    <w:rsid w:val="00807241"/>
    <w:rsid w:val="00807342"/>
    <w:rsid w:val="008073A5"/>
    <w:rsid w:val="00807546"/>
    <w:rsid w:val="0080786D"/>
    <w:rsid w:val="008078B5"/>
    <w:rsid w:val="008079EC"/>
    <w:rsid w:val="00807A82"/>
    <w:rsid w:val="00807D6C"/>
    <w:rsid w:val="00810149"/>
    <w:rsid w:val="008101AB"/>
    <w:rsid w:val="008101E2"/>
    <w:rsid w:val="0081051E"/>
    <w:rsid w:val="00810764"/>
    <w:rsid w:val="00810AED"/>
    <w:rsid w:val="00810C63"/>
    <w:rsid w:val="00810CAB"/>
    <w:rsid w:val="00810E94"/>
    <w:rsid w:val="008113E2"/>
    <w:rsid w:val="008115A9"/>
    <w:rsid w:val="00811865"/>
    <w:rsid w:val="0081199A"/>
    <w:rsid w:val="00811AD1"/>
    <w:rsid w:val="00811B1E"/>
    <w:rsid w:val="00811C31"/>
    <w:rsid w:val="00811C8A"/>
    <w:rsid w:val="0081202B"/>
    <w:rsid w:val="0081209F"/>
    <w:rsid w:val="0081272E"/>
    <w:rsid w:val="00812791"/>
    <w:rsid w:val="0081283F"/>
    <w:rsid w:val="00812A78"/>
    <w:rsid w:val="00812CDD"/>
    <w:rsid w:val="00812D1C"/>
    <w:rsid w:val="00812DBF"/>
    <w:rsid w:val="008135B8"/>
    <w:rsid w:val="00813615"/>
    <w:rsid w:val="00813772"/>
    <w:rsid w:val="00813A0C"/>
    <w:rsid w:val="00813BA0"/>
    <w:rsid w:val="00813BD5"/>
    <w:rsid w:val="00813F37"/>
    <w:rsid w:val="00813F86"/>
    <w:rsid w:val="00814017"/>
    <w:rsid w:val="00814162"/>
    <w:rsid w:val="00814403"/>
    <w:rsid w:val="00814768"/>
    <w:rsid w:val="00814A80"/>
    <w:rsid w:val="0081556F"/>
    <w:rsid w:val="008158BA"/>
    <w:rsid w:val="00815A69"/>
    <w:rsid w:val="00815BB9"/>
    <w:rsid w:val="00815C30"/>
    <w:rsid w:val="008165AB"/>
    <w:rsid w:val="00816662"/>
    <w:rsid w:val="008166A0"/>
    <w:rsid w:val="00816A75"/>
    <w:rsid w:val="00816B4A"/>
    <w:rsid w:val="00816B5B"/>
    <w:rsid w:val="00816E06"/>
    <w:rsid w:val="00816F7E"/>
    <w:rsid w:val="0081712C"/>
    <w:rsid w:val="00817397"/>
    <w:rsid w:val="008173DB"/>
    <w:rsid w:val="0081772C"/>
    <w:rsid w:val="00817945"/>
    <w:rsid w:val="00817AD1"/>
    <w:rsid w:val="00817CD9"/>
    <w:rsid w:val="00817D2E"/>
    <w:rsid w:val="00817E1D"/>
    <w:rsid w:val="00817EDD"/>
    <w:rsid w:val="0082005A"/>
    <w:rsid w:val="00820784"/>
    <w:rsid w:val="00820B03"/>
    <w:rsid w:val="00820FF4"/>
    <w:rsid w:val="00821286"/>
    <w:rsid w:val="0082140E"/>
    <w:rsid w:val="008216AA"/>
    <w:rsid w:val="008217B3"/>
    <w:rsid w:val="0082192C"/>
    <w:rsid w:val="00821942"/>
    <w:rsid w:val="008219FA"/>
    <w:rsid w:val="00821A36"/>
    <w:rsid w:val="00821AB0"/>
    <w:rsid w:val="00821AD7"/>
    <w:rsid w:val="00821AF5"/>
    <w:rsid w:val="00821B05"/>
    <w:rsid w:val="00821BDC"/>
    <w:rsid w:val="00821D39"/>
    <w:rsid w:val="00821E04"/>
    <w:rsid w:val="00821E31"/>
    <w:rsid w:val="00821F01"/>
    <w:rsid w:val="00821F63"/>
    <w:rsid w:val="008224CC"/>
    <w:rsid w:val="00822511"/>
    <w:rsid w:val="008226BF"/>
    <w:rsid w:val="008228BB"/>
    <w:rsid w:val="00822A27"/>
    <w:rsid w:val="00822BCD"/>
    <w:rsid w:val="00822FE3"/>
    <w:rsid w:val="008232BD"/>
    <w:rsid w:val="008232D3"/>
    <w:rsid w:val="008232F4"/>
    <w:rsid w:val="008234D5"/>
    <w:rsid w:val="00823505"/>
    <w:rsid w:val="0082367B"/>
    <w:rsid w:val="00823922"/>
    <w:rsid w:val="00823999"/>
    <w:rsid w:val="008239F9"/>
    <w:rsid w:val="00823F4A"/>
    <w:rsid w:val="00823FC4"/>
    <w:rsid w:val="00823FE5"/>
    <w:rsid w:val="00824BAB"/>
    <w:rsid w:val="00824D29"/>
    <w:rsid w:val="00824E48"/>
    <w:rsid w:val="00825282"/>
    <w:rsid w:val="008253D7"/>
    <w:rsid w:val="00825C08"/>
    <w:rsid w:val="00825EB0"/>
    <w:rsid w:val="008262E3"/>
    <w:rsid w:val="008262ED"/>
    <w:rsid w:val="0082665B"/>
    <w:rsid w:val="00826A46"/>
    <w:rsid w:val="00826B70"/>
    <w:rsid w:val="008270CF"/>
    <w:rsid w:val="008273FC"/>
    <w:rsid w:val="0082760D"/>
    <w:rsid w:val="0082768B"/>
    <w:rsid w:val="00827963"/>
    <w:rsid w:val="00827A6E"/>
    <w:rsid w:val="00827BB7"/>
    <w:rsid w:val="00827C4C"/>
    <w:rsid w:val="00827DB9"/>
    <w:rsid w:val="008300AF"/>
    <w:rsid w:val="00830301"/>
    <w:rsid w:val="008304B2"/>
    <w:rsid w:val="0083075D"/>
    <w:rsid w:val="00830BA2"/>
    <w:rsid w:val="00830C82"/>
    <w:rsid w:val="0083136F"/>
    <w:rsid w:val="00831644"/>
    <w:rsid w:val="008316D2"/>
    <w:rsid w:val="00831A00"/>
    <w:rsid w:val="00831B3D"/>
    <w:rsid w:val="00831CC6"/>
    <w:rsid w:val="00831EC5"/>
    <w:rsid w:val="00832042"/>
    <w:rsid w:val="008322BE"/>
    <w:rsid w:val="0083277F"/>
    <w:rsid w:val="00832A45"/>
    <w:rsid w:val="008335E7"/>
    <w:rsid w:val="00833839"/>
    <w:rsid w:val="00833A96"/>
    <w:rsid w:val="00833C49"/>
    <w:rsid w:val="00833D73"/>
    <w:rsid w:val="00833FB7"/>
    <w:rsid w:val="00833FDA"/>
    <w:rsid w:val="00834171"/>
    <w:rsid w:val="00834220"/>
    <w:rsid w:val="00834575"/>
    <w:rsid w:val="00834796"/>
    <w:rsid w:val="008348EC"/>
    <w:rsid w:val="00834A08"/>
    <w:rsid w:val="00834B0C"/>
    <w:rsid w:val="00834BB8"/>
    <w:rsid w:val="00834E4C"/>
    <w:rsid w:val="00834EF0"/>
    <w:rsid w:val="00834F29"/>
    <w:rsid w:val="00835120"/>
    <w:rsid w:val="008351BC"/>
    <w:rsid w:val="008354B0"/>
    <w:rsid w:val="00835570"/>
    <w:rsid w:val="00835AE8"/>
    <w:rsid w:val="008360BA"/>
    <w:rsid w:val="0083653D"/>
    <w:rsid w:val="008365F7"/>
    <w:rsid w:val="00836738"/>
    <w:rsid w:val="008367D8"/>
    <w:rsid w:val="008369D5"/>
    <w:rsid w:val="00836A15"/>
    <w:rsid w:val="00836A6E"/>
    <w:rsid w:val="00836CFD"/>
    <w:rsid w:val="00836DB2"/>
    <w:rsid w:val="00836EAF"/>
    <w:rsid w:val="00836F04"/>
    <w:rsid w:val="00836F70"/>
    <w:rsid w:val="00836F79"/>
    <w:rsid w:val="008370FB"/>
    <w:rsid w:val="0083720B"/>
    <w:rsid w:val="00837355"/>
    <w:rsid w:val="00837435"/>
    <w:rsid w:val="00837482"/>
    <w:rsid w:val="00837624"/>
    <w:rsid w:val="00837694"/>
    <w:rsid w:val="00837816"/>
    <w:rsid w:val="00837A5F"/>
    <w:rsid w:val="00837B51"/>
    <w:rsid w:val="00840129"/>
    <w:rsid w:val="008404C5"/>
    <w:rsid w:val="0084056E"/>
    <w:rsid w:val="00840779"/>
    <w:rsid w:val="00840AC3"/>
    <w:rsid w:val="00840D52"/>
    <w:rsid w:val="00840FDC"/>
    <w:rsid w:val="008413F8"/>
    <w:rsid w:val="00841460"/>
    <w:rsid w:val="0084166C"/>
    <w:rsid w:val="008417FC"/>
    <w:rsid w:val="00841A09"/>
    <w:rsid w:val="00841AA1"/>
    <w:rsid w:val="00841BC4"/>
    <w:rsid w:val="00841C13"/>
    <w:rsid w:val="00841CB2"/>
    <w:rsid w:val="00841EF8"/>
    <w:rsid w:val="008420A9"/>
    <w:rsid w:val="00842350"/>
    <w:rsid w:val="008424AE"/>
    <w:rsid w:val="0084280F"/>
    <w:rsid w:val="00842833"/>
    <w:rsid w:val="008428A7"/>
    <w:rsid w:val="00842C5F"/>
    <w:rsid w:val="008433D6"/>
    <w:rsid w:val="00843466"/>
    <w:rsid w:val="008434A6"/>
    <w:rsid w:val="00843814"/>
    <w:rsid w:val="00843AE2"/>
    <w:rsid w:val="00844319"/>
    <w:rsid w:val="008445B0"/>
    <w:rsid w:val="00844FA2"/>
    <w:rsid w:val="00844FDA"/>
    <w:rsid w:val="00845207"/>
    <w:rsid w:val="008452D5"/>
    <w:rsid w:val="00845333"/>
    <w:rsid w:val="008453F5"/>
    <w:rsid w:val="008456C7"/>
    <w:rsid w:val="008457DA"/>
    <w:rsid w:val="00845895"/>
    <w:rsid w:val="00845901"/>
    <w:rsid w:val="0084598D"/>
    <w:rsid w:val="00846337"/>
    <w:rsid w:val="0084642E"/>
    <w:rsid w:val="008464D2"/>
    <w:rsid w:val="008465F0"/>
    <w:rsid w:val="0084664E"/>
    <w:rsid w:val="00846706"/>
    <w:rsid w:val="00846707"/>
    <w:rsid w:val="00846DA7"/>
    <w:rsid w:val="00846F59"/>
    <w:rsid w:val="00847325"/>
    <w:rsid w:val="0084741F"/>
    <w:rsid w:val="0084773D"/>
    <w:rsid w:val="008478A7"/>
    <w:rsid w:val="008478C0"/>
    <w:rsid w:val="0084792A"/>
    <w:rsid w:val="00847946"/>
    <w:rsid w:val="00847BC7"/>
    <w:rsid w:val="00847D65"/>
    <w:rsid w:val="00847EF3"/>
    <w:rsid w:val="008500B6"/>
    <w:rsid w:val="00850148"/>
    <w:rsid w:val="008503F2"/>
    <w:rsid w:val="0085050D"/>
    <w:rsid w:val="008506A9"/>
    <w:rsid w:val="00850700"/>
    <w:rsid w:val="008509E2"/>
    <w:rsid w:val="00850A04"/>
    <w:rsid w:val="00850B34"/>
    <w:rsid w:val="00850C2E"/>
    <w:rsid w:val="00850E86"/>
    <w:rsid w:val="008510BB"/>
    <w:rsid w:val="0085146D"/>
    <w:rsid w:val="00851512"/>
    <w:rsid w:val="0085166D"/>
    <w:rsid w:val="00851907"/>
    <w:rsid w:val="00851C75"/>
    <w:rsid w:val="00851E80"/>
    <w:rsid w:val="00852532"/>
    <w:rsid w:val="008525A3"/>
    <w:rsid w:val="0085270C"/>
    <w:rsid w:val="00852800"/>
    <w:rsid w:val="00852881"/>
    <w:rsid w:val="00852B38"/>
    <w:rsid w:val="00852E18"/>
    <w:rsid w:val="00852F28"/>
    <w:rsid w:val="008530B9"/>
    <w:rsid w:val="00853514"/>
    <w:rsid w:val="00853698"/>
    <w:rsid w:val="0085387A"/>
    <w:rsid w:val="00853906"/>
    <w:rsid w:val="0085394E"/>
    <w:rsid w:val="00853BC9"/>
    <w:rsid w:val="00853F9F"/>
    <w:rsid w:val="00854067"/>
    <w:rsid w:val="008540C3"/>
    <w:rsid w:val="00854198"/>
    <w:rsid w:val="008545FA"/>
    <w:rsid w:val="00854706"/>
    <w:rsid w:val="00854A97"/>
    <w:rsid w:val="00854CC6"/>
    <w:rsid w:val="00854F7C"/>
    <w:rsid w:val="00854F8C"/>
    <w:rsid w:val="00854FAB"/>
    <w:rsid w:val="00855009"/>
    <w:rsid w:val="008553A5"/>
    <w:rsid w:val="00855656"/>
    <w:rsid w:val="008556C4"/>
    <w:rsid w:val="008557A6"/>
    <w:rsid w:val="00855ABF"/>
    <w:rsid w:val="00855D4F"/>
    <w:rsid w:val="00855F17"/>
    <w:rsid w:val="0085603B"/>
    <w:rsid w:val="0085617C"/>
    <w:rsid w:val="0085619D"/>
    <w:rsid w:val="008562A2"/>
    <w:rsid w:val="008562E2"/>
    <w:rsid w:val="008564FF"/>
    <w:rsid w:val="00856545"/>
    <w:rsid w:val="0085676B"/>
    <w:rsid w:val="008567AF"/>
    <w:rsid w:val="00856844"/>
    <w:rsid w:val="00856A91"/>
    <w:rsid w:val="00856C19"/>
    <w:rsid w:val="00856DFE"/>
    <w:rsid w:val="00856E4D"/>
    <w:rsid w:val="00856E5B"/>
    <w:rsid w:val="00856EAC"/>
    <w:rsid w:val="0085729C"/>
    <w:rsid w:val="00857798"/>
    <w:rsid w:val="0085781B"/>
    <w:rsid w:val="0085782B"/>
    <w:rsid w:val="00857A30"/>
    <w:rsid w:val="00857A58"/>
    <w:rsid w:val="00857C02"/>
    <w:rsid w:val="0086009D"/>
    <w:rsid w:val="00860100"/>
    <w:rsid w:val="008604D0"/>
    <w:rsid w:val="00860AB8"/>
    <w:rsid w:val="008611A2"/>
    <w:rsid w:val="00861314"/>
    <w:rsid w:val="0086145C"/>
    <w:rsid w:val="008615EE"/>
    <w:rsid w:val="00861CCE"/>
    <w:rsid w:val="00861CD2"/>
    <w:rsid w:val="00861D45"/>
    <w:rsid w:val="00861F52"/>
    <w:rsid w:val="00862033"/>
    <w:rsid w:val="00862079"/>
    <w:rsid w:val="0086212B"/>
    <w:rsid w:val="008622FC"/>
    <w:rsid w:val="00862672"/>
    <w:rsid w:val="008629A6"/>
    <w:rsid w:val="00862B09"/>
    <w:rsid w:val="00862B7F"/>
    <w:rsid w:val="0086314C"/>
    <w:rsid w:val="008631A4"/>
    <w:rsid w:val="00863BE3"/>
    <w:rsid w:val="00863E77"/>
    <w:rsid w:val="00864944"/>
    <w:rsid w:val="00864A6A"/>
    <w:rsid w:val="00864C28"/>
    <w:rsid w:val="00864CFF"/>
    <w:rsid w:val="0086520F"/>
    <w:rsid w:val="00865268"/>
    <w:rsid w:val="0086532A"/>
    <w:rsid w:val="00865585"/>
    <w:rsid w:val="0086589A"/>
    <w:rsid w:val="00865A24"/>
    <w:rsid w:val="00865B25"/>
    <w:rsid w:val="00865D54"/>
    <w:rsid w:val="00866427"/>
    <w:rsid w:val="00866CB4"/>
    <w:rsid w:val="0086746C"/>
    <w:rsid w:val="008678E1"/>
    <w:rsid w:val="00867A43"/>
    <w:rsid w:val="00867C46"/>
    <w:rsid w:val="00867C7B"/>
    <w:rsid w:val="00867EC8"/>
    <w:rsid w:val="00870498"/>
    <w:rsid w:val="00870C56"/>
    <w:rsid w:val="00871311"/>
    <w:rsid w:val="0087133D"/>
    <w:rsid w:val="008713F8"/>
    <w:rsid w:val="0087170B"/>
    <w:rsid w:val="00871845"/>
    <w:rsid w:val="008719B1"/>
    <w:rsid w:val="00871C6F"/>
    <w:rsid w:val="00871D8F"/>
    <w:rsid w:val="0087231E"/>
    <w:rsid w:val="0087232F"/>
    <w:rsid w:val="00872464"/>
    <w:rsid w:val="0087273E"/>
    <w:rsid w:val="0087285D"/>
    <w:rsid w:val="00872959"/>
    <w:rsid w:val="00872C02"/>
    <w:rsid w:val="00872C36"/>
    <w:rsid w:val="00872CB9"/>
    <w:rsid w:val="00873DB2"/>
    <w:rsid w:val="00874317"/>
    <w:rsid w:val="0087458B"/>
    <w:rsid w:val="00874F7E"/>
    <w:rsid w:val="00874FC0"/>
    <w:rsid w:val="008752F9"/>
    <w:rsid w:val="00875377"/>
    <w:rsid w:val="00875584"/>
    <w:rsid w:val="008756D7"/>
    <w:rsid w:val="008759E8"/>
    <w:rsid w:val="00875E8A"/>
    <w:rsid w:val="0087628C"/>
    <w:rsid w:val="008763A2"/>
    <w:rsid w:val="008769AF"/>
    <w:rsid w:val="00876A8D"/>
    <w:rsid w:val="00876AEE"/>
    <w:rsid w:val="00876CDA"/>
    <w:rsid w:val="008770D2"/>
    <w:rsid w:val="0087712D"/>
    <w:rsid w:val="0087748A"/>
    <w:rsid w:val="008774AD"/>
    <w:rsid w:val="008776C2"/>
    <w:rsid w:val="00877813"/>
    <w:rsid w:val="00877A63"/>
    <w:rsid w:val="00877DA0"/>
    <w:rsid w:val="00877F86"/>
    <w:rsid w:val="00877FDF"/>
    <w:rsid w:val="00880058"/>
    <w:rsid w:val="00880062"/>
    <w:rsid w:val="008800CA"/>
    <w:rsid w:val="0088033D"/>
    <w:rsid w:val="00880432"/>
    <w:rsid w:val="008807C4"/>
    <w:rsid w:val="00880866"/>
    <w:rsid w:val="008809F2"/>
    <w:rsid w:val="00880AC5"/>
    <w:rsid w:val="00880F3F"/>
    <w:rsid w:val="008810AB"/>
    <w:rsid w:val="0088122D"/>
    <w:rsid w:val="0088124A"/>
    <w:rsid w:val="0088128F"/>
    <w:rsid w:val="008812B2"/>
    <w:rsid w:val="0088133F"/>
    <w:rsid w:val="0088151D"/>
    <w:rsid w:val="0088175F"/>
    <w:rsid w:val="00881BCB"/>
    <w:rsid w:val="00882495"/>
    <w:rsid w:val="00882614"/>
    <w:rsid w:val="00882769"/>
    <w:rsid w:val="00882788"/>
    <w:rsid w:val="008829B9"/>
    <w:rsid w:val="00882BF8"/>
    <w:rsid w:val="00882C54"/>
    <w:rsid w:val="00882D45"/>
    <w:rsid w:val="00882E38"/>
    <w:rsid w:val="008836E3"/>
    <w:rsid w:val="00883822"/>
    <w:rsid w:val="008840A4"/>
    <w:rsid w:val="00884153"/>
    <w:rsid w:val="00884324"/>
    <w:rsid w:val="0088440A"/>
    <w:rsid w:val="008844F7"/>
    <w:rsid w:val="00884F6A"/>
    <w:rsid w:val="00885195"/>
    <w:rsid w:val="0088527E"/>
    <w:rsid w:val="008852CE"/>
    <w:rsid w:val="00885354"/>
    <w:rsid w:val="008853EF"/>
    <w:rsid w:val="0088563F"/>
    <w:rsid w:val="00885712"/>
    <w:rsid w:val="00885914"/>
    <w:rsid w:val="0088598F"/>
    <w:rsid w:val="008859E0"/>
    <w:rsid w:val="00885A93"/>
    <w:rsid w:val="00885C2F"/>
    <w:rsid w:val="00885CDB"/>
    <w:rsid w:val="00885F09"/>
    <w:rsid w:val="0088601F"/>
    <w:rsid w:val="00886033"/>
    <w:rsid w:val="008860D0"/>
    <w:rsid w:val="00886244"/>
    <w:rsid w:val="008863A1"/>
    <w:rsid w:val="00886545"/>
    <w:rsid w:val="008865D6"/>
    <w:rsid w:val="00886A56"/>
    <w:rsid w:val="00886B8A"/>
    <w:rsid w:val="00886C9A"/>
    <w:rsid w:val="00886E2E"/>
    <w:rsid w:val="0088702B"/>
    <w:rsid w:val="0088710E"/>
    <w:rsid w:val="00887294"/>
    <w:rsid w:val="0088754B"/>
    <w:rsid w:val="0088797A"/>
    <w:rsid w:val="00887B51"/>
    <w:rsid w:val="00887F83"/>
    <w:rsid w:val="0089016D"/>
    <w:rsid w:val="00890728"/>
    <w:rsid w:val="008908F0"/>
    <w:rsid w:val="00890C49"/>
    <w:rsid w:val="00890E0C"/>
    <w:rsid w:val="00891229"/>
    <w:rsid w:val="008912D7"/>
    <w:rsid w:val="00891399"/>
    <w:rsid w:val="0089143A"/>
    <w:rsid w:val="00891580"/>
    <w:rsid w:val="008919AE"/>
    <w:rsid w:val="00891CD4"/>
    <w:rsid w:val="00891DB3"/>
    <w:rsid w:val="00891EEB"/>
    <w:rsid w:val="008922FB"/>
    <w:rsid w:val="0089241A"/>
    <w:rsid w:val="0089271A"/>
    <w:rsid w:val="008928C9"/>
    <w:rsid w:val="00892903"/>
    <w:rsid w:val="00892934"/>
    <w:rsid w:val="0089293D"/>
    <w:rsid w:val="0089294A"/>
    <w:rsid w:val="00892DA5"/>
    <w:rsid w:val="00892E08"/>
    <w:rsid w:val="00892F4A"/>
    <w:rsid w:val="00893016"/>
    <w:rsid w:val="008931D2"/>
    <w:rsid w:val="00893496"/>
    <w:rsid w:val="008937C9"/>
    <w:rsid w:val="00893A0A"/>
    <w:rsid w:val="00893F80"/>
    <w:rsid w:val="00894290"/>
    <w:rsid w:val="008942B9"/>
    <w:rsid w:val="0089597E"/>
    <w:rsid w:val="00895A22"/>
    <w:rsid w:val="00895A63"/>
    <w:rsid w:val="008969AD"/>
    <w:rsid w:val="00896AFD"/>
    <w:rsid w:val="00896B3C"/>
    <w:rsid w:val="00896DF2"/>
    <w:rsid w:val="00896EC7"/>
    <w:rsid w:val="00897083"/>
    <w:rsid w:val="0089780B"/>
    <w:rsid w:val="008978AE"/>
    <w:rsid w:val="0089796C"/>
    <w:rsid w:val="00897BAB"/>
    <w:rsid w:val="00897DD3"/>
    <w:rsid w:val="00897FE6"/>
    <w:rsid w:val="008A00F9"/>
    <w:rsid w:val="008A032B"/>
    <w:rsid w:val="008A04EE"/>
    <w:rsid w:val="008A0FDB"/>
    <w:rsid w:val="008A1293"/>
    <w:rsid w:val="008A1708"/>
    <w:rsid w:val="008A1C06"/>
    <w:rsid w:val="008A1FA0"/>
    <w:rsid w:val="008A29B3"/>
    <w:rsid w:val="008A2A44"/>
    <w:rsid w:val="008A2B4B"/>
    <w:rsid w:val="008A2DCF"/>
    <w:rsid w:val="008A30C7"/>
    <w:rsid w:val="008A376E"/>
    <w:rsid w:val="008A3838"/>
    <w:rsid w:val="008A3863"/>
    <w:rsid w:val="008A38D2"/>
    <w:rsid w:val="008A3984"/>
    <w:rsid w:val="008A39E4"/>
    <w:rsid w:val="008A3A69"/>
    <w:rsid w:val="008A3BCE"/>
    <w:rsid w:val="008A403E"/>
    <w:rsid w:val="008A4077"/>
    <w:rsid w:val="008A4453"/>
    <w:rsid w:val="008A4504"/>
    <w:rsid w:val="008A451D"/>
    <w:rsid w:val="008A46B0"/>
    <w:rsid w:val="008A48F2"/>
    <w:rsid w:val="008A48FC"/>
    <w:rsid w:val="008A49B6"/>
    <w:rsid w:val="008A49ED"/>
    <w:rsid w:val="008A4A68"/>
    <w:rsid w:val="008A5205"/>
    <w:rsid w:val="008A546A"/>
    <w:rsid w:val="008A554E"/>
    <w:rsid w:val="008A5666"/>
    <w:rsid w:val="008A5673"/>
    <w:rsid w:val="008A56ED"/>
    <w:rsid w:val="008A584F"/>
    <w:rsid w:val="008A5AB9"/>
    <w:rsid w:val="008A5B8D"/>
    <w:rsid w:val="008A5F28"/>
    <w:rsid w:val="008A6255"/>
    <w:rsid w:val="008A63A9"/>
    <w:rsid w:val="008A64BD"/>
    <w:rsid w:val="008A652A"/>
    <w:rsid w:val="008A65DE"/>
    <w:rsid w:val="008A661D"/>
    <w:rsid w:val="008A6638"/>
    <w:rsid w:val="008A67AB"/>
    <w:rsid w:val="008A68BA"/>
    <w:rsid w:val="008A69F9"/>
    <w:rsid w:val="008A6BC6"/>
    <w:rsid w:val="008A6CDA"/>
    <w:rsid w:val="008A6FEF"/>
    <w:rsid w:val="008A7131"/>
    <w:rsid w:val="008A757F"/>
    <w:rsid w:val="008A7751"/>
    <w:rsid w:val="008A7822"/>
    <w:rsid w:val="008A7B99"/>
    <w:rsid w:val="008A7BB7"/>
    <w:rsid w:val="008A7C65"/>
    <w:rsid w:val="008A7C81"/>
    <w:rsid w:val="008A7D23"/>
    <w:rsid w:val="008B016D"/>
    <w:rsid w:val="008B0413"/>
    <w:rsid w:val="008B0517"/>
    <w:rsid w:val="008B0923"/>
    <w:rsid w:val="008B0A40"/>
    <w:rsid w:val="008B0A9C"/>
    <w:rsid w:val="008B0ADF"/>
    <w:rsid w:val="008B0B33"/>
    <w:rsid w:val="008B0FE7"/>
    <w:rsid w:val="008B127A"/>
    <w:rsid w:val="008B16DB"/>
    <w:rsid w:val="008B19BC"/>
    <w:rsid w:val="008B1EC6"/>
    <w:rsid w:val="008B2316"/>
    <w:rsid w:val="008B239A"/>
    <w:rsid w:val="008B244C"/>
    <w:rsid w:val="008B2472"/>
    <w:rsid w:val="008B2531"/>
    <w:rsid w:val="008B286F"/>
    <w:rsid w:val="008B3162"/>
    <w:rsid w:val="008B3216"/>
    <w:rsid w:val="008B33D5"/>
    <w:rsid w:val="008B355A"/>
    <w:rsid w:val="008B38CD"/>
    <w:rsid w:val="008B39B5"/>
    <w:rsid w:val="008B3DAE"/>
    <w:rsid w:val="008B3DCE"/>
    <w:rsid w:val="008B3DF7"/>
    <w:rsid w:val="008B413B"/>
    <w:rsid w:val="008B45D9"/>
    <w:rsid w:val="008B45EB"/>
    <w:rsid w:val="008B464F"/>
    <w:rsid w:val="008B4ED0"/>
    <w:rsid w:val="008B4FF2"/>
    <w:rsid w:val="008B5411"/>
    <w:rsid w:val="008B5447"/>
    <w:rsid w:val="008B5807"/>
    <w:rsid w:val="008B5BAB"/>
    <w:rsid w:val="008B5F2D"/>
    <w:rsid w:val="008B5F67"/>
    <w:rsid w:val="008B6274"/>
    <w:rsid w:val="008B7009"/>
    <w:rsid w:val="008B7578"/>
    <w:rsid w:val="008B7728"/>
    <w:rsid w:val="008B7DEF"/>
    <w:rsid w:val="008B7E42"/>
    <w:rsid w:val="008C008C"/>
    <w:rsid w:val="008C0108"/>
    <w:rsid w:val="008C028A"/>
    <w:rsid w:val="008C041C"/>
    <w:rsid w:val="008C0747"/>
    <w:rsid w:val="008C0BEB"/>
    <w:rsid w:val="008C0ED3"/>
    <w:rsid w:val="008C1062"/>
    <w:rsid w:val="008C10CC"/>
    <w:rsid w:val="008C110F"/>
    <w:rsid w:val="008C1132"/>
    <w:rsid w:val="008C13C8"/>
    <w:rsid w:val="008C17E3"/>
    <w:rsid w:val="008C1888"/>
    <w:rsid w:val="008C1A26"/>
    <w:rsid w:val="008C1C66"/>
    <w:rsid w:val="008C20D1"/>
    <w:rsid w:val="008C214F"/>
    <w:rsid w:val="008C2316"/>
    <w:rsid w:val="008C2478"/>
    <w:rsid w:val="008C2605"/>
    <w:rsid w:val="008C2710"/>
    <w:rsid w:val="008C2819"/>
    <w:rsid w:val="008C29B7"/>
    <w:rsid w:val="008C2B30"/>
    <w:rsid w:val="008C2FC9"/>
    <w:rsid w:val="008C331B"/>
    <w:rsid w:val="008C334A"/>
    <w:rsid w:val="008C3613"/>
    <w:rsid w:val="008C38C5"/>
    <w:rsid w:val="008C3C07"/>
    <w:rsid w:val="008C3FC6"/>
    <w:rsid w:val="008C41A2"/>
    <w:rsid w:val="008C41D3"/>
    <w:rsid w:val="008C4323"/>
    <w:rsid w:val="008C4620"/>
    <w:rsid w:val="008C465E"/>
    <w:rsid w:val="008C48AA"/>
    <w:rsid w:val="008C49F8"/>
    <w:rsid w:val="008C4C6A"/>
    <w:rsid w:val="008C4EB7"/>
    <w:rsid w:val="008C4F03"/>
    <w:rsid w:val="008C552A"/>
    <w:rsid w:val="008C567B"/>
    <w:rsid w:val="008C581F"/>
    <w:rsid w:val="008C5F2D"/>
    <w:rsid w:val="008C6108"/>
    <w:rsid w:val="008C6117"/>
    <w:rsid w:val="008C6175"/>
    <w:rsid w:val="008C6205"/>
    <w:rsid w:val="008C6223"/>
    <w:rsid w:val="008C62CF"/>
    <w:rsid w:val="008C62D9"/>
    <w:rsid w:val="008C631D"/>
    <w:rsid w:val="008C6A44"/>
    <w:rsid w:val="008C6DF8"/>
    <w:rsid w:val="008C726D"/>
    <w:rsid w:val="008C7336"/>
    <w:rsid w:val="008C7A69"/>
    <w:rsid w:val="008C7A6D"/>
    <w:rsid w:val="008C7F43"/>
    <w:rsid w:val="008D0271"/>
    <w:rsid w:val="008D0469"/>
    <w:rsid w:val="008D07F4"/>
    <w:rsid w:val="008D0A26"/>
    <w:rsid w:val="008D0B56"/>
    <w:rsid w:val="008D0DD7"/>
    <w:rsid w:val="008D107B"/>
    <w:rsid w:val="008D12D4"/>
    <w:rsid w:val="008D132F"/>
    <w:rsid w:val="008D13A5"/>
    <w:rsid w:val="008D13BC"/>
    <w:rsid w:val="008D1471"/>
    <w:rsid w:val="008D1519"/>
    <w:rsid w:val="008D183D"/>
    <w:rsid w:val="008D19E4"/>
    <w:rsid w:val="008D1A20"/>
    <w:rsid w:val="008D1B68"/>
    <w:rsid w:val="008D206A"/>
    <w:rsid w:val="008D23EC"/>
    <w:rsid w:val="008D254C"/>
    <w:rsid w:val="008D29DF"/>
    <w:rsid w:val="008D2A6B"/>
    <w:rsid w:val="008D2CA5"/>
    <w:rsid w:val="008D2D18"/>
    <w:rsid w:val="008D2E83"/>
    <w:rsid w:val="008D31BE"/>
    <w:rsid w:val="008D365B"/>
    <w:rsid w:val="008D3698"/>
    <w:rsid w:val="008D38B0"/>
    <w:rsid w:val="008D3B00"/>
    <w:rsid w:val="008D3D7A"/>
    <w:rsid w:val="008D3F60"/>
    <w:rsid w:val="008D3F9E"/>
    <w:rsid w:val="008D3FC0"/>
    <w:rsid w:val="008D4360"/>
    <w:rsid w:val="008D4697"/>
    <w:rsid w:val="008D4928"/>
    <w:rsid w:val="008D4968"/>
    <w:rsid w:val="008D4ED8"/>
    <w:rsid w:val="008D509F"/>
    <w:rsid w:val="008D53E6"/>
    <w:rsid w:val="008D54EC"/>
    <w:rsid w:val="008D57A6"/>
    <w:rsid w:val="008D586C"/>
    <w:rsid w:val="008D58DF"/>
    <w:rsid w:val="008D5B4D"/>
    <w:rsid w:val="008D5C9F"/>
    <w:rsid w:val="008D66FE"/>
    <w:rsid w:val="008D67DF"/>
    <w:rsid w:val="008D6A4E"/>
    <w:rsid w:val="008D6ADD"/>
    <w:rsid w:val="008D70A3"/>
    <w:rsid w:val="008D7218"/>
    <w:rsid w:val="008D7484"/>
    <w:rsid w:val="008D76C1"/>
    <w:rsid w:val="008D76CB"/>
    <w:rsid w:val="008D7738"/>
    <w:rsid w:val="008D78DD"/>
    <w:rsid w:val="008D7958"/>
    <w:rsid w:val="008D7BF5"/>
    <w:rsid w:val="008D7ED2"/>
    <w:rsid w:val="008D7FE8"/>
    <w:rsid w:val="008E018A"/>
    <w:rsid w:val="008E0539"/>
    <w:rsid w:val="008E0A1C"/>
    <w:rsid w:val="008E0CC3"/>
    <w:rsid w:val="008E0CFF"/>
    <w:rsid w:val="008E0F4A"/>
    <w:rsid w:val="008E0FE4"/>
    <w:rsid w:val="008E114E"/>
    <w:rsid w:val="008E13A2"/>
    <w:rsid w:val="008E1B98"/>
    <w:rsid w:val="008E1E9A"/>
    <w:rsid w:val="008E21BE"/>
    <w:rsid w:val="008E24E6"/>
    <w:rsid w:val="008E2511"/>
    <w:rsid w:val="008E26F8"/>
    <w:rsid w:val="008E27E3"/>
    <w:rsid w:val="008E2FC2"/>
    <w:rsid w:val="008E30E1"/>
    <w:rsid w:val="008E34C9"/>
    <w:rsid w:val="008E3681"/>
    <w:rsid w:val="008E3876"/>
    <w:rsid w:val="008E38E0"/>
    <w:rsid w:val="008E39CF"/>
    <w:rsid w:val="008E39F0"/>
    <w:rsid w:val="008E3B41"/>
    <w:rsid w:val="008E3CE0"/>
    <w:rsid w:val="008E3FEB"/>
    <w:rsid w:val="008E429F"/>
    <w:rsid w:val="008E4370"/>
    <w:rsid w:val="008E45A9"/>
    <w:rsid w:val="008E462D"/>
    <w:rsid w:val="008E4B76"/>
    <w:rsid w:val="008E4D21"/>
    <w:rsid w:val="008E4E08"/>
    <w:rsid w:val="008E5104"/>
    <w:rsid w:val="008E5252"/>
    <w:rsid w:val="008E58A8"/>
    <w:rsid w:val="008E58AB"/>
    <w:rsid w:val="008E5DBD"/>
    <w:rsid w:val="008E650C"/>
    <w:rsid w:val="008E65CA"/>
    <w:rsid w:val="008E6674"/>
    <w:rsid w:val="008E678C"/>
    <w:rsid w:val="008E679D"/>
    <w:rsid w:val="008E6875"/>
    <w:rsid w:val="008E6C69"/>
    <w:rsid w:val="008E6E09"/>
    <w:rsid w:val="008E749C"/>
    <w:rsid w:val="008E74F2"/>
    <w:rsid w:val="008E74F5"/>
    <w:rsid w:val="008E754F"/>
    <w:rsid w:val="008E75CF"/>
    <w:rsid w:val="008E7664"/>
    <w:rsid w:val="008E7814"/>
    <w:rsid w:val="008E7B05"/>
    <w:rsid w:val="008E7C32"/>
    <w:rsid w:val="008E7CCC"/>
    <w:rsid w:val="008F0462"/>
    <w:rsid w:val="008F0693"/>
    <w:rsid w:val="008F0BA3"/>
    <w:rsid w:val="008F0DD5"/>
    <w:rsid w:val="008F0FD7"/>
    <w:rsid w:val="008F1025"/>
    <w:rsid w:val="008F12D1"/>
    <w:rsid w:val="008F1898"/>
    <w:rsid w:val="008F18DE"/>
    <w:rsid w:val="008F19E6"/>
    <w:rsid w:val="008F1B53"/>
    <w:rsid w:val="008F1D21"/>
    <w:rsid w:val="008F1EF8"/>
    <w:rsid w:val="008F1FA2"/>
    <w:rsid w:val="008F231B"/>
    <w:rsid w:val="008F2821"/>
    <w:rsid w:val="008F28F6"/>
    <w:rsid w:val="008F2F0F"/>
    <w:rsid w:val="008F3134"/>
    <w:rsid w:val="008F3194"/>
    <w:rsid w:val="008F34E1"/>
    <w:rsid w:val="008F3530"/>
    <w:rsid w:val="008F37AD"/>
    <w:rsid w:val="008F38E8"/>
    <w:rsid w:val="008F3A23"/>
    <w:rsid w:val="008F3BF1"/>
    <w:rsid w:val="008F3E59"/>
    <w:rsid w:val="008F4046"/>
    <w:rsid w:val="008F423A"/>
    <w:rsid w:val="008F4391"/>
    <w:rsid w:val="008F484F"/>
    <w:rsid w:val="008F4EA7"/>
    <w:rsid w:val="008F55B1"/>
    <w:rsid w:val="008F5849"/>
    <w:rsid w:val="008F58CC"/>
    <w:rsid w:val="008F59D5"/>
    <w:rsid w:val="008F5B01"/>
    <w:rsid w:val="008F5B60"/>
    <w:rsid w:val="008F5CAB"/>
    <w:rsid w:val="008F666F"/>
    <w:rsid w:val="008F6866"/>
    <w:rsid w:val="008F69DD"/>
    <w:rsid w:val="008F6CCB"/>
    <w:rsid w:val="008F6EB0"/>
    <w:rsid w:val="008F72DF"/>
    <w:rsid w:val="008F738B"/>
    <w:rsid w:val="008F75BB"/>
    <w:rsid w:val="008F7769"/>
    <w:rsid w:val="008F7818"/>
    <w:rsid w:val="008F79CC"/>
    <w:rsid w:val="008F7D02"/>
    <w:rsid w:val="008F7E71"/>
    <w:rsid w:val="00900207"/>
    <w:rsid w:val="009004B9"/>
    <w:rsid w:val="0090093B"/>
    <w:rsid w:val="00900C80"/>
    <w:rsid w:val="00900EEC"/>
    <w:rsid w:val="0090103D"/>
    <w:rsid w:val="009010C1"/>
    <w:rsid w:val="00901404"/>
    <w:rsid w:val="00901426"/>
    <w:rsid w:val="00901450"/>
    <w:rsid w:val="009016F9"/>
    <w:rsid w:val="00901841"/>
    <w:rsid w:val="0090198F"/>
    <w:rsid w:val="00901A5D"/>
    <w:rsid w:val="00901B8E"/>
    <w:rsid w:val="00901B9F"/>
    <w:rsid w:val="009022D8"/>
    <w:rsid w:val="009023E3"/>
    <w:rsid w:val="009025D1"/>
    <w:rsid w:val="00902DF2"/>
    <w:rsid w:val="00902E81"/>
    <w:rsid w:val="00902F46"/>
    <w:rsid w:val="00902FE0"/>
    <w:rsid w:val="00903890"/>
    <w:rsid w:val="00903B7A"/>
    <w:rsid w:val="00903D2C"/>
    <w:rsid w:val="00903EDE"/>
    <w:rsid w:val="00903EE6"/>
    <w:rsid w:val="00903F6E"/>
    <w:rsid w:val="00903F82"/>
    <w:rsid w:val="009040E8"/>
    <w:rsid w:val="0090427D"/>
    <w:rsid w:val="00904591"/>
    <w:rsid w:val="009046A6"/>
    <w:rsid w:val="00904850"/>
    <w:rsid w:val="00904AE8"/>
    <w:rsid w:val="00904AEB"/>
    <w:rsid w:val="00904B75"/>
    <w:rsid w:val="00904C19"/>
    <w:rsid w:val="009050DE"/>
    <w:rsid w:val="009052C0"/>
    <w:rsid w:val="009056F6"/>
    <w:rsid w:val="00905A0C"/>
    <w:rsid w:val="00905CA1"/>
    <w:rsid w:val="00905E96"/>
    <w:rsid w:val="00905F49"/>
    <w:rsid w:val="009062E8"/>
    <w:rsid w:val="00906EF1"/>
    <w:rsid w:val="00906F2A"/>
    <w:rsid w:val="0090707B"/>
    <w:rsid w:val="00907287"/>
    <w:rsid w:val="0090740A"/>
    <w:rsid w:val="0090750C"/>
    <w:rsid w:val="0090773A"/>
    <w:rsid w:val="009078C5"/>
    <w:rsid w:val="009079A4"/>
    <w:rsid w:val="00907B39"/>
    <w:rsid w:val="00907C9E"/>
    <w:rsid w:val="009101D4"/>
    <w:rsid w:val="0091024D"/>
    <w:rsid w:val="00910659"/>
    <w:rsid w:val="00910C4F"/>
    <w:rsid w:val="0091103C"/>
    <w:rsid w:val="009114CA"/>
    <w:rsid w:val="00911579"/>
    <w:rsid w:val="009115D0"/>
    <w:rsid w:val="00911D10"/>
    <w:rsid w:val="00911E9A"/>
    <w:rsid w:val="00911F34"/>
    <w:rsid w:val="009120B6"/>
    <w:rsid w:val="009123F0"/>
    <w:rsid w:val="00912425"/>
    <w:rsid w:val="009127B7"/>
    <w:rsid w:val="0091289E"/>
    <w:rsid w:val="00912C18"/>
    <w:rsid w:val="00913720"/>
    <w:rsid w:val="00913733"/>
    <w:rsid w:val="00913852"/>
    <w:rsid w:val="00913A7E"/>
    <w:rsid w:val="00913AE1"/>
    <w:rsid w:val="00913AF0"/>
    <w:rsid w:val="00913F45"/>
    <w:rsid w:val="00914349"/>
    <w:rsid w:val="009147C2"/>
    <w:rsid w:val="0091480E"/>
    <w:rsid w:val="00914A8F"/>
    <w:rsid w:val="00915114"/>
    <w:rsid w:val="00915285"/>
    <w:rsid w:val="00915321"/>
    <w:rsid w:val="009155A0"/>
    <w:rsid w:val="00915744"/>
    <w:rsid w:val="009157E3"/>
    <w:rsid w:val="009158C5"/>
    <w:rsid w:val="00915EE8"/>
    <w:rsid w:val="00915FDE"/>
    <w:rsid w:val="00916009"/>
    <w:rsid w:val="009162D2"/>
    <w:rsid w:val="0091635F"/>
    <w:rsid w:val="0091659F"/>
    <w:rsid w:val="00916767"/>
    <w:rsid w:val="0091698E"/>
    <w:rsid w:val="00916E5C"/>
    <w:rsid w:val="0091743F"/>
    <w:rsid w:val="0091773F"/>
    <w:rsid w:val="009177CA"/>
    <w:rsid w:val="00917A2E"/>
    <w:rsid w:val="0092028C"/>
    <w:rsid w:val="0092034C"/>
    <w:rsid w:val="00920D0E"/>
    <w:rsid w:val="00920EDE"/>
    <w:rsid w:val="009211F5"/>
    <w:rsid w:val="00921365"/>
    <w:rsid w:val="009213FB"/>
    <w:rsid w:val="0092154A"/>
    <w:rsid w:val="009216FB"/>
    <w:rsid w:val="009218B1"/>
    <w:rsid w:val="009219E4"/>
    <w:rsid w:val="00921A0C"/>
    <w:rsid w:val="00921AC2"/>
    <w:rsid w:val="00921F74"/>
    <w:rsid w:val="009220A1"/>
    <w:rsid w:val="009226DD"/>
    <w:rsid w:val="0092270D"/>
    <w:rsid w:val="00922986"/>
    <w:rsid w:val="00922EBA"/>
    <w:rsid w:val="0092306B"/>
    <w:rsid w:val="0092370F"/>
    <w:rsid w:val="00923B4B"/>
    <w:rsid w:val="00923C78"/>
    <w:rsid w:val="00923D1E"/>
    <w:rsid w:val="009240F9"/>
    <w:rsid w:val="009242AD"/>
    <w:rsid w:val="009243D2"/>
    <w:rsid w:val="00924757"/>
    <w:rsid w:val="00924C0C"/>
    <w:rsid w:val="00924C75"/>
    <w:rsid w:val="00924FD1"/>
    <w:rsid w:val="009250C9"/>
    <w:rsid w:val="00925331"/>
    <w:rsid w:val="00925707"/>
    <w:rsid w:val="0092583C"/>
    <w:rsid w:val="00925921"/>
    <w:rsid w:val="009259C4"/>
    <w:rsid w:val="00925A47"/>
    <w:rsid w:val="00925E6D"/>
    <w:rsid w:val="00925FA7"/>
    <w:rsid w:val="00926096"/>
    <w:rsid w:val="00926098"/>
    <w:rsid w:val="009267CA"/>
    <w:rsid w:val="00926918"/>
    <w:rsid w:val="00926C6B"/>
    <w:rsid w:val="0092727F"/>
    <w:rsid w:val="009272EB"/>
    <w:rsid w:val="0092742D"/>
    <w:rsid w:val="0092768A"/>
    <w:rsid w:val="0092795D"/>
    <w:rsid w:val="00927A25"/>
    <w:rsid w:val="00927A37"/>
    <w:rsid w:val="00927DA2"/>
    <w:rsid w:val="00930231"/>
    <w:rsid w:val="009302A1"/>
    <w:rsid w:val="00930623"/>
    <w:rsid w:val="0093069D"/>
    <w:rsid w:val="00930B0E"/>
    <w:rsid w:val="00930B6A"/>
    <w:rsid w:val="00930E36"/>
    <w:rsid w:val="00930F4D"/>
    <w:rsid w:val="0093124E"/>
    <w:rsid w:val="009314DD"/>
    <w:rsid w:val="0093168D"/>
    <w:rsid w:val="009316AF"/>
    <w:rsid w:val="009318E2"/>
    <w:rsid w:val="00931FE3"/>
    <w:rsid w:val="009321ED"/>
    <w:rsid w:val="009324E1"/>
    <w:rsid w:val="00932902"/>
    <w:rsid w:val="00932A11"/>
    <w:rsid w:val="00932BD3"/>
    <w:rsid w:val="00932D7A"/>
    <w:rsid w:val="00932DFD"/>
    <w:rsid w:val="00932E87"/>
    <w:rsid w:val="00932F48"/>
    <w:rsid w:val="00932F94"/>
    <w:rsid w:val="0093311C"/>
    <w:rsid w:val="00933137"/>
    <w:rsid w:val="009336D7"/>
    <w:rsid w:val="00933A71"/>
    <w:rsid w:val="00933B2A"/>
    <w:rsid w:val="00933F0D"/>
    <w:rsid w:val="009341B5"/>
    <w:rsid w:val="00934203"/>
    <w:rsid w:val="00934243"/>
    <w:rsid w:val="00934568"/>
    <w:rsid w:val="0093462E"/>
    <w:rsid w:val="009347A9"/>
    <w:rsid w:val="009347E4"/>
    <w:rsid w:val="00934AE7"/>
    <w:rsid w:val="00934D1E"/>
    <w:rsid w:val="009350EC"/>
    <w:rsid w:val="009351E4"/>
    <w:rsid w:val="0093536D"/>
    <w:rsid w:val="0093544C"/>
    <w:rsid w:val="00935560"/>
    <w:rsid w:val="00935681"/>
    <w:rsid w:val="00935A3B"/>
    <w:rsid w:val="00935B06"/>
    <w:rsid w:val="00935CB8"/>
    <w:rsid w:val="00935FF2"/>
    <w:rsid w:val="009361B3"/>
    <w:rsid w:val="0093622A"/>
    <w:rsid w:val="009363AF"/>
    <w:rsid w:val="00936619"/>
    <w:rsid w:val="00936821"/>
    <w:rsid w:val="00936BA3"/>
    <w:rsid w:val="00936C7C"/>
    <w:rsid w:val="00936E00"/>
    <w:rsid w:val="00936F4A"/>
    <w:rsid w:val="00936FB9"/>
    <w:rsid w:val="00937184"/>
    <w:rsid w:val="009372CF"/>
    <w:rsid w:val="009376CF"/>
    <w:rsid w:val="00937AD7"/>
    <w:rsid w:val="00937CE8"/>
    <w:rsid w:val="00937E56"/>
    <w:rsid w:val="00937E8B"/>
    <w:rsid w:val="00937ED3"/>
    <w:rsid w:val="0094024E"/>
    <w:rsid w:val="00940330"/>
    <w:rsid w:val="00940425"/>
    <w:rsid w:val="009406B2"/>
    <w:rsid w:val="00940AE0"/>
    <w:rsid w:val="00940AFA"/>
    <w:rsid w:val="00940B01"/>
    <w:rsid w:val="00940DBE"/>
    <w:rsid w:val="0094100C"/>
    <w:rsid w:val="00941322"/>
    <w:rsid w:val="009414E2"/>
    <w:rsid w:val="009417ED"/>
    <w:rsid w:val="00941878"/>
    <w:rsid w:val="00941A89"/>
    <w:rsid w:val="00941B27"/>
    <w:rsid w:val="00941CE7"/>
    <w:rsid w:val="00941DBB"/>
    <w:rsid w:val="00942294"/>
    <w:rsid w:val="009425EF"/>
    <w:rsid w:val="00942792"/>
    <w:rsid w:val="00942CDF"/>
    <w:rsid w:val="00942F66"/>
    <w:rsid w:val="00942F7D"/>
    <w:rsid w:val="0094310E"/>
    <w:rsid w:val="00943213"/>
    <w:rsid w:val="00943681"/>
    <w:rsid w:val="00943837"/>
    <w:rsid w:val="00943BD6"/>
    <w:rsid w:val="00943C5D"/>
    <w:rsid w:val="00943CCC"/>
    <w:rsid w:val="00943F79"/>
    <w:rsid w:val="009440D4"/>
    <w:rsid w:val="00944236"/>
    <w:rsid w:val="0094439E"/>
    <w:rsid w:val="009444CA"/>
    <w:rsid w:val="009448F1"/>
    <w:rsid w:val="00944939"/>
    <w:rsid w:val="00944AF9"/>
    <w:rsid w:val="00944B03"/>
    <w:rsid w:val="00944CAB"/>
    <w:rsid w:val="00944E4D"/>
    <w:rsid w:val="00944EA6"/>
    <w:rsid w:val="00944F58"/>
    <w:rsid w:val="00945022"/>
    <w:rsid w:val="009450A5"/>
    <w:rsid w:val="009451B2"/>
    <w:rsid w:val="009453B0"/>
    <w:rsid w:val="00945A06"/>
    <w:rsid w:val="00945A4A"/>
    <w:rsid w:val="00945E99"/>
    <w:rsid w:val="00945ECA"/>
    <w:rsid w:val="00945FE5"/>
    <w:rsid w:val="009464E4"/>
    <w:rsid w:val="009466BA"/>
    <w:rsid w:val="0094697A"/>
    <w:rsid w:val="00946C04"/>
    <w:rsid w:val="0094711B"/>
    <w:rsid w:val="009471D8"/>
    <w:rsid w:val="009473C3"/>
    <w:rsid w:val="009473F5"/>
    <w:rsid w:val="00947627"/>
    <w:rsid w:val="0094769A"/>
    <w:rsid w:val="009502F0"/>
    <w:rsid w:val="009506F3"/>
    <w:rsid w:val="009507C3"/>
    <w:rsid w:val="00950AF4"/>
    <w:rsid w:val="00950F82"/>
    <w:rsid w:val="0095101E"/>
    <w:rsid w:val="00951208"/>
    <w:rsid w:val="00951239"/>
    <w:rsid w:val="00951244"/>
    <w:rsid w:val="00951318"/>
    <w:rsid w:val="009513AA"/>
    <w:rsid w:val="00951419"/>
    <w:rsid w:val="00951498"/>
    <w:rsid w:val="00951736"/>
    <w:rsid w:val="00951BEB"/>
    <w:rsid w:val="00951C66"/>
    <w:rsid w:val="00951D85"/>
    <w:rsid w:val="00952005"/>
    <w:rsid w:val="009521E7"/>
    <w:rsid w:val="00952315"/>
    <w:rsid w:val="0095236C"/>
    <w:rsid w:val="009526BB"/>
    <w:rsid w:val="00952A4F"/>
    <w:rsid w:val="00952C2E"/>
    <w:rsid w:val="00952E99"/>
    <w:rsid w:val="00952F97"/>
    <w:rsid w:val="00953175"/>
    <w:rsid w:val="00953911"/>
    <w:rsid w:val="00953A08"/>
    <w:rsid w:val="00953B32"/>
    <w:rsid w:val="00953D42"/>
    <w:rsid w:val="00954173"/>
    <w:rsid w:val="009542C4"/>
    <w:rsid w:val="0095433E"/>
    <w:rsid w:val="00954433"/>
    <w:rsid w:val="0095454C"/>
    <w:rsid w:val="00954622"/>
    <w:rsid w:val="009548BF"/>
    <w:rsid w:val="00954AF5"/>
    <w:rsid w:val="00954B03"/>
    <w:rsid w:val="00955084"/>
    <w:rsid w:val="00955505"/>
    <w:rsid w:val="00955AEE"/>
    <w:rsid w:val="00955C47"/>
    <w:rsid w:val="00955CA0"/>
    <w:rsid w:val="00955E14"/>
    <w:rsid w:val="009560B2"/>
    <w:rsid w:val="00956247"/>
    <w:rsid w:val="009562C8"/>
    <w:rsid w:val="00956306"/>
    <w:rsid w:val="0095634D"/>
    <w:rsid w:val="009563F0"/>
    <w:rsid w:val="009564C3"/>
    <w:rsid w:val="009566C0"/>
    <w:rsid w:val="00956881"/>
    <w:rsid w:val="00956DB4"/>
    <w:rsid w:val="00956FF5"/>
    <w:rsid w:val="00957462"/>
    <w:rsid w:val="009575A6"/>
    <w:rsid w:val="00957796"/>
    <w:rsid w:val="009577EC"/>
    <w:rsid w:val="00957838"/>
    <w:rsid w:val="009579EF"/>
    <w:rsid w:val="00957B87"/>
    <w:rsid w:val="00957BC4"/>
    <w:rsid w:val="00957C3D"/>
    <w:rsid w:val="00957F52"/>
    <w:rsid w:val="00957F78"/>
    <w:rsid w:val="00957F8A"/>
    <w:rsid w:val="00960254"/>
    <w:rsid w:val="00960438"/>
    <w:rsid w:val="0096046C"/>
    <w:rsid w:val="00960516"/>
    <w:rsid w:val="009606C2"/>
    <w:rsid w:val="0096086C"/>
    <w:rsid w:val="009609A0"/>
    <w:rsid w:val="009609A2"/>
    <w:rsid w:val="009609DA"/>
    <w:rsid w:val="00960EC3"/>
    <w:rsid w:val="0096137F"/>
    <w:rsid w:val="0096154D"/>
    <w:rsid w:val="0096154E"/>
    <w:rsid w:val="009615AF"/>
    <w:rsid w:val="009615E0"/>
    <w:rsid w:val="00961853"/>
    <w:rsid w:val="00961A50"/>
    <w:rsid w:val="00961BA0"/>
    <w:rsid w:val="00961BDC"/>
    <w:rsid w:val="00961E6E"/>
    <w:rsid w:val="00961EF4"/>
    <w:rsid w:val="00961F2A"/>
    <w:rsid w:val="00961FAE"/>
    <w:rsid w:val="00962581"/>
    <w:rsid w:val="009625CE"/>
    <w:rsid w:val="00962723"/>
    <w:rsid w:val="00962A58"/>
    <w:rsid w:val="00962DAE"/>
    <w:rsid w:val="009630FB"/>
    <w:rsid w:val="009632F6"/>
    <w:rsid w:val="009634C2"/>
    <w:rsid w:val="009634DF"/>
    <w:rsid w:val="00963672"/>
    <w:rsid w:val="00963939"/>
    <w:rsid w:val="00963F56"/>
    <w:rsid w:val="00963F8E"/>
    <w:rsid w:val="009640D0"/>
    <w:rsid w:val="0096431D"/>
    <w:rsid w:val="0096461A"/>
    <w:rsid w:val="00964630"/>
    <w:rsid w:val="00964686"/>
    <w:rsid w:val="009648F0"/>
    <w:rsid w:val="00964921"/>
    <w:rsid w:val="00964A90"/>
    <w:rsid w:val="00964D7A"/>
    <w:rsid w:val="00964DA4"/>
    <w:rsid w:val="0096500A"/>
    <w:rsid w:val="009651B4"/>
    <w:rsid w:val="00965600"/>
    <w:rsid w:val="00965724"/>
    <w:rsid w:val="00965818"/>
    <w:rsid w:val="009659B6"/>
    <w:rsid w:val="00965A6A"/>
    <w:rsid w:val="00965CBE"/>
    <w:rsid w:val="009660A6"/>
    <w:rsid w:val="00966139"/>
    <w:rsid w:val="00966398"/>
    <w:rsid w:val="009663AE"/>
    <w:rsid w:val="00966451"/>
    <w:rsid w:val="0096658E"/>
    <w:rsid w:val="0096697B"/>
    <w:rsid w:val="00966D7F"/>
    <w:rsid w:val="0096713F"/>
    <w:rsid w:val="00967141"/>
    <w:rsid w:val="0096729D"/>
    <w:rsid w:val="0096762B"/>
    <w:rsid w:val="00967BDC"/>
    <w:rsid w:val="00967C8B"/>
    <w:rsid w:val="00967D67"/>
    <w:rsid w:val="00970009"/>
    <w:rsid w:val="009702BB"/>
    <w:rsid w:val="0097097F"/>
    <w:rsid w:val="00970AB3"/>
    <w:rsid w:val="00970BE6"/>
    <w:rsid w:val="00970E19"/>
    <w:rsid w:val="009714A9"/>
    <w:rsid w:val="009714E1"/>
    <w:rsid w:val="00971738"/>
    <w:rsid w:val="00971983"/>
    <w:rsid w:val="00971A68"/>
    <w:rsid w:val="00971AC1"/>
    <w:rsid w:val="00971BBC"/>
    <w:rsid w:val="00971CF9"/>
    <w:rsid w:val="00971D87"/>
    <w:rsid w:val="00971E0D"/>
    <w:rsid w:val="00971F4B"/>
    <w:rsid w:val="00972284"/>
    <w:rsid w:val="00972817"/>
    <w:rsid w:val="00972C75"/>
    <w:rsid w:val="00972F66"/>
    <w:rsid w:val="0097317F"/>
    <w:rsid w:val="00973589"/>
    <w:rsid w:val="009738AF"/>
    <w:rsid w:val="00973A77"/>
    <w:rsid w:val="00973AEB"/>
    <w:rsid w:val="00973BA6"/>
    <w:rsid w:val="00973C85"/>
    <w:rsid w:val="009740A4"/>
    <w:rsid w:val="0097414B"/>
    <w:rsid w:val="00974293"/>
    <w:rsid w:val="009746A5"/>
    <w:rsid w:val="0097481B"/>
    <w:rsid w:val="0097497A"/>
    <w:rsid w:val="009749E9"/>
    <w:rsid w:val="00974C45"/>
    <w:rsid w:val="00974DCF"/>
    <w:rsid w:val="00974DFC"/>
    <w:rsid w:val="00975029"/>
    <w:rsid w:val="009750D4"/>
    <w:rsid w:val="00975334"/>
    <w:rsid w:val="00975781"/>
    <w:rsid w:val="00975810"/>
    <w:rsid w:val="00975878"/>
    <w:rsid w:val="009758FB"/>
    <w:rsid w:val="00975A10"/>
    <w:rsid w:val="00975B35"/>
    <w:rsid w:val="00975BEA"/>
    <w:rsid w:val="00975E86"/>
    <w:rsid w:val="00975F02"/>
    <w:rsid w:val="00975FA7"/>
    <w:rsid w:val="009761B4"/>
    <w:rsid w:val="009763B3"/>
    <w:rsid w:val="009763ED"/>
    <w:rsid w:val="00976660"/>
    <w:rsid w:val="009766C2"/>
    <w:rsid w:val="00976A03"/>
    <w:rsid w:val="00976A22"/>
    <w:rsid w:val="00976B9A"/>
    <w:rsid w:val="00976D12"/>
    <w:rsid w:val="00976D95"/>
    <w:rsid w:val="00976DA9"/>
    <w:rsid w:val="00976F0E"/>
    <w:rsid w:val="00977080"/>
    <w:rsid w:val="009771DC"/>
    <w:rsid w:val="0097731C"/>
    <w:rsid w:val="009779D4"/>
    <w:rsid w:val="00977ABF"/>
    <w:rsid w:val="00980652"/>
    <w:rsid w:val="009806B7"/>
    <w:rsid w:val="009807BE"/>
    <w:rsid w:val="00980CEC"/>
    <w:rsid w:val="009813E0"/>
    <w:rsid w:val="00981F0A"/>
    <w:rsid w:val="0098223A"/>
    <w:rsid w:val="009828C8"/>
    <w:rsid w:val="00982AB8"/>
    <w:rsid w:val="00982B54"/>
    <w:rsid w:val="00982C69"/>
    <w:rsid w:val="00982DEA"/>
    <w:rsid w:val="00982E8D"/>
    <w:rsid w:val="00982FEF"/>
    <w:rsid w:val="009835E6"/>
    <w:rsid w:val="009837FC"/>
    <w:rsid w:val="009838D9"/>
    <w:rsid w:val="00983CF7"/>
    <w:rsid w:val="009848F9"/>
    <w:rsid w:val="00984D2E"/>
    <w:rsid w:val="00985214"/>
    <w:rsid w:val="00985260"/>
    <w:rsid w:val="00985355"/>
    <w:rsid w:val="009854BC"/>
    <w:rsid w:val="00985894"/>
    <w:rsid w:val="00985A56"/>
    <w:rsid w:val="00985D57"/>
    <w:rsid w:val="009860A7"/>
    <w:rsid w:val="0098666B"/>
    <w:rsid w:val="00986C64"/>
    <w:rsid w:val="00986ECE"/>
    <w:rsid w:val="00987153"/>
    <w:rsid w:val="00987A45"/>
    <w:rsid w:val="00987B37"/>
    <w:rsid w:val="00987F08"/>
    <w:rsid w:val="00987FA0"/>
    <w:rsid w:val="0099002F"/>
    <w:rsid w:val="009901F2"/>
    <w:rsid w:val="009903C9"/>
    <w:rsid w:val="0099043D"/>
    <w:rsid w:val="009904B0"/>
    <w:rsid w:val="009904FB"/>
    <w:rsid w:val="009904FC"/>
    <w:rsid w:val="00990619"/>
    <w:rsid w:val="00990857"/>
    <w:rsid w:val="00990B1C"/>
    <w:rsid w:val="00990B59"/>
    <w:rsid w:val="00990DC2"/>
    <w:rsid w:val="0099146A"/>
    <w:rsid w:val="0099161A"/>
    <w:rsid w:val="009916EA"/>
    <w:rsid w:val="00991739"/>
    <w:rsid w:val="00991846"/>
    <w:rsid w:val="009919A7"/>
    <w:rsid w:val="009919F0"/>
    <w:rsid w:val="00991DDE"/>
    <w:rsid w:val="00991DFD"/>
    <w:rsid w:val="00991F66"/>
    <w:rsid w:val="00991FBC"/>
    <w:rsid w:val="00992015"/>
    <w:rsid w:val="00992473"/>
    <w:rsid w:val="00992537"/>
    <w:rsid w:val="00992AD7"/>
    <w:rsid w:val="00992C30"/>
    <w:rsid w:val="00992DA5"/>
    <w:rsid w:val="00992DE4"/>
    <w:rsid w:val="009930E1"/>
    <w:rsid w:val="00993105"/>
    <w:rsid w:val="009932C1"/>
    <w:rsid w:val="0099338A"/>
    <w:rsid w:val="009933ED"/>
    <w:rsid w:val="00993633"/>
    <w:rsid w:val="00993865"/>
    <w:rsid w:val="0099393C"/>
    <w:rsid w:val="00993A13"/>
    <w:rsid w:val="00993DBE"/>
    <w:rsid w:val="00993E33"/>
    <w:rsid w:val="00993FDD"/>
    <w:rsid w:val="00994227"/>
    <w:rsid w:val="0099423D"/>
    <w:rsid w:val="009942E6"/>
    <w:rsid w:val="00994378"/>
    <w:rsid w:val="0099478A"/>
    <w:rsid w:val="009947DB"/>
    <w:rsid w:val="00994A29"/>
    <w:rsid w:val="00994B72"/>
    <w:rsid w:val="00994C68"/>
    <w:rsid w:val="00995271"/>
    <w:rsid w:val="009952BF"/>
    <w:rsid w:val="0099547D"/>
    <w:rsid w:val="00995493"/>
    <w:rsid w:val="009954A1"/>
    <w:rsid w:val="0099576B"/>
    <w:rsid w:val="00995A1A"/>
    <w:rsid w:val="00995A49"/>
    <w:rsid w:val="00995F0C"/>
    <w:rsid w:val="00995F93"/>
    <w:rsid w:val="009961B5"/>
    <w:rsid w:val="00996338"/>
    <w:rsid w:val="00996517"/>
    <w:rsid w:val="0099663A"/>
    <w:rsid w:val="00996944"/>
    <w:rsid w:val="00996A05"/>
    <w:rsid w:val="00996A97"/>
    <w:rsid w:val="00996AAC"/>
    <w:rsid w:val="00997107"/>
    <w:rsid w:val="009971E6"/>
    <w:rsid w:val="009972A6"/>
    <w:rsid w:val="009972FC"/>
    <w:rsid w:val="00997721"/>
    <w:rsid w:val="00997C64"/>
    <w:rsid w:val="00997DC4"/>
    <w:rsid w:val="00997E32"/>
    <w:rsid w:val="009A01A0"/>
    <w:rsid w:val="009A035C"/>
    <w:rsid w:val="009A0468"/>
    <w:rsid w:val="009A0681"/>
    <w:rsid w:val="009A06A4"/>
    <w:rsid w:val="009A06EF"/>
    <w:rsid w:val="009A0EDD"/>
    <w:rsid w:val="009A132C"/>
    <w:rsid w:val="009A1571"/>
    <w:rsid w:val="009A19D8"/>
    <w:rsid w:val="009A1A9F"/>
    <w:rsid w:val="009A1EAF"/>
    <w:rsid w:val="009A1EC3"/>
    <w:rsid w:val="009A1F46"/>
    <w:rsid w:val="009A221D"/>
    <w:rsid w:val="009A22B6"/>
    <w:rsid w:val="009A262A"/>
    <w:rsid w:val="009A285F"/>
    <w:rsid w:val="009A298F"/>
    <w:rsid w:val="009A2CD4"/>
    <w:rsid w:val="009A2F2E"/>
    <w:rsid w:val="009A3160"/>
    <w:rsid w:val="009A3438"/>
    <w:rsid w:val="009A344A"/>
    <w:rsid w:val="009A3576"/>
    <w:rsid w:val="009A3D5A"/>
    <w:rsid w:val="009A3EE2"/>
    <w:rsid w:val="009A425E"/>
    <w:rsid w:val="009A44A5"/>
    <w:rsid w:val="009A4557"/>
    <w:rsid w:val="009A473D"/>
    <w:rsid w:val="009A49F0"/>
    <w:rsid w:val="009A533E"/>
    <w:rsid w:val="009A5553"/>
    <w:rsid w:val="009A5600"/>
    <w:rsid w:val="009A5CF0"/>
    <w:rsid w:val="009A5CFC"/>
    <w:rsid w:val="009A5E95"/>
    <w:rsid w:val="009A5EF3"/>
    <w:rsid w:val="009A5EFF"/>
    <w:rsid w:val="009A62EC"/>
    <w:rsid w:val="009A6887"/>
    <w:rsid w:val="009A6A3B"/>
    <w:rsid w:val="009A6D39"/>
    <w:rsid w:val="009A6E55"/>
    <w:rsid w:val="009A6F50"/>
    <w:rsid w:val="009A727A"/>
    <w:rsid w:val="009A7720"/>
    <w:rsid w:val="009A780B"/>
    <w:rsid w:val="009A78C1"/>
    <w:rsid w:val="009A7DBA"/>
    <w:rsid w:val="009A7F1A"/>
    <w:rsid w:val="009A7F8A"/>
    <w:rsid w:val="009B00B5"/>
    <w:rsid w:val="009B0391"/>
    <w:rsid w:val="009B054D"/>
    <w:rsid w:val="009B06D8"/>
    <w:rsid w:val="009B08FA"/>
    <w:rsid w:val="009B0902"/>
    <w:rsid w:val="009B14CE"/>
    <w:rsid w:val="009B1BA3"/>
    <w:rsid w:val="009B1D7B"/>
    <w:rsid w:val="009B2502"/>
    <w:rsid w:val="009B2580"/>
    <w:rsid w:val="009B25FA"/>
    <w:rsid w:val="009B26C4"/>
    <w:rsid w:val="009B27DE"/>
    <w:rsid w:val="009B27FE"/>
    <w:rsid w:val="009B29E1"/>
    <w:rsid w:val="009B2B60"/>
    <w:rsid w:val="009B2C29"/>
    <w:rsid w:val="009B2DDD"/>
    <w:rsid w:val="009B32E9"/>
    <w:rsid w:val="009B33F4"/>
    <w:rsid w:val="009B347D"/>
    <w:rsid w:val="009B3655"/>
    <w:rsid w:val="009B365F"/>
    <w:rsid w:val="009B3A47"/>
    <w:rsid w:val="009B3AC3"/>
    <w:rsid w:val="009B3D47"/>
    <w:rsid w:val="009B3F49"/>
    <w:rsid w:val="009B413C"/>
    <w:rsid w:val="009B4234"/>
    <w:rsid w:val="009B44E0"/>
    <w:rsid w:val="009B4712"/>
    <w:rsid w:val="009B49DA"/>
    <w:rsid w:val="009B4BF9"/>
    <w:rsid w:val="009B4D12"/>
    <w:rsid w:val="009B4DE1"/>
    <w:rsid w:val="009B4F5E"/>
    <w:rsid w:val="009B50C2"/>
    <w:rsid w:val="009B51F6"/>
    <w:rsid w:val="009B5490"/>
    <w:rsid w:val="009B5562"/>
    <w:rsid w:val="009B5772"/>
    <w:rsid w:val="009B5974"/>
    <w:rsid w:val="009B5BE9"/>
    <w:rsid w:val="009B5C72"/>
    <w:rsid w:val="009B5D1F"/>
    <w:rsid w:val="009B5F33"/>
    <w:rsid w:val="009B6030"/>
    <w:rsid w:val="009B6355"/>
    <w:rsid w:val="009B639A"/>
    <w:rsid w:val="009B6415"/>
    <w:rsid w:val="009B6684"/>
    <w:rsid w:val="009B67DC"/>
    <w:rsid w:val="009B68B3"/>
    <w:rsid w:val="009B68D8"/>
    <w:rsid w:val="009B6F09"/>
    <w:rsid w:val="009B77AA"/>
    <w:rsid w:val="009B77F9"/>
    <w:rsid w:val="009B7994"/>
    <w:rsid w:val="009B79A9"/>
    <w:rsid w:val="009B79B2"/>
    <w:rsid w:val="009B7E78"/>
    <w:rsid w:val="009B7EF5"/>
    <w:rsid w:val="009C00C4"/>
    <w:rsid w:val="009C01EB"/>
    <w:rsid w:val="009C0371"/>
    <w:rsid w:val="009C03E3"/>
    <w:rsid w:val="009C08C2"/>
    <w:rsid w:val="009C0A20"/>
    <w:rsid w:val="009C0BA7"/>
    <w:rsid w:val="009C0D4B"/>
    <w:rsid w:val="009C1217"/>
    <w:rsid w:val="009C1338"/>
    <w:rsid w:val="009C14B0"/>
    <w:rsid w:val="009C1DF5"/>
    <w:rsid w:val="009C1E9E"/>
    <w:rsid w:val="009C20D3"/>
    <w:rsid w:val="009C2564"/>
    <w:rsid w:val="009C2873"/>
    <w:rsid w:val="009C2A49"/>
    <w:rsid w:val="009C2CEE"/>
    <w:rsid w:val="009C2D7E"/>
    <w:rsid w:val="009C2EBF"/>
    <w:rsid w:val="009C3218"/>
    <w:rsid w:val="009C3342"/>
    <w:rsid w:val="009C338F"/>
    <w:rsid w:val="009C3672"/>
    <w:rsid w:val="009C3A40"/>
    <w:rsid w:val="009C3B27"/>
    <w:rsid w:val="009C3BA5"/>
    <w:rsid w:val="009C3C06"/>
    <w:rsid w:val="009C3CD7"/>
    <w:rsid w:val="009C3D8F"/>
    <w:rsid w:val="009C4143"/>
    <w:rsid w:val="009C4343"/>
    <w:rsid w:val="009C45EA"/>
    <w:rsid w:val="009C4A25"/>
    <w:rsid w:val="009C4BC4"/>
    <w:rsid w:val="009C4D58"/>
    <w:rsid w:val="009C4E4C"/>
    <w:rsid w:val="009C4F79"/>
    <w:rsid w:val="009C5013"/>
    <w:rsid w:val="009C5038"/>
    <w:rsid w:val="009C53F8"/>
    <w:rsid w:val="009C5411"/>
    <w:rsid w:val="009C5498"/>
    <w:rsid w:val="009C55BE"/>
    <w:rsid w:val="009C5667"/>
    <w:rsid w:val="009C581D"/>
    <w:rsid w:val="009C5F05"/>
    <w:rsid w:val="009C603A"/>
    <w:rsid w:val="009C6092"/>
    <w:rsid w:val="009C6285"/>
    <w:rsid w:val="009C660F"/>
    <w:rsid w:val="009C6866"/>
    <w:rsid w:val="009C6869"/>
    <w:rsid w:val="009C6B33"/>
    <w:rsid w:val="009C6DA9"/>
    <w:rsid w:val="009C6DE4"/>
    <w:rsid w:val="009C6F7C"/>
    <w:rsid w:val="009C714C"/>
    <w:rsid w:val="009C7210"/>
    <w:rsid w:val="009C7714"/>
    <w:rsid w:val="009C7BB3"/>
    <w:rsid w:val="009C7BC1"/>
    <w:rsid w:val="009D0016"/>
    <w:rsid w:val="009D045A"/>
    <w:rsid w:val="009D04D1"/>
    <w:rsid w:val="009D0859"/>
    <w:rsid w:val="009D0953"/>
    <w:rsid w:val="009D09D2"/>
    <w:rsid w:val="009D0DF5"/>
    <w:rsid w:val="009D1184"/>
    <w:rsid w:val="009D1772"/>
    <w:rsid w:val="009D232A"/>
    <w:rsid w:val="009D27EE"/>
    <w:rsid w:val="009D289C"/>
    <w:rsid w:val="009D298E"/>
    <w:rsid w:val="009D29DD"/>
    <w:rsid w:val="009D2AA1"/>
    <w:rsid w:val="009D3154"/>
    <w:rsid w:val="009D356D"/>
    <w:rsid w:val="009D356F"/>
    <w:rsid w:val="009D3D34"/>
    <w:rsid w:val="009D3DCF"/>
    <w:rsid w:val="009D3E2F"/>
    <w:rsid w:val="009D3F9A"/>
    <w:rsid w:val="009D4224"/>
    <w:rsid w:val="009D44D1"/>
    <w:rsid w:val="009D4E10"/>
    <w:rsid w:val="009D50D4"/>
    <w:rsid w:val="009D5248"/>
    <w:rsid w:val="009D538C"/>
    <w:rsid w:val="009D571B"/>
    <w:rsid w:val="009D5776"/>
    <w:rsid w:val="009D57EB"/>
    <w:rsid w:val="009D59C5"/>
    <w:rsid w:val="009D5BFB"/>
    <w:rsid w:val="009D5E22"/>
    <w:rsid w:val="009D5E2D"/>
    <w:rsid w:val="009D663F"/>
    <w:rsid w:val="009D6A2B"/>
    <w:rsid w:val="009D6AA3"/>
    <w:rsid w:val="009D6C70"/>
    <w:rsid w:val="009D7030"/>
    <w:rsid w:val="009D70D8"/>
    <w:rsid w:val="009D7102"/>
    <w:rsid w:val="009D7619"/>
    <w:rsid w:val="009D7B89"/>
    <w:rsid w:val="009D7D89"/>
    <w:rsid w:val="009D7E1A"/>
    <w:rsid w:val="009E009D"/>
    <w:rsid w:val="009E0383"/>
    <w:rsid w:val="009E07B2"/>
    <w:rsid w:val="009E07E2"/>
    <w:rsid w:val="009E090A"/>
    <w:rsid w:val="009E0981"/>
    <w:rsid w:val="009E0A9E"/>
    <w:rsid w:val="009E0CAC"/>
    <w:rsid w:val="009E0D32"/>
    <w:rsid w:val="009E0E3B"/>
    <w:rsid w:val="009E103B"/>
    <w:rsid w:val="009E1050"/>
    <w:rsid w:val="009E10FA"/>
    <w:rsid w:val="009E11AC"/>
    <w:rsid w:val="009E128D"/>
    <w:rsid w:val="009E1431"/>
    <w:rsid w:val="009E143A"/>
    <w:rsid w:val="009E1942"/>
    <w:rsid w:val="009E1A34"/>
    <w:rsid w:val="009E1AEF"/>
    <w:rsid w:val="009E1B3B"/>
    <w:rsid w:val="009E1C1F"/>
    <w:rsid w:val="009E1C2D"/>
    <w:rsid w:val="009E1CBE"/>
    <w:rsid w:val="009E1D0C"/>
    <w:rsid w:val="009E1F7E"/>
    <w:rsid w:val="009E2044"/>
    <w:rsid w:val="009E20AC"/>
    <w:rsid w:val="009E223F"/>
    <w:rsid w:val="009E234C"/>
    <w:rsid w:val="009E234E"/>
    <w:rsid w:val="009E2473"/>
    <w:rsid w:val="009E2540"/>
    <w:rsid w:val="009E26D0"/>
    <w:rsid w:val="009E292B"/>
    <w:rsid w:val="009E29C9"/>
    <w:rsid w:val="009E2BB1"/>
    <w:rsid w:val="009E30CB"/>
    <w:rsid w:val="009E31E1"/>
    <w:rsid w:val="009E368B"/>
    <w:rsid w:val="009E3F49"/>
    <w:rsid w:val="009E4104"/>
    <w:rsid w:val="009E4113"/>
    <w:rsid w:val="009E436D"/>
    <w:rsid w:val="009E43D4"/>
    <w:rsid w:val="009E4691"/>
    <w:rsid w:val="009E4727"/>
    <w:rsid w:val="009E47AC"/>
    <w:rsid w:val="009E49D5"/>
    <w:rsid w:val="009E4B2F"/>
    <w:rsid w:val="009E4F7D"/>
    <w:rsid w:val="009E5260"/>
    <w:rsid w:val="009E5392"/>
    <w:rsid w:val="009E539D"/>
    <w:rsid w:val="009E5865"/>
    <w:rsid w:val="009E5B92"/>
    <w:rsid w:val="009E5C6F"/>
    <w:rsid w:val="009E5D14"/>
    <w:rsid w:val="009E5DD1"/>
    <w:rsid w:val="009E5DE3"/>
    <w:rsid w:val="009E5E17"/>
    <w:rsid w:val="009E644D"/>
    <w:rsid w:val="009E65AF"/>
    <w:rsid w:val="009E667D"/>
    <w:rsid w:val="009E68D2"/>
    <w:rsid w:val="009E692B"/>
    <w:rsid w:val="009E799E"/>
    <w:rsid w:val="009E7E37"/>
    <w:rsid w:val="009E7FCC"/>
    <w:rsid w:val="009F0254"/>
    <w:rsid w:val="009F02B9"/>
    <w:rsid w:val="009F068E"/>
    <w:rsid w:val="009F0790"/>
    <w:rsid w:val="009F09D9"/>
    <w:rsid w:val="009F0BAD"/>
    <w:rsid w:val="009F0D5B"/>
    <w:rsid w:val="009F0EC3"/>
    <w:rsid w:val="009F0F30"/>
    <w:rsid w:val="009F1102"/>
    <w:rsid w:val="009F1506"/>
    <w:rsid w:val="009F162C"/>
    <w:rsid w:val="009F1791"/>
    <w:rsid w:val="009F19C3"/>
    <w:rsid w:val="009F1C93"/>
    <w:rsid w:val="009F1DF8"/>
    <w:rsid w:val="009F1E7A"/>
    <w:rsid w:val="009F2309"/>
    <w:rsid w:val="009F26B3"/>
    <w:rsid w:val="009F2CAB"/>
    <w:rsid w:val="009F2F84"/>
    <w:rsid w:val="009F306A"/>
    <w:rsid w:val="009F33B7"/>
    <w:rsid w:val="009F371A"/>
    <w:rsid w:val="009F3B96"/>
    <w:rsid w:val="009F3E7A"/>
    <w:rsid w:val="009F3EAC"/>
    <w:rsid w:val="009F3F96"/>
    <w:rsid w:val="009F437D"/>
    <w:rsid w:val="009F4A02"/>
    <w:rsid w:val="009F4A6C"/>
    <w:rsid w:val="009F4CB6"/>
    <w:rsid w:val="009F4D49"/>
    <w:rsid w:val="009F4DA4"/>
    <w:rsid w:val="009F53F3"/>
    <w:rsid w:val="009F5408"/>
    <w:rsid w:val="009F5411"/>
    <w:rsid w:val="009F5B19"/>
    <w:rsid w:val="009F5B35"/>
    <w:rsid w:val="009F5D5C"/>
    <w:rsid w:val="009F605A"/>
    <w:rsid w:val="009F6206"/>
    <w:rsid w:val="009F625E"/>
    <w:rsid w:val="009F62EC"/>
    <w:rsid w:val="009F63CF"/>
    <w:rsid w:val="009F67A5"/>
    <w:rsid w:val="009F67B6"/>
    <w:rsid w:val="009F6C66"/>
    <w:rsid w:val="009F6D81"/>
    <w:rsid w:val="009F6E6B"/>
    <w:rsid w:val="009F6F91"/>
    <w:rsid w:val="009F70C4"/>
    <w:rsid w:val="009F7874"/>
    <w:rsid w:val="009F7AF9"/>
    <w:rsid w:val="009F7C6D"/>
    <w:rsid w:val="009F7CDC"/>
    <w:rsid w:val="009F7E14"/>
    <w:rsid w:val="00A00543"/>
    <w:rsid w:val="00A005F5"/>
    <w:rsid w:val="00A0091E"/>
    <w:rsid w:val="00A00B00"/>
    <w:rsid w:val="00A00D80"/>
    <w:rsid w:val="00A00FD1"/>
    <w:rsid w:val="00A01117"/>
    <w:rsid w:val="00A011EC"/>
    <w:rsid w:val="00A01209"/>
    <w:rsid w:val="00A0136B"/>
    <w:rsid w:val="00A0147F"/>
    <w:rsid w:val="00A01612"/>
    <w:rsid w:val="00A01879"/>
    <w:rsid w:val="00A01A8C"/>
    <w:rsid w:val="00A01BBE"/>
    <w:rsid w:val="00A01BF2"/>
    <w:rsid w:val="00A01E04"/>
    <w:rsid w:val="00A01E86"/>
    <w:rsid w:val="00A01FB5"/>
    <w:rsid w:val="00A02269"/>
    <w:rsid w:val="00A02423"/>
    <w:rsid w:val="00A024BA"/>
    <w:rsid w:val="00A024D2"/>
    <w:rsid w:val="00A02695"/>
    <w:rsid w:val="00A02781"/>
    <w:rsid w:val="00A02CF5"/>
    <w:rsid w:val="00A02D9B"/>
    <w:rsid w:val="00A030AF"/>
    <w:rsid w:val="00A0310D"/>
    <w:rsid w:val="00A0318C"/>
    <w:rsid w:val="00A032AD"/>
    <w:rsid w:val="00A033D7"/>
    <w:rsid w:val="00A03409"/>
    <w:rsid w:val="00A039CF"/>
    <w:rsid w:val="00A03A8D"/>
    <w:rsid w:val="00A03BE9"/>
    <w:rsid w:val="00A03CA5"/>
    <w:rsid w:val="00A04330"/>
    <w:rsid w:val="00A043A6"/>
    <w:rsid w:val="00A044A4"/>
    <w:rsid w:val="00A044DA"/>
    <w:rsid w:val="00A045A1"/>
    <w:rsid w:val="00A0489C"/>
    <w:rsid w:val="00A04B3A"/>
    <w:rsid w:val="00A04B4B"/>
    <w:rsid w:val="00A04CF7"/>
    <w:rsid w:val="00A04E46"/>
    <w:rsid w:val="00A04E6B"/>
    <w:rsid w:val="00A04ECD"/>
    <w:rsid w:val="00A051E9"/>
    <w:rsid w:val="00A053B2"/>
    <w:rsid w:val="00A05509"/>
    <w:rsid w:val="00A0575D"/>
    <w:rsid w:val="00A05A0C"/>
    <w:rsid w:val="00A05E4C"/>
    <w:rsid w:val="00A05EC9"/>
    <w:rsid w:val="00A063E3"/>
    <w:rsid w:val="00A06DE1"/>
    <w:rsid w:val="00A06E11"/>
    <w:rsid w:val="00A06FF6"/>
    <w:rsid w:val="00A071A4"/>
    <w:rsid w:val="00A072C4"/>
    <w:rsid w:val="00A074BF"/>
    <w:rsid w:val="00A076C3"/>
    <w:rsid w:val="00A077A6"/>
    <w:rsid w:val="00A07AF0"/>
    <w:rsid w:val="00A07BC5"/>
    <w:rsid w:val="00A07E7A"/>
    <w:rsid w:val="00A1036F"/>
    <w:rsid w:val="00A104BB"/>
    <w:rsid w:val="00A105C4"/>
    <w:rsid w:val="00A10862"/>
    <w:rsid w:val="00A10D1D"/>
    <w:rsid w:val="00A10ECB"/>
    <w:rsid w:val="00A1133F"/>
    <w:rsid w:val="00A118B2"/>
    <w:rsid w:val="00A11B8F"/>
    <w:rsid w:val="00A11C4B"/>
    <w:rsid w:val="00A11D2F"/>
    <w:rsid w:val="00A12065"/>
    <w:rsid w:val="00A12409"/>
    <w:rsid w:val="00A1240B"/>
    <w:rsid w:val="00A1250C"/>
    <w:rsid w:val="00A12569"/>
    <w:rsid w:val="00A127A4"/>
    <w:rsid w:val="00A127DB"/>
    <w:rsid w:val="00A12809"/>
    <w:rsid w:val="00A1292E"/>
    <w:rsid w:val="00A1298C"/>
    <w:rsid w:val="00A12AD8"/>
    <w:rsid w:val="00A12B4D"/>
    <w:rsid w:val="00A12DF1"/>
    <w:rsid w:val="00A131AE"/>
    <w:rsid w:val="00A13600"/>
    <w:rsid w:val="00A13612"/>
    <w:rsid w:val="00A136D2"/>
    <w:rsid w:val="00A138E5"/>
    <w:rsid w:val="00A13991"/>
    <w:rsid w:val="00A13A75"/>
    <w:rsid w:val="00A1411F"/>
    <w:rsid w:val="00A142DE"/>
    <w:rsid w:val="00A1456F"/>
    <w:rsid w:val="00A14719"/>
    <w:rsid w:val="00A15021"/>
    <w:rsid w:val="00A1531E"/>
    <w:rsid w:val="00A15589"/>
    <w:rsid w:val="00A15598"/>
    <w:rsid w:val="00A1575F"/>
    <w:rsid w:val="00A15E4A"/>
    <w:rsid w:val="00A1603F"/>
    <w:rsid w:val="00A16194"/>
    <w:rsid w:val="00A164BD"/>
    <w:rsid w:val="00A16818"/>
    <w:rsid w:val="00A16D60"/>
    <w:rsid w:val="00A16F78"/>
    <w:rsid w:val="00A16F9C"/>
    <w:rsid w:val="00A16FEC"/>
    <w:rsid w:val="00A1708E"/>
    <w:rsid w:val="00A17262"/>
    <w:rsid w:val="00A173E5"/>
    <w:rsid w:val="00A1753E"/>
    <w:rsid w:val="00A175AC"/>
    <w:rsid w:val="00A175B9"/>
    <w:rsid w:val="00A17869"/>
    <w:rsid w:val="00A1790C"/>
    <w:rsid w:val="00A179DA"/>
    <w:rsid w:val="00A2005D"/>
    <w:rsid w:val="00A2035B"/>
    <w:rsid w:val="00A203B3"/>
    <w:rsid w:val="00A203E4"/>
    <w:rsid w:val="00A2070E"/>
    <w:rsid w:val="00A20784"/>
    <w:rsid w:val="00A20C82"/>
    <w:rsid w:val="00A20F84"/>
    <w:rsid w:val="00A21066"/>
    <w:rsid w:val="00A21160"/>
    <w:rsid w:val="00A21879"/>
    <w:rsid w:val="00A21C78"/>
    <w:rsid w:val="00A21F4B"/>
    <w:rsid w:val="00A21FB8"/>
    <w:rsid w:val="00A22196"/>
    <w:rsid w:val="00A222C2"/>
    <w:rsid w:val="00A2234A"/>
    <w:rsid w:val="00A22495"/>
    <w:rsid w:val="00A22557"/>
    <w:rsid w:val="00A226AD"/>
    <w:rsid w:val="00A22D0D"/>
    <w:rsid w:val="00A23101"/>
    <w:rsid w:val="00A23621"/>
    <w:rsid w:val="00A23770"/>
    <w:rsid w:val="00A23A0B"/>
    <w:rsid w:val="00A23CEE"/>
    <w:rsid w:val="00A243E6"/>
    <w:rsid w:val="00A245E4"/>
    <w:rsid w:val="00A24A05"/>
    <w:rsid w:val="00A24B56"/>
    <w:rsid w:val="00A24B8F"/>
    <w:rsid w:val="00A24D6B"/>
    <w:rsid w:val="00A24DA8"/>
    <w:rsid w:val="00A251DC"/>
    <w:rsid w:val="00A25369"/>
    <w:rsid w:val="00A253EF"/>
    <w:rsid w:val="00A2566A"/>
    <w:rsid w:val="00A2584A"/>
    <w:rsid w:val="00A258D4"/>
    <w:rsid w:val="00A258F1"/>
    <w:rsid w:val="00A25AB1"/>
    <w:rsid w:val="00A25AE7"/>
    <w:rsid w:val="00A25CF2"/>
    <w:rsid w:val="00A25E96"/>
    <w:rsid w:val="00A26042"/>
    <w:rsid w:val="00A262B4"/>
    <w:rsid w:val="00A2642E"/>
    <w:rsid w:val="00A26591"/>
    <w:rsid w:val="00A26E8C"/>
    <w:rsid w:val="00A2702B"/>
    <w:rsid w:val="00A2705F"/>
    <w:rsid w:val="00A270CE"/>
    <w:rsid w:val="00A271B8"/>
    <w:rsid w:val="00A273CD"/>
    <w:rsid w:val="00A279BC"/>
    <w:rsid w:val="00A27A6B"/>
    <w:rsid w:val="00A27C9F"/>
    <w:rsid w:val="00A27EF1"/>
    <w:rsid w:val="00A301CD"/>
    <w:rsid w:val="00A305A0"/>
    <w:rsid w:val="00A305EE"/>
    <w:rsid w:val="00A306D4"/>
    <w:rsid w:val="00A308D6"/>
    <w:rsid w:val="00A30AC2"/>
    <w:rsid w:val="00A30D6E"/>
    <w:rsid w:val="00A30DD0"/>
    <w:rsid w:val="00A30E55"/>
    <w:rsid w:val="00A310E7"/>
    <w:rsid w:val="00A3122C"/>
    <w:rsid w:val="00A3144D"/>
    <w:rsid w:val="00A3173F"/>
    <w:rsid w:val="00A31B1D"/>
    <w:rsid w:val="00A31B52"/>
    <w:rsid w:val="00A3226D"/>
    <w:rsid w:val="00A32321"/>
    <w:rsid w:val="00A3291E"/>
    <w:rsid w:val="00A329B3"/>
    <w:rsid w:val="00A329D8"/>
    <w:rsid w:val="00A32D80"/>
    <w:rsid w:val="00A33560"/>
    <w:rsid w:val="00A33680"/>
    <w:rsid w:val="00A337FD"/>
    <w:rsid w:val="00A33DF7"/>
    <w:rsid w:val="00A34374"/>
    <w:rsid w:val="00A34451"/>
    <w:rsid w:val="00A34463"/>
    <w:rsid w:val="00A34647"/>
    <w:rsid w:val="00A3465D"/>
    <w:rsid w:val="00A349B0"/>
    <w:rsid w:val="00A34D39"/>
    <w:rsid w:val="00A34E5C"/>
    <w:rsid w:val="00A35030"/>
    <w:rsid w:val="00A352DF"/>
    <w:rsid w:val="00A352E9"/>
    <w:rsid w:val="00A354B3"/>
    <w:rsid w:val="00A35558"/>
    <w:rsid w:val="00A358C0"/>
    <w:rsid w:val="00A35D21"/>
    <w:rsid w:val="00A360DF"/>
    <w:rsid w:val="00A3615A"/>
    <w:rsid w:val="00A36172"/>
    <w:rsid w:val="00A36247"/>
    <w:rsid w:val="00A362A6"/>
    <w:rsid w:val="00A36391"/>
    <w:rsid w:val="00A364F8"/>
    <w:rsid w:val="00A369C6"/>
    <w:rsid w:val="00A36BCB"/>
    <w:rsid w:val="00A36C1D"/>
    <w:rsid w:val="00A36D49"/>
    <w:rsid w:val="00A36D74"/>
    <w:rsid w:val="00A36F08"/>
    <w:rsid w:val="00A371A8"/>
    <w:rsid w:val="00A373D9"/>
    <w:rsid w:val="00A3760F"/>
    <w:rsid w:val="00A37668"/>
    <w:rsid w:val="00A378BE"/>
    <w:rsid w:val="00A3792E"/>
    <w:rsid w:val="00A379C8"/>
    <w:rsid w:val="00A37CD1"/>
    <w:rsid w:val="00A37EB3"/>
    <w:rsid w:val="00A37FE7"/>
    <w:rsid w:val="00A4009B"/>
    <w:rsid w:val="00A4010E"/>
    <w:rsid w:val="00A4012C"/>
    <w:rsid w:val="00A40203"/>
    <w:rsid w:val="00A404CC"/>
    <w:rsid w:val="00A4052B"/>
    <w:rsid w:val="00A409DB"/>
    <w:rsid w:val="00A40AE2"/>
    <w:rsid w:val="00A40B45"/>
    <w:rsid w:val="00A40CD1"/>
    <w:rsid w:val="00A40F5C"/>
    <w:rsid w:val="00A41234"/>
    <w:rsid w:val="00A41736"/>
    <w:rsid w:val="00A41A30"/>
    <w:rsid w:val="00A42451"/>
    <w:rsid w:val="00A42457"/>
    <w:rsid w:val="00A425F2"/>
    <w:rsid w:val="00A425FA"/>
    <w:rsid w:val="00A4276F"/>
    <w:rsid w:val="00A4280B"/>
    <w:rsid w:val="00A4285D"/>
    <w:rsid w:val="00A42A3B"/>
    <w:rsid w:val="00A42A9F"/>
    <w:rsid w:val="00A42BD2"/>
    <w:rsid w:val="00A42CB0"/>
    <w:rsid w:val="00A430B1"/>
    <w:rsid w:val="00A431D2"/>
    <w:rsid w:val="00A4325D"/>
    <w:rsid w:val="00A434E4"/>
    <w:rsid w:val="00A438A8"/>
    <w:rsid w:val="00A43CC5"/>
    <w:rsid w:val="00A43E03"/>
    <w:rsid w:val="00A447CA"/>
    <w:rsid w:val="00A44970"/>
    <w:rsid w:val="00A44A30"/>
    <w:rsid w:val="00A44A6F"/>
    <w:rsid w:val="00A44E8E"/>
    <w:rsid w:val="00A450C7"/>
    <w:rsid w:val="00A45458"/>
    <w:rsid w:val="00A45513"/>
    <w:rsid w:val="00A4563A"/>
    <w:rsid w:val="00A456B4"/>
    <w:rsid w:val="00A458A5"/>
    <w:rsid w:val="00A45B5E"/>
    <w:rsid w:val="00A45BD9"/>
    <w:rsid w:val="00A45C21"/>
    <w:rsid w:val="00A45E01"/>
    <w:rsid w:val="00A4664F"/>
    <w:rsid w:val="00A466CB"/>
    <w:rsid w:val="00A46925"/>
    <w:rsid w:val="00A46A40"/>
    <w:rsid w:val="00A46B60"/>
    <w:rsid w:val="00A46CF5"/>
    <w:rsid w:val="00A46D6D"/>
    <w:rsid w:val="00A46D6E"/>
    <w:rsid w:val="00A47110"/>
    <w:rsid w:val="00A473CF"/>
    <w:rsid w:val="00A4748C"/>
    <w:rsid w:val="00A475E8"/>
    <w:rsid w:val="00A47714"/>
    <w:rsid w:val="00A4775E"/>
    <w:rsid w:val="00A4787E"/>
    <w:rsid w:val="00A47885"/>
    <w:rsid w:val="00A47C1E"/>
    <w:rsid w:val="00A47E5B"/>
    <w:rsid w:val="00A50167"/>
    <w:rsid w:val="00A50227"/>
    <w:rsid w:val="00A5064A"/>
    <w:rsid w:val="00A5064D"/>
    <w:rsid w:val="00A506D6"/>
    <w:rsid w:val="00A50719"/>
    <w:rsid w:val="00A5080B"/>
    <w:rsid w:val="00A509A3"/>
    <w:rsid w:val="00A50A8E"/>
    <w:rsid w:val="00A50AC5"/>
    <w:rsid w:val="00A50EDD"/>
    <w:rsid w:val="00A511A6"/>
    <w:rsid w:val="00A51227"/>
    <w:rsid w:val="00A51933"/>
    <w:rsid w:val="00A51AF6"/>
    <w:rsid w:val="00A51BCA"/>
    <w:rsid w:val="00A51D45"/>
    <w:rsid w:val="00A51F98"/>
    <w:rsid w:val="00A52047"/>
    <w:rsid w:val="00A5227C"/>
    <w:rsid w:val="00A526F9"/>
    <w:rsid w:val="00A5287E"/>
    <w:rsid w:val="00A52B7A"/>
    <w:rsid w:val="00A52D7D"/>
    <w:rsid w:val="00A531EC"/>
    <w:rsid w:val="00A532B9"/>
    <w:rsid w:val="00A5347A"/>
    <w:rsid w:val="00A53521"/>
    <w:rsid w:val="00A539A8"/>
    <w:rsid w:val="00A53DB7"/>
    <w:rsid w:val="00A53E7D"/>
    <w:rsid w:val="00A542E5"/>
    <w:rsid w:val="00A54430"/>
    <w:rsid w:val="00A545E6"/>
    <w:rsid w:val="00A54E7C"/>
    <w:rsid w:val="00A550CF"/>
    <w:rsid w:val="00A55110"/>
    <w:rsid w:val="00A5528F"/>
    <w:rsid w:val="00A554DA"/>
    <w:rsid w:val="00A554E5"/>
    <w:rsid w:val="00A55511"/>
    <w:rsid w:val="00A55663"/>
    <w:rsid w:val="00A5589F"/>
    <w:rsid w:val="00A55B57"/>
    <w:rsid w:val="00A55DC7"/>
    <w:rsid w:val="00A55DE0"/>
    <w:rsid w:val="00A55FF9"/>
    <w:rsid w:val="00A56428"/>
    <w:rsid w:val="00A56642"/>
    <w:rsid w:val="00A567A6"/>
    <w:rsid w:val="00A56805"/>
    <w:rsid w:val="00A56AB4"/>
    <w:rsid w:val="00A56BF2"/>
    <w:rsid w:val="00A56E11"/>
    <w:rsid w:val="00A5702D"/>
    <w:rsid w:val="00A573AB"/>
    <w:rsid w:val="00A57528"/>
    <w:rsid w:val="00A576BA"/>
    <w:rsid w:val="00A57BD9"/>
    <w:rsid w:val="00A57C18"/>
    <w:rsid w:val="00A60035"/>
    <w:rsid w:val="00A60164"/>
    <w:rsid w:val="00A606F2"/>
    <w:rsid w:val="00A60827"/>
    <w:rsid w:val="00A60850"/>
    <w:rsid w:val="00A611D4"/>
    <w:rsid w:val="00A6152B"/>
    <w:rsid w:val="00A61548"/>
    <w:rsid w:val="00A615D5"/>
    <w:rsid w:val="00A618A4"/>
    <w:rsid w:val="00A619CF"/>
    <w:rsid w:val="00A61AB5"/>
    <w:rsid w:val="00A61C37"/>
    <w:rsid w:val="00A61DF0"/>
    <w:rsid w:val="00A621A8"/>
    <w:rsid w:val="00A627A3"/>
    <w:rsid w:val="00A6298C"/>
    <w:rsid w:val="00A62D03"/>
    <w:rsid w:val="00A62F5A"/>
    <w:rsid w:val="00A62F92"/>
    <w:rsid w:val="00A62FED"/>
    <w:rsid w:val="00A6310F"/>
    <w:rsid w:val="00A632E9"/>
    <w:rsid w:val="00A6339C"/>
    <w:rsid w:val="00A635AE"/>
    <w:rsid w:val="00A63691"/>
    <w:rsid w:val="00A63842"/>
    <w:rsid w:val="00A63AAF"/>
    <w:rsid w:val="00A63ACF"/>
    <w:rsid w:val="00A63BB7"/>
    <w:rsid w:val="00A63C2D"/>
    <w:rsid w:val="00A63F6F"/>
    <w:rsid w:val="00A642D7"/>
    <w:rsid w:val="00A64388"/>
    <w:rsid w:val="00A6444F"/>
    <w:rsid w:val="00A645F7"/>
    <w:rsid w:val="00A647EA"/>
    <w:rsid w:val="00A64854"/>
    <w:rsid w:val="00A64B1F"/>
    <w:rsid w:val="00A64D81"/>
    <w:rsid w:val="00A64E07"/>
    <w:rsid w:val="00A64ECE"/>
    <w:rsid w:val="00A6511C"/>
    <w:rsid w:val="00A65238"/>
    <w:rsid w:val="00A652D0"/>
    <w:rsid w:val="00A655BC"/>
    <w:rsid w:val="00A65C92"/>
    <w:rsid w:val="00A660B6"/>
    <w:rsid w:val="00A6647F"/>
    <w:rsid w:val="00A665B0"/>
    <w:rsid w:val="00A667B8"/>
    <w:rsid w:val="00A66857"/>
    <w:rsid w:val="00A66C3A"/>
    <w:rsid w:val="00A66D12"/>
    <w:rsid w:val="00A66D7F"/>
    <w:rsid w:val="00A67041"/>
    <w:rsid w:val="00A6705B"/>
    <w:rsid w:val="00A67130"/>
    <w:rsid w:val="00A6715D"/>
    <w:rsid w:val="00A6716F"/>
    <w:rsid w:val="00A67179"/>
    <w:rsid w:val="00A67973"/>
    <w:rsid w:val="00A679B7"/>
    <w:rsid w:val="00A679BF"/>
    <w:rsid w:val="00A67F92"/>
    <w:rsid w:val="00A701FF"/>
    <w:rsid w:val="00A705CA"/>
    <w:rsid w:val="00A70B5B"/>
    <w:rsid w:val="00A70B72"/>
    <w:rsid w:val="00A70C87"/>
    <w:rsid w:val="00A70E63"/>
    <w:rsid w:val="00A7102B"/>
    <w:rsid w:val="00A71A23"/>
    <w:rsid w:val="00A71AFD"/>
    <w:rsid w:val="00A71BDD"/>
    <w:rsid w:val="00A71CC8"/>
    <w:rsid w:val="00A71D07"/>
    <w:rsid w:val="00A71DB4"/>
    <w:rsid w:val="00A72150"/>
    <w:rsid w:val="00A7229E"/>
    <w:rsid w:val="00A727A1"/>
    <w:rsid w:val="00A727D9"/>
    <w:rsid w:val="00A72C1C"/>
    <w:rsid w:val="00A72CDE"/>
    <w:rsid w:val="00A72E46"/>
    <w:rsid w:val="00A73239"/>
    <w:rsid w:val="00A732B6"/>
    <w:rsid w:val="00A73769"/>
    <w:rsid w:val="00A73A95"/>
    <w:rsid w:val="00A73C18"/>
    <w:rsid w:val="00A73E03"/>
    <w:rsid w:val="00A73FC1"/>
    <w:rsid w:val="00A7414B"/>
    <w:rsid w:val="00A7414D"/>
    <w:rsid w:val="00A741B2"/>
    <w:rsid w:val="00A742B3"/>
    <w:rsid w:val="00A7432B"/>
    <w:rsid w:val="00A745B2"/>
    <w:rsid w:val="00A74A76"/>
    <w:rsid w:val="00A74CE8"/>
    <w:rsid w:val="00A74D07"/>
    <w:rsid w:val="00A74E6E"/>
    <w:rsid w:val="00A750A1"/>
    <w:rsid w:val="00A75210"/>
    <w:rsid w:val="00A7521A"/>
    <w:rsid w:val="00A75515"/>
    <w:rsid w:val="00A7589D"/>
    <w:rsid w:val="00A75AD2"/>
    <w:rsid w:val="00A75D14"/>
    <w:rsid w:val="00A75EEB"/>
    <w:rsid w:val="00A75FB8"/>
    <w:rsid w:val="00A7633E"/>
    <w:rsid w:val="00A768CC"/>
    <w:rsid w:val="00A76A24"/>
    <w:rsid w:val="00A76A78"/>
    <w:rsid w:val="00A76CD4"/>
    <w:rsid w:val="00A76E50"/>
    <w:rsid w:val="00A76FFE"/>
    <w:rsid w:val="00A7721F"/>
    <w:rsid w:val="00A773B9"/>
    <w:rsid w:val="00A773E9"/>
    <w:rsid w:val="00A773FA"/>
    <w:rsid w:val="00A77B6C"/>
    <w:rsid w:val="00A80171"/>
    <w:rsid w:val="00A8026A"/>
    <w:rsid w:val="00A805CE"/>
    <w:rsid w:val="00A80967"/>
    <w:rsid w:val="00A80B2A"/>
    <w:rsid w:val="00A80B38"/>
    <w:rsid w:val="00A80E4E"/>
    <w:rsid w:val="00A810DE"/>
    <w:rsid w:val="00A81642"/>
    <w:rsid w:val="00A81728"/>
    <w:rsid w:val="00A81C0D"/>
    <w:rsid w:val="00A81EFB"/>
    <w:rsid w:val="00A82164"/>
    <w:rsid w:val="00A821E9"/>
    <w:rsid w:val="00A8234C"/>
    <w:rsid w:val="00A823AC"/>
    <w:rsid w:val="00A8252C"/>
    <w:rsid w:val="00A8263D"/>
    <w:rsid w:val="00A826FA"/>
    <w:rsid w:val="00A82704"/>
    <w:rsid w:val="00A829EC"/>
    <w:rsid w:val="00A82AF6"/>
    <w:rsid w:val="00A82FBA"/>
    <w:rsid w:val="00A8379C"/>
    <w:rsid w:val="00A83B15"/>
    <w:rsid w:val="00A84161"/>
    <w:rsid w:val="00A841BB"/>
    <w:rsid w:val="00A842C9"/>
    <w:rsid w:val="00A84519"/>
    <w:rsid w:val="00A84793"/>
    <w:rsid w:val="00A84A2E"/>
    <w:rsid w:val="00A84E98"/>
    <w:rsid w:val="00A84F7D"/>
    <w:rsid w:val="00A85079"/>
    <w:rsid w:val="00A8511A"/>
    <w:rsid w:val="00A853E2"/>
    <w:rsid w:val="00A8547B"/>
    <w:rsid w:val="00A85719"/>
    <w:rsid w:val="00A8577A"/>
    <w:rsid w:val="00A858E0"/>
    <w:rsid w:val="00A85958"/>
    <w:rsid w:val="00A85AD3"/>
    <w:rsid w:val="00A85F88"/>
    <w:rsid w:val="00A864A8"/>
    <w:rsid w:val="00A866CE"/>
    <w:rsid w:val="00A86967"/>
    <w:rsid w:val="00A86BB6"/>
    <w:rsid w:val="00A86C04"/>
    <w:rsid w:val="00A86DFE"/>
    <w:rsid w:val="00A86F59"/>
    <w:rsid w:val="00A86F8F"/>
    <w:rsid w:val="00A87230"/>
    <w:rsid w:val="00A872A1"/>
    <w:rsid w:val="00A87B5D"/>
    <w:rsid w:val="00A87FAA"/>
    <w:rsid w:val="00A90137"/>
    <w:rsid w:val="00A90323"/>
    <w:rsid w:val="00A90339"/>
    <w:rsid w:val="00A90388"/>
    <w:rsid w:val="00A905BF"/>
    <w:rsid w:val="00A90644"/>
    <w:rsid w:val="00A906C6"/>
    <w:rsid w:val="00A90709"/>
    <w:rsid w:val="00A90DD7"/>
    <w:rsid w:val="00A90E13"/>
    <w:rsid w:val="00A91008"/>
    <w:rsid w:val="00A91060"/>
    <w:rsid w:val="00A912C7"/>
    <w:rsid w:val="00A91334"/>
    <w:rsid w:val="00A91919"/>
    <w:rsid w:val="00A91C29"/>
    <w:rsid w:val="00A91CA7"/>
    <w:rsid w:val="00A91E5A"/>
    <w:rsid w:val="00A9221E"/>
    <w:rsid w:val="00A9232B"/>
    <w:rsid w:val="00A9256F"/>
    <w:rsid w:val="00A92C59"/>
    <w:rsid w:val="00A93394"/>
    <w:rsid w:val="00A935FA"/>
    <w:rsid w:val="00A93799"/>
    <w:rsid w:val="00A9399D"/>
    <w:rsid w:val="00A93D4E"/>
    <w:rsid w:val="00A93EBC"/>
    <w:rsid w:val="00A941FF"/>
    <w:rsid w:val="00A94295"/>
    <w:rsid w:val="00A94419"/>
    <w:rsid w:val="00A948B6"/>
    <w:rsid w:val="00A9492F"/>
    <w:rsid w:val="00A94B70"/>
    <w:rsid w:val="00A94BC2"/>
    <w:rsid w:val="00A94BFD"/>
    <w:rsid w:val="00A94D6D"/>
    <w:rsid w:val="00A94E47"/>
    <w:rsid w:val="00A956A2"/>
    <w:rsid w:val="00A958F0"/>
    <w:rsid w:val="00A958F9"/>
    <w:rsid w:val="00A959F6"/>
    <w:rsid w:val="00A95B6E"/>
    <w:rsid w:val="00A95C33"/>
    <w:rsid w:val="00A95E20"/>
    <w:rsid w:val="00A96141"/>
    <w:rsid w:val="00A96260"/>
    <w:rsid w:val="00A96536"/>
    <w:rsid w:val="00A9664B"/>
    <w:rsid w:val="00A9665E"/>
    <w:rsid w:val="00A96674"/>
    <w:rsid w:val="00A968C2"/>
    <w:rsid w:val="00A9690A"/>
    <w:rsid w:val="00A96B9D"/>
    <w:rsid w:val="00A96B9E"/>
    <w:rsid w:val="00A96E28"/>
    <w:rsid w:val="00A97191"/>
    <w:rsid w:val="00A97214"/>
    <w:rsid w:val="00A9742D"/>
    <w:rsid w:val="00A97567"/>
    <w:rsid w:val="00A9770E"/>
    <w:rsid w:val="00A977D0"/>
    <w:rsid w:val="00A97823"/>
    <w:rsid w:val="00A97DA4"/>
    <w:rsid w:val="00AA038B"/>
    <w:rsid w:val="00AA06CA"/>
    <w:rsid w:val="00AA0753"/>
    <w:rsid w:val="00AA0D96"/>
    <w:rsid w:val="00AA0E53"/>
    <w:rsid w:val="00AA11A4"/>
    <w:rsid w:val="00AA1219"/>
    <w:rsid w:val="00AA1566"/>
    <w:rsid w:val="00AA183D"/>
    <w:rsid w:val="00AA18D9"/>
    <w:rsid w:val="00AA19ED"/>
    <w:rsid w:val="00AA1A4C"/>
    <w:rsid w:val="00AA1B60"/>
    <w:rsid w:val="00AA1DCC"/>
    <w:rsid w:val="00AA22EA"/>
    <w:rsid w:val="00AA253C"/>
    <w:rsid w:val="00AA267E"/>
    <w:rsid w:val="00AA27D1"/>
    <w:rsid w:val="00AA2B05"/>
    <w:rsid w:val="00AA2B24"/>
    <w:rsid w:val="00AA2E09"/>
    <w:rsid w:val="00AA3292"/>
    <w:rsid w:val="00AA3357"/>
    <w:rsid w:val="00AA3463"/>
    <w:rsid w:val="00AA34E1"/>
    <w:rsid w:val="00AA3500"/>
    <w:rsid w:val="00AA3A08"/>
    <w:rsid w:val="00AA3B4F"/>
    <w:rsid w:val="00AA3B71"/>
    <w:rsid w:val="00AA3E15"/>
    <w:rsid w:val="00AA4009"/>
    <w:rsid w:val="00AA4050"/>
    <w:rsid w:val="00AA4088"/>
    <w:rsid w:val="00AA4826"/>
    <w:rsid w:val="00AA488B"/>
    <w:rsid w:val="00AA4CA4"/>
    <w:rsid w:val="00AA4DA8"/>
    <w:rsid w:val="00AA5621"/>
    <w:rsid w:val="00AA573C"/>
    <w:rsid w:val="00AA5ACD"/>
    <w:rsid w:val="00AA5D00"/>
    <w:rsid w:val="00AA64AC"/>
    <w:rsid w:val="00AA6CD6"/>
    <w:rsid w:val="00AA6DEE"/>
    <w:rsid w:val="00AA6F0C"/>
    <w:rsid w:val="00AA7145"/>
    <w:rsid w:val="00AA71F5"/>
    <w:rsid w:val="00AA74D0"/>
    <w:rsid w:val="00AA7571"/>
    <w:rsid w:val="00AA75C3"/>
    <w:rsid w:val="00AA7796"/>
    <w:rsid w:val="00AA7901"/>
    <w:rsid w:val="00AA7C94"/>
    <w:rsid w:val="00AB0343"/>
    <w:rsid w:val="00AB0562"/>
    <w:rsid w:val="00AB0629"/>
    <w:rsid w:val="00AB06C6"/>
    <w:rsid w:val="00AB09FF"/>
    <w:rsid w:val="00AB0A9C"/>
    <w:rsid w:val="00AB10AA"/>
    <w:rsid w:val="00AB1136"/>
    <w:rsid w:val="00AB147D"/>
    <w:rsid w:val="00AB14E5"/>
    <w:rsid w:val="00AB1524"/>
    <w:rsid w:val="00AB16EE"/>
    <w:rsid w:val="00AB17D6"/>
    <w:rsid w:val="00AB1918"/>
    <w:rsid w:val="00AB1991"/>
    <w:rsid w:val="00AB1A63"/>
    <w:rsid w:val="00AB1B79"/>
    <w:rsid w:val="00AB1ECD"/>
    <w:rsid w:val="00AB21CE"/>
    <w:rsid w:val="00AB23B9"/>
    <w:rsid w:val="00AB26F8"/>
    <w:rsid w:val="00AB281C"/>
    <w:rsid w:val="00AB2B82"/>
    <w:rsid w:val="00AB325A"/>
    <w:rsid w:val="00AB3296"/>
    <w:rsid w:val="00AB33B1"/>
    <w:rsid w:val="00AB35A5"/>
    <w:rsid w:val="00AB3721"/>
    <w:rsid w:val="00AB3C33"/>
    <w:rsid w:val="00AB3C86"/>
    <w:rsid w:val="00AB433F"/>
    <w:rsid w:val="00AB4376"/>
    <w:rsid w:val="00AB43A8"/>
    <w:rsid w:val="00AB477C"/>
    <w:rsid w:val="00AB49E6"/>
    <w:rsid w:val="00AB4A4E"/>
    <w:rsid w:val="00AB4A95"/>
    <w:rsid w:val="00AB4AB5"/>
    <w:rsid w:val="00AB4B2D"/>
    <w:rsid w:val="00AB4DC9"/>
    <w:rsid w:val="00AB4EBD"/>
    <w:rsid w:val="00AB4FBB"/>
    <w:rsid w:val="00AB50F7"/>
    <w:rsid w:val="00AB5100"/>
    <w:rsid w:val="00AB52C5"/>
    <w:rsid w:val="00AB530A"/>
    <w:rsid w:val="00AB532E"/>
    <w:rsid w:val="00AB5584"/>
    <w:rsid w:val="00AB574B"/>
    <w:rsid w:val="00AB58C1"/>
    <w:rsid w:val="00AB5E5A"/>
    <w:rsid w:val="00AB6428"/>
    <w:rsid w:val="00AB647E"/>
    <w:rsid w:val="00AB66DE"/>
    <w:rsid w:val="00AB672F"/>
    <w:rsid w:val="00AB68B0"/>
    <w:rsid w:val="00AB6A78"/>
    <w:rsid w:val="00AB6C7D"/>
    <w:rsid w:val="00AB7059"/>
    <w:rsid w:val="00AB7228"/>
    <w:rsid w:val="00AB73D4"/>
    <w:rsid w:val="00AB74E3"/>
    <w:rsid w:val="00AB75B7"/>
    <w:rsid w:val="00AB7A9F"/>
    <w:rsid w:val="00AB7AE7"/>
    <w:rsid w:val="00AC0097"/>
    <w:rsid w:val="00AC012F"/>
    <w:rsid w:val="00AC016E"/>
    <w:rsid w:val="00AC019C"/>
    <w:rsid w:val="00AC01BC"/>
    <w:rsid w:val="00AC0546"/>
    <w:rsid w:val="00AC0557"/>
    <w:rsid w:val="00AC06A1"/>
    <w:rsid w:val="00AC0C47"/>
    <w:rsid w:val="00AC0F4B"/>
    <w:rsid w:val="00AC0F89"/>
    <w:rsid w:val="00AC0FF0"/>
    <w:rsid w:val="00AC1028"/>
    <w:rsid w:val="00AC136D"/>
    <w:rsid w:val="00AC13D4"/>
    <w:rsid w:val="00AC13FE"/>
    <w:rsid w:val="00AC14E6"/>
    <w:rsid w:val="00AC1688"/>
    <w:rsid w:val="00AC1A14"/>
    <w:rsid w:val="00AC1A63"/>
    <w:rsid w:val="00AC1A78"/>
    <w:rsid w:val="00AC1A85"/>
    <w:rsid w:val="00AC1CCF"/>
    <w:rsid w:val="00AC1E52"/>
    <w:rsid w:val="00AC1EC9"/>
    <w:rsid w:val="00AC2001"/>
    <w:rsid w:val="00AC2882"/>
    <w:rsid w:val="00AC2A6B"/>
    <w:rsid w:val="00AC2B70"/>
    <w:rsid w:val="00AC2EB0"/>
    <w:rsid w:val="00AC32C2"/>
    <w:rsid w:val="00AC38E6"/>
    <w:rsid w:val="00AC3A37"/>
    <w:rsid w:val="00AC3DAC"/>
    <w:rsid w:val="00AC3DFF"/>
    <w:rsid w:val="00AC3EAE"/>
    <w:rsid w:val="00AC43CD"/>
    <w:rsid w:val="00AC4539"/>
    <w:rsid w:val="00AC4874"/>
    <w:rsid w:val="00AC4B17"/>
    <w:rsid w:val="00AC4DB7"/>
    <w:rsid w:val="00AC4DF8"/>
    <w:rsid w:val="00AC51D4"/>
    <w:rsid w:val="00AC58E2"/>
    <w:rsid w:val="00AC5E5D"/>
    <w:rsid w:val="00AC5EC5"/>
    <w:rsid w:val="00AC5FEE"/>
    <w:rsid w:val="00AC619D"/>
    <w:rsid w:val="00AC6394"/>
    <w:rsid w:val="00AC639F"/>
    <w:rsid w:val="00AC63AF"/>
    <w:rsid w:val="00AC6753"/>
    <w:rsid w:val="00AC6985"/>
    <w:rsid w:val="00AC6A58"/>
    <w:rsid w:val="00AC6BD7"/>
    <w:rsid w:val="00AC6C1A"/>
    <w:rsid w:val="00AC6DBC"/>
    <w:rsid w:val="00AC701C"/>
    <w:rsid w:val="00AC73F4"/>
    <w:rsid w:val="00AC75F0"/>
    <w:rsid w:val="00AC767F"/>
    <w:rsid w:val="00AC78A2"/>
    <w:rsid w:val="00AC7905"/>
    <w:rsid w:val="00AC7AA2"/>
    <w:rsid w:val="00AC7D64"/>
    <w:rsid w:val="00AC7D7E"/>
    <w:rsid w:val="00AC7D83"/>
    <w:rsid w:val="00AC7F9E"/>
    <w:rsid w:val="00AC7FCC"/>
    <w:rsid w:val="00AD0317"/>
    <w:rsid w:val="00AD0399"/>
    <w:rsid w:val="00AD0699"/>
    <w:rsid w:val="00AD076D"/>
    <w:rsid w:val="00AD094D"/>
    <w:rsid w:val="00AD0A26"/>
    <w:rsid w:val="00AD0E28"/>
    <w:rsid w:val="00AD105F"/>
    <w:rsid w:val="00AD12F6"/>
    <w:rsid w:val="00AD1794"/>
    <w:rsid w:val="00AD1923"/>
    <w:rsid w:val="00AD1AAE"/>
    <w:rsid w:val="00AD1B78"/>
    <w:rsid w:val="00AD1D15"/>
    <w:rsid w:val="00AD1F6A"/>
    <w:rsid w:val="00AD216E"/>
    <w:rsid w:val="00AD234B"/>
    <w:rsid w:val="00AD251C"/>
    <w:rsid w:val="00AD2539"/>
    <w:rsid w:val="00AD2910"/>
    <w:rsid w:val="00AD2BC1"/>
    <w:rsid w:val="00AD327E"/>
    <w:rsid w:val="00AD3316"/>
    <w:rsid w:val="00AD3430"/>
    <w:rsid w:val="00AD35B5"/>
    <w:rsid w:val="00AD373C"/>
    <w:rsid w:val="00AD3A82"/>
    <w:rsid w:val="00AD3D30"/>
    <w:rsid w:val="00AD3F74"/>
    <w:rsid w:val="00AD3FBF"/>
    <w:rsid w:val="00AD45D5"/>
    <w:rsid w:val="00AD4D25"/>
    <w:rsid w:val="00AD4E46"/>
    <w:rsid w:val="00AD4FFA"/>
    <w:rsid w:val="00AD5095"/>
    <w:rsid w:val="00AD51A5"/>
    <w:rsid w:val="00AD5432"/>
    <w:rsid w:val="00AD54D2"/>
    <w:rsid w:val="00AD5C4B"/>
    <w:rsid w:val="00AD5CBB"/>
    <w:rsid w:val="00AD6511"/>
    <w:rsid w:val="00AD6517"/>
    <w:rsid w:val="00AD6914"/>
    <w:rsid w:val="00AD6C14"/>
    <w:rsid w:val="00AD6CB7"/>
    <w:rsid w:val="00AD6D3D"/>
    <w:rsid w:val="00AD6D68"/>
    <w:rsid w:val="00AD6DD3"/>
    <w:rsid w:val="00AD7442"/>
    <w:rsid w:val="00AD74D2"/>
    <w:rsid w:val="00AD78B0"/>
    <w:rsid w:val="00AD794A"/>
    <w:rsid w:val="00AD79DD"/>
    <w:rsid w:val="00AD7CEB"/>
    <w:rsid w:val="00AD7DA1"/>
    <w:rsid w:val="00AD7DD2"/>
    <w:rsid w:val="00AE033E"/>
    <w:rsid w:val="00AE0411"/>
    <w:rsid w:val="00AE0507"/>
    <w:rsid w:val="00AE05BD"/>
    <w:rsid w:val="00AE073A"/>
    <w:rsid w:val="00AE0898"/>
    <w:rsid w:val="00AE0A55"/>
    <w:rsid w:val="00AE0B81"/>
    <w:rsid w:val="00AE1132"/>
    <w:rsid w:val="00AE127B"/>
    <w:rsid w:val="00AE146D"/>
    <w:rsid w:val="00AE15FD"/>
    <w:rsid w:val="00AE16F1"/>
    <w:rsid w:val="00AE16F2"/>
    <w:rsid w:val="00AE171F"/>
    <w:rsid w:val="00AE1762"/>
    <w:rsid w:val="00AE1B85"/>
    <w:rsid w:val="00AE1CB5"/>
    <w:rsid w:val="00AE1D5B"/>
    <w:rsid w:val="00AE1D93"/>
    <w:rsid w:val="00AE1E77"/>
    <w:rsid w:val="00AE1E84"/>
    <w:rsid w:val="00AE2355"/>
    <w:rsid w:val="00AE2553"/>
    <w:rsid w:val="00AE28A0"/>
    <w:rsid w:val="00AE28A6"/>
    <w:rsid w:val="00AE2C58"/>
    <w:rsid w:val="00AE2DDB"/>
    <w:rsid w:val="00AE3271"/>
    <w:rsid w:val="00AE3298"/>
    <w:rsid w:val="00AE3362"/>
    <w:rsid w:val="00AE33E2"/>
    <w:rsid w:val="00AE3652"/>
    <w:rsid w:val="00AE3BAC"/>
    <w:rsid w:val="00AE3BFC"/>
    <w:rsid w:val="00AE414B"/>
    <w:rsid w:val="00AE4295"/>
    <w:rsid w:val="00AE4423"/>
    <w:rsid w:val="00AE4890"/>
    <w:rsid w:val="00AE48EA"/>
    <w:rsid w:val="00AE4A5A"/>
    <w:rsid w:val="00AE4CAF"/>
    <w:rsid w:val="00AE5538"/>
    <w:rsid w:val="00AE5590"/>
    <w:rsid w:val="00AE56B9"/>
    <w:rsid w:val="00AE5816"/>
    <w:rsid w:val="00AE5853"/>
    <w:rsid w:val="00AE5D15"/>
    <w:rsid w:val="00AE5FAF"/>
    <w:rsid w:val="00AE6297"/>
    <w:rsid w:val="00AE6371"/>
    <w:rsid w:val="00AE6683"/>
    <w:rsid w:val="00AE6AEF"/>
    <w:rsid w:val="00AE6C23"/>
    <w:rsid w:val="00AE6CA6"/>
    <w:rsid w:val="00AE6F4B"/>
    <w:rsid w:val="00AE76C6"/>
    <w:rsid w:val="00AE7898"/>
    <w:rsid w:val="00AE78FC"/>
    <w:rsid w:val="00AE7C7D"/>
    <w:rsid w:val="00AE7EDE"/>
    <w:rsid w:val="00AF0231"/>
    <w:rsid w:val="00AF03C6"/>
    <w:rsid w:val="00AF1031"/>
    <w:rsid w:val="00AF1515"/>
    <w:rsid w:val="00AF1789"/>
    <w:rsid w:val="00AF1C82"/>
    <w:rsid w:val="00AF20BC"/>
    <w:rsid w:val="00AF2245"/>
    <w:rsid w:val="00AF246F"/>
    <w:rsid w:val="00AF29F0"/>
    <w:rsid w:val="00AF2FA1"/>
    <w:rsid w:val="00AF30A9"/>
    <w:rsid w:val="00AF30C4"/>
    <w:rsid w:val="00AF31E6"/>
    <w:rsid w:val="00AF346A"/>
    <w:rsid w:val="00AF368D"/>
    <w:rsid w:val="00AF39A5"/>
    <w:rsid w:val="00AF3DF9"/>
    <w:rsid w:val="00AF3E34"/>
    <w:rsid w:val="00AF3E37"/>
    <w:rsid w:val="00AF4014"/>
    <w:rsid w:val="00AF479A"/>
    <w:rsid w:val="00AF4AF3"/>
    <w:rsid w:val="00AF4CE5"/>
    <w:rsid w:val="00AF4D02"/>
    <w:rsid w:val="00AF522C"/>
    <w:rsid w:val="00AF5235"/>
    <w:rsid w:val="00AF546A"/>
    <w:rsid w:val="00AF57E6"/>
    <w:rsid w:val="00AF5A7C"/>
    <w:rsid w:val="00AF5E00"/>
    <w:rsid w:val="00AF5FA1"/>
    <w:rsid w:val="00AF604B"/>
    <w:rsid w:val="00AF613C"/>
    <w:rsid w:val="00AF6313"/>
    <w:rsid w:val="00AF65AD"/>
    <w:rsid w:val="00AF665B"/>
    <w:rsid w:val="00AF6D0D"/>
    <w:rsid w:val="00AF72B5"/>
    <w:rsid w:val="00AF7518"/>
    <w:rsid w:val="00AF75AA"/>
    <w:rsid w:val="00AF76FA"/>
    <w:rsid w:val="00B00210"/>
    <w:rsid w:val="00B003AA"/>
    <w:rsid w:val="00B00506"/>
    <w:rsid w:val="00B00509"/>
    <w:rsid w:val="00B00B96"/>
    <w:rsid w:val="00B00C37"/>
    <w:rsid w:val="00B01516"/>
    <w:rsid w:val="00B01538"/>
    <w:rsid w:val="00B016AB"/>
    <w:rsid w:val="00B01784"/>
    <w:rsid w:val="00B01A93"/>
    <w:rsid w:val="00B01AFD"/>
    <w:rsid w:val="00B01D7C"/>
    <w:rsid w:val="00B01DE5"/>
    <w:rsid w:val="00B01E68"/>
    <w:rsid w:val="00B01EB7"/>
    <w:rsid w:val="00B02558"/>
    <w:rsid w:val="00B02696"/>
    <w:rsid w:val="00B02CF4"/>
    <w:rsid w:val="00B031AA"/>
    <w:rsid w:val="00B03266"/>
    <w:rsid w:val="00B035C5"/>
    <w:rsid w:val="00B0376F"/>
    <w:rsid w:val="00B03A1A"/>
    <w:rsid w:val="00B03A3A"/>
    <w:rsid w:val="00B03C1A"/>
    <w:rsid w:val="00B03C71"/>
    <w:rsid w:val="00B03F72"/>
    <w:rsid w:val="00B03FC2"/>
    <w:rsid w:val="00B03FCD"/>
    <w:rsid w:val="00B03FE0"/>
    <w:rsid w:val="00B0402E"/>
    <w:rsid w:val="00B0409D"/>
    <w:rsid w:val="00B045D5"/>
    <w:rsid w:val="00B045F2"/>
    <w:rsid w:val="00B04904"/>
    <w:rsid w:val="00B055B5"/>
    <w:rsid w:val="00B05A2D"/>
    <w:rsid w:val="00B05E60"/>
    <w:rsid w:val="00B05EBB"/>
    <w:rsid w:val="00B05F3A"/>
    <w:rsid w:val="00B05FFA"/>
    <w:rsid w:val="00B06095"/>
    <w:rsid w:val="00B066C4"/>
    <w:rsid w:val="00B067AE"/>
    <w:rsid w:val="00B06854"/>
    <w:rsid w:val="00B06AE7"/>
    <w:rsid w:val="00B06E21"/>
    <w:rsid w:val="00B07165"/>
    <w:rsid w:val="00B0725D"/>
    <w:rsid w:val="00B073CC"/>
    <w:rsid w:val="00B073D4"/>
    <w:rsid w:val="00B07FAE"/>
    <w:rsid w:val="00B10147"/>
    <w:rsid w:val="00B10425"/>
    <w:rsid w:val="00B10461"/>
    <w:rsid w:val="00B109CB"/>
    <w:rsid w:val="00B10B5C"/>
    <w:rsid w:val="00B10BF0"/>
    <w:rsid w:val="00B10EF5"/>
    <w:rsid w:val="00B110B9"/>
    <w:rsid w:val="00B1162A"/>
    <w:rsid w:val="00B11AC3"/>
    <w:rsid w:val="00B11B8D"/>
    <w:rsid w:val="00B11EA3"/>
    <w:rsid w:val="00B11F51"/>
    <w:rsid w:val="00B11FA5"/>
    <w:rsid w:val="00B12834"/>
    <w:rsid w:val="00B12861"/>
    <w:rsid w:val="00B12C58"/>
    <w:rsid w:val="00B13035"/>
    <w:rsid w:val="00B130F5"/>
    <w:rsid w:val="00B132D6"/>
    <w:rsid w:val="00B1362F"/>
    <w:rsid w:val="00B1365B"/>
    <w:rsid w:val="00B13C90"/>
    <w:rsid w:val="00B13DB9"/>
    <w:rsid w:val="00B13E54"/>
    <w:rsid w:val="00B14232"/>
    <w:rsid w:val="00B14363"/>
    <w:rsid w:val="00B14485"/>
    <w:rsid w:val="00B1463D"/>
    <w:rsid w:val="00B147AD"/>
    <w:rsid w:val="00B14A6D"/>
    <w:rsid w:val="00B14BC5"/>
    <w:rsid w:val="00B14C20"/>
    <w:rsid w:val="00B14FAC"/>
    <w:rsid w:val="00B150AC"/>
    <w:rsid w:val="00B1528B"/>
    <w:rsid w:val="00B155CB"/>
    <w:rsid w:val="00B15CD3"/>
    <w:rsid w:val="00B15D2E"/>
    <w:rsid w:val="00B15D43"/>
    <w:rsid w:val="00B15DA3"/>
    <w:rsid w:val="00B15EE6"/>
    <w:rsid w:val="00B15F0A"/>
    <w:rsid w:val="00B15F81"/>
    <w:rsid w:val="00B161BF"/>
    <w:rsid w:val="00B16375"/>
    <w:rsid w:val="00B16474"/>
    <w:rsid w:val="00B164C5"/>
    <w:rsid w:val="00B16638"/>
    <w:rsid w:val="00B166A6"/>
    <w:rsid w:val="00B16B37"/>
    <w:rsid w:val="00B16DAC"/>
    <w:rsid w:val="00B16FD8"/>
    <w:rsid w:val="00B17164"/>
    <w:rsid w:val="00B172DA"/>
    <w:rsid w:val="00B172FE"/>
    <w:rsid w:val="00B17753"/>
    <w:rsid w:val="00B1775C"/>
    <w:rsid w:val="00B177EC"/>
    <w:rsid w:val="00B178B7"/>
    <w:rsid w:val="00B17FBE"/>
    <w:rsid w:val="00B201A6"/>
    <w:rsid w:val="00B20706"/>
    <w:rsid w:val="00B20906"/>
    <w:rsid w:val="00B20BD2"/>
    <w:rsid w:val="00B20BF7"/>
    <w:rsid w:val="00B21437"/>
    <w:rsid w:val="00B214C7"/>
    <w:rsid w:val="00B2164B"/>
    <w:rsid w:val="00B218A0"/>
    <w:rsid w:val="00B21C96"/>
    <w:rsid w:val="00B21D3C"/>
    <w:rsid w:val="00B21D75"/>
    <w:rsid w:val="00B221BB"/>
    <w:rsid w:val="00B223CC"/>
    <w:rsid w:val="00B224B9"/>
    <w:rsid w:val="00B22765"/>
    <w:rsid w:val="00B22915"/>
    <w:rsid w:val="00B229F6"/>
    <w:rsid w:val="00B22AD3"/>
    <w:rsid w:val="00B22D3B"/>
    <w:rsid w:val="00B22E80"/>
    <w:rsid w:val="00B22E85"/>
    <w:rsid w:val="00B230B6"/>
    <w:rsid w:val="00B2327A"/>
    <w:rsid w:val="00B2353D"/>
    <w:rsid w:val="00B2393B"/>
    <w:rsid w:val="00B23B1F"/>
    <w:rsid w:val="00B23B42"/>
    <w:rsid w:val="00B23C16"/>
    <w:rsid w:val="00B23E24"/>
    <w:rsid w:val="00B23E66"/>
    <w:rsid w:val="00B2426F"/>
    <w:rsid w:val="00B24327"/>
    <w:rsid w:val="00B24B91"/>
    <w:rsid w:val="00B24BD0"/>
    <w:rsid w:val="00B24D6B"/>
    <w:rsid w:val="00B250A1"/>
    <w:rsid w:val="00B250C9"/>
    <w:rsid w:val="00B2511D"/>
    <w:rsid w:val="00B253AB"/>
    <w:rsid w:val="00B25542"/>
    <w:rsid w:val="00B2599A"/>
    <w:rsid w:val="00B25A40"/>
    <w:rsid w:val="00B25AC3"/>
    <w:rsid w:val="00B25FC2"/>
    <w:rsid w:val="00B261EA"/>
    <w:rsid w:val="00B2624D"/>
    <w:rsid w:val="00B26362"/>
    <w:rsid w:val="00B263BB"/>
    <w:rsid w:val="00B26474"/>
    <w:rsid w:val="00B2658A"/>
    <w:rsid w:val="00B26673"/>
    <w:rsid w:val="00B26A07"/>
    <w:rsid w:val="00B26F6A"/>
    <w:rsid w:val="00B2700D"/>
    <w:rsid w:val="00B271D9"/>
    <w:rsid w:val="00B2729D"/>
    <w:rsid w:val="00B272F2"/>
    <w:rsid w:val="00B27C88"/>
    <w:rsid w:val="00B27E7E"/>
    <w:rsid w:val="00B27EA8"/>
    <w:rsid w:val="00B27ED1"/>
    <w:rsid w:val="00B27F11"/>
    <w:rsid w:val="00B300C2"/>
    <w:rsid w:val="00B30276"/>
    <w:rsid w:val="00B30315"/>
    <w:rsid w:val="00B30399"/>
    <w:rsid w:val="00B303A1"/>
    <w:rsid w:val="00B30598"/>
    <w:rsid w:val="00B30617"/>
    <w:rsid w:val="00B30662"/>
    <w:rsid w:val="00B30921"/>
    <w:rsid w:val="00B30C06"/>
    <w:rsid w:val="00B30F08"/>
    <w:rsid w:val="00B30F29"/>
    <w:rsid w:val="00B30F93"/>
    <w:rsid w:val="00B31050"/>
    <w:rsid w:val="00B31255"/>
    <w:rsid w:val="00B313E3"/>
    <w:rsid w:val="00B31875"/>
    <w:rsid w:val="00B3188A"/>
    <w:rsid w:val="00B3193F"/>
    <w:rsid w:val="00B31988"/>
    <w:rsid w:val="00B31F8D"/>
    <w:rsid w:val="00B32078"/>
    <w:rsid w:val="00B32490"/>
    <w:rsid w:val="00B3263C"/>
    <w:rsid w:val="00B32821"/>
    <w:rsid w:val="00B32A21"/>
    <w:rsid w:val="00B32D24"/>
    <w:rsid w:val="00B32DFD"/>
    <w:rsid w:val="00B32E85"/>
    <w:rsid w:val="00B3322B"/>
    <w:rsid w:val="00B3350B"/>
    <w:rsid w:val="00B33657"/>
    <w:rsid w:val="00B33708"/>
    <w:rsid w:val="00B33866"/>
    <w:rsid w:val="00B33BF4"/>
    <w:rsid w:val="00B33D4A"/>
    <w:rsid w:val="00B33F31"/>
    <w:rsid w:val="00B3483D"/>
    <w:rsid w:val="00B34B80"/>
    <w:rsid w:val="00B34B90"/>
    <w:rsid w:val="00B34C21"/>
    <w:rsid w:val="00B34D56"/>
    <w:rsid w:val="00B3532E"/>
    <w:rsid w:val="00B354D4"/>
    <w:rsid w:val="00B35550"/>
    <w:rsid w:val="00B3599B"/>
    <w:rsid w:val="00B35F2F"/>
    <w:rsid w:val="00B3614F"/>
    <w:rsid w:val="00B36169"/>
    <w:rsid w:val="00B363C4"/>
    <w:rsid w:val="00B363DD"/>
    <w:rsid w:val="00B363E7"/>
    <w:rsid w:val="00B364EA"/>
    <w:rsid w:val="00B36746"/>
    <w:rsid w:val="00B36860"/>
    <w:rsid w:val="00B369C6"/>
    <w:rsid w:val="00B36CC6"/>
    <w:rsid w:val="00B36E75"/>
    <w:rsid w:val="00B36FD8"/>
    <w:rsid w:val="00B37006"/>
    <w:rsid w:val="00B37221"/>
    <w:rsid w:val="00B376BB"/>
    <w:rsid w:val="00B377C5"/>
    <w:rsid w:val="00B37982"/>
    <w:rsid w:val="00B37B62"/>
    <w:rsid w:val="00B37F70"/>
    <w:rsid w:val="00B40190"/>
    <w:rsid w:val="00B401C0"/>
    <w:rsid w:val="00B401D2"/>
    <w:rsid w:val="00B404A8"/>
    <w:rsid w:val="00B404DB"/>
    <w:rsid w:val="00B404F6"/>
    <w:rsid w:val="00B408B7"/>
    <w:rsid w:val="00B40AD8"/>
    <w:rsid w:val="00B40E61"/>
    <w:rsid w:val="00B412ED"/>
    <w:rsid w:val="00B41332"/>
    <w:rsid w:val="00B413CD"/>
    <w:rsid w:val="00B41402"/>
    <w:rsid w:val="00B4142D"/>
    <w:rsid w:val="00B415DC"/>
    <w:rsid w:val="00B417BE"/>
    <w:rsid w:val="00B417FA"/>
    <w:rsid w:val="00B41998"/>
    <w:rsid w:val="00B41AE8"/>
    <w:rsid w:val="00B4206A"/>
    <w:rsid w:val="00B420E8"/>
    <w:rsid w:val="00B42125"/>
    <w:rsid w:val="00B42199"/>
    <w:rsid w:val="00B421E6"/>
    <w:rsid w:val="00B4221E"/>
    <w:rsid w:val="00B426C8"/>
    <w:rsid w:val="00B4278B"/>
    <w:rsid w:val="00B42B8F"/>
    <w:rsid w:val="00B42CD7"/>
    <w:rsid w:val="00B42E39"/>
    <w:rsid w:val="00B42E48"/>
    <w:rsid w:val="00B42F45"/>
    <w:rsid w:val="00B4314A"/>
    <w:rsid w:val="00B431FB"/>
    <w:rsid w:val="00B432DE"/>
    <w:rsid w:val="00B4332E"/>
    <w:rsid w:val="00B4337B"/>
    <w:rsid w:val="00B438F9"/>
    <w:rsid w:val="00B43F70"/>
    <w:rsid w:val="00B44795"/>
    <w:rsid w:val="00B44853"/>
    <w:rsid w:val="00B44AAE"/>
    <w:rsid w:val="00B44BA6"/>
    <w:rsid w:val="00B44C26"/>
    <w:rsid w:val="00B4506C"/>
    <w:rsid w:val="00B453F3"/>
    <w:rsid w:val="00B45657"/>
    <w:rsid w:val="00B45DE8"/>
    <w:rsid w:val="00B45E48"/>
    <w:rsid w:val="00B465E0"/>
    <w:rsid w:val="00B468AF"/>
    <w:rsid w:val="00B46FAE"/>
    <w:rsid w:val="00B47016"/>
    <w:rsid w:val="00B47059"/>
    <w:rsid w:val="00B47151"/>
    <w:rsid w:val="00B47213"/>
    <w:rsid w:val="00B47591"/>
    <w:rsid w:val="00B47CCF"/>
    <w:rsid w:val="00B47CD8"/>
    <w:rsid w:val="00B47FE9"/>
    <w:rsid w:val="00B5035B"/>
    <w:rsid w:val="00B505BF"/>
    <w:rsid w:val="00B50723"/>
    <w:rsid w:val="00B50799"/>
    <w:rsid w:val="00B50A2E"/>
    <w:rsid w:val="00B50C31"/>
    <w:rsid w:val="00B50F9C"/>
    <w:rsid w:val="00B511DB"/>
    <w:rsid w:val="00B513B9"/>
    <w:rsid w:val="00B518AE"/>
    <w:rsid w:val="00B51AA4"/>
    <w:rsid w:val="00B51B39"/>
    <w:rsid w:val="00B51C88"/>
    <w:rsid w:val="00B51E69"/>
    <w:rsid w:val="00B521D0"/>
    <w:rsid w:val="00B52648"/>
    <w:rsid w:val="00B528E9"/>
    <w:rsid w:val="00B529C4"/>
    <w:rsid w:val="00B52D0C"/>
    <w:rsid w:val="00B52F01"/>
    <w:rsid w:val="00B530D1"/>
    <w:rsid w:val="00B5317E"/>
    <w:rsid w:val="00B53552"/>
    <w:rsid w:val="00B5363C"/>
    <w:rsid w:val="00B537C4"/>
    <w:rsid w:val="00B53841"/>
    <w:rsid w:val="00B538AC"/>
    <w:rsid w:val="00B53BCF"/>
    <w:rsid w:val="00B53C18"/>
    <w:rsid w:val="00B53FA9"/>
    <w:rsid w:val="00B5400D"/>
    <w:rsid w:val="00B54779"/>
    <w:rsid w:val="00B54E88"/>
    <w:rsid w:val="00B54F85"/>
    <w:rsid w:val="00B55151"/>
    <w:rsid w:val="00B551F9"/>
    <w:rsid w:val="00B55488"/>
    <w:rsid w:val="00B556BC"/>
    <w:rsid w:val="00B558DB"/>
    <w:rsid w:val="00B55955"/>
    <w:rsid w:val="00B55A09"/>
    <w:rsid w:val="00B55B01"/>
    <w:rsid w:val="00B55B94"/>
    <w:rsid w:val="00B55BF0"/>
    <w:rsid w:val="00B55D03"/>
    <w:rsid w:val="00B561E9"/>
    <w:rsid w:val="00B561FC"/>
    <w:rsid w:val="00B563AB"/>
    <w:rsid w:val="00B56C93"/>
    <w:rsid w:val="00B56D35"/>
    <w:rsid w:val="00B56D9F"/>
    <w:rsid w:val="00B57084"/>
    <w:rsid w:val="00B57171"/>
    <w:rsid w:val="00B57194"/>
    <w:rsid w:val="00B57496"/>
    <w:rsid w:val="00B57950"/>
    <w:rsid w:val="00B57C69"/>
    <w:rsid w:val="00B57D4D"/>
    <w:rsid w:val="00B57D98"/>
    <w:rsid w:val="00B60046"/>
    <w:rsid w:val="00B60819"/>
    <w:rsid w:val="00B60A47"/>
    <w:rsid w:val="00B60BBC"/>
    <w:rsid w:val="00B60EB0"/>
    <w:rsid w:val="00B61103"/>
    <w:rsid w:val="00B61236"/>
    <w:rsid w:val="00B61434"/>
    <w:rsid w:val="00B614AF"/>
    <w:rsid w:val="00B61712"/>
    <w:rsid w:val="00B61D4D"/>
    <w:rsid w:val="00B61E9B"/>
    <w:rsid w:val="00B626A2"/>
    <w:rsid w:val="00B62919"/>
    <w:rsid w:val="00B62F71"/>
    <w:rsid w:val="00B630A8"/>
    <w:rsid w:val="00B6367C"/>
    <w:rsid w:val="00B6379D"/>
    <w:rsid w:val="00B637E7"/>
    <w:rsid w:val="00B63E1E"/>
    <w:rsid w:val="00B63E8C"/>
    <w:rsid w:val="00B63FB6"/>
    <w:rsid w:val="00B63FF9"/>
    <w:rsid w:val="00B6414D"/>
    <w:rsid w:val="00B641F1"/>
    <w:rsid w:val="00B642F7"/>
    <w:rsid w:val="00B64328"/>
    <w:rsid w:val="00B6478E"/>
    <w:rsid w:val="00B64868"/>
    <w:rsid w:val="00B64AA3"/>
    <w:rsid w:val="00B64E2D"/>
    <w:rsid w:val="00B64E3E"/>
    <w:rsid w:val="00B65014"/>
    <w:rsid w:val="00B6551F"/>
    <w:rsid w:val="00B65714"/>
    <w:rsid w:val="00B65726"/>
    <w:rsid w:val="00B65921"/>
    <w:rsid w:val="00B65C10"/>
    <w:rsid w:val="00B65C5D"/>
    <w:rsid w:val="00B65E31"/>
    <w:rsid w:val="00B65F28"/>
    <w:rsid w:val="00B6604C"/>
    <w:rsid w:val="00B660F9"/>
    <w:rsid w:val="00B66122"/>
    <w:rsid w:val="00B6624C"/>
    <w:rsid w:val="00B66C8E"/>
    <w:rsid w:val="00B66F76"/>
    <w:rsid w:val="00B66FA0"/>
    <w:rsid w:val="00B6707E"/>
    <w:rsid w:val="00B670DE"/>
    <w:rsid w:val="00B672FF"/>
    <w:rsid w:val="00B673C6"/>
    <w:rsid w:val="00B67507"/>
    <w:rsid w:val="00B67682"/>
    <w:rsid w:val="00B6779D"/>
    <w:rsid w:val="00B67C42"/>
    <w:rsid w:val="00B67DA0"/>
    <w:rsid w:val="00B67EC7"/>
    <w:rsid w:val="00B7015B"/>
    <w:rsid w:val="00B704F7"/>
    <w:rsid w:val="00B7061A"/>
    <w:rsid w:val="00B7078A"/>
    <w:rsid w:val="00B707F1"/>
    <w:rsid w:val="00B7098D"/>
    <w:rsid w:val="00B70BC1"/>
    <w:rsid w:val="00B70C6B"/>
    <w:rsid w:val="00B718BF"/>
    <w:rsid w:val="00B72144"/>
    <w:rsid w:val="00B722E4"/>
    <w:rsid w:val="00B7235B"/>
    <w:rsid w:val="00B7243C"/>
    <w:rsid w:val="00B7256E"/>
    <w:rsid w:val="00B72B02"/>
    <w:rsid w:val="00B72BA4"/>
    <w:rsid w:val="00B72E09"/>
    <w:rsid w:val="00B72F56"/>
    <w:rsid w:val="00B7341B"/>
    <w:rsid w:val="00B734A8"/>
    <w:rsid w:val="00B7364C"/>
    <w:rsid w:val="00B7366A"/>
    <w:rsid w:val="00B7396F"/>
    <w:rsid w:val="00B73A7A"/>
    <w:rsid w:val="00B73D8A"/>
    <w:rsid w:val="00B74191"/>
    <w:rsid w:val="00B741CF"/>
    <w:rsid w:val="00B742BD"/>
    <w:rsid w:val="00B7432E"/>
    <w:rsid w:val="00B7448E"/>
    <w:rsid w:val="00B74643"/>
    <w:rsid w:val="00B74FB0"/>
    <w:rsid w:val="00B75033"/>
    <w:rsid w:val="00B75198"/>
    <w:rsid w:val="00B75281"/>
    <w:rsid w:val="00B75875"/>
    <w:rsid w:val="00B75C7F"/>
    <w:rsid w:val="00B75CBF"/>
    <w:rsid w:val="00B75CDE"/>
    <w:rsid w:val="00B75D15"/>
    <w:rsid w:val="00B7611E"/>
    <w:rsid w:val="00B763F6"/>
    <w:rsid w:val="00B764E4"/>
    <w:rsid w:val="00B76684"/>
    <w:rsid w:val="00B766AA"/>
    <w:rsid w:val="00B76E75"/>
    <w:rsid w:val="00B76F01"/>
    <w:rsid w:val="00B7717E"/>
    <w:rsid w:val="00B7747A"/>
    <w:rsid w:val="00B778E7"/>
    <w:rsid w:val="00B77D3E"/>
    <w:rsid w:val="00B77F3F"/>
    <w:rsid w:val="00B803A2"/>
    <w:rsid w:val="00B803BD"/>
    <w:rsid w:val="00B80B5A"/>
    <w:rsid w:val="00B80B91"/>
    <w:rsid w:val="00B80B96"/>
    <w:rsid w:val="00B80BB1"/>
    <w:rsid w:val="00B80EC1"/>
    <w:rsid w:val="00B81300"/>
    <w:rsid w:val="00B81645"/>
    <w:rsid w:val="00B81788"/>
    <w:rsid w:val="00B81BAC"/>
    <w:rsid w:val="00B82049"/>
    <w:rsid w:val="00B8204D"/>
    <w:rsid w:val="00B822A2"/>
    <w:rsid w:val="00B822F9"/>
    <w:rsid w:val="00B823B7"/>
    <w:rsid w:val="00B82490"/>
    <w:rsid w:val="00B824D5"/>
    <w:rsid w:val="00B8250B"/>
    <w:rsid w:val="00B82542"/>
    <w:rsid w:val="00B82D5D"/>
    <w:rsid w:val="00B82F69"/>
    <w:rsid w:val="00B82FBE"/>
    <w:rsid w:val="00B830DD"/>
    <w:rsid w:val="00B83315"/>
    <w:rsid w:val="00B8352B"/>
    <w:rsid w:val="00B8365D"/>
    <w:rsid w:val="00B8394C"/>
    <w:rsid w:val="00B839D9"/>
    <w:rsid w:val="00B846A7"/>
    <w:rsid w:val="00B847D0"/>
    <w:rsid w:val="00B84870"/>
    <w:rsid w:val="00B848EE"/>
    <w:rsid w:val="00B84C6D"/>
    <w:rsid w:val="00B84D9E"/>
    <w:rsid w:val="00B84E7E"/>
    <w:rsid w:val="00B84F24"/>
    <w:rsid w:val="00B85096"/>
    <w:rsid w:val="00B8538D"/>
    <w:rsid w:val="00B8554E"/>
    <w:rsid w:val="00B857CC"/>
    <w:rsid w:val="00B85E46"/>
    <w:rsid w:val="00B85E91"/>
    <w:rsid w:val="00B85F94"/>
    <w:rsid w:val="00B86029"/>
    <w:rsid w:val="00B8612D"/>
    <w:rsid w:val="00B865BF"/>
    <w:rsid w:val="00B8687F"/>
    <w:rsid w:val="00B87500"/>
    <w:rsid w:val="00B8753F"/>
    <w:rsid w:val="00B87BB8"/>
    <w:rsid w:val="00B87D61"/>
    <w:rsid w:val="00B87E79"/>
    <w:rsid w:val="00B9087F"/>
    <w:rsid w:val="00B908B2"/>
    <w:rsid w:val="00B908DF"/>
    <w:rsid w:val="00B90C14"/>
    <w:rsid w:val="00B90E06"/>
    <w:rsid w:val="00B910A0"/>
    <w:rsid w:val="00B91133"/>
    <w:rsid w:val="00B91241"/>
    <w:rsid w:val="00B91438"/>
    <w:rsid w:val="00B91D8F"/>
    <w:rsid w:val="00B91E47"/>
    <w:rsid w:val="00B91EDD"/>
    <w:rsid w:val="00B91EFF"/>
    <w:rsid w:val="00B92042"/>
    <w:rsid w:val="00B920C5"/>
    <w:rsid w:val="00B92340"/>
    <w:rsid w:val="00B92404"/>
    <w:rsid w:val="00B9264D"/>
    <w:rsid w:val="00B92928"/>
    <w:rsid w:val="00B92B68"/>
    <w:rsid w:val="00B92E09"/>
    <w:rsid w:val="00B92EF1"/>
    <w:rsid w:val="00B93080"/>
    <w:rsid w:val="00B93243"/>
    <w:rsid w:val="00B937C4"/>
    <w:rsid w:val="00B937E2"/>
    <w:rsid w:val="00B93B09"/>
    <w:rsid w:val="00B93B41"/>
    <w:rsid w:val="00B93BC3"/>
    <w:rsid w:val="00B93C1C"/>
    <w:rsid w:val="00B93C8D"/>
    <w:rsid w:val="00B93D5E"/>
    <w:rsid w:val="00B940CD"/>
    <w:rsid w:val="00B94171"/>
    <w:rsid w:val="00B9431B"/>
    <w:rsid w:val="00B943A4"/>
    <w:rsid w:val="00B943AB"/>
    <w:rsid w:val="00B9447A"/>
    <w:rsid w:val="00B94733"/>
    <w:rsid w:val="00B94857"/>
    <w:rsid w:val="00B94C59"/>
    <w:rsid w:val="00B94CAB"/>
    <w:rsid w:val="00B94FA7"/>
    <w:rsid w:val="00B950DF"/>
    <w:rsid w:val="00B9517D"/>
    <w:rsid w:val="00B95303"/>
    <w:rsid w:val="00B9533E"/>
    <w:rsid w:val="00B954EB"/>
    <w:rsid w:val="00B958AB"/>
    <w:rsid w:val="00B95926"/>
    <w:rsid w:val="00B95A61"/>
    <w:rsid w:val="00B95A78"/>
    <w:rsid w:val="00B95DDF"/>
    <w:rsid w:val="00B95F43"/>
    <w:rsid w:val="00B960D2"/>
    <w:rsid w:val="00B9616F"/>
    <w:rsid w:val="00B9662F"/>
    <w:rsid w:val="00B96D2A"/>
    <w:rsid w:val="00B96E2F"/>
    <w:rsid w:val="00B96F4E"/>
    <w:rsid w:val="00B9721E"/>
    <w:rsid w:val="00B9767C"/>
    <w:rsid w:val="00B977A8"/>
    <w:rsid w:val="00B9788F"/>
    <w:rsid w:val="00B97921"/>
    <w:rsid w:val="00B97B07"/>
    <w:rsid w:val="00B97C2F"/>
    <w:rsid w:val="00B97CFE"/>
    <w:rsid w:val="00B97E16"/>
    <w:rsid w:val="00B97E73"/>
    <w:rsid w:val="00BA0349"/>
    <w:rsid w:val="00BA06F0"/>
    <w:rsid w:val="00BA07CE"/>
    <w:rsid w:val="00BA0C13"/>
    <w:rsid w:val="00BA0CA4"/>
    <w:rsid w:val="00BA0D1D"/>
    <w:rsid w:val="00BA0ED2"/>
    <w:rsid w:val="00BA12A3"/>
    <w:rsid w:val="00BA16CE"/>
    <w:rsid w:val="00BA193B"/>
    <w:rsid w:val="00BA1B7B"/>
    <w:rsid w:val="00BA1FC1"/>
    <w:rsid w:val="00BA22E0"/>
    <w:rsid w:val="00BA2477"/>
    <w:rsid w:val="00BA253C"/>
    <w:rsid w:val="00BA25B3"/>
    <w:rsid w:val="00BA2A4B"/>
    <w:rsid w:val="00BA2AA2"/>
    <w:rsid w:val="00BA3234"/>
    <w:rsid w:val="00BA35E2"/>
    <w:rsid w:val="00BA3C79"/>
    <w:rsid w:val="00BA3D4F"/>
    <w:rsid w:val="00BA3E10"/>
    <w:rsid w:val="00BA44A7"/>
    <w:rsid w:val="00BA4893"/>
    <w:rsid w:val="00BA4E71"/>
    <w:rsid w:val="00BA4F82"/>
    <w:rsid w:val="00BA5102"/>
    <w:rsid w:val="00BA516C"/>
    <w:rsid w:val="00BA5432"/>
    <w:rsid w:val="00BA5496"/>
    <w:rsid w:val="00BA5953"/>
    <w:rsid w:val="00BA5A3F"/>
    <w:rsid w:val="00BA5AD9"/>
    <w:rsid w:val="00BA5B52"/>
    <w:rsid w:val="00BA5F83"/>
    <w:rsid w:val="00BA67B6"/>
    <w:rsid w:val="00BA67C9"/>
    <w:rsid w:val="00BA6E57"/>
    <w:rsid w:val="00BA7321"/>
    <w:rsid w:val="00BA75BC"/>
    <w:rsid w:val="00BA7988"/>
    <w:rsid w:val="00BA79B5"/>
    <w:rsid w:val="00BA7D83"/>
    <w:rsid w:val="00BA7EE8"/>
    <w:rsid w:val="00BB02B4"/>
    <w:rsid w:val="00BB0361"/>
    <w:rsid w:val="00BB05B1"/>
    <w:rsid w:val="00BB063D"/>
    <w:rsid w:val="00BB0934"/>
    <w:rsid w:val="00BB09BD"/>
    <w:rsid w:val="00BB0B0A"/>
    <w:rsid w:val="00BB0EF6"/>
    <w:rsid w:val="00BB0F45"/>
    <w:rsid w:val="00BB0F6F"/>
    <w:rsid w:val="00BB12F9"/>
    <w:rsid w:val="00BB13AD"/>
    <w:rsid w:val="00BB1408"/>
    <w:rsid w:val="00BB15DF"/>
    <w:rsid w:val="00BB16C9"/>
    <w:rsid w:val="00BB17E9"/>
    <w:rsid w:val="00BB1985"/>
    <w:rsid w:val="00BB2080"/>
    <w:rsid w:val="00BB218B"/>
    <w:rsid w:val="00BB2248"/>
    <w:rsid w:val="00BB25F8"/>
    <w:rsid w:val="00BB25FB"/>
    <w:rsid w:val="00BB2802"/>
    <w:rsid w:val="00BB29F0"/>
    <w:rsid w:val="00BB2AC2"/>
    <w:rsid w:val="00BB2CB9"/>
    <w:rsid w:val="00BB2F71"/>
    <w:rsid w:val="00BB315E"/>
    <w:rsid w:val="00BB33DB"/>
    <w:rsid w:val="00BB34D9"/>
    <w:rsid w:val="00BB354B"/>
    <w:rsid w:val="00BB365D"/>
    <w:rsid w:val="00BB38CA"/>
    <w:rsid w:val="00BB3924"/>
    <w:rsid w:val="00BB3C53"/>
    <w:rsid w:val="00BB3F37"/>
    <w:rsid w:val="00BB415B"/>
    <w:rsid w:val="00BB425B"/>
    <w:rsid w:val="00BB4560"/>
    <w:rsid w:val="00BB48C3"/>
    <w:rsid w:val="00BB4A16"/>
    <w:rsid w:val="00BB4A7E"/>
    <w:rsid w:val="00BB4C04"/>
    <w:rsid w:val="00BB4CE2"/>
    <w:rsid w:val="00BB50A0"/>
    <w:rsid w:val="00BB5357"/>
    <w:rsid w:val="00BB5374"/>
    <w:rsid w:val="00BB5A66"/>
    <w:rsid w:val="00BB5B01"/>
    <w:rsid w:val="00BB5B3E"/>
    <w:rsid w:val="00BB5C38"/>
    <w:rsid w:val="00BB61CC"/>
    <w:rsid w:val="00BB62F9"/>
    <w:rsid w:val="00BB63C7"/>
    <w:rsid w:val="00BB63C8"/>
    <w:rsid w:val="00BB6498"/>
    <w:rsid w:val="00BB65C9"/>
    <w:rsid w:val="00BB6B63"/>
    <w:rsid w:val="00BB6CFE"/>
    <w:rsid w:val="00BB70E0"/>
    <w:rsid w:val="00BB72DA"/>
    <w:rsid w:val="00BB78B7"/>
    <w:rsid w:val="00BB7939"/>
    <w:rsid w:val="00BB7C40"/>
    <w:rsid w:val="00BB7D31"/>
    <w:rsid w:val="00BB7E98"/>
    <w:rsid w:val="00BB7F20"/>
    <w:rsid w:val="00BC0158"/>
    <w:rsid w:val="00BC0274"/>
    <w:rsid w:val="00BC0280"/>
    <w:rsid w:val="00BC0302"/>
    <w:rsid w:val="00BC030F"/>
    <w:rsid w:val="00BC0344"/>
    <w:rsid w:val="00BC0429"/>
    <w:rsid w:val="00BC06F6"/>
    <w:rsid w:val="00BC08CB"/>
    <w:rsid w:val="00BC0A74"/>
    <w:rsid w:val="00BC0C16"/>
    <w:rsid w:val="00BC0C8C"/>
    <w:rsid w:val="00BC10BC"/>
    <w:rsid w:val="00BC11D5"/>
    <w:rsid w:val="00BC1215"/>
    <w:rsid w:val="00BC139B"/>
    <w:rsid w:val="00BC1733"/>
    <w:rsid w:val="00BC18FD"/>
    <w:rsid w:val="00BC1A6C"/>
    <w:rsid w:val="00BC1A7D"/>
    <w:rsid w:val="00BC1AF9"/>
    <w:rsid w:val="00BC1C49"/>
    <w:rsid w:val="00BC1F94"/>
    <w:rsid w:val="00BC1FE7"/>
    <w:rsid w:val="00BC24E6"/>
    <w:rsid w:val="00BC25CD"/>
    <w:rsid w:val="00BC2AED"/>
    <w:rsid w:val="00BC2B62"/>
    <w:rsid w:val="00BC2D8C"/>
    <w:rsid w:val="00BC3229"/>
    <w:rsid w:val="00BC3337"/>
    <w:rsid w:val="00BC3520"/>
    <w:rsid w:val="00BC37E0"/>
    <w:rsid w:val="00BC3B12"/>
    <w:rsid w:val="00BC3CC0"/>
    <w:rsid w:val="00BC3DB2"/>
    <w:rsid w:val="00BC3E20"/>
    <w:rsid w:val="00BC417C"/>
    <w:rsid w:val="00BC4400"/>
    <w:rsid w:val="00BC4572"/>
    <w:rsid w:val="00BC47CF"/>
    <w:rsid w:val="00BC47E4"/>
    <w:rsid w:val="00BC4866"/>
    <w:rsid w:val="00BC4975"/>
    <w:rsid w:val="00BC4A51"/>
    <w:rsid w:val="00BC4AC7"/>
    <w:rsid w:val="00BC4B6E"/>
    <w:rsid w:val="00BC4EA9"/>
    <w:rsid w:val="00BC520E"/>
    <w:rsid w:val="00BC5794"/>
    <w:rsid w:val="00BC5889"/>
    <w:rsid w:val="00BC5993"/>
    <w:rsid w:val="00BC5A70"/>
    <w:rsid w:val="00BC5AEF"/>
    <w:rsid w:val="00BC5E22"/>
    <w:rsid w:val="00BC6110"/>
    <w:rsid w:val="00BC6BC5"/>
    <w:rsid w:val="00BC6C3C"/>
    <w:rsid w:val="00BC6CA8"/>
    <w:rsid w:val="00BC6D37"/>
    <w:rsid w:val="00BC6FD9"/>
    <w:rsid w:val="00BC6FE2"/>
    <w:rsid w:val="00BC731A"/>
    <w:rsid w:val="00BC7563"/>
    <w:rsid w:val="00BC7744"/>
    <w:rsid w:val="00BC7B99"/>
    <w:rsid w:val="00BC7BAE"/>
    <w:rsid w:val="00BC7E02"/>
    <w:rsid w:val="00BD031D"/>
    <w:rsid w:val="00BD0447"/>
    <w:rsid w:val="00BD0CB4"/>
    <w:rsid w:val="00BD0E0B"/>
    <w:rsid w:val="00BD0F0E"/>
    <w:rsid w:val="00BD104D"/>
    <w:rsid w:val="00BD114D"/>
    <w:rsid w:val="00BD16AD"/>
    <w:rsid w:val="00BD16E1"/>
    <w:rsid w:val="00BD19D8"/>
    <w:rsid w:val="00BD1A23"/>
    <w:rsid w:val="00BD1B61"/>
    <w:rsid w:val="00BD1CAF"/>
    <w:rsid w:val="00BD1F56"/>
    <w:rsid w:val="00BD1F7B"/>
    <w:rsid w:val="00BD20FC"/>
    <w:rsid w:val="00BD26E3"/>
    <w:rsid w:val="00BD2715"/>
    <w:rsid w:val="00BD281F"/>
    <w:rsid w:val="00BD2A49"/>
    <w:rsid w:val="00BD2B2A"/>
    <w:rsid w:val="00BD2B71"/>
    <w:rsid w:val="00BD2C1C"/>
    <w:rsid w:val="00BD2CDC"/>
    <w:rsid w:val="00BD2CE6"/>
    <w:rsid w:val="00BD2D82"/>
    <w:rsid w:val="00BD2D9F"/>
    <w:rsid w:val="00BD305A"/>
    <w:rsid w:val="00BD30DF"/>
    <w:rsid w:val="00BD3309"/>
    <w:rsid w:val="00BD355F"/>
    <w:rsid w:val="00BD3906"/>
    <w:rsid w:val="00BD3AD7"/>
    <w:rsid w:val="00BD3BEF"/>
    <w:rsid w:val="00BD3C81"/>
    <w:rsid w:val="00BD419E"/>
    <w:rsid w:val="00BD4342"/>
    <w:rsid w:val="00BD44FB"/>
    <w:rsid w:val="00BD46B7"/>
    <w:rsid w:val="00BD4707"/>
    <w:rsid w:val="00BD4752"/>
    <w:rsid w:val="00BD4A0F"/>
    <w:rsid w:val="00BD4A25"/>
    <w:rsid w:val="00BD4E3D"/>
    <w:rsid w:val="00BD51C9"/>
    <w:rsid w:val="00BD5313"/>
    <w:rsid w:val="00BD5359"/>
    <w:rsid w:val="00BD548A"/>
    <w:rsid w:val="00BD56A5"/>
    <w:rsid w:val="00BD599B"/>
    <w:rsid w:val="00BD59BE"/>
    <w:rsid w:val="00BD6190"/>
    <w:rsid w:val="00BD61ED"/>
    <w:rsid w:val="00BD63DB"/>
    <w:rsid w:val="00BD654B"/>
    <w:rsid w:val="00BD66A2"/>
    <w:rsid w:val="00BD6924"/>
    <w:rsid w:val="00BD6B30"/>
    <w:rsid w:val="00BD7059"/>
    <w:rsid w:val="00BD765A"/>
    <w:rsid w:val="00BD7BBC"/>
    <w:rsid w:val="00BD7CC7"/>
    <w:rsid w:val="00BD7D93"/>
    <w:rsid w:val="00BE009B"/>
    <w:rsid w:val="00BE0249"/>
    <w:rsid w:val="00BE054F"/>
    <w:rsid w:val="00BE0B58"/>
    <w:rsid w:val="00BE0C0F"/>
    <w:rsid w:val="00BE0E4C"/>
    <w:rsid w:val="00BE0E64"/>
    <w:rsid w:val="00BE109A"/>
    <w:rsid w:val="00BE1277"/>
    <w:rsid w:val="00BE203E"/>
    <w:rsid w:val="00BE21AB"/>
    <w:rsid w:val="00BE2201"/>
    <w:rsid w:val="00BE2384"/>
    <w:rsid w:val="00BE24FF"/>
    <w:rsid w:val="00BE27DB"/>
    <w:rsid w:val="00BE2A4F"/>
    <w:rsid w:val="00BE2DCC"/>
    <w:rsid w:val="00BE2EB1"/>
    <w:rsid w:val="00BE2F3F"/>
    <w:rsid w:val="00BE3096"/>
    <w:rsid w:val="00BE3307"/>
    <w:rsid w:val="00BE36A1"/>
    <w:rsid w:val="00BE37E3"/>
    <w:rsid w:val="00BE3A90"/>
    <w:rsid w:val="00BE3AA7"/>
    <w:rsid w:val="00BE408F"/>
    <w:rsid w:val="00BE435A"/>
    <w:rsid w:val="00BE4493"/>
    <w:rsid w:val="00BE4C46"/>
    <w:rsid w:val="00BE4CC2"/>
    <w:rsid w:val="00BE4DB2"/>
    <w:rsid w:val="00BE51A0"/>
    <w:rsid w:val="00BE54D6"/>
    <w:rsid w:val="00BE58C1"/>
    <w:rsid w:val="00BE591C"/>
    <w:rsid w:val="00BE5A16"/>
    <w:rsid w:val="00BE5C0F"/>
    <w:rsid w:val="00BE5E31"/>
    <w:rsid w:val="00BE644E"/>
    <w:rsid w:val="00BE6692"/>
    <w:rsid w:val="00BE6763"/>
    <w:rsid w:val="00BE6E2D"/>
    <w:rsid w:val="00BE706D"/>
    <w:rsid w:val="00BE71D2"/>
    <w:rsid w:val="00BE72D5"/>
    <w:rsid w:val="00BE7439"/>
    <w:rsid w:val="00BE7583"/>
    <w:rsid w:val="00BE77F3"/>
    <w:rsid w:val="00BE786C"/>
    <w:rsid w:val="00BE78C6"/>
    <w:rsid w:val="00BE79F3"/>
    <w:rsid w:val="00BE7D22"/>
    <w:rsid w:val="00BE7DA5"/>
    <w:rsid w:val="00BE7EB8"/>
    <w:rsid w:val="00BE7FE8"/>
    <w:rsid w:val="00BF011A"/>
    <w:rsid w:val="00BF0337"/>
    <w:rsid w:val="00BF0726"/>
    <w:rsid w:val="00BF0A71"/>
    <w:rsid w:val="00BF1548"/>
    <w:rsid w:val="00BF165A"/>
    <w:rsid w:val="00BF1A73"/>
    <w:rsid w:val="00BF1AF5"/>
    <w:rsid w:val="00BF1B40"/>
    <w:rsid w:val="00BF205F"/>
    <w:rsid w:val="00BF225D"/>
    <w:rsid w:val="00BF278C"/>
    <w:rsid w:val="00BF280B"/>
    <w:rsid w:val="00BF28D3"/>
    <w:rsid w:val="00BF2AB3"/>
    <w:rsid w:val="00BF2C43"/>
    <w:rsid w:val="00BF2CC1"/>
    <w:rsid w:val="00BF311E"/>
    <w:rsid w:val="00BF321F"/>
    <w:rsid w:val="00BF3551"/>
    <w:rsid w:val="00BF35BE"/>
    <w:rsid w:val="00BF3D56"/>
    <w:rsid w:val="00BF3EAD"/>
    <w:rsid w:val="00BF3F29"/>
    <w:rsid w:val="00BF3F71"/>
    <w:rsid w:val="00BF3FF8"/>
    <w:rsid w:val="00BF40F1"/>
    <w:rsid w:val="00BF4189"/>
    <w:rsid w:val="00BF419D"/>
    <w:rsid w:val="00BF4639"/>
    <w:rsid w:val="00BF46B8"/>
    <w:rsid w:val="00BF4779"/>
    <w:rsid w:val="00BF4800"/>
    <w:rsid w:val="00BF4958"/>
    <w:rsid w:val="00BF4B73"/>
    <w:rsid w:val="00BF4D18"/>
    <w:rsid w:val="00BF4F85"/>
    <w:rsid w:val="00BF50EC"/>
    <w:rsid w:val="00BF5605"/>
    <w:rsid w:val="00BF58F5"/>
    <w:rsid w:val="00BF618D"/>
    <w:rsid w:val="00BF6193"/>
    <w:rsid w:val="00BF655E"/>
    <w:rsid w:val="00BF6690"/>
    <w:rsid w:val="00BF6790"/>
    <w:rsid w:val="00BF6E3D"/>
    <w:rsid w:val="00BF7104"/>
    <w:rsid w:val="00BF75B1"/>
    <w:rsid w:val="00BF76D4"/>
    <w:rsid w:val="00BF796B"/>
    <w:rsid w:val="00BF7BE1"/>
    <w:rsid w:val="00BF7C05"/>
    <w:rsid w:val="00C00026"/>
    <w:rsid w:val="00C002B4"/>
    <w:rsid w:val="00C0069F"/>
    <w:rsid w:val="00C00906"/>
    <w:rsid w:val="00C00CCA"/>
    <w:rsid w:val="00C00DCE"/>
    <w:rsid w:val="00C0107E"/>
    <w:rsid w:val="00C010E3"/>
    <w:rsid w:val="00C011D1"/>
    <w:rsid w:val="00C012BA"/>
    <w:rsid w:val="00C01A90"/>
    <w:rsid w:val="00C01B1F"/>
    <w:rsid w:val="00C01E14"/>
    <w:rsid w:val="00C02429"/>
    <w:rsid w:val="00C02464"/>
    <w:rsid w:val="00C0251F"/>
    <w:rsid w:val="00C02913"/>
    <w:rsid w:val="00C037CC"/>
    <w:rsid w:val="00C0389D"/>
    <w:rsid w:val="00C03906"/>
    <w:rsid w:val="00C03A8E"/>
    <w:rsid w:val="00C03D19"/>
    <w:rsid w:val="00C03D1A"/>
    <w:rsid w:val="00C03EB2"/>
    <w:rsid w:val="00C04113"/>
    <w:rsid w:val="00C04223"/>
    <w:rsid w:val="00C042A3"/>
    <w:rsid w:val="00C042ED"/>
    <w:rsid w:val="00C043B6"/>
    <w:rsid w:val="00C043E9"/>
    <w:rsid w:val="00C04669"/>
    <w:rsid w:val="00C04819"/>
    <w:rsid w:val="00C049B1"/>
    <w:rsid w:val="00C04C52"/>
    <w:rsid w:val="00C05422"/>
    <w:rsid w:val="00C05B95"/>
    <w:rsid w:val="00C05C10"/>
    <w:rsid w:val="00C05E57"/>
    <w:rsid w:val="00C05FBF"/>
    <w:rsid w:val="00C06544"/>
    <w:rsid w:val="00C06737"/>
    <w:rsid w:val="00C0685C"/>
    <w:rsid w:val="00C0699C"/>
    <w:rsid w:val="00C06A63"/>
    <w:rsid w:val="00C06ADA"/>
    <w:rsid w:val="00C06BD8"/>
    <w:rsid w:val="00C06E36"/>
    <w:rsid w:val="00C06E6F"/>
    <w:rsid w:val="00C07122"/>
    <w:rsid w:val="00C07254"/>
    <w:rsid w:val="00C07270"/>
    <w:rsid w:val="00C0744D"/>
    <w:rsid w:val="00C07508"/>
    <w:rsid w:val="00C079DA"/>
    <w:rsid w:val="00C07C60"/>
    <w:rsid w:val="00C07CAD"/>
    <w:rsid w:val="00C07CBA"/>
    <w:rsid w:val="00C07D14"/>
    <w:rsid w:val="00C07DF5"/>
    <w:rsid w:val="00C100C7"/>
    <w:rsid w:val="00C102DF"/>
    <w:rsid w:val="00C1040A"/>
    <w:rsid w:val="00C10520"/>
    <w:rsid w:val="00C10746"/>
    <w:rsid w:val="00C10764"/>
    <w:rsid w:val="00C107A1"/>
    <w:rsid w:val="00C10CF8"/>
    <w:rsid w:val="00C10D09"/>
    <w:rsid w:val="00C10F89"/>
    <w:rsid w:val="00C11024"/>
    <w:rsid w:val="00C1135D"/>
    <w:rsid w:val="00C116F4"/>
    <w:rsid w:val="00C1187F"/>
    <w:rsid w:val="00C11908"/>
    <w:rsid w:val="00C1211F"/>
    <w:rsid w:val="00C122FC"/>
    <w:rsid w:val="00C12512"/>
    <w:rsid w:val="00C128FB"/>
    <w:rsid w:val="00C12AB3"/>
    <w:rsid w:val="00C12CF8"/>
    <w:rsid w:val="00C12EF4"/>
    <w:rsid w:val="00C1326E"/>
    <w:rsid w:val="00C132AC"/>
    <w:rsid w:val="00C133D5"/>
    <w:rsid w:val="00C135E7"/>
    <w:rsid w:val="00C13743"/>
    <w:rsid w:val="00C13DEE"/>
    <w:rsid w:val="00C13E42"/>
    <w:rsid w:val="00C14115"/>
    <w:rsid w:val="00C142C1"/>
    <w:rsid w:val="00C14465"/>
    <w:rsid w:val="00C144B5"/>
    <w:rsid w:val="00C14608"/>
    <w:rsid w:val="00C146B3"/>
    <w:rsid w:val="00C1495B"/>
    <w:rsid w:val="00C149D0"/>
    <w:rsid w:val="00C14C80"/>
    <w:rsid w:val="00C14E95"/>
    <w:rsid w:val="00C14F73"/>
    <w:rsid w:val="00C15332"/>
    <w:rsid w:val="00C1537C"/>
    <w:rsid w:val="00C1585E"/>
    <w:rsid w:val="00C15874"/>
    <w:rsid w:val="00C159D6"/>
    <w:rsid w:val="00C15A02"/>
    <w:rsid w:val="00C16169"/>
    <w:rsid w:val="00C16308"/>
    <w:rsid w:val="00C164D1"/>
    <w:rsid w:val="00C167C5"/>
    <w:rsid w:val="00C16902"/>
    <w:rsid w:val="00C16B34"/>
    <w:rsid w:val="00C17058"/>
    <w:rsid w:val="00C1734F"/>
    <w:rsid w:val="00C1744D"/>
    <w:rsid w:val="00C17516"/>
    <w:rsid w:val="00C1759E"/>
    <w:rsid w:val="00C20270"/>
    <w:rsid w:val="00C2059B"/>
    <w:rsid w:val="00C20643"/>
    <w:rsid w:val="00C20669"/>
    <w:rsid w:val="00C208DE"/>
    <w:rsid w:val="00C20A35"/>
    <w:rsid w:val="00C20C64"/>
    <w:rsid w:val="00C20E4B"/>
    <w:rsid w:val="00C20ECE"/>
    <w:rsid w:val="00C20EFC"/>
    <w:rsid w:val="00C20F2D"/>
    <w:rsid w:val="00C21253"/>
    <w:rsid w:val="00C2134C"/>
    <w:rsid w:val="00C2159A"/>
    <w:rsid w:val="00C215E8"/>
    <w:rsid w:val="00C216E3"/>
    <w:rsid w:val="00C21D38"/>
    <w:rsid w:val="00C21E3B"/>
    <w:rsid w:val="00C220DA"/>
    <w:rsid w:val="00C2211C"/>
    <w:rsid w:val="00C22251"/>
    <w:rsid w:val="00C22337"/>
    <w:rsid w:val="00C22411"/>
    <w:rsid w:val="00C224B2"/>
    <w:rsid w:val="00C224E7"/>
    <w:rsid w:val="00C228F4"/>
    <w:rsid w:val="00C22964"/>
    <w:rsid w:val="00C22BAC"/>
    <w:rsid w:val="00C22DAE"/>
    <w:rsid w:val="00C22E06"/>
    <w:rsid w:val="00C2315A"/>
    <w:rsid w:val="00C23338"/>
    <w:rsid w:val="00C23A12"/>
    <w:rsid w:val="00C23A34"/>
    <w:rsid w:val="00C23A44"/>
    <w:rsid w:val="00C23B4A"/>
    <w:rsid w:val="00C23D10"/>
    <w:rsid w:val="00C23DE1"/>
    <w:rsid w:val="00C24099"/>
    <w:rsid w:val="00C24242"/>
    <w:rsid w:val="00C24509"/>
    <w:rsid w:val="00C2466F"/>
    <w:rsid w:val="00C24763"/>
    <w:rsid w:val="00C24B71"/>
    <w:rsid w:val="00C25031"/>
    <w:rsid w:val="00C25246"/>
    <w:rsid w:val="00C25539"/>
    <w:rsid w:val="00C25637"/>
    <w:rsid w:val="00C25734"/>
    <w:rsid w:val="00C25902"/>
    <w:rsid w:val="00C25B68"/>
    <w:rsid w:val="00C25C14"/>
    <w:rsid w:val="00C25CFA"/>
    <w:rsid w:val="00C25F5E"/>
    <w:rsid w:val="00C263D8"/>
    <w:rsid w:val="00C26417"/>
    <w:rsid w:val="00C26469"/>
    <w:rsid w:val="00C26566"/>
    <w:rsid w:val="00C2697B"/>
    <w:rsid w:val="00C26B75"/>
    <w:rsid w:val="00C26BB3"/>
    <w:rsid w:val="00C279AF"/>
    <w:rsid w:val="00C27C9D"/>
    <w:rsid w:val="00C27CD7"/>
    <w:rsid w:val="00C302EF"/>
    <w:rsid w:val="00C306B3"/>
    <w:rsid w:val="00C30721"/>
    <w:rsid w:val="00C3075C"/>
    <w:rsid w:val="00C3079C"/>
    <w:rsid w:val="00C30858"/>
    <w:rsid w:val="00C30B70"/>
    <w:rsid w:val="00C30D54"/>
    <w:rsid w:val="00C3147B"/>
    <w:rsid w:val="00C317A9"/>
    <w:rsid w:val="00C31972"/>
    <w:rsid w:val="00C319DD"/>
    <w:rsid w:val="00C31DB4"/>
    <w:rsid w:val="00C31DD3"/>
    <w:rsid w:val="00C32000"/>
    <w:rsid w:val="00C325F8"/>
    <w:rsid w:val="00C32BDB"/>
    <w:rsid w:val="00C337EA"/>
    <w:rsid w:val="00C33A0C"/>
    <w:rsid w:val="00C33ED7"/>
    <w:rsid w:val="00C34647"/>
    <w:rsid w:val="00C348E7"/>
    <w:rsid w:val="00C34C06"/>
    <w:rsid w:val="00C34D5E"/>
    <w:rsid w:val="00C34F42"/>
    <w:rsid w:val="00C34FE8"/>
    <w:rsid w:val="00C35151"/>
    <w:rsid w:val="00C35214"/>
    <w:rsid w:val="00C3556C"/>
    <w:rsid w:val="00C355AE"/>
    <w:rsid w:val="00C35684"/>
    <w:rsid w:val="00C35964"/>
    <w:rsid w:val="00C35AF6"/>
    <w:rsid w:val="00C36036"/>
    <w:rsid w:val="00C3637E"/>
    <w:rsid w:val="00C3650D"/>
    <w:rsid w:val="00C3673E"/>
    <w:rsid w:val="00C36873"/>
    <w:rsid w:val="00C36912"/>
    <w:rsid w:val="00C36E94"/>
    <w:rsid w:val="00C37122"/>
    <w:rsid w:val="00C37140"/>
    <w:rsid w:val="00C37247"/>
    <w:rsid w:val="00C372A8"/>
    <w:rsid w:val="00C3754D"/>
    <w:rsid w:val="00C3785F"/>
    <w:rsid w:val="00C37B66"/>
    <w:rsid w:val="00C37C95"/>
    <w:rsid w:val="00C37CF7"/>
    <w:rsid w:val="00C37E76"/>
    <w:rsid w:val="00C4006D"/>
    <w:rsid w:val="00C402BF"/>
    <w:rsid w:val="00C402F8"/>
    <w:rsid w:val="00C40353"/>
    <w:rsid w:val="00C40432"/>
    <w:rsid w:val="00C404B4"/>
    <w:rsid w:val="00C404C8"/>
    <w:rsid w:val="00C40631"/>
    <w:rsid w:val="00C40927"/>
    <w:rsid w:val="00C4093A"/>
    <w:rsid w:val="00C40AB1"/>
    <w:rsid w:val="00C40D36"/>
    <w:rsid w:val="00C414A4"/>
    <w:rsid w:val="00C414CC"/>
    <w:rsid w:val="00C4178E"/>
    <w:rsid w:val="00C41867"/>
    <w:rsid w:val="00C41BDB"/>
    <w:rsid w:val="00C41D76"/>
    <w:rsid w:val="00C41E72"/>
    <w:rsid w:val="00C41E80"/>
    <w:rsid w:val="00C41E8F"/>
    <w:rsid w:val="00C4203B"/>
    <w:rsid w:val="00C427B9"/>
    <w:rsid w:val="00C429B6"/>
    <w:rsid w:val="00C42B15"/>
    <w:rsid w:val="00C42CC1"/>
    <w:rsid w:val="00C4302A"/>
    <w:rsid w:val="00C43196"/>
    <w:rsid w:val="00C4331E"/>
    <w:rsid w:val="00C43327"/>
    <w:rsid w:val="00C433BA"/>
    <w:rsid w:val="00C4342C"/>
    <w:rsid w:val="00C44357"/>
    <w:rsid w:val="00C445CB"/>
    <w:rsid w:val="00C449AF"/>
    <w:rsid w:val="00C44A14"/>
    <w:rsid w:val="00C44C59"/>
    <w:rsid w:val="00C44D2C"/>
    <w:rsid w:val="00C44D98"/>
    <w:rsid w:val="00C450F0"/>
    <w:rsid w:val="00C451D5"/>
    <w:rsid w:val="00C45336"/>
    <w:rsid w:val="00C455FE"/>
    <w:rsid w:val="00C45642"/>
    <w:rsid w:val="00C458D3"/>
    <w:rsid w:val="00C459DE"/>
    <w:rsid w:val="00C45A7E"/>
    <w:rsid w:val="00C45AC3"/>
    <w:rsid w:val="00C45B53"/>
    <w:rsid w:val="00C45CD7"/>
    <w:rsid w:val="00C45F20"/>
    <w:rsid w:val="00C45F77"/>
    <w:rsid w:val="00C4618C"/>
    <w:rsid w:val="00C464EF"/>
    <w:rsid w:val="00C465E7"/>
    <w:rsid w:val="00C46AF6"/>
    <w:rsid w:val="00C46BC1"/>
    <w:rsid w:val="00C46BDA"/>
    <w:rsid w:val="00C47018"/>
    <w:rsid w:val="00C4747A"/>
    <w:rsid w:val="00C47507"/>
    <w:rsid w:val="00C47725"/>
    <w:rsid w:val="00C47764"/>
    <w:rsid w:val="00C47954"/>
    <w:rsid w:val="00C47B92"/>
    <w:rsid w:val="00C47D98"/>
    <w:rsid w:val="00C47F47"/>
    <w:rsid w:val="00C500AF"/>
    <w:rsid w:val="00C50246"/>
    <w:rsid w:val="00C507D2"/>
    <w:rsid w:val="00C50B78"/>
    <w:rsid w:val="00C50CD5"/>
    <w:rsid w:val="00C50DA0"/>
    <w:rsid w:val="00C50ECC"/>
    <w:rsid w:val="00C5111F"/>
    <w:rsid w:val="00C51259"/>
    <w:rsid w:val="00C5135C"/>
    <w:rsid w:val="00C515D5"/>
    <w:rsid w:val="00C5183C"/>
    <w:rsid w:val="00C51976"/>
    <w:rsid w:val="00C51A6F"/>
    <w:rsid w:val="00C52522"/>
    <w:rsid w:val="00C5274A"/>
    <w:rsid w:val="00C527EA"/>
    <w:rsid w:val="00C527F1"/>
    <w:rsid w:val="00C528F8"/>
    <w:rsid w:val="00C52C72"/>
    <w:rsid w:val="00C52D03"/>
    <w:rsid w:val="00C52DA9"/>
    <w:rsid w:val="00C531A1"/>
    <w:rsid w:val="00C53430"/>
    <w:rsid w:val="00C5351D"/>
    <w:rsid w:val="00C5353E"/>
    <w:rsid w:val="00C53E69"/>
    <w:rsid w:val="00C53EFC"/>
    <w:rsid w:val="00C53F1A"/>
    <w:rsid w:val="00C54335"/>
    <w:rsid w:val="00C5449A"/>
    <w:rsid w:val="00C549B1"/>
    <w:rsid w:val="00C549BB"/>
    <w:rsid w:val="00C54A58"/>
    <w:rsid w:val="00C54BBB"/>
    <w:rsid w:val="00C54F64"/>
    <w:rsid w:val="00C5509E"/>
    <w:rsid w:val="00C55248"/>
    <w:rsid w:val="00C558D6"/>
    <w:rsid w:val="00C55A6F"/>
    <w:rsid w:val="00C55DA4"/>
    <w:rsid w:val="00C55E03"/>
    <w:rsid w:val="00C5633C"/>
    <w:rsid w:val="00C56480"/>
    <w:rsid w:val="00C56C57"/>
    <w:rsid w:val="00C56EB3"/>
    <w:rsid w:val="00C56EB4"/>
    <w:rsid w:val="00C57258"/>
    <w:rsid w:val="00C57655"/>
    <w:rsid w:val="00C576D7"/>
    <w:rsid w:val="00C578FC"/>
    <w:rsid w:val="00C57CEE"/>
    <w:rsid w:val="00C57E15"/>
    <w:rsid w:val="00C57E38"/>
    <w:rsid w:val="00C57F57"/>
    <w:rsid w:val="00C57F6B"/>
    <w:rsid w:val="00C57FDE"/>
    <w:rsid w:val="00C57FFB"/>
    <w:rsid w:val="00C600E3"/>
    <w:rsid w:val="00C60115"/>
    <w:rsid w:val="00C601C4"/>
    <w:rsid w:val="00C60391"/>
    <w:rsid w:val="00C604A4"/>
    <w:rsid w:val="00C605B1"/>
    <w:rsid w:val="00C60900"/>
    <w:rsid w:val="00C60A71"/>
    <w:rsid w:val="00C60DD8"/>
    <w:rsid w:val="00C611F6"/>
    <w:rsid w:val="00C61371"/>
    <w:rsid w:val="00C614F0"/>
    <w:rsid w:val="00C61585"/>
    <w:rsid w:val="00C61604"/>
    <w:rsid w:val="00C61619"/>
    <w:rsid w:val="00C6187F"/>
    <w:rsid w:val="00C61B44"/>
    <w:rsid w:val="00C61B94"/>
    <w:rsid w:val="00C61DCE"/>
    <w:rsid w:val="00C61DE5"/>
    <w:rsid w:val="00C62031"/>
    <w:rsid w:val="00C6209A"/>
    <w:rsid w:val="00C622F7"/>
    <w:rsid w:val="00C6277A"/>
    <w:rsid w:val="00C6295F"/>
    <w:rsid w:val="00C62B0E"/>
    <w:rsid w:val="00C62BAF"/>
    <w:rsid w:val="00C62D77"/>
    <w:rsid w:val="00C63288"/>
    <w:rsid w:val="00C632CE"/>
    <w:rsid w:val="00C6352D"/>
    <w:rsid w:val="00C635A3"/>
    <w:rsid w:val="00C637DA"/>
    <w:rsid w:val="00C639A4"/>
    <w:rsid w:val="00C63CF1"/>
    <w:rsid w:val="00C63FC0"/>
    <w:rsid w:val="00C6400F"/>
    <w:rsid w:val="00C641A5"/>
    <w:rsid w:val="00C6424D"/>
    <w:rsid w:val="00C6462C"/>
    <w:rsid w:val="00C6477B"/>
    <w:rsid w:val="00C647ED"/>
    <w:rsid w:val="00C64880"/>
    <w:rsid w:val="00C64C54"/>
    <w:rsid w:val="00C64C8D"/>
    <w:rsid w:val="00C64D5B"/>
    <w:rsid w:val="00C64FDE"/>
    <w:rsid w:val="00C65036"/>
    <w:rsid w:val="00C65271"/>
    <w:rsid w:val="00C6549B"/>
    <w:rsid w:val="00C656CC"/>
    <w:rsid w:val="00C65811"/>
    <w:rsid w:val="00C65ABB"/>
    <w:rsid w:val="00C66B81"/>
    <w:rsid w:val="00C66F22"/>
    <w:rsid w:val="00C66F26"/>
    <w:rsid w:val="00C66FAB"/>
    <w:rsid w:val="00C671F5"/>
    <w:rsid w:val="00C6726C"/>
    <w:rsid w:val="00C67479"/>
    <w:rsid w:val="00C67832"/>
    <w:rsid w:val="00C6790A"/>
    <w:rsid w:val="00C70404"/>
    <w:rsid w:val="00C70778"/>
    <w:rsid w:val="00C707AE"/>
    <w:rsid w:val="00C70BAB"/>
    <w:rsid w:val="00C70E2D"/>
    <w:rsid w:val="00C710A8"/>
    <w:rsid w:val="00C71158"/>
    <w:rsid w:val="00C71430"/>
    <w:rsid w:val="00C715F4"/>
    <w:rsid w:val="00C71769"/>
    <w:rsid w:val="00C71990"/>
    <w:rsid w:val="00C71AC8"/>
    <w:rsid w:val="00C71BFB"/>
    <w:rsid w:val="00C71DC5"/>
    <w:rsid w:val="00C71EE5"/>
    <w:rsid w:val="00C720A5"/>
    <w:rsid w:val="00C72659"/>
    <w:rsid w:val="00C72892"/>
    <w:rsid w:val="00C72A96"/>
    <w:rsid w:val="00C72BE3"/>
    <w:rsid w:val="00C72E62"/>
    <w:rsid w:val="00C72F32"/>
    <w:rsid w:val="00C735F1"/>
    <w:rsid w:val="00C7361F"/>
    <w:rsid w:val="00C73930"/>
    <w:rsid w:val="00C73AF8"/>
    <w:rsid w:val="00C7407E"/>
    <w:rsid w:val="00C740C7"/>
    <w:rsid w:val="00C74502"/>
    <w:rsid w:val="00C74824"/>
    <w:rsid w:val="00C74DF0"/>
    <w:rsid w:val="00C74F65"/>
    <w:rsid w:val="00C7544D"/>
    <w:rsid w:val="00C755A3"/>
    <w:rsid w:val="00C75728"/>
    <w:rsid w:val="00C75B0C"/>
    <w:rsid w:val="00C75B96"/>
    <w:rsid w:val="00C75CDC"/>
    <w:rsid w:val="00C75D3F"/>
    <w:rsid w:val="00C75DD2"/>
    <w:rsid w:val="00C75EE6"/>
    <w:rsid w:val="00C76010"/>
    <w:rsid w:val="00C76114"/>
    <w:rsid w:val="00C7665A"/>
    <w:rsid w:val="00C767A8"/>
    <w:rsid w:val="00C7696D"/>
    <w:rsid w:val="00C76A15"/>
    <w:rsid w:val="00C76F4A"/>
    <w:rsid w:val="00C77265"/>
    <w:rsid w:val="00C77409"/>
    <w:rsid w:val="00C77557"/>
    <w:rsid w:val="00C775C2"/>
    <w:rsid w:val="00C77BE6"/>
    <w:rsid w:val="00C77E6F"/>
    <w:rsid w:val="00C8021B"/>
    <w:rsid w:val="00C80283"/>
    <w:rsid w:val="00C804A3"/>
    <w:rsid w:val="00C806F9"/>
    <w:rsid w:val="00C807AB"/>
    <w:rsid w:val="00C807F5"/>
    <w:rsid w:val="00C80886"/>
    <w:rsid w:val="00C8099C"/>
    <w:rsid w:val="00C80A1D"/>
    <w:rsid w:val="00C80AF7"/>
    <w:rsid w:val="00C80B37"/>
    <w:rsid w:val="00C80F1D"/>
    <w:rsid w:val="00C81BB8"/>
    <w:rsid w:val="00C81BCE"/>
    <w:rsid w:val="00C81D30"/>
    <w:rsid w:val="00C820E9"/>
    <w:rsid w:val="00C82146"/>
    <w:rsid w:val="00C821A4"/>
    <w:rsid w:val="00C8242D"/>
    <w:rsid w:val="00C82658"/>
    <w:rsid w:val="00C82668"/>
    <w:rsid w:val="00C82854"/>
    <w:rsid w:val="00C8290C"/>
    <w:rsid w:val="00C82A3F"/>
    <w:rsid w:val="00C82BA8"/>
    <w:rsid w:val="00C82DB9"/>
    <w:rsid w:val="00C832C4"/>
    <w:rsid w:val="00C8346F"/>
    <w:rsid w:val="00C836A5"/>
    <w:rsid w:val="00C83B65"/>
    <w:rsid w:val="00C84231"/>
    <w:rsid w:val="00C846BA"/>
    <w:rsid w:val="00C85062"/>
    <w:rsid w:val="00C852FE"/>
    <w:rsid w:val="00C8548E"/>
    <w:rsid w:val="00C85855"/>
    <w:rsid w:val="00C85D05"/>
    <w:rsid w:val="00C8628A"/>
    <w:rsid w:val="00C86706"/>
    <w:rsid w:val="00C86793"/>
    <w:rsid w:val="00C8698F"/>
    <w:rsid w:val="00C86AD4"/>
    <w:rsid w:val="00C86B73"/>
    <w:rsid w:val="00C86C18"/>
    <w:rsid w:val="00C86DBB"/>
    <w:rsid w:val="00C87036"/>
    <w:rsid w:val="00C8725C"/>
    <w:rsid w:val="00C873F3"/>
    <w:rsid w:val="00C87484"/>
    <w:rsid w:val="00C874E5"/>
    <w:rsid w:val="00C87768"/>
    <w:rsid w:val="00C8791C"/>
    <w:rsid w:val="00C87983"/>
    <w:rsid w:val="00C87990"/>
    <w:rsid w:val="00C87AEE"/>
    <w:rsid w:val="00C87C60"/>
    <w:rsid w:val="00C87CC0"/>
    <w:rsid w:val="00C90068"/>
    <w:rsid w:val="00C9048A"/>
    <w:rsid w:val="00C905F0"/>
    <w:rsid w:val="00C90780"/>
    <w:rsid w:val="00C90B88"/>
    <w:rsid w:val="00C90BBD"/>
    <w:rsid w:val="00C90C13"/>
    <w:rsid w:val="00C911E1"/>
    <w:rsid w:val="00C911FC"/>
    <w:rsid w:val="00C91489"/>
    <w:rsid w:val="00C914E8"/>
    <w:rsid w:val="00C915E9"/>
    <w:rsid w:val="00C917AD"/>
    <w:rsid w:val="00C917F8"/>
    <w:rsid w:val="00C9183D"/>
    <w:rsid w:val="00C919B8"/>
    <w:rsid w:val="00C91B22"/>
    <w:rsid w:val="00C91E09"/>
    <w:rsid w:val="00C91EBC"/>
    <w:rsid w:val="00C922FC"/>
    <w:rsid w:val="00C9230E"/>
    <w:rsid w:val="00C92498"/>
    <w:rsid w:val="00C92FBD"/>
    <w:rsid w:val="00C93371"/>
    <w:rsid w:val="00C934E4"/>
    <w:rsid w:val="00C935B4"/>
    <w:rsid w:val="00C93748"/>
    <w:rsid w:val="00C93B5D"/>
    <w:rsid w:val="00C93CAB"/>
    <w:rsid w:val="00C94425"/>
    <w:rsid w:val="00C9449A"/>
    <w:rsid w:val="00C945DC"/>
    <w:rsid w:val="00C948BB"/>
    <w:rsid w:val="00C95018"/>
    <w:rsid w:val="00C95064"/>
    <w:rsid w:val="00C95193"/>
    <w:rsid w:val="00C95297"/>
    <w:rsid w:val="00C952D1"/>
    <w:rsid w:val="00C95444"/>
    <w:rsid w:val="00C95723"/>
    <w:rsid w:val="00C957F2"/>
    <w:rsid w:val="00C95A18"/>
    <w:rsid w:val="00C95A21"/>
    <w:rsid w:val="00C95D12"/>
    <w:rsid w:val="00C95DCD"/>
    <w:rsid w:val="00C95EC0"/>
    <w:rsid w:val="00C9620B"/>
    <w:rsid w:val="00C967EF"/>
    <w:rsid w:val="00C968FA"/>
    <w:rsid w:val="00C96B44"/>
    <w:rsid w:val="00C96F6D"/>
    <w:rsid w:val="00C96FD9"/>
    <w:rsid w:val="00C975DA"/>
    <w:rsid w:val="00C97D37"/>
    <w:rsid w:val="00C97E4D"/>
    <w:rsid w:val="00CA00B0"/>
    <w:rsid w:val="00CA01E9"/>
    <w:rsid w:val="00CA0241"/>
    <w:rsid w:val="00CA0A30"/>
    <w:rsid w:val="00CA0A52"/>
    <w:rsid w:val="00CA0DBF"/>
    <w:rsid w:val="00CA0DC4"/>
    <w:rsid w:val="00CA0EDA"/>
    <w:rsid w:val="00CA0F6A"/>
    <w:rsid w:val="00CA13AD"/>
    <w:rsid w:val="00CA140D"/>
    <w:rsid w:val="00CA1610"/>
    <w:rsid w:val="00CA1737"/>
    <w:rsid w:val="00CA17C9"/>
    <w:rsid w:val="00CA1B64"/>
    <w:rsid w:val="00CA1DEF"/>
    <w:rsid w:val="00CA1FFF"/>
    <w:rsid w:val="00CA23DA"/>
    <w:rsid w:val="00CA282D"/>
    <w:rsid w:val="00CA28CF"/>
    <w:rsid w:val="00CA2B47"/>
    <w:rsid w:val="00CA2BE6"/>
    <w:rsid w:val="00CA2CE6"/>
    <w:rsid w:val="00CA3307"/>
    <w:rsid w:val="00CA35CC"/>
    <w:rsid w:val="00CA3735"/>
    <w:rsid w:val="00CA38D4"/>
    <w:rsid w:val="00CA3BE2"/>
    <w:rsid w:val="00CA3CD9"/>
    <w:rsid w:val="00CA3D5B"/>
    <w:rsid w:val="00CA3F5C"/>
    <w:rsid w:val="00CA4070"/>
    <w:rsid w:val="00CA4385"/>
    <w:rsid w:val="00CA4437"/>
    <w:rsid w:val="00CA4B3B"/>
    <w:rsid w:val="00CA5024"/>
    <w:rsid w:val="00CA5328"/>
    <w:rsid w:val="00CA541F"/>
    <w:rsid w:val="00CA559D"/>
    <w:rsid w:val="00CA5761"/>
    <w:rsid w:val="00CA5C4B"/>
    <w:rsid w:val="00CA5E6E"/>
    <w:rsid w:val="00CA614F"/>
    <w:rsid w:val="00CA658E"/>
    <w:rsid w:val="00CA6C97"/>
    <w:rsid w:val="00CA6D02"/>
    <w:rsid w:val="00CA6D67"/>
    <w:rsid w:val="00CA6EC4"/>
    <w:rsid w:val="00CA7056"/>
    <w:rsid w:val="00CA70FC"/>
    <w:rsid w:val="00CA7145"/>
    <w:rsid w:val="00CA779B"/>
    <w:rsid w:val="00CA7BCE"/>
    <w:rsid w:val="00CB0075"/>
    <w:rsid w:val="00CB01FD"/>
    <w:rsid w:val="00CB0215"/>
    <w:rsid w:val="00CB09B9"/>
    <w:rsid w:val="00CB0CE4"/>
    <w:rsid w:val="00CB0D31"/>
    <w:rsid w:val="00CB0E32"/>
    <w:rsid w:val="00CB0EF0"/>
    <w:rsid w:val="00CB1076"/>
    <w:rsid w:val="00CB1228"/>
    <w:rsid w:val="00CB1389"/>
    <w:rsid w:val="00CB14BA"/>
    <w:rsid w:val="00CB16E4"/>
    <w:rsid w:val="00CB1879"/>
    <w:rsid w:val="00CB19E2"/>
    <w:rsid w:val="00CB1CB7"/>
    <w:rsid w:val="00CB1D3A"/>
    <w:rsid w:val="00CB1E62"/>
    <w:rsid w:val="00CB2234"/>
    <w:rsid w:val="00CB224B"/>
    <w:rsid w:val="00CB22D4"/>
    <w:rsid w:val="00CB23CD"/>
    <w:rsid w:val="00CB28F1"/>
    <w:rsid w:val="00CB2AF8"/>
    <w:rsid w:val="00CB2E05"/>
    <w:rsid w:val="00CB2F35"/>
    <w:rsid w:val="00CB2FD9"/>
    <w:rsid w:val="00CB37BE"/>
    <w:rsid w:val="00CB3877"/>
    <w:rsid w:val="00CB388D"/>
    <w:rsid w:val="00CB3A5A"/>
    <w:rsid w:val="00CB3AFC"/>
    <w:rsid w:val="00CB3F62"/>
    <w:rsid w:val="00CB4179"/>
    <w:rsid w:val="00CB45E6"/>
    <w:rsid w:val="00CB4A59"/>
    <w:rsid w:val="00CB4CB2"/>
    <w:rsid w:val="00CB4D8D"/>
    <w:rsid w:val="00CB5143"/>
    <w:rsid w:val="00CB51AC"/>
    <w:rsid w:val="00CB52C3"/>
    <w:rsid w:val="00CB59AD"/>
    <w:rsid w:val="00CB5A5B"/>
    <w:rsid w:val="00CB5B21"/>
    <w:rsid w:val="00CB5B78"/>
    <w:rsid w:val="00CB5D00"/>
    <w:rsid w:val="00CB60BB"/>
    <w:rsid w:val="00CB61F0"/>
    <w:rsid w:val="00CB621B"/>
    <w:rsid w:val="00CB65DE"/>
    <w:rsid w:val="00CB69DE"/>
    <w:rsid w:val="00CB6C28"/>
    <w:rsid w:val="00CB6D0D"/>
    <w:rsid w:val="00CB6DE8"/>
    <w:rsid w:val="00CB6E4E"/>
    <w:rsid w:val="00CB744B"/>
    <w:rsid w:val="00CB74DD"/>
    <w:rsid w:val="00CB756A"/>
    <w:rsid w:val="00CB76F3"/>
    <w:rsid w:val="00CB77EA"/>
    <w:rsid w:val="00CB7949"/>
    <w:rsid w:val="00CB79AF"/>
    <w:rsid w:val="00CB7D45"/>
    <w:rsid w:val="00CB7EEC"/>
    <w:rsid w:val="00CC0596"/>
    <w:rsid w:val="00CC064C"/>
    <w:rsid w:val="00CC0A52"/>
    <w:rsid w:val="00CC0D7A"/>
    <w:rsid w:val="00CC0E71"/>
    <w:rsid w:val="00CC0FC1"/>
    <w:rsid w:val="00CC1057"/>
    <w:rsid w:val="00CC1557"/>
    <w:rsid w:val="00CC159A"/>
    <w:rsid w:val="00CC1839"/>
    <w:rsid w:val="00CC1C8C"/>
    <w:rsid w:val="00CC1D4A"/>
    <w:rsid w:val="00CC1F50"/>
    <w:rsid w:val="00CC1FC3"/>
    <w:rsid w:val="00CC205B"/>
    <w:rsid w:val="00CC23BB"/>
    <w:rsid w:val="00CC2500"/>
    <w:rsid w:val="00CC2659"/>
    <w:rsid w:val="00CC2763"/>
    <w:rsid w:val="00CC27A6"/>
    <w:rsid w:val="00CC286C"/>
    <w:rsid w:val="00CC2BA7"/>
    <w:rsid w:val="00CC2C59"/>
    <w:rsid w:val="00CC2E9D"/>
    <w:rsid w:val="00CC2F1A"/>
    <w:rsid w:val="00CC2FDE"/>
    <w:rsid w:val="00CC3084"/>
    <w:rsid w:val="00CC30EC"/>
    <w:rsid w:val="00CC3322"/>
    <w:rsid w:val="00CC372A"/>
    <w:rsid w:val="00CC3BF7"/>
    <w:rsid w:val="00CC3CF4"/>
    <w:rsid w:val="00CC3D2A"/>
    <w:rsid w:val="00CC3EAE"/>
    <w:rsid w:val="00CC4078"/>
    <w:rsid w:val="00CC43DC"/>
    <w:rsid w:val="00CC478C"/>
    <w:rsid w:val="00CC4B03"/>
    <w:rsid w:val="00CC4D95"/>
    <w:rsid w:val="00CC4DB6"/>
    <w:rsid w:val="00CC4DBC"/>
    <w:rsid w:val="00CC4F49"/>
    <w:rsid w:val="00CC51D5"/>
    <w:rsid w:val="00CC57D8"/>
    <w:rsid w:val="00CC5870"/>
    <w:rsid w:val="00CC59C7"/>
    <w:rsid w:val="00CC5D70"/>
    <w:rsid w:val="00CC6441"/>
    <w:rsid w:val="00CC6561"/>
    <w:rsid w:val="00CC66B4"/>
    <w:rsid w:val="00CC6A16"/>
    <w:rsid w:val="00CC6AFB"/>
    <w:rsid w:val="00CC6BDD"/>
    <w:rsid w:val="00CC6BEB"/>
    <w:rsid w:val="00CC7000"/>
    <w:rsid w:val="00CC7125"/>
    <w:rsid w:val="00CC714E"/>
    <w:rsid w:val="00CC7371"/>
    <w:rsid w:val="00CC74E5"/>
    <w:rsid w:val="00CC7BE4"/>
    <w:rsid w:val="00CC7C2A"/>
    <w:rsid w:val="00CC7C69"/>
    <w:rsid w:val="00CC7D8E"/>
    <w:rsid w:val="00CC7DE5"/>
    <w:rsid w:val="00CC7E13"/>
    <w:rsid w:val="00CD0428"/>
    <w:rsid w:val="00CD048C"/>
    <w:rsid w:val="00CD0EFF"/>
    <w:rsid w:val="00CD0F07"/>
    <w:rsid w:val="00CD0F84"/>
    <w:rsid w:val="00CD10E8"/>
    <w:rsid w:val="00CD13B3"/>
    <w:rsid w:val="00CD14DD"/>
    <w:rsid w:val="00CD1612"/>
    <w:rsid w:val="00CD162E"/>
    <w:rsid w:val="00CD16F5"/>
    <w:rsid w:val="00CD1886"/>
    <w:rsid w:val="00CD1B6B"/>
    <w:rsid w:val="00CD1CD2"/>
    <w:rsid w:val="00CD1FAE"/>
    <w:rsid w:val="00CD206C"/>
    <w:rsid w:val="00CD2165"/>
    <w:rsid w:val="00CD236A"/>
    <w:rsid w:val="00CD2537"/>
    <w:rsid w:val="00CD259C"/>
    <w:rsid w:val="00CD25F8"/>
    <w:rsid w:val="00CD261C"/>
    <w:rsid w:val="00CD290E"/>
    <w:rsid w:val="00CD29FA"/>
    <w:rsid w:val="00CD2A33"/>
    <w:rsid w:val="00CD3068"/>
    <w:rsid w:val="00CD3372"/>
    <w:rsid w:val="00CD369E"/>
    <w:rsid w:val="00CD387B"/>
    <w:rsid w:val="00CD3991"/>
    <w:rsid w:val="00CD39AD"/>
    <w:rsid w:val="00CD39BD"/>
    <w:rsid w:val="00CD3A34"/>
    <w:rsid w:val="00CD3B14"/>
    <w:rsid w:val="00CD3C5E"/>
    <w:rsid w:val="00CD3DA4"/>
    <w:rsid w:val="00CD3F15"/>
    <w:rsid w:val="00CD3FB5"/>
    <w:rsid w:val="00CD3FD7"/>
    <w:rsid w:val="00CD41AD"/>
    <w:rsid w:val="00CD426F"/>
    <w:rsid w:val="00CD42AA"/>
    <w:rsid w:val="00CD42DC"/>
    <w:rsid w:val="00CD439D"/>
    <w:rsid w:val="00CD469A"/>
    <w:rsid w:val="00CD4741"/>
    <w:rsid w:val="00CD4B6A"/>
    <w:rsid w:val="00CD4ED0"/>
    <w:rsid w:val="00CD5004"/>
    <w:rsid w:val="00CD5011"/>
    <w:rsid w:val="00CD52B3"/>
    <w:rsid w:val="00CD52C3"/>
    <w:rsid w:val="00CD5662"/>
    <w:rsid w:val="00CD5787"/>
    <w:rsid w:val="00CD57E4"/>
    <w:rsid w:val="00CD5D7D"/>
    <w:rsid w:val="00CD5F68"/>
    <w:rsid w:val="00CD5FB2"/>
    <w:rsid w:val="00CD6269"/>
    <w:rsid w:val="00CD6969"/>
    <w:rsid w:val="00CD6A13"/>
    <w:rsid w:val="00CD6D91"/>
    <w:rsid w:val="00CD6DF8"/>
    <w:rsid w:val="00CD71CE"/>
    <w:rsid w:val="00CD72E8"/>
    <w:rsid w:val="00CD77B8"/>
    <w:rsid w:val="00CD77C8"/>
    <w:rsid w:val="00CD77E5"/>
    <w:rsid w:val="00CD78C6"/>
    <w:rsid w:val="00CD7CCD"/>
    <w:rsid w:val="00CD7D55"/>
    <w:rsid w:val="00CD7E6F"/>
    <w:rsid w:val="00CE0015"/>
    <w:rsid w:val="00CE008B"/>
    <w:rsid w:val="00CE0448"/>
    <w:rsid w:val="00CE080D"/>
    <w:rsid w:val="00CE0CBA"/>
    <w:rsid w:val="00CE0DAE"/>
    <w:rsid w:val="00CE0E29"/>
    <w:rsid w:val="00CE0FDB"/>
    <w:rsid w:val="00CE1259"/>
    <w:rsid w:val="00CE14DF"/>
    <w:rsid w:val="00CE1A92"/>
    <w:rsid w:val="00CE1BD6"/>
    <w:rsid w:val="00CE1CA7"/>
    <w:rsid w:val="00CE1E5A"/>
    <w:rsid w:val="00CE1E7F"/>
    <w:rsid w:val="00CE1FCE"/>
    <w:rsid w:val="00CE201C"/>
    <w:rsid w:val="00CE2202"/>
    <w:rsid w:val="00CE24BE"/>
    <w:rsid w:val="00CE2914"/>
    <w:rsid w:val="00CE291A"/>
    <w:rsid w:val="00CE2976"/>
    <w:rsid w:val="00CE29DA"/>
    <w:rsid w:val="00CE2A01"/>
    <w:rsid w:val="00CE3255"/>
    <w:rsid w:val="00CE3354"/>
    <w:rsid w:val="00CE33E4"/>
    <w:rsid w:val="00CE362D"/>
    <w:rsid w:val="00CE36E6"/>
    <w:rsid w:val="00CE3AAE"/>
    <w:rsid w:val="00CE3E31"/>
    <w:rsid w:val="00CE3F14"/>
    <w:rsid w:val="00CE40F7"/>
    <w:rsid w:val="00CE4228"/>
    <w:rsid w:val="00CE4238"/>
    <w:rsid w:val="00CE42B7"/>
    <w:rsid w:val="00CE4387"/>
    <w:rsid w:val="00CE43EB"/>
    <w:rsid w:val="00CE46BB"/>
    <w:rsid w:val="00CE4753"/>
    <w:rsid w:val="00CE49CE"/>
    <w:rsid w:val="00CE4AA6"/>
    <w:rsid w:val="00CE4AB3"/>
    <w:rsid w:val="00CE4C06"/>
    <w:rsid w:val="00CE5143"/>
    <w:rsid w:val="00CE57BA"/>
    <w:rsid w:val="00CE5ECA"/>
    <w:rsid w:val="00CE5F4B"/>
    <w:rsid w:val="00CE5F6E"/>
    <w:rsid w:val="00CE635C"/>
    <w:rsid w:val="00CE6395"/>
    <w:rsid w:val="00CE658F"/>
    <w:rsid w:val="00CE6624"/>
    <w:rsid w:val="00CE66F4"/>
    <w:rsid w:val="00CE6845"/>
    <w:rsid w:val="00CE68ED"/>
    <w:rsid w:val="00CE693B"/>
    <w:rsid w:val="00CE6D77"/>
    <w:rsid w:val="00CE6DC0"/>
    <w:rsid w:val="00CE6F21"/>
    <w:rsid w:val="00CE729E"/>
    <w:rsid w:val="00CE7300"/>
    <w:rsid w:val="00CE7392"/>
    <w:rsid w:val="00CE7470"/>
    <w:rsid w:val="00CE74F5"/>
    <w:rsid w:val="00CE7592"/>
    <w:rsid w:val="00CE781D"/>
    <w:rsid w:val="00CE7A47"/>
    <w:rsid w:val="00CE7CB2"/>
    <w:rsid w:val="00CE7F2F"/>
    <w:rsid w:val="00CE7F85"/>
    <w:rsid w:val="00CF01DE"/>
    <w:rsid w:val="00CF02DB"/>
    <w:rsid w:val="00CF03E9"/>
    <w:rsid w:val="00CF0958"/>
    <w:rsid w:val="00CF0A77"/>
    <w:rsid w:val="00CF0AAF"/>
    <w:rsid w:val="00CF0E08"/>
    <w:rsid w:val="00CF0E22"/>
    <w:rsid w:val="00CF12D0"/>
    <w:rsid w:val="00CF1BF5"/>
    <w:rsid w:val="00CF2204"/>
    <w:rsid w:val="00CF24E6"/>
    <w:rsid w:val="00CF2690"/>
    <w:rsid w:val="00CF27A3"/>
    <w:rsid w:val="00CF2A22"/>
    <w:rsid w:val="00CF2BA1"/>
    <w:rsid w:val="00CF2C88"/>
    <w:rsid w:val="00CF2E14"/>
    <w:rsid w:val="00CF2F93"/>
    <w:rsid w:val="00CF300D"/>
    <w:rsid w:val="00CF3E18"/>
    <w:rsid w:val="00CF3ECD"/>
    <w:rsid w:val="00CF3FA1"/>
    <w:rsid w:val="00CF487C"/>
    <w:rsid w:val="00CF4961"/>
    <w:rsid w:val="00CF4AAD"/>
    <w:rsid w:val="00CF4AFE"/>
    <w:rsid w:val="00CF4C83"/>
    <w:rsid w:val="00CF4DAC"/>
    <w:rsid w:val="00CF5155"/>
    <w:rsid w:val="00CF54F1"/>
    <w:rsid w:val="00CF5ABD"/>
    <w:rsid w:val="00CF5B75"/>
    <w:rsid w:val="00CF6034"/>
    <w:rsid w:val="00CF63E2"/>
    <w:rsid w:val="00CF66E9"/>
    <w:rsid w:val="00CF6998"/>
    <w:rsid w:val="00CF6A96"/>
    <w:rsid w:val="00CF6BA4"/>
    <w:rsid w:val="00CF6E14"/>
    <w:rsid w:val="00CF70E9"/>
    <w:rsid w:val="00CF71B7"/>
    <w:rsid w:val="00CF75B9"/>
    <w:rsid w:val="00CF7B12"/>
    <w:rsid w:val="00CF7CAB"/>
    <w:rsid w:val="00CF7DD0"/>
    <w:rsid w:val="00CF7F7E"/>
    <w:rsid w:val="00D00060"/>
    <w:rsid w:val="00D0009E"/>
    <w:rsid w:val="00D000FA"/>
    <w:rsid w:val="00D001DA"/>
    <w:rsid w:val="00D003DA"/>
    <w:rsid w:val="00D005A1"/>
    <w:rsid w:val="00D0066D"/>
    <w:rsid w:val="00D00880"/>
    <w:rsid w:val="00D00D16"/>
    <w:rsid w:val="00D00E8D"/>
    <w:rsid w:val="00D00F39"/>
    <w:rsid w:val="00D00F5B"/>
    <w:rsid w:val="00D00FA6"/>
    <w:rsid w:val="00D01026"/>
    <w:rsid w:val="00D010A8"/>
    <w:rsid w:val="00D01150"/>
    <w:rsid w:val="00D017CB"/>
    <w:rsid w:val="00D01A7D"/>
    <w:rsid w:val="00D01B41"/>
    <w:rsid w:val="00D01E76"/>
    <w:rsid w:val="00D01F1B"/>
    <w:rsid w:val="00D0218A"/>
    <w:rsid w:val="00D024E9"/>
    <w:rsid w:val="00D024F1"/>
    <w:rsid w:val="00D0253A"/>
    <w:rsid w:val="00D025CD"/>
    <w:rsid w:val="00D028C4"/>
    <w:rsid w:val="00D02C74"/>
    <w:rsid w:val="00D02E63"/>
    <w:rsid w:val="00D0300D"/>
    <w:rsid w:val="00D03E51"/>
    <w:rsid w:val="00D03F2D"/>
    <w:rsid w:val="00D04563"/>
    <w:rsid w:val="00D045B4"/>
    <w:rsid w:val="00D046DC"/>
    <w:rsid w:val="00D04853"/>
    <w:rsid w:val="00D0493F"/>
    <w:rsid w:val="00D04C46"/>
    <w:rsid w:val="00D04E2D"/>
    <w:rsid w:val="00D04E47"/>
    <w:rsid w:val="00D04EE9"/>
    <w:rsid w:val="00D05078"/>
    <w:rsid w:val="00D05423"/>
    <w:rsid w:val="00D054D5"/>
    <w:rsid w:val="00D05798"/>
    <w:rsid w:val="00D057D8"/>
    <w:rsid w:val="00D058FD"/>
    <w:rsid w:val="00D05C06"/>
    <w:rsid w:val="00D05C2C"/>
    <w:rsid w:val="00D05E44"/>
    <w:rsid w:val="00D05EAB"/>
    <w:rsid w:val="00D05ED7"/>
    <w:rsid w:val="00D05F59"/>
    <w:rsid w:val="00D05FF6"/>
    <w:rsid w:val="00D0602B"/>
    <w:rsid w:val="00D0624B"/>
    <w:rsid w:val="00D0642B"/>
    <w:rsid w:val="00D067E3"/>
    <w:rsid w:val="00D069F6"/>
    <w:rsid w:val="00D06BF7"/>
    <w:rsid w:val="00D06E27"/>
    <w:rsid w:val="00D06EF0"/>
    <w:rsid w:val="00D06F86"/>
    <w:rsid w:val="00D076E6"/>
    <w:rsid w:val="00D07835"/>
    <w:rsid w:val="00D07AA3"/>
    <w:rsid w:val="00D07C01"/>
    <w:rsid w:val="00D07C9A"/>
    <w:rsid w:val="00D07E35"/>
    <w:rsid w:val="00D07F50"/>
    <w:rsid w:val="00D1024E"/>
    <w:rsid w:val="00D10336"/>
    <w:rsid w:val="00D103E3"/>
    <w:rsid w:val="00D1041E"/>
    <w:rsid w:val="00D105E9"/>
    <w:rsid w:val="00D107ED"/>
    <w:rsid w:val="00D10A13"/>
    <w:rsid w:val="00D10AD6"/>
    <w:rsid w:val="00D10B06"/>
    <w:rsid w:val="00D10BA2"/>
    <w:rsid w:val="00D10BAF"/>
    <w:rsid w:val="00D10E31"/>
    <w:rsid w:val="00D115D6"/>
    <w:rsid w:val="00D118F5"/>
    <w:rsid w:val="00D119B0"/>
    <w:rsid w:val="00D11A3C"/>
    <w:rsid w:val="00D11BB5"/>
    <w:rsid w:val="00D11BD2"/>
    <w:rsid w:val="00D11D7E"/>
    <w:rsid w:val="00D122D2"/>
    <w:rsid w:val="00D1256C"/>
    <w:rsid w:val="00D125B3"/>
    <w:rsid w:val="00D1294C"/>
    <w:rsid w:val="00D12A2A"/>
    <w:rsid w:val="00D12C8F"/>
    <w:rsid w:val="00D134A1"/>
    <w:rsid w:val="00D13698"/>
    <w:rsid w:val="00D138A5"/>
    <w:rsid w:val="00D139DB"/>
    <w:rsid w:val="00D13B4B"/>
    <w:rsid w:val="00D13C34"/>
    <w:rsid w:val="00D13F25"/>
    <w:rsid w:val="00D141BD"/>
    <w:rsid w:val="00D14309"/>
    <w:rsid w:val="00D143B0"/>
    <w:rsid w:val="00D148BC"/>
    <w:rsid w:val="00D14CC8"/>
    <w:rsid w:val="00D14DCB"/>
    <w:rsid w:val="00D1500D"/>
    <w:rsid w:val="00D1504F"/>
    <w:rsid w:val="00D150C7"/>
    <w:rsid w:val="00D161C5"/>
    <w:rsid w:val="00D162E1"/>
    <w:rsid w:val="00D16507"/>
    <w:rsid w:val="00D1650A"/>
    <w:rsid w:val="00D1654B"/>
    <w:rsid w:val="00D16C97"/>
    <w:rsid w:val="00D16E2C"/>
    <w:rsid w:val="00D170E0"/>
    <w:rsid w:val="00D172F1"/>
    <w:rsid w:val="00D17376"/>
    <w:rsid w:val="00D17503"/>
    <w:rsid w:val="00D1750C"/>
    <w:rsid w:val="00D175CA"/>
    <w:rsid w:val="00D17B19"/>
    <w:rsid w:val="00D17B33"/>
    <w:rsid w:val="00D17C4D"/>
    <w:rsid w:val="00D20131"/>
    <w:rsid w:val="00D2018C"/>
    <w:rsid w:val="00D2031D"/>
    <w:rsid w:val="00D2034C"/>
    <w:rsid w:val="00D20363"/>
    <w:rsid w:val="00D2042A"/>
    <w:rsid w:val="00D2045B"/>
    <w:rsid w:val="00D20547"/>
    <w:rsid w:val="00D20AF6"/>
    <w:rsid w:val="00D20DF9"/>
    <w:rsid w:val="00D20E01"/>
    <w:rsid w:val="00D21299"/>
    <w:rsid w:val="00D212EB"/>
    <w:rsid w:val="00D213CB"/>
    <w:rsid w:val="00D2145B"/>
    <w:rsid w:val="00D215C0"/>
    <w:rsid w:val="00D2162C"/>
    <w:rsid w:val="00D2175B"/>
    <w:rsid w:val="00D2184C"/>
    <w:rsid w:val="00D21A9E"/>
    <w:rsid w:val="00D21AC7"/>
    <w:rsid w:val="00D21C37"/>
    <w:rsid w:val="00D21D15"/>
    <w:rsid w:val="00D21DAC"/>
    <w:rsid w:val="00D21F20"/>
    <w:rsid w:val="00D220FE"/>
    <w:rsid w:val="00D2213D"/>
    <w:rsid w:val="00D22324"/>
    <w:rsid w:val="00D22439"/>
    <w:rsid w:val="00D22509"/>
    <w:rsid w:val="00D229EA"/>
    <w:rsid w:val="00D22E45"/>
    <w:rsid w:val="00D22E92"/>
    <w:rsid w:val="00D233A4"/>
    <w:rsid w:val="00D23A88"/>
    <w:rsid w:val="00D23AA1"/>
    <w:rsid w:val="00D23B1A"/>
    <w:rsid w:val="00D23C84"/>
    <w:rsid w:val="00D23D37"/>
    <w:rsid w:val="00D23D6E"/>
    <w:rsid w:val="00D23D73"/>
    <w:rsid w:val="00D24086"/>
    <w:rsid w:val="00D2448D"/>
    <w:rsid w:val="00D2456B"/>
    <w:rsid w:val="00D2465C"/>
    <w:rsid w:val="00D2473E"/>
    <w:rsid w:val="00D2478D"/>
    <w:rsid w:val="00D2480E"/>
    <w:rsid w:val="00D2496E"/>
    <w:rsid w:val="00D249DF"/>
    <w:rsid w:val="00D24C46"/>
    <w:rsid w:val="00D251BB"/>
    <w:rsid w:val="00D251F8"/>
    <w:rsid w:val="00D2528F"/>
    <w:rsid w:val="00D25BAC"/>
    <w:rsid w:val="00D26218"/>
    <w:rsid w:val="00D26273"/>
    <w:rsid w:val="00D2637C"/>
    <w:rsid w:val="00D26415"/>
    <w:rsid w:val="00D264BF"/>
    <w:rsid w:val="00D264DA"/>
    <w:rsid w:val="00D265B3"/>
    <w:rsid w:val="00D268A9"/>
    <w:rsid w:val="00D27098"/>
    <w:rsid w:val="00D270FC"/>
    <w:rsid w:val="00D27150"/>
    <w:rsid w:val="00D27278"/>
    <w:rsid w:val="00D273CE"/>
    <w:rsid w:val="00D2756F"/>
    <w:rsid w:val="00D2794B"/>
    <w:rsid w:val="00D279F5"/>
    <w:rsid w:val="00D27BA5"/>
    <w:rsid w:val="00D304C4"/>
    <w:rsid w:val="00D3052E"/>
    <w:rsid w:val="00D30685"/>
    <w:rsid w:val="00D30738"/>
    <w:rsid w:val="00D30799"/>
    <w:rsid w:val="00D30A2E"/>
    <w:rsid w:val="00D30A6F"/>
    <w:rsid w:val="00D30C1A"/>
    <w:rsid w:val="00D30C85"/>
    <w:rsid w:val="00D30D2A"/>
    <w:rsid w:val="00D30FF3"/>
    <w:rsid w:val="00D31171"/>
    <w:rsid w:val="00D3139A"/>
    <w:rsid w:val="00D313A3"/>
    <w:rsid w:val="00D314AE"/>
    <w:rsid w:val="00D31532"/>
    <w:rsid w:val="00D31558"/>
    <w:rsid w:val="00D3193E"/>
    <w:rsid w:val="00D31DCA"/>
    <w:rsid w:val="00D322A9"/>
    <w:rsid w:val="00D32339"/>
    <w:rsid w:val="00D326AD"/>
    <w:rsid w:val="00D326B3"/>
    <w:rsid w:val="00D3280D"/>
    <w:rsid w:val="00D329A9"/>
    <w:rsid w:val="00D329B0"/>
    <w:rsid w:val="00D32CF2"/>
    <w:rsid w:val="00D32ED3"/>
    <w:rsid w:val="00D32F2E"/>
    <w:rsid w:val="00D32FA2"/>
    <w:rsid w:val="00D3312F"/>
    <w:rsid w:val="00D331E2"/>
    <w:rsid w:val="00D33379"/>
    <w:rsid w:val="00D33890"/>
    <w:rsid w:val="00D33B06"/>
    <w:rsid w:val="00D33B49"/>
    <w:rsid w:val="00D33B80"/>
    <w:rsid w:val="00D33BF2"/>
    <w:rsid w:val="00D33E33"/>
    <w:rsid w:val="00D343EF"/>
    <w:rsid w:val="00D3457C"/>
    <w:rsid w:val="00D34758"/>
    <w:rsid w:val="00D3479D"/>
    <w:rsid w:val="00D3498B"/>
    <w:rsid w:val="00D3499B"/>
    <w:rsid w:val="00D349BC"/>
    <w:rsid w:val="00D34BF0"/>
    <w:rsid w:val="00D35124"/>
    <w:rsid w:val="00D3514D"/>
    <w:rsid w:val="00D351B4"/>
    <w:rsid w:val="00D3524B"/>
    <w:rsid w:val="00D3529F"/>
    <w:rsid w:val="00D3555C"/>
    <w:rsid w:val="00D3567E"/>
    <w:rsid w:val="00D35864"/>
    <w:rsid w:val="00D359CB"/>
    <w:rsid w:val="00D35B95"/>
    <w:rsid w:val="00D35BB6"/>
    <w:rsid w:val="00D35C4C"/>
    <w:rsid w:val="00D35C64"/>
    <w:rsid w:val="00D35D9B"/>
    <w:rsid w:val="00D35F14"/>
    <w:rsid w:val="00D35F4B"/>
    <w:rsid w:val="00D36838"/>
    <w:rsid w:val="00D3691C"/>
    <w:rsid w:val="00D3766F"/>
    <w:rsid w:val="00D377B8"/>
    <w:rsid w:val="00D37807"/>
    <w:rsid w:val="00D37D1E"/>
    <w:rsid w:val="00D37D7E"/>
    <w:rsid w:val="00D37EC1"/>
    <w:rsid w:val="00D37F24"/>
    <w:rsid w:val="00D37F71"/>
    <w:rsid w:val="00D401DB"/>
    <w:rsid w:val="00D403FC"/>
    <w:rsid w:val="00D40898"/>
    <w:rsid w:val="00D4098A"/>
    <w:rsid w:val="00D40D48"/>
    <w:rsid w:val="00D41056"/>
    <w:rsid w:val="00D4124A"/>
    <w:rsid w:val="00D41590"/>
    <w:rsid w:val="00D4174B"/>
    <w:rsid w:val="00D41D27"/>
    <w:rsid w:val="00D41ECE"/>
    <w:rsid w:val="00D41F18"/>
    <w:rsid w:val="00D422E8"/>
    <w:rsid w:val="00D42381"/>
    <w:rsid w:val="00D42611"/>
    <w:rsid w:val="00D42749"/>
    <w:rsid w:val="00D42C79"/>
    <w:rsid w:val="00D42C84"/>
    <w:rsid w:val="00D42EA8"/>
    <w:rsid w:val="00D430AC"/>
    <w:rsid w:val="00D4326A"/>
    <w:rsid w:val="00D43354"/>
    <w:rsid w:val="00D438FC"/>
    <w:rsid w:val="00D43992"/>
    <w:rsid w:val="00D43DDC"/>
    <w:rsid w:val="00D43FA7"/>
    <w:rsid w:val="00D440ED"/>
    <w:rsid w:val="00D44252"/>
    <w:rsid w:val="00D446BC"/>
    <w:rsid w:val="00D4499E"/>
    <w:rsid w:val="00D45101"/>
    <w:rsid w:val="00D454B9"/>
    <w:rsid w:val="00D45B8F"/>
    <w:rsid w:val="00D45BBE"/>
    <w:rsid w:val="00D45E5B"/>
    <w:rsid w:val="00D46107"/>
    <w:rsid w:val="00D46210"/>
    <w:rsid w:val="00D46366"/>
    <w:rsid w:val="00D46526"/>
    <w:rsid w:val="00D46AB6"/>
    <w:rsid w:val="00D46D39"/>
    <w:rsid w:val="00D47059"/>
    <w:rsid w:val="00D4725F"/>
    <w:rsid w:val="00D472B4"/>
    <w:rsid w:val="00D47430"/>
    <w:rsid w:val="00D476BB"/>
    <w:rsid w:val="00D47815"/>
    <w:rsid w:val="00D478D1"/>
    <w:rsid w:val="00D478F5"/>
    <w:rsid w:val="00D47930"/>
    <w:rsid w:val="00D47F12"/>
    <w:rsid w:val="00D50247"/>
    <w:rsid w:val="00D503E8"/>
    <w:rsid w:val="00D5040C"/>
    <w:rsid w:val="00D50492"/>
    <w:rsid w:val="00D506D1"/>
    <w:rsid w:val="00D506EE"/>
    <w:rsid w:val="00D50A0E"/>
    <w:rsid w:val="00D50B2A"/>
    <w:rsid w:val="00D50BA4"/>
    <w:rsid w:val="00D50BD4"/>
    <w:rsid w:val="00D50DBD"/>
    <w:rsid w:val="00D50E2E"/>
    <w:rsid w:val="00D51123"/>
    <w:rsid w:val="00D512E6"/>
    <w:rsid w:val="00D515A6"/>
    <w:rsid w:val="00D515C5"/>
    <w:rsid w:val="00D51A03"/>
    <w:rsid w:val="00D51F73"/>
    <w:rsid w:val="00D524A6"/>
    <w:rsid w:val="00D524AF"/>
    <w:rsid w:val="00D52615"/>
    <w:rsid w:val="00D52746"/>
    <w:rsid w:val="00D5292A"/>
    <w:rsid w:val="00D52944"/>
    <w:rsid w:val="00D52C02"/>
    <w:rsid w:val="00D52D8D"/>
    <w:rsid w:val="00D52EED"/>
    <w:rsid w:val="00D531BF"/>
    <w:rsid w:val="00D532C5"/>
    <w:rsid w:val="00D53301"/>
    <w:rsid w:val="00D53803"/>
    <w:rsid w:val="00D53807"/>
    <w:rsid w:val="00D539B2"/>
    <w:rsid w:val="00D539B9"/>
    <w:rsid w:val="00D53C08"/>
    <w:rsid w:val="00D53C9A"/>
    <w:rsid w:val="00D53D70"/>
    <w:rsid w:val="00D54343"/>
    <w:rsid w:val="00D547FD"/>
    <w:rsid w:val="00D54852"/>
    <w:rsid w:val="00D54C06"/>
    <w:rsid w:val="00D54C8A"/>
    <w:rsid w:val="00D54E4D"/>
    <w:rsid w:val="00D5501B"/>
    <w:rsid w:val="00D5518A"/>
    <w:rsid w:val="00D551E8"/>
    <w:rsid w:val="00D55395"/>
    <w:rsid w:val="00D5567E"/>
    <w:rsid w:val="00D5568E"/>
    <w:rsid w:val="00D556E0"/>
    <w:rsid w:val="00D55708"/>
    <w:rsid w:val="00D557B1"/>
    <w:rsid w:val="00D557EF"/>
    <w:rsid w:val="00D55D0D"/>
    <w:rsid w:val="00D55E4D"/>
    <w:rsid w:val="00D55FC3"/>
    <w:rsid w:val="00D561AE"/>
    <w:rsid w:val="00D56451"/>
    <w:rsid w:val="00D566A4"/>
    <w:rsid w:val="00D56742"/>
    <w:rsid w:val="00D56838"/>
    <w:rsid w:val="00D56965"/>
    <w:rsid w:val="00D56A24"/>
    <w:rsid w:val="00D56A75"/>
    <w:rsid w:val="00D56BCA"/>
    <w:rsid w:val="00D56CEA"/>
    <w:rsid w:val="00D56D59"/>
    <w:rsid w:val="00D56E67"/>
    <w:rsid w:val="00D56F20"/>
    <w:rsid w:val="00D572B8"/>
    <w:rsid w:val="00D57512"/>
    <w:rsid w:val="00D5753C"/>
    <w:rsid w:val="00D576B1"/>
    <w:rsid w:val="00D57725"/>
    <w:rsid w:val="00D57754"/>
    <w:rsid w:val="00D577CA"/>
    <w:rsid w:val="00D57A81"/>
    <w:rsid w:val="00D57C00"/>
    <w:rsid w:val="00D57C3A"/>
    <w:rsid w:val="00D601F9"/>
    <w:rsid w:val="00D60220"/>
    <w:rsid w:val="00D6041E"/>
    <w:rsid w:val="00D605D6"/>
    <w:rsid w:val="00D609E9"/>
    <w:rsid w:val="00D60AF4"/>
    <w:rsid w:val="00D60B86"/>
    <w:rsid w:val="00D60BA8"/>
    <w:rsid w:val="00D61288"/>
    <w:rsid w:val="00D612F1"/>
    <w:rsid w:val="00D6153F"/>
    <w:rsid w:val="00D6171A"/>
    <w:rsid w:val="00D6173B"/>
    <w:rsid w:val="00D618FB"/>
    <w:rsid w:val="00D61B13"/>
    <w:rsid w:val="00D61C62"/>
    <w:rsid w:val="00D61E88"/>
    <w:rsid w:val="00D61E8D"/>
    <w:rsid w:val="00D61F2A"/>
    <w:rsid w:val="00D62474"/>
    <w:rsid w:val="00D625C7"/>
    <w:rsid w:val="00D625CD"/>
    <w:rsid w:val="00D6271D"/>
    <w:rsid w:val="00D627A7"/>
    <w:rsid w:val="00D62961"/>
    <w:rsid w:val="00D62A05"/>
    <w:rsid w:val="00D62CA6"/>
    <w:rsid w:val="00D62D7F"/>
    <w:rsid w:val="00D62FEA"/>
    <w:rsid w:val="00D63786"/>
    <w:rsid w:val="00D63BA5"/>
    <w:rsid w:val="00D64036"/>
    <w:rsid w:val="00D64394"/>
    <w:rsid w:val="00D64788"/>
    <w:rsid w:val="00D6492C"/>
    <w:rsid w:val="00D64DDC"/>
    <w:rsid w:val="00D64E55"/>
    <w:rsid w:val="00D6518E"/>
    <w:rsid w:val="00D6519F"/>
    <w:rsid w:val="00D65260"/>
    <w:rsid w:val="00D65655"/>
    <w:rsid w:val="00D657B3"/>
    <w:rsid w:val="00D65988"/>
    <w:rsid w:val="00D65D73"/>
    <w:rsid w:val="00D661F4"/>
    <w:rsid w:val="00D664F2"/>
    <w:rsid w:val="00D66501"/>
    <w:rsid w:val="00D666A2"/>
    <w:rsid w:val="00D66CE6"/>
    <w:rsid w:val="00D66F22"/>
    <w:rsid w:val="00D67232"/>
    <w:rsid w:val="00D672E9"/>
    <w:rsid w:val="00D67659"/>
    <w:rsid w:val="00D676AC"/>
    <w:rsid w:val="00D6791F"/>
    <w:rsid w:val="00D67B13"/>
    <w:rsid w:val="00D67C9D"/>
    <w:rsid w:val="00D67CDE"/>
    <w:rsid w:val="00D67FE3"/>
    <w:rsid w:val="00D70259"/>
    <w:rsid w:val="00D7090A"/>
    <w:rsid w:val="00D70C96"/>
    <w:rsid w:val="00D70D57"/>
    <w:rsid w:val="00D70DFE"/>
    <w:rsid w:val="00D70E87"/>
    <w:rsid w:val="00D70FA6"/>
    <w:rsid w:val="00D71328"/>
    <w:rsid w:val="00D717AD"/>
    <w:rsid w:val="00D71A1E"/>
    <w:rsid w:val="00D71ADF"/>
    <w:rsid w:val="00D72238"/>
    <w:rsid w:val="00D72295"/>
    <w:rsid w:val="00D7238D"/>
    <w:rsid w:val="00D72495"/>
    <w:rsid w:val="00D72583"/>
    <w:rsid w:val="00D7293F"/>
    <w:rsid w:val="00D72DB9"/>
    <w:rsid w:val="00D73004"/>
    <w:rsid w:val="00D7330E"/>
    <w:rsid w:val="00D73391"/>
    <w:rsid w:val="00D73697"/>
    <w:rsid w:val="00D736C0"/>
    <w:rsid w:val="00D7381E"/>
    <w:rsid w:val="00D73B1D"/>
    <w:rsid w:val="00D73C0A"/>
    <w:rsid w:val="00D73D52"/>
    <w:rsid w:val="00D73ECE"/>
    <w:rsid w:val="00D741E3"/>
    <w:rsid w:val="00D7427D"/>
    <w:rsid w:val="00D7433C"/>
    <w:rsid w:val="00D74641"/>
    <w:rsid w:val="00D7480B"/>
    <w:rsid w:val="00D7497D"/>
    <w:rsid w:val="00D74BD6"/>
    <w:rsid w:val="00D74C91"/>
    <w:rsid w:val="00D75161"/>
    <w:rsid w:val="00D75595"/>
    <w:rsid w:val="00D758A4"/>
    <w:rsid w:val="00D75EE8"/>
    <w:rsid w:val="00D761C9"/>
    <w:rsid w:val="00D762C8"/>
    <w:rsid w:val="00D76304"/>
    <w:rsid w:val="00D76479"/>
    <w:rsid w:val="00D764B3"/>
    <w:rsid w:val="00D7658F"/>
    <w:rsid w:val="00D76695"/>
    <w:rsid w:val="00D766E5"/>
    <w:rsid w:val="00D769B9"/>
    <w:rsid w:val="00D76A4A"/>
    <w:rsid w:val="00D76C57"/>
    <w:rsid w:val="00D76C62"/>
    <w:rsid w:val="00D76DFA"/>
    <w:rsid w:val="00D7707A"/>
    <w:rsid w:val="00D77279"/>
    <w:rsid w:val="00D772B7"/>
    <w:rsid w:val="00D7737A"/>
    <w:rsid w:val="00D773FB"/>
    <w:rsid w:val="00D774A1"/>
    <w:rsid w:val="00D77610"/>
    <w:rsid w:val="00D776AC"/>
    <w:rsid w:val="00D77EF1"/>
    <w:rsid w:val="00D80017"/>
    <w:rsid w:val="00D80044"/>
    <w:rsid w:val="00D80247"/>
    <w:rsid w:val="00D80308"/>
    <w:rsid w:val="00D80409"/>
    <w:rsid w:val="00D804B7"/>
    <w:rsid w:val="00D8054A"/>
    <w:rsid w:val="00D806FB"/>
    <w:rsid w:val="00D8084B"/>
    <w:rsid w:val="00D809C2"/>
    <w:rsid w:val="00D8104B"/>
    <w:rsid w:val="00D81477"/>
    <w:rsid w:val="00D81585"/>
    <w:rsid w:val="00D817BF"/>
    <w:rsid w:val="00D81A23"/>
    <w:rsid w:val="00D81B3D"/>
    <w:rsid w:val="00D81BB9"/>
    <w:rsid w:val="00D81BE4"/>
    <w:rsid w:val="00D81C34"/>
    <w:rsid w:val="00D81F33"/>
    <w:rsid w:val="00D81F89"/>
    <w:rsid w:val="00D8218B"/>
    <w:rsid w:val="00D8239A"/>
    <w:rsid w:val="00D8253B"/>
    <w:rsid w:val="00D8260C"/>
    <w:rsid w:val="00D82DAE"/>
    <w:rsid w:val="00D83408"/>
    <w:rsid w:val="00D83573"/>
    <w:rsid w:val="00D835D3"/>
    <w:rsid w:val="00D837E4"/>
    <w:rsid w:val="00D8398A"/>
    <w:rsid w:val="00D83A8C"/>
    <w:rsid w:val="00D83B22"/>
    <w:rsid w:val="00D83E36"/>
    <w:rsid w:val="00D8402F"/>
    <w:rsid w:val="00D8421F"/>
    <w:rsid w:val="00D84289"/>
    <w:rsid w:val="00D8487C"/>
    <w:rsid w:val="00D84885"/>
    <w:rsid w:val="00D848C2"/>
    <w:rsid w:val="00D849A4"/>
    <w:rsid w:val="00D84BCE"/>
    <w:rsid w:val="00D84C30"/>
    <w:rsid w:val="00D84FE5"/>
    <w:rsid w:val="00D84FFC"/>
    <w:rsid w:val="00D8502A"/>
    <w:rsid w:val="00D85100"/>
    <w:rsid w:val="00D8532A"/>
    <w:rsid w:val="00D8539F"/>
    <w:rsid w:val="00D8572B"/>
    <w:rsid w:val="00D85A4E"/>
    <w:rsid w:val="00D85A59"/>
    <w:rsid w:val="00D85C6F"/>
    <w:rsid w:val="00D85E80"/>
    <w:rsid w:val="00D8601B"/>
    <w:rsid w:val="00D8610D"/>
    <w:rsid w:val="00D861DA"/>
    <w:rsid w:val="00D86235"/>
    <w:rsid w:val="00D872FD"/>
    <w:rsid w:val="00D8749C"/>
    <w:rsid w:val="00D87584"/>
    <w:rsid w:val="00D87690"/>
    <w:rsid w:val="00D87710"/>
    <w:rsid w:val="00D87ADB"/>
    <w:rsid w:val="00D90186"/>
    <w:rsid w:val="00D90668"/>
    <w:rsid w:val="00D9107B"/>
    <w:rsid w:val="00D913EF"/>
    <w:rsid w:val="00D91409"/>
    <w:rsid w:val="00D914A6"/>
    <w:rsid w:val="00D91748"/>
    <w:rsid w:val="00D91884"/>
    <w:rsid w:val="00D91F78"/>
    <w:rsid w:val="00D921B7"/>
    <w:rsid w:val="00D923C2"/>
    <w:rsid w:val="00D92592"/>
    <w:rsid w:val="00D927FC"/>
    <w:rsid w:val="00D92AB5"/>
    <w:rsid w:val="00D93129"/>
    <w:rsid w:val="00D9315F"/>
    <w:rsid w:val="00D93212"/>
    <w:rsid w:val="00D93686"/>
    <w:rsid w:val="00D93735"/>
    <w:rsid w:val="00D9386F"/>
    <w:rsid w:val="00D93872"/>
    <w:rsid w:val="00D938B8"/>
    <w:rsid w:val="00D93C82"/>
    <w:rsid w:val="00D944E1"/>
    <w:rsid w:val="00D94F31"/>
    <w:rsid w:val="00D954A1"/>
    <w:rsid w:val="00D95610"/>
    <w:rsid w:val="00D956D5"/>
    <w:rsid w:val="00D95923"/>
    <w:rsid w:val="00D95AD7"/>
    <w:rsid w:val="00D95C8E"/>
    <w:rsid w:val="00D95F7C"/>
    <w:rsid w:val="00D962CB"/>
    <w:rsid w:val="00D966CA"/>
    <w:rsid w:val="00D967C4"/>
    <w:rsid w:val="00D967DA"/>
    <w:rsid w:val="00D968A9"/>
    <w:rsid w:val="00D9700D"/>
    <w:rsid w:val="00D970BC"/>
    <w:rsid w:val="00D97177"/>
    <w:rsid w:val="00D9772F"/>
    <w:rsid w:val="00D97896"/>
    <w:rsid w:val="00D97E12"/>
    <w:rsid w:val="00D97ED6"/>
    <w:rsid w:val="00DA01DB"/>
    <w:rsid w:val="00DA06B9"/>
    <w:rsid w:val="00DA0B34"/>
    <w:rsid w:val="00DA0C45"/>
    <w:rsid w:val="00DA0D01"/>
    <w:rsid w:val="00DA0F7E"/>
    <w:rsid w:val="00DA1166"/>
    <w:rsid w:val="00DA11E5"/>
    <w:rsid w:val="00DA1728"/>
    <w:rsid w:val="00DA1893"/>
    <w:rsid w:val="00DA197A"/>
    <w:rsid w:val="00DA1EB6"/>
    <w:rsid w:val="00DA1F68"/>
    <w:rsid w:val="00DA21A2"/>
    <w:rsid w:val="00DA23B7"/>
    <w:rsid w:val="00DA27D1"/>
    <w:rsid w:val="00DA2BD0"/>
    <w:rsid w:val="00DA2D5C"/>
    <w:rsid w:val="00DA30F8"/>
    <w:rsid w:val="00DA333E"/>
    <w:rsid w:val="00DA334B"/>
    <w:rsid w:val="00DA334F"/>
    <w:rsid w:val="00DA339E"/>
    <w:rsid w:val="00DA3625"/>
    <w:rsid w:val="00DA37F1"/>
    <w:rsid w:val="00DA39CA"/>
    <w:rsid w:val="00DA3D60"/>
    <w:rsid w:val="00DA3FA2"/>
    <w:rsid w:val="00DA408C"/>
    <w:rsid w:val="00DA41D8"/>
    <w:rsid w:val="00DA4206"/>
    <w:rsid w:val="00DA4486"/>
    <w:rsid w:val="00DA45A4"/>
    <w:rsid w:val="00DA485C"/>
    <w:rsid w:val="00DA49CA"/>
    <w:rsid w:val="00DA4F7F"/>
    <w:rsid w:val="00DA51D7"/>
    <w:rsid w:val="00DA5465"/>
    <w:rsid w:val="00DA5A78"/>
    <w:rsid w:val="00DA5C6C"/>
    <w:rsid w:val="00DA5D5F"/>
    <w:rsid w:val="00DA5E36"/>
    <w:rsid w:val="00DA6267"/>
    <w:rsid w:val="00DA65C2"/>
    <w:rsid w:val="00DA6A3F"/>
    <w:rsid w:val="00DA6ADA"/>
    <w:rsid w:val="00DA6C31"/>
    <w:rsid w:val="00DA6D89"/>
    <w:rsid w:val="00DA6E9E"/>
    <w:rsid w:val="00DA6FE7"/>
    <w:rsid w:val="00DA70BC"/>
    <w:rsid w:val="00DA775C"/>
    <w:rsid w:val="00DA782A"/>
    <w:rsid w:val="00DA782C"/>
    <w:rsid w:val="00DA78CD"/>
    <w:rsid w:val="00DB0216"/>
    <w:rsid w:val="00DB07FC"/>
    <w:rsid w:val="00DB0876"/>
    <w:rsid w:val="00DB0CA4"/>
    <w:rsid w:val="00DB1069"/>
    <w:rsid w:val="00DB1309"/>
    <w:rsid w:val="00DB14AE"/>
    <w:rsid w:val="00DB14FA"/>
    <w:rsid w:val="00DB1506"/>
    <w:rsid w:val="00DB1622"/>
    <w:rsid w:val="00DB1B0E"/>
    <w:rsid w:val="00DB1CDB"/>
    <w:rsid w:val="00DB221F"/>
    <w:rsid w:val="00DB2370"/>
    <w:rsid w:val="00DB23FA"/>
    <w:rsid w:val="00DB269B"/>
    <w:rsid w:val="00DB29A3"/>
    <w:rsid w:val="00DB2A84"/>
    <w:rsid w:val="00DB2C83"/>
    <w:rsid w:val="00DB2C95"/>
    <w:rsid w:val="00DB3155"/>
    <w:rsid w:val="00DB31EF"/>
    <w:rsid w:val="00DB34C0"/>
    <w:rsid w:val="00DB34DE"/>
    <w:rsid w:val="00DB3666"/>
    <w:rsid w:val="00DB393B"/>
    <w:rsid w:val="00DB3A61"/>
    <w:rsid w:val="00DB41A1"/>
    <w:rsid w:val="00DB4382"/>
    <w:rsid w:val="00DB45AA"/>
    <w:rsid w:val="00DB494A"/>
    <w:rsid w:val="00DB4E79"/>
    <w:rsid w:val="00DB5265"/>
    <w:rsid w:val="00DB545B"/>
    <w:rsid w:val="00DB551F"/>
    <w:rsid w:val="00DB5847"/>
    <w:rsid w:val="00DB5EAE"/>
    <w:rsid w:val="00DB6056"/>
    <w:rsid w:val="00DB60A1"/>
    <w:rsid w:val="00DB62FB"/>
    <w:rsid w:val="00DB653B"/>
    <w:rsid w:val="00DB6638"/>
    <w:rsid w:val="00DB6670"/>
    <w:rsid w:val="00DB66FC"/>
    <w:rsid w:val="00DB67E7"/>
    <w:rsid w:val="00DB68B2"/>
    <w:rsid w:val="00DB6B1D"/>
    <w:rsid w:val="00DB6C82"/>
    <w:rsid w:val="00DB6D3A"/>
    <w:rsid w:val="00DB6FC2"/>
    <w:rsid w:val="00DB722E"/>
    <w:rsid w:val="00DB753F"/>
    <w:rsid w:val="00DB7573"/>
    <w:rsid w:val="00DB769B"/>
    <w:rsid w:val="00DB7886"/>
    <w:rsid w:val="00DB79C6"/>
    <w:rsid w:val="00DB7ACC"/>
    <w:rsid w:val="00DB7AFC"/>
    <w:rsid w:val="00DB7B0E"/>
    <w:rsid w:val="00DB7F76"/>
    <w:rsid w:val="00DB7FC7"/>
    <w:rsid w:val="00DC0016"/>
    <w:rsid w:val="00DC00FE"/>
    <w:rsid w:val="00DC0104"/>
    <w:rsid w:val="00DC0265"/>
    <w:rsid w:val="00DC0445"/>
    <w:rsid w:val="00DC074D"/>
    <w:rsid w:val="00DC0C94"/>
    <w:rsid w:val="00DC0D66"/>
    <w:rsid w:val="00DC0F32"/>
    <w:rsid w:val="00DC1000"/>
    <w:rsid w:val="00DC1887"/>
    <w:rsid w:val="00DC1E9E"/>
    <w:rsid w:val="00DC1F95"/>
    <w:rsid w:val="00DC217B"/>
    <w:rsid w:val="00DC25D8"/>
    <w:rsid w:val="00DC26A8"/>
    <w:rsid w:val="00DC2B47"/>
    <w:rsid w:val="00DC2D27"/>
    <w:rsid w:val="00DC3152"/>
    <w:rsid w:val="00DC35C9"/>
    <w:rsid w:val="00DC3C85"/>
    <w:rsid w:val="00DC465B"/>
    <w:rsid w:val="00DC4701"/>
    <w:rsid w:val="00DC48EA"/>
    <w:rsid w:val="00DC48F8"/>
    <w:rsid w:val="00DC4969"/>
    <w:rsid w:val="00DC4AF4"/>
    <w:rsid w:val="00DC4B33"/>
    <w:rsid w:val="00DC4F8B"/>
    <w:rsid w:val="00DC5423"/>
    <w:rsid w:val="00DC54CD"/>
    <w:rsid w:val="00DC57EB"/>
    <w:rsid w:val="00DC5996"/>
    <w:rsid w:val="00DC5A63"/>
    <w:rsid w:val="00DC5B4C"/>
    <w:rsid w:val="00DC6141"/>
    <w:rsid w:val="00DC657C"/>
    <w:rsid w:val="00DC6755"/>
    <w:rsid w:val="00DC6803"/>
    <w:rsid w:val="00DC6880"/>
    <w:rsid w:val="00DC68E8"/>
    <w:rsid w:val="00DC6A3F"/>
    <w:rsid w:val="00DC6DB2"/>
    <w:rsid w:val="00DC70F2"/>
    <w:rsid w:val="00DC74FB"/>
    <w:rsid w:val="00DC76AE"/>
    <w:rsid w:val="00DC795A"/>
    <w:rsid w:val="00DC7DB3"/>
    <w:rsid w:val="00DC7EC1"/>
    <w:rsid w:val="00DD0102"/>
    <w:rsid w:val="00DD0256"/>
    <w:rsid w:val="00DD0452"/>
    <w:rsid w:val="00DD0AB2"/>
    <w:rsid w:val="00DD0C1A"/>
    <w:rsid w:val="00DD148E"/>
    <w:rsid w:val="00DD15AE"/>
    <w:rsid w:val="00DD177B"/>
    <w:rsid w:val="00DD18AC"/>
    <w:rsid w:val="00DD1922"/>
    <w:rsid w:val="00DD1B4B"/>
    <w:rsid w:val="00DD1C1D"/>
    <w:rsid w:val="00DD1FB9"/>
    <w:rsid w:val="00DD22C5"/>
    <w:rsid w:val="00DD280F"/>
    <w:rsid w:val="00DD2B2B"/>
    <w:rsid w:val="00DD2CDB"/>
    <w:rsid w:val="00DD2E1A"/>
    <w:rsid w:val="00DD2F8D"/>
    <w:rsid w:val="00DD3380"/>
    <w:rsid w:val="00DD36E2"/>
    <w:rsid w:val="00DD3DA5"/>
    <w:rsid w:val="00DD3E5D"/>
    <w:rsid w:val="00DD3F90"/>
    <w:rsid w:val="00DD3F9E"/>
    <w:rsid w:val="00DD456E"/>
    <w:rsid w:val="00DD4A0C"/>
    <w:rsid w:val="00DD4B12"/>
    <w:rsid w:val="00DD4B21"/>
    <w:rsid w:val="00DD4BEE"/>
    <w:rsid w:val="00DD4C18"/>
    <w:rsid w:val="00DD4CEF"/>
    <w:rsid w:val="00DD4D1C"/>
    <w:rsid w:val="00DD4D71"/>
    <w:rsid w:val="00DD551E"/>
    <w:rsid w:val="00DD56B7"/>
    <w:rsid w:val="00DD572D"/>
    <w:rsid w:val="00DD59FC"/>
    <w:rsid w:val="00DD5A54"/>
    <w:rsid w:val="00DD5C78"/>
    <w:rsid w:val="00DD5D61"/>
    <w:rsid w:val="00DD608D"/>
    <w:rsid w:val="00DD620C"/>
    <w:rsid w:val="00DD63B6"/>
    <w:rsid w:val="00DD64B0"/>
    <w:rsid w:val="00DD64B5"/>
    <w:rsid w:val="00DD6AC7"/>
    <w:rsid w:val="00DD6AF8"/>
    <w:rsid w:val="00DD6BD0"/>
    <w:rsid w:val="00DD73B2"/>
    <w:rsid w:val="00DD76B6"/>
    <w:rsid w:val="00DD76E2"/>
    <w:rsid w:val="00DD78A5"/>
    <w:rsid w:val="00DD78BF"/>
    <w:rsid w:val="00DD7AA5"/>
    <w:rsid w:val="00DD7B43"/>
    <w:rsid w:val="00DD7BA4"/>
    <w:rsid w:val="00DD7C16"/>
    <w:rsid w:val="00DD7C2B"/>
    <w:rsid w:val="00DD7E0A"/>
    <w:rsid w:val="00DE03FB"/>
    <w:rsid w:val="00DE0551"/>
    <w:rsid w:val="00DE0587"/>
    <w:rsid w:val="00DE077A"/>
    <w:rsid w:val="00DE0A4B"/>
    <w:rsid w:val="00DE0C17"/>
    <w:rsid w:val="00DE0C4A"/>
    <w:rsid w:val="00DE0D8B"/>
    <w:rsid w:val="00DE0D8F"/>
    <w:rsid w:val="00DE0EC2"/>
    <w:rsid w:val="00DE105B"/>
    <w:rsid w:val="00DE1271"/>
    <w:rsid w:val="00DE1355"/>
    <w:rsid w:val="00DE1436"/>
    <w:rsid w:val="00DE1621"/>
    <w:rsid w:val="00DE18A2"/>
    <w:rsid w:val="00DE1E61"/>
    <w:rsid w:val="00DE20FB"/>
    <w:rsid w:val="00DE2214"/>
    <w:rsid w:val="00DE2246"/>
    <w:rsid w:val="00DE2757"/>
    <w:rsid w:val="00DE28FC"/>
    <w:rsid w:val="00DE2F30"/>
    <w:rsid w:val="00DE33DA"/>
    <w:rsid w:val="00DE3468"/>
    <w:rsid w:val="00DE34A3"/>
    <w:rsid w:val="00DE3583"/>
    <w:rsid w:val="00DE37F3"/>
    <w:rsid w:val="00DE40B9"/>
    <w:rsid w:val="00DE423A"/>
    <w:rsid w:val="00DE4286"/>
    <w:rsid w:val="00DE4947"/>
    <w:rsid w:val="00DE4AD7"/>
    <w:rsid w:val="00DE4D59"/>
    <w:rsid w:val="00DE4EB5"/>
    <w:rsid w:val="00DE5327"/>
    <w:rsid w:val="00DE5501"/>
    <w:rsid w:val="00DE5682"/>
    <w:rsid w:val="00DE5AA9"/>
    <w:rsid w:val="00DE5D98"/>
    <w:rsid w:val="00DE62A8"/>
    <w:rsid w:val="00DE642B"/>
    <w:rsid w:val="00DE650C"/>
    <w:rsid w:val="00DE6525"/>
    <w:rsid w:val="00DE65A0"/>
    <w:rsid w:val="00DE6993"/>
    <w:rsid w:val="00DE6B47"/>
    <w:rsid w:val="00DE6E1C"/>
    <w:rsid w:val="00DE6EB4"/>
    <w:rsid w:val="00DE7021"/>
    <w:rsid w:val="00DE73E5"/>
    <w:rsid w:val="00DE7BB0"/>
    <w:rsid w:val="00DE7DFD"/>
    <w:rsid w:val="00DE7FCE"/>
    <w:rsid w:val="00DF0122"/>
    <w:rsid w:val="00DF0220"/>
    <w:rsid w:val="00DF11AA"/>
    <w:rsid w:val="00DF15C1"/>
    <w:rsid w:val="00DF1A80"/>
    <w:rsid w:val="00DF1E8D"/>
    <w:rsid w:val="00DF23C5"/>
    <w:rsid w:val="00DF23C9"/>
    <w:rsid w:val="00DF287D"/>
    <w:rsid w:val="00DF2B30"/>
    <w:rsid w:val="00DF2DC4"/>
    <w:rsid w:val="00DF40B1"/>
    <w:rsid w:val="00DF439D"/>
    <w:rsid w:val="00DF4412"/>
    <w:rsid w:val="00DF4419"/>
    <w:rsid w:val="00DF47A1"/>
    <w:rsid w:val="00DF4A9B"/>
    <w:rsid w:val="00DF4ACE"/>
    <w:rsid w:val="00DF4B4D"/>
    <w:rsid w:val="00DF4B54"/>
    <w:rsid w:val="00DF4B9D"/>
    <w:rsid w:val="00DF4C28"/>
    <w:rsid w:val="00DF4DAB"/>
    <w:rsid w:val="00DF4FD8"/>
    <w:rsid w:val="00DF5256"/>
    <w:rsid w:val="00DF552E"/>
    <w:rsid w:val="00DF559C"/>
    <w:rsid w:val="00DF55B0"/>
    <w:rsid w:val="00DF56F6"/>
    <w:rsid w:val="00DF5934"/>
    <w:rsid w:val="00DF5986"/>
    <w:rsid w:val="00DF5EA0"/>
    <w:rsid w:val="00DF5EF5"/>
    <w:rsid w:val="00DF5F24"/>
    <w:rsid w:val="00DF5FCD"/>
    <w:rsid w:val="00DF61D4"/>
    <w:rsid w:val="00DF6569"/>
    <w:rsid w:val="00DF6879"/>
    <w:rsid w:val="00DF6C7E"/>
    <w:rsid w:val="00DF6C8B"/>
    <w:rsid w:val="00DF6D0A"/>
    <w:rsid w:val="00DF6DF8"/>
    <w:rsid w:val="00DF6FA0"/>
    <w:rsid w:val="00DF71BA"/>
    <w:rsid w:val="00DF72F3"/>
    <w:rsid w:val="00DF75B4"/>
    <w:rsid w:val="00DF796D"/>
    <w:rsid w:val="00DF7D3F"/>
    <w:rsid w:val="00DF7FAD"/>
    <w:rsid w:val="00E0034B"/>
    <w:rsid w:val="00E00501"/>
    <w:rsid w:val="00E006CD"/>
    <w:rsid w:val="00E00A2B"/>
    <w:rsid w:val="00E012A2"/>
    <w:rsid w:val="00E012EE"/>
    <w:rsid w:val="00E013C2"/>
    <w:rsid w:val="00E01417"/>
    <w:rsid w:val="00E015C3"/>
    <w:rsid w:val="00E018E8"/>
    <w:rsid w:val="00E01BFC"/>
    <w:rsid w:val="00E01EEC"/>
    <w:rsid w:val="00E0204E"/>
    <w:rsid w:val="00E021D5"/>
    <w:rsid w:val="00E025A2"/>
    <w:rsid w:val="00E028BD"/>
    <w:rsid w:val="00E02A45"/>
    <w:rsid w:val="00E02BAE"/>
    <w:rsid w:val="00E03024"/>
    <w:rsid w:val="00E032CA"/>
    <w:rsid w:val="00E03543"/>
    <w:rsid w:val="00E03563"/>
    <w:rsid w:val="00E036E9"/>
    <w:rsid w:val="00E03A56"/>
    <w:rsid w:val="00E03AF2"/>
    <w:rsid w:val="00E03BD3"/>
    <w:rsid w:val="00E04286"/>
    <w:rsid w:val="00E0436A"/>
    <w:rsid w:val="00E049DE"/>
    <w:rsid w:val="00E04A0E"/>
    <w:rsid w:val="00E04B30"/>
    <w:rsid w:val="00E04C1D"/>
    <w:rsid w:val="00E04D5B"/>
    <w:rsid w:val="00E04F82"/>
    <w:rsid w:val="00E0507B"/>
    <w:rsid w:val="00E0526E"/>
    <w:rsid w:val="00E052B3"/>
    <w:rsid w:val="00E0552E"/>
    <w:rsid w:val="00E0575D"/>
    <w:rsid w:val="00E05825"/>
    <w:rsid w:val="00E05960"/>
    <w:rsid w:val="00E05F23"/>
    <w:rsid w:val="00E05F6E"/>
    <w:rsid w:val="00E061AA"/>
    <w:rsid w:val="00E062E1"/>
    <w:rsid w:val="00E06441"/>
    <w:rsid w:val="00E0644D"/>
    <w:rsid w:val="00E064A1"/>
    <w:rsid w:val="00E0655D"/>
    <w:rsid w:val="00E06613"/>
    <w:rsid w:val="00E066AF"/>
    <w:rsid w:val="00E06AFB"/>
    <w:rsid w:val="00E070CA"/>
    <w:rsid w:val="00E0714F"/>
    <w:rsid w:val="00E071AC"/>
    <w:rsid w:val="00E0722C"/>
    <w:rsid w:val="00E072F6"/>
    <w:rsid w:val="00E07D12"/>
    <w:rsid w:val="00E10328"/>
    <w:rsid w:val="00E104BB"/>
    <w:rsid w:val="00E106B2"/>
    <w:rsid w:val="00E1070F"/>
    <w:rsid w:val="00E10BB0"/>
    <w:rsid w:val="00E10CD4"/>
    <w:rsid w:val="00E10D5A"/>
    <w:rsid w:val="00E10ECE"/>
    <w:rsid w:val="00E11276"/>
    <w:rsid w:val="00E112B6"/>
    <w:rsid w:val="00E1136B"/>
    <w:rsid w:val="00E1174D"/>
    <w:rsid w:val="00E11833"/>
    <w:rsid w:val="00E11C8D"/>
    <w:rsid w:val="00E11E72"/>
    <w:rsid w:val="00E12083"/>
    <w:rsid w:val="00E120CD"/>
    <w:rsid w:val="00E12566"/>
    <w:rsid w:val="00E125DC"/>
    <w:rsid w:val="00E12C50"/>
    <w:rsid w:val="00E12CA4"/>
    <w:rsid w:val="00E12CC3"/>
    <w:rsid w:val="00E12CDC"/>
    <w:rsid w:val="00E12D14"/>
    <w:rsid w:val="00E130E7"/>
    <w:rsid w:val="00E132C3"/>
    <w:rsid w:val="00E1351A"/>
    <w:rsid w:val="00E1384F"/>
    <w:rsid w:val="00E13CD2"/>
    <w:rsid w:val="00E14093"/>
    <w:rsid w:val="00E141E1"/>
    <w:rsid w:val="00E142FD"/>
    <w:rsid w:val="00E14392"/>
    <w:rsid w:val="00E1459B"/>
    <w:rsid w:val="00E14822"/>
    <w:rsid w:val="00E1484A"/>
    <w:rsid w:val="00E14A49"/>
    <w:rsid w:val="00E14D1B"/>
    <w:rsid w:val="00E14D6C"/>
    <w:rsid w:val="00E14D82"/>
    <w:rsid w:val="00E14DEB"/>
    <w:rsid w:val="00E14F45"/>
    <w:rsid w:val="00E1545D"/>
    <w:rsid w:val="00E1553B"/>
    <w:rsid w:val="00E1575D"/>
    <w:rsid w:val="00E16618"/>
    <w:rsid w:val="00E1669A"/>
    <w:rsid w:val="00E16C04"/>
    <w:rsid w:val="00E16E93"/>
    <w:rsid w:val="00E16F0E"/>
    <w:rsid w:val="00E17159"/>
    <w:rsid w:val="00E20053"/>
    <w:rsid w:val="00E200A1"/>
    <w:rsid w:val="00E203F9"/>
    <w:rsid w:val="00E20523"/>
    <w:rsid w:val="00E205E4"/>
    <w:rsid w:val="00E20700"/>
    <w:rsid w:val="00E20745"/>
    <w:rsid w:val="00E208D3"/>
    <w:rsid w:val="00E20927"/>
    <w:rsid w:val="00E20A49"/>
    <w:rsid w:val="00E20B98"/>
    <w:rsid w:val="00E20CB5"/>
    <w:rsid w:val="00E20F2F"/>
    <w:rsid w:val="00E2101B"/>
    <w:rsid w:val="00E21205"/>
    <w:rsid w:val="00E2146F"/>
    <w:rsid w:val="00E214FB"/>
    <w:rsid w:val="00E215E4"/>
    <w:rsid w:val="00E2183F"/>
    <w:rsid w:val="00E2198D"/>
    <w:rsid w:val="00E21EBD"/>
    <w:rsid w:val="00E22255"/>
    <w:rsid w:val="00E225D9"/>
    <w:rsid w:val="00E22672"/>
    <w:rsid w:val="00E22C55"/>
    <w:rsid w:val="00E22DCB"/>
    <w:rsid w:val="00E22EDE"/>
    <w:rsid w:val="00E22FA4"/>
    <w:rsid w:val="00E22FD1"/>
    <w:rsid w:val="00E230BB"/>
    <w:rsid w:val="00E23140"/>
    <w:rsid w:val="00E23306"/>
    <w:rsid w:val="00E233A6"/>
    <w:rsid w:val="00E233F9"/>
    <w:rsid w:val="00E235BD"/>
    <w:rsid w:val="00E235F2"/>
    <w:rsid w:val="00E238EC"/>
    <w:rsid w:val="00E23CAB"/>
    <w:rsid w:val="00E24147"/>
    <w:rsid w:val="00E24238"/>
    <w:rsid w:val="00E2456A"/>
    <w:rsid w:val="00E24714"/>
    <w:rsid w:val="00E24824"/>
    <w:rsid w:val="00E24AF4"/>
    <w:rsid w:val="00E24F4A"/>
    <w:rsid w:val="00E253EF"/>
    <w:rsid w:val="00E254AF"/>
    <w:rsid w:val="00E25875"/>
    <w:rsid w:val="00E259AC"/>
    <w:rsid w:val="00E25A7F"/>
    <w:rsid w:val="00E25BEE"/>
    <w:rsid w:val="00E25C2D"/>
    <w:rsid w:val="00E25C4C"/>
    <w:rsid w:val="00E25C75"/>
    <w:rsid w:val="00E25E4F"/>
    <w:rsid w:val="00E25EE0"/>
    <w:rsid w:val="00E2602C"/>
    <w:rsid w:val="00E26498"/>
    <w:rsid w:val="00E267EC"/>
    <w:rsid w:val="00E26868"/>
    <w:rsid w:val="00E26B98"/>
    <w:rsid w:val="00E26ECB"/>
    <w:rsid w:val="00E26FAF"/>
    <w:rsid w:val="00E2716E"/>
    <w:rsid w:val="00E27259"/>
    <w:rsid w:val="00E272E3"/>
    <w:rsid w:val="00E2765D"/>
    <w:rsid w:val="00E27660"/>
    <w:rsid w:val="00E27A4F"/>
    <w:rsid w:val="00E27AB7"/>
    <w:rsid w:val="00E27AD9"/>
    <w:rsid w:val="00E27B23"/>
    <w:rsid w:val="00E27FB0"/>
    <w:rsid w:val="00E3030B"/>
    <w:rsid w:val="00E30312"/>
    <w:rsid w:val="00E303FC"/>
    <w:rsid w:val="00E304FC"/>
    <w:rsid w:val="00E30740"/>
    <w:rsid w:val="00E30866"/>
    <w:rsid w:val="00E30985"/>
    <w:rsid w:val="00E30C6F"/>
    <w:rsid w:val="00E30C95"/>
    <w:rsid w:val="00E30D26"/>
    <w:rsid w:val="00E30EE7"/>
    <w:rsid w:val="00E311BB"/>
    <w:rsid w:val="00E313D4"/>
    <w:rsid w:val="00E3148C"/>
    <w:rsid w:val="00E314EB"/>
    <w:rsid w:val="00E31505"/>
    <w:rsid w:val="00E316C6"/>
    <w:rsid w:val="00E3171B"/>
    <w:rsid w:val="00E31769"/>
    <w:rsid w:val="00E3187F"/>
    <w:rsid w:val="00E31CB7"/>
    <w:rsid w:val="00E31FD1"/>
    <w:rsid w:val="00E31FD6"/>
    <w:rsid w:val="00E32146"/>
    <w:rsid w:val="00E32536"/>
    <w:rsid w:val="00E3276D"/>
    <w:rsid w:val="00E328A8"/>
    <w:rsid w:val="00E32BE3"/>
    <w:rsid w:val="00E32D41"/>
    <w:rsid w:val="00E32E64"/>
    <w:rsid w:val="00E32F9A"/>
    <w:rsid w:val="00E33135"/>
    <w:rsid w:val="00E3323A"/>
    <w:rsid w:val="00E33399"/>
    <w:rsid w:val="00E33473"/>
    <w:rsid w:val="00E33545"/>
    <w:rsid w:val="00E336DB"/>
    <w:rsid w:val="00E33731"/>
    <w:rsid w:val="00E33823"/>
    <w:rsid w:val="00E33922"/>
    <w:rsid w:val="00E33D97"/>
    <w:rsid w:val="00E34220"/>
    <w:rsid w:val="00E342A2"/>
    <w:rsid w:val="00E3444E"/>
    <w:rsid w:val="00E3464D"/>
    <w:rsid w:val="00E346FB"/>
    <w:rsid w:val="00E348AE"/>
    <w:rsid w:val="00E351FA"/>
    <w:rsid w:val="00E35438"/>
    <w:rsid w:val="00E35667"/>
    <w:rsid w:val="00E35854"/>
    <w:rsid w:val="00E35968"/>
    <w:rsid w:val="00E3596E"/>
    <w:rsid w:val="00E35B4F"/>
    <w:rsid w:val="00E35B59"/>
    <w:rsid w:val="00E35B7E"/>
    <w:rsid w:val="00E35C7F"/>
    <w:rsid w:val="00E35DCC"/>
    <w:rsid w:val="00E35E94"/>
    <w:rsid w:val="00E35EEA"/>
    <w:rsid w:val="00E36040"/>
    <w:rsid w:val="00E36302"/>
    <w:rsid w:val="00E365BD"/>
    <w:rsid w:val="00E36824"/>
    <w:rsid w:val="00E368C9"/>
    <w:rsid w:val="00E36B3D"/>
    <w:rsid w:val="00E36C37"/>
    <w:rsid w:val="00E36CF6"/>
    <w:rsid w:val="00E36F5B"/>
    <w:rsid w:val="00E37087"/>
    <w:rsid w:val="00E373E4"/>
    <w:rsid w:val="00E37505"/>
    <w:rsid w:val="00E37A58"/>
    <w:rsid w:val="00E37ADA"/>
    <w:rsid w:val="00E37B2C"/>
    <w:rsid w:val="00E37CD6"/>
    <w:rsid w:val="00E402AE"/>
    <w:rsid w:val="00E40356"/>
    <w:rsid w:val="00E406A9"/>
    <w:rsid w:val="00E40795"/>
    <w:rsid w:val="00E407C5"/>
    <w:rsid w:val="00E408DF"/>
    <w:rsid w:val="00E40A5A"/>
    <w:rsid w:val="00E40B54"/>
    <w:rsid w:val="00E40DDC"/>
    <w:rsid w:val="00E415AF"/>
    <w:rsid w:val="00E41947"/>
    <w:rsid w:val="00E41C30"/>
    <w:rsid w:val="00E420A9"/>
    <w:rsid w:val="00E42110"/>
    <w:rsid w:val="00E421F3"/>
    <w:rsid w:val="00E42226"/>
    <w:rsid w:val="00E4256D"/>
    <w:rsid w:val="00E425EB"/>
    <w:rsid w:val="00E4273B"/>
    <w:rsid w:val="00E4288D"/>
    <w:rsid w:val="00E42ADB"/>
    <w:rsid w:val="00E42B45"/>
    <w:rsid w:val="00E42BA4"/>
    <w:rsid w:val="00E42D35"/>
    <w:rsid w:val="00E43226"/>
    <w:rsid w:val="00E43240"/>
    <w:rsid w:val="00E43A8F"/>
    <w:rsid w:val="00E43BE2"/>
    <w:rsid w:val="00E43F4C"/>
    <w:rsid w:val="00E441A7"/>
    <w:rsid w:val="00E44899"/>
    <w:rsid w:val="00E448E4"/>
    <w:rsid w:val="00E44977"/>
    <w:rsid w:val="00E44A46"/>
    <w:rsid w:val="00E44D33"/>
    <w:rsid w:val="00E44DDA"/>
    <w:rsid w:val="00E45089"/>
    <w:rsid w:val="00E45146"/>
    <w:rsid w:val="00E45247"/>
    <w:rsid w:val="00E45273"/>
    <w:rsid w:val="00E45779"/>
    <w:rsid w:val="00E45951"/>
    <w:rsid w:val="00E45A86"/>
    <w:rsid w:val="00E45E64"/>
    <w:rsid w:val="00E46502"/>
    <w:rsid w:val="00E4655F"/>
    <w:rsid w:val="00E469CC"/>
    <w:rsid w:val="00E46E4D"/>
    <w:rsid w:val="00E47034"/>
    <w:rsid w:val="00E47357"/>
    <w:rsid w:val="00E47492"/>
    <w:rsid w:val="00E4750C"/>
    <w:rsid w:val="00E4782B"/>
    <w:rsid w:val="00E47C9C"/>
    <w:rsid w:val="00E47D9E"/>
    <w:rsid w:val="00E47E0D"/>
    <w:rsid w:val="00E47F73"/>
    <w:rsid w:val="00E505F9"/>
    <w:rsid w:val="00E50C83"/>
    <w:rsid w:val="00E510D4"/>
    <w:rsid w:val="00E512D1"/>
    <w:rsid w:val="00E51445"/>
    <w:rsid w:val="00E515EC"/>
    <w:rsid w:val="00E519B2"/>
    <w:rsid w:val="00E51AFE"/>
    <w:rsid w:val="00E51B56"/>
    <w:rsid w:val="00E51CBA"/>
    <w:rsid w:val="00E51E48"/>
    <w:rsid w:val="00E520AF"/>
    <w:rsid w:val="00E521A1"/>
    <w:rsid w:val="00E5242C"/>
    <w:rsid w:val="00E5290F"/>
    <w:rsid w:val="00E52A7B"/>
    <w:rsid w:val="00E52E9E"/>
    <w:rsid w:val="00E53203"/>
    <w:rsid w:val="00E53266"/>
    <w:rsid w:val="00E534F7"/>
    <w:rsid w:val="00E53718"/>
    <w:rsid w:val="00E53955"/>
    <w:rsid w:val="00E539D1"/>
    <w:rsid w:val="00E53B3D"/>
    <w:rsid w:val="00E53CE4"/>
    <w:rsid w:val="00E53E77"/>
    <w:rsid w:val="00E5410E"/>
    <w:rsid w:val="00E546F8"/>
    <w:rsid w:val="00E54704"/>
    <w:rsid w:val="00E54909"/>
    <w:rsid w:val="00E54DC2"/>
    <w:rsid w:val="00E55009"/>
    <w:rsid w:val="00E5552E"/>
    <w:rsid w:val="00E556FD"/>
    <w:rsid w:val="00E55736"/>
    <w:rsid w:val="00E558B4"/>
    <w:rsid w:val="00E5593A"/>
    <w:rsid w:val="00E55A42"/>
    <w:rsid w:val="00E55C84"/>
    <w:rsid w:val="00E55F2A"/>
    <w:rsid w:val="00E561E6"/>
    <w:rsid w:val="00E5656E"/>
    <w:rsid w:val="00E56A48"/>
    <w:rsid w:val="00E56AC0"/>
    <w:rsid w:val="00E56DFE"/>
    <w:rsid w:val="00E56EFA"/>
    <w:rsid w:val="00E5709E"/>
    <w:rsid w:val="00E573FE"/>
    <w:rsid w:val="00E575C2"/>
    <w:rsid w:val="00E575D3"/>
    <w:rsid w:val="00E57781"/>
    <w:rsid w:val="00E57A83"/>
    <w:rsid w:val="00E57B28"/>
    <w:rsid w:val="00E57B87"/>
    <w:rsid w:val="00E57DC7"/>
    <w:rsid w:val="00E57F7A"/>
    <w:rsid w:val="00E57F7C"/>
    <w:rsid w:val="00E600B9"/>
    <w:rsid w:val="00E601F4"/>
    <w:rsid w:val="00E6025F"/>
    <w:rsid w:val="00E603DF"/>
    <w:rsid w:val="00E604BB"/>
    <w:rsid w:val="00E604CD"/>
    <w:rsid w:val="00E60650"/>
    <w:rsid w:val="00E609EA"/>
    <w:rsid w:val="00E60A3F"/>
    <w:rsid w:val="00E60BB5"/>
    <w:rsid w:val="00E60D4C"/>
    <w:rsid w:val="00E60D55"/>
    <w:rsid w:val="00E60EAD"/>
    <w:rsid w:val="00E61169"/>
    <w:rsid w:val="00E61282"/>
    <w:rsid w:val="00E61394"/>
    <w:rsid w:val="00E6156E"/>
    <w:rsid w:val="00E615AD"/>
    <w:rsid w:val="00E615EF"/>
    <w:rsid w:val="00E61C59"/>
    <w:rsid w:val="00E61F35"/>
    <w:rsid w:val="00E622AF"/>
    <w:rsid w:val="00E62423"/>
    <w:rsid w:val="00E626B0"/>
    <w:rsid w:val="00E62971"/>
    <w:rsid w:val="00E629DE"/>
    <w:rsid w:val="00E62ED7"/>
    <w:rsid w:val="00E63105"/>
    <w:rsid w:val="00E6326B"/>
    <w:rsid w:val="00E63820"/>
    <w:rsid w:val="00E6386A"/>
    <w:rsid w:val="00E63905"/>
    <w:rsid w:val="00E63BF6"/>
    <w:rsid w:val="00E63C06"/>
    <w:rsid w:val="00E63C27"/>
    <w:rsid w:val="00E63D3A"/>
    <w:rsid w:val="00E63F3C"/>
    <w:rsid w:val="00E64536"/>
    <w:rsid w:val="00E64ADD"/>
    <w:rsid w:val="00E64C46"/>
    <w:rsid w:val="00E64DB6"/>
    <w:rsid w:val="00E64F0A"/>
    <w:rsid w:val="00E65337"/>
    <w:rsid w:val="00E654FE"/>
    <w:rsid w:val="00E65574"/>
    <w:rsid w:val="00E65756"/>
    <w:rsid w:val="00E65A79"/>
    <w:rsid w:val="00E6606E"/>
    <w:rsid w:val="00E667F5"/>
    <w:rsid w:val="00E66D9C"/>
    <w:rsid w:val="00E6760B"/>
    <w:rsid w:val="00E67647"/>
    <w:rsid w:val="00E676CF"/>
    <w:rsid w:val="00E67798"/>
    <w:rsid w:val="00E6784C"/>
    <w:rsid w:val="00E67A04"/>
    <w:rsid w:val="00E67A85"/>
    <w:rsid w:val="00E67B63"/>
    <w:rsid w:val="00E67D1C"/>
    <w:rsid w:val="00E7034A"/>
    <w:rsid w:val="00E7065C"/>
    <w:rsid w:val="00E7094B"/>
    <w:rsid w:val="00E70ACC"/>
    <w:rsid w:val="00E70C2D"/>
    <w:rsid w:val="00E70E8D"/>
    <w:rsid w:val="00E70F58"/>
    <w:rsid w:val="00E70F91"/>
    <w:rsid w:val="00E71303"/>
    <w:rsid w:val="00E7159E"/>
    <w:rsid w:val="00E71784"/>
    <w:rsid w:val="00E71870"/>
    <w:rsid w:val="00E71AAC"/>
    <w:rsid w:val="00E71C16"/>
    <w:rsid w:val="00E71E16"/>
    <w:rsid w:val="00E71FDC"/>
    <w:rsid w:val="00E721E3"/>
    <w:rsid w:val="00E7220A"/>
    <w:rsid w:val="00E72573"/>
    <w:rsid w:val="00E72833"/>
    <w:rsid w:val="00E72944"/>
    <w:rsid w:val="00E72D25"/>
    <w:rsid w:val="00E72EB4"/>
    <w:rsid w:val="00E7318C"/>
    <w:rsid w:val="00E731D1"/>
    <w:rsid w:val="00E734DF"/>
    <w:rsid w:val="00E73635"/>
    <w:rsid w:val="00E7377A"/>
    <w:rsid w:val="00E73999"/>
    <w:rsid w:val="00E73A79"/>
    <w:rsid w:val="00E742B1"/>
    <w:rsid w:val="00E74306"/>
    <w:rsid w:val="00E74423"/>
    <w:rsid w:val="00E749B5"/>
    <w:rsid w:val="00E74A95"/>
    <w:rsid w:val="00E74D55"/>
    <w:rsid w:val="00E74E3C"/>
    <w:rsid w:val="00E752B0"/>
    <w:rsid w:val="00E75303"/>
    <w:rsid w:val="00E754CE"/>
    <w:rsid w:val="00E757E2"/>
    <w:rsid w:val="00E758CA"/>
    <w:rsid w:val="00E75A2F"/>
    <w:rsid w:val="00E75A6B"/>
    <w:rsid w:val="00E75E2F"/>
    <w:rsid w:val="00E763C5"/>
    <w:rsid w:val="00E764DD"/>
    <w:rsid w:val="00E7664E"/>
    <w:rsid w:val="00E76676"/>
    <w:rsid w:val="00E76A47"/>
    <w:rsid w:val="00E7732C"/>
    <w:rsid w:val="00E77462"/>
    <w:rsid w:val="00E77516"/>
    <w:rsid w:val="00E77777"/>
    <w:rsid w:val="00E800A7"/>
    <w:rsid w:val="00E8012A"/>
    <w:rsid w:val="00E8055B"/>
    <w:rsid w:val="00E80D21"/>
    <w:rsid w:val="00E80F69"/>
    <w:rsid w:val="00E80F87"/>
    <w:rsid w:val="00E80F8E"/>
    <w:rsid w:val="00E81051"/>
    <w:rsid w:val="00E81882"/>
    <w:rsid w:val="00E81B9F"/>
    <w:rsid w:val="00E81C92"/>
    <w:rsid w:val="00E820DD"/>
    <w:rsid w:val="00E8261D"/>
    <w:rsid w:val="00E826E4"/>
    <w:rsid w:val="00E82BC4"/>
    <w:rsid w:val="00E82E52"/>
    <w:rsid w:val="00E82ECF"/>
    <w:rsid w:val="00E8319F"/>
    <w:rsid w:val="00E83409"/>
    <w:rsid w:val="00E8361B"/>
    <w:rsid w:val="00E83F15"/>
    <w:rsid w:val="00E84243"/>
    <w:rsid w:val="00E844C1"/>
    <w:rsid w:val="00E84514"/>
    <w:rsid w:val="00E84516"/>
    <w:rsid w:val="00E84889"/>
    <w:rsid w:val="00E848F0"/>
    <w:rsid w:val="00E84AD6"/>
    <w:rsid w:val="00E84AD9"/>
    <w:rsid w:val="00E84BCE"/>
    <w:rsid w:val="00E8505E"/>
    <w:rsid w:val="00E85129"/>
    <w:rsid w:val="00E851B4"/>
    <w:rsid w:val="00E853CC"/>
    <w:rsid w:val="00E855C4"/>
    <w:rsid w:val="00E857A9"/>
    <w:rsid w:val="00E85954"/>
    <w:rsid w:val="00E85BCA"/>
    <w:rsid w:val="00E85C4C"/>
    <w:rsid w:val="00E85CF6"/>
    <w:rsid w:val="00E85F56"/>
    <w:rsid w:val="00E8610B"/>
    <w:rsid w:val="00E86211"/>
    <w:rsid w:val="00E864E5"/>
    <w:rsid w:val="00E86560"/>
    <w:rsid w:val="00E86683"/>
    <w:rsid w:val="00E86E65"/>
    <w:rsid w:val="00E86FE3"/>
    <w:rsid w:val="00E87590"/>
    <w:rsid w:val="00E8777C"/>
    <w:rsid w:val="00E879F7"/>
    <w:rsid w:val="00E87C44"/>
    <w:rsid w:val="00E87F12"/>
    <w:rsid w:val="00E900EE"/>
    <w:rsid w:val="00E9061C"/>
    <w:rsid w:val="00E906F1"/>
    <w:rsid w:val="00E90B54"/>
    <w:rsid w:val="00E90BDA"/>
    <w:rsid w:val="00E90C92"/>
    <w:rsid w:val="00E90C9E"/>
    <w:rsid w:val="00E90CE9"/>
    <w:rsid w:val="00E91092"/>
    <w:rsid w:val="00E910E3"/>
    <w:rsid w:val="00E9113C"/>
    <w:rsid w:val="00E91189"/>
    <w:rsid w:val="00E91255"/>
    <w:rsid w:val="00E913DE"/>
    <w:rsid w:val="00E91662"/>
    <w:rsid w:val="00E916B7"/>
    <w:rsid w:val="00E91733"/>
    <w:rsid w:val="00E919AA"/>
    <w:rsid w:val="00E919F9"/>
    <w:rsid w:val="00E91A96"/>
    <w:rsid w:val="00E91D3B"/>
    <w:rsid w:val="00E91EF9"/>
    <w:rsid w:val="00E9214C"/>
    <w:rsid w:val="00E922AE"/>
    <w:rsid w:val="00E923C2"/>
    <w:rsid w:val="00E928D2"/>
    <w:rsid w:val="00E9295C"/>
    <w:rsid w:val="00E92B7D"/>
    <w:rsid w:val="00E92D5E"/>
    <w:rsid w:val="00E92F34"/>
    <w:rsid w:val="00E93382"/>
    <w:rsid w:val="00E93596"/>
    <w:rsid w:val="00E935F8"/>
    <w:rsid w:val="00E938C0"/>
    <w:rsid w:val="00E93954"/>
    <w:rsid w:val="00E93AD1"/>
    <w:rsid w:val="00E93FE4"/>
    <w:rsid w:val="00E9421C"/>
    <w:rsid w:val="00E945F0"/>
    <w:rsid w:val="00E94637"/>
    <w:rsid w:val="00E9475F"/>
    <w:rsid w:val="00E948C1"/>
    <w:rsid w:val="00E94FFF"/>
    <w:rsid w:val="00E951AA"/>
    <w:rsid w:val="00E95283"/>
    <w:rsid w:val="00E95679"/>
    <w:rsid w:val="00E956CB"/>
    <w:rsid w:val="00E956FC"/>
    <w:rsid w:val="00E957CA"/>
    <w:rsid w:val="00E95D47"/>
    <w:rsid w:val="00E95F79"/>
    <w:rsid w:val="00E96217"/>
    <w:rsid w:val="00E9625D"/>
    <w:rsid w:val="00E9627F"/>
    <w:rsid w:val="00E96336"/>
    <w:rsid w:val="00E96885"/>
    <w:rsid w:val="00E9693A"/>
    <w:rsid w:val="00E96B6C"/>
    <w:rsid w:val="00E96EDD"/>
    <w:rsid w:val="00E96F32"/>
    <w:rsid w:val="00E97055"/>
    <w:rsid w:val="00E97475"/>
    <w:rsid w:val="00E97742"/>
    <w:rsid w:val="00E979A4"/>
    <w:rsid w:val="00E97A70"/>
    <w:rsid w:val="00E97D2E"/>
    <w:rsid w:val="00E97E30"/>
    <w:rsid w:val="00EA015C"/>
    <w:rsid w:val="00EA01AD"/>
    <w:rsid w:val="00EA0905"/>
    <w:rsid w:val="00EA0A71"/>
    <w:rsid w:val="00EA0B0B"/>
    <w:rsid w:val="00EA0B44"/>
    <w:rsid w:val="00EA10AC"/>
    <w:rsid w:val="00EA10BD"/>
    <w:rsid w:val="00EA1174"/>
    <w:rsid w:val="00EA130F"/>
    <w:rsid w:val="00EA15A9"/>
    <w:rsid w:val="00EA160B"/>
    <w:rsid w:val="00EA1662"/>
    <w:rsid w:val="00EA1E43"/>
    <w:rsid w:val="00EA2148"/>
    <w:rsid w:val="00EA21C3"/>
    <w:rsid w:val="00EA24CF"/>
    <w:rsid w:val="00EA2B02"/>
    <w:rsid w:val="00EA2B63"/>
    <w:rsid w:val="00EA3020"/>
    <w:rsid w:val="00EA30D0"/>
    <w:rsid w:val="00EA34F1"/>
    <w:rsid w:val="00EA35D1"/>
    <w:rsid w:val="00EA38E9"/>
    <w:rsid w:val="00EA3E42"/>
    <w:rsid w:val="00EA3EFB"/>
    <w:rsid w:val="00EA46C1"/>
    <w:rsid w:val="00EA4733"/>
    <w:rsid w:val="00EA47E1"/>
    <w:rsid w:val="00EA4807"/>
    <w:rsid w:val="00EA4B33"/>
    <w:rsid w:val="00EA4C04"/>
    <w:rsid w:val="00EA4CD7"/>
    <w:rsid w:val="00EA4E05"/>
    <w:rsid w:val="00EA55B4"/>
    <w:rsid w:val="00EA56AB"/>
    <w:rsid w:val="00EA598F"/>
    <w:rsid w:val="00EA5AC6"/>
    <w:rsid w:val="00EA5D39"/>
    <w:rsid w:val="00EA5D45"/>
    <w:rsid w:val="00EA5DB6"/>
    <w:rsid w:val="00EA5EF9"/>
    <w:rsid w:val="00EA5F9E"/>
    <w:rsid w:val="00EA6123"/>
    <w:rsid w:val="00EA6133"/>
    <w:rsid w:val="00EA6764"/>
    <w:rsid w:val="00EA67AE"/>
    <w:rsid w:val="00EA69D2"/>
    <w:rsid w:val="00EA6C17"/>
    <w:rsid w:val="00EA6DE0"/>
    <w:rsid w:val="00EA6E1F"/>
    <w:rsid w:val="00EA6E45"/>
    <w:rsid w:val="00EA6E4E"/>
    <w:rsid w:val="00EA6EC0"/>
    <w:rsid w:val="00EA6F3D"/>
    <w:rsid w:val="00EA70F9"/>
    <w:rsid w:val="00EA729D"/>
    <w:rsid w:val="00EA74D3"/>
    <w:rsid w:val="00EA7910"/>
    <w:rsid w:val="00EA7956"/>
    <w:rsid w:val="00EA79BC"/>
    <w:rsid w:val="00EA7FBF"/>
    <w:rsid w:val="00EA7FC4"/>
    <w:rsid w:val="00EB0009"/>
    <w:rsid w:val="00EB0073"/>
    <w:rsid w:val="00EB00F2"/>
    <w:rsid w:val="00EB0615"/>
    <w:rsid w:val="00EB09A4"/>
    <w:rsid w:val="00EB0A2E"/>
    <w:rsid w:val="00EB0B27"/>
    <w:rsid w:val="00EB0D36"/>
    <w:rsid w:val="00EB0F77"/>
    <w:rsid w:val="00EB1024"/>
    <w:rsid w:val="00EB134E"/>
    <w:rsid w:val="00EB1439"/>
    <w:rsid w:val="00EB15C2"/>
    <w:rsid w:val="00EB17F6"/>
    <w:rsid w:val="00EB1BB4"/>
    <w:rsid w:val="00EB1CF6"/>
    <w:rsid w:val="00EB1F4F"/>
    <w:rsid w:val="00EB270C"/>
    <w:rsid w:val="00EB286C"/>
    <w:rsid w:val="00EB2A92"/>
    <w:rsid w:val="00EB3109"/>
    <w:rsid w:val="00EB31E4"/>
    <w:rsid w:val="00EB3719"/>
    <w:rsid w:val="00EB39B5"/>
    <w:rsid w:val="00EB3E20"/>
    <w:rsid w:val="00EB3F20"/>
    <w:rsid w:val="00EB40A0"/>
    <w:rsid w:val="00EB4145"/>
    <w:rsid w:val="00EB414A"/>
    <w:rsid w:val="00EB4397"/>
    <w:rsid w:val="00EB45BC"/>
    <w:rsid w:val="00EB474D"/>
    <w:rsid w:val="00EB4AA7"/>
    <w:rsid w:val="00EB4C84"/>
    <w:rsid w:val="00EB4DF8"/>
    <w:rsid w:val="00EB50E1"/>
    <w:rsid w:val="00EB53C8"/>
    <w:rsid w:val="00EB58B4"/>
    <w:rsid w:val="00EB5AA2"/>
    <w:rsid w:val="00EB5B38"/>
    <w:rsid w:val="00EB5BCD"/>
    <w:rsid w:val="00EB6232"/>
    <w:rsid w:val="00EB63AF"/>
    <w:rsid w:val="00EB66C5"/>
    <w:rsid w:val="00EB67E8"/>
    <w:rsid w:val="00EB694F"/>
    <w:rsid w:val="00EB70FE"/>
    <w:rsid w:val="00EB722D"/>
    <w:rsid w:val="00EB74BA"/>
    <w:rsid w:val="00EB760B"/>
    <w:rsid w:val="00EB78C9"/>
    <w:rsid w:val="00EB79F9"/>
    <w:rsid w:val="00EB7D6E"/>
    <w:rsid w:val="00EB7E4E"/>
    <w:rsid w:val="00EB7ECA"/>
    <w:rsid w:val="00EB7F55"/>
    <w:rsid w:val="00EC007A"/>
    <w:rsid w:val="00EC01EE"/>
    <w:rsid w:val="00EC01FF"/>
    <w:rsid w:val="00EC029E"/>
    <w:rsid w:val="00EC0491"/>
    <w:rsid w:val="00EC04B0"/>
    <w:rsid w:val="00EC04F5"/>
    <w:rsid w:val="00EC074C"/>
    <w:rsid w:val="00EC0CD8"/>
    <w:rsid w:val="00EC0E73"/>
    <w:rsid w:val="00EC10B7"/>
    <w:rsid w:val="00EC1239"/>
    <w:rsid w:val="00EC16AF"/>
    <w:rsid w:val="00EC16DC"/>
    <w:rsid w:val="00EC1B26"/>
    <w:rsid w:val="00EC1E56"/>
    <w:rsid w:val="00EC20BE"/>
    <w:rsid w:val="00EC2210"/>
    <w:rsid w:val="00EC2236"/>
    <w:rsid w:val="00EC2243"/>
    <w:rsid w:val="00EC23AB"/>
    <w:rsid w:val="00EC247E"/>
    <w:rsid w:val="00EC24DC"/>
    <w:rsid w:val="00EC258E"/>
    <w:rsid w:val="00EC2858"/>
    <w:rsid w:val="00EC28E9"/>
    <w:rsid w:val="00EC2912"/>
    <w:rsid w:val="00EC2AAD"/>
    <w:rsid w:val="00EC2D28"/>
    <w:rsid w:val="00EC2F5F"/>
    <w:rsid w:val="00EC31E6"/>
    <w:rsid w:val="00EC339E"/>
    <w:rsid w:val="00EC3965"/>
    <w:rsid w:val="00EC3A53"/>
    <w:rsid w:val="00EC3C3B"/>
    <w:rsid w:val="00EC4239"/>
    <w:rsid w:val="00EC43F6"/>
    <w:rsid w:val="00EC4477"/>
    <w:rsid w:val="00EC46F6"/>
    <w:rsid w:val="00EC4AFD"/>
    <w:rsid w:val="00EC4C3D"/>
    <w:rsid w:val="00EC5070"/>
    <w:rsid w:val="00EC5287"/>
    <w:rsid w:val="00EC5446"/>
    <w:rsid w:val="00EC567F"/>
    <w:rsid w:val="00EC58BD"/>
    <w:rsid w:val="00EC5F6A"/>
    <w:rsid w:val="00EC6016"/>
    <w:rsid w:val="00EC6311"/>
    <w:rsid w:val="00EC6544"/>
    <w:rsid w:val="00EC662A"/>
    <w:rsid w:val="00EC68CE"/>
    <w:rsid w:val="00EC6901"/>
    <w:rsid w:val="00EC6913"/>
    <w:rsid w:val="00EC6A5A"/>
    <w:rsid w:val="00EC6C78"/>
    <w:rsid w:val="00EC6E56"/>
    <w:rsid w:val="00EC6EB8"/>
    <w:rsid w:val="00EC7149"/>
    <w:rsid w:val="00EC71A7"/>
    <w:rsid w:val="00EC71DE"/>
    <w:rsid w:val="00EC71F4"/>
    <w:rsid w:val="00EC7203"/>
    <w:rsid w:val="00EC750E"/>
    <w:rsid w:val="00EC7586"/>
    <w:rsid w:val="00EC7774"/>
    <w:rsid w:val="00EC78E2"/>
    <w:rsid w:val="00EC79B9"/>
    <w:rsid w:val="00EC7BF8"/>
    <w:rsid w:val="00EC7E1D"/>
    <w:rsid w:val="00ED0337"/>
    <w:rsid w:val="00ED05F8"/>
    <w:rsid w:val="00ED06FC"/>
    <w:rsid w:val="00ED08AC"/>
    <w:rsid w:val="00ED08B8"/>
    <w:rsid w:val="00ED0AF2"/>
    <w:rsid w:val="00ED0BE4"/>
    <w:rsid w:val="00ED0D9E"/>
    <w:rsid w:val="00ED0F62"/>
    <w:rsid w:val="00ED1512"/>
    <w:rsid w:val="00ED15A1"/>
    <w:rsid w:val="00ED173B"/>
    <w:rsid w:val="00ED1917"/>
    <w:rsid w:val="00ED19B4"/>
    <w:rsid w:val="00ED1A30"/>
    <w:rsid w:val="00ED1A59"/>
    <w:rsid w:val="00ED1BBC"/>
    <w:rsid w:val="00ED1BC9"/>
    <w:rsid w:val="00ED1BCA"/>
    <w:rsid w:val="00ED1EFA"/>
    <w:rsid w:val="00ED20FC"/>
    <w:rsid w:val="00ED233A"/>
    <w:rsid w:val="00ED266D"/>
    <w:rsid w:val="00ED2739"/>
    <w:rsid w:val="00ED2AA2"/>
    <w:rsid w:val="00ED2AB9"/>
    <w:rsid w:val="00ED2D0D"/>
    <w:rsid w:val="00ED2FD3"/>
    <w:rsid w:val="00ED3329"/>
    <w:rsid w:val="00ED3384"/>
    <w:rsid w:val="00ED35C6"/>
    <w:rsid w:val="00ED3CA4"/>
    <w:rsid w:val="00ED43D7"/>
    <w:rsid w:val="00ED43D8"/>
    <w:rsid w:val="00ED4737"/>
    <w:rsid w:val="00ED4757"/>
    <w:rsid w:val="00ED47F9"/>
    <w:rsid w:val="00ED4883"/>
    <w:rsid w:val="00ED4A23"/>
    <w:rsid w:val="00ED4AC2"/>
    <w:rsid w:val="00ED4C07"/>
    <w:rsid w:val="00ED52FC"/>
    <w:rsid w:val="00ED53A8"/>
    <w:rsid w:val="00ED565D"/>
    <w:rsid w:val="00ED570E"/>
    <w:rsid w:val="00ED577F"/>
    <w:rsid w:val="00ED5885"/>
    <w:rsid w:val="00ED5904"/>
    <w:rsid w:val="00ED5AE0"/>
    <w:rsid w:val="00ED5D1E"/>
    <w:rsid w:val="00ED5F66"/>
    <w:rsid w:val="00ED618E"/>
    <w:rsid w:val="00ED652B"/>
    <w:rsid w:val="00ED6549"/>
    <w:rsid w:val="00ED65A5"/>
    <w:rsid w:val="00ED66F3"/>
    <w:rsid w:val="00ED6B64"/>
    <w:rsid w:val="00ED6E8A"/>
    <w:rsid w:val="00ED6E9C"/>
    <w:rsid w:val="00ED718E"/>
    <w:rsid w:val="00ED71A1"/>
    <w:rsid w:val="00ED7528"/>
    <w:rsid w:val="00ED760F"/>
    <w:rsid w:val="00ED76C2"/>
    <w:rsid w:val="00ED788F"/>
    <w:rsid w:val="00ED7B7B"/>
    <w:rsid w:val="00ED7C9D"/>
    <w:rsid w:val="00ED7FC1"/>
    <w:rsid w:val="00EE0224"/>
    <w:rsid w:val="00EE05FA"/>
    <w:rsid w:val="00EE08F3"/>
    <w:rsid w:val="00EE0A42"/>
    <w:rsid w:val="00EE0D91"/>
    <w:rsid w:val="00EE10CE"/>
    <w:rsid w:val="00EE12B2"/>
    <w:rsid w:val="00EE12E3"/>
    <w:rsid w:val="00EE138F"/>
    <w:rsid w:val="00EE1627"/>
    <w:rsid w:val="00EE1735"/>
    <w:rsid w:val="00EE2030"/>
    <w:rsid w:val="00EE225D"/>
    <w:rsid w:val="00EE2411"/>
    <w:rsid w:val="00EE255D"/>
    <w:rsid w:val="00EE2625"/>
    <w:rsid w:val="00EE26BE"/>
    <w:rsid w:val="00EE2D6E"/>
    <w:rsid w:val="00EE2FC1"/>
    <w:rsid w:val="00EE3002"/>
    <w:rsid w:val="00EE31E4"/>
    <w:rsid w:val="00EE32A8"/>
    <w:rsid w:val="00EE355C"/>
    <w:rsid w:val="00EE35E1"/>
    <w:rsid w:val="00EE364D"/>
    <w:rsid w:val="00EE37B5"/>
    <w:rsid w:val="00EE385C"/>
    <w:rsid w:val="00EE3A3D"/>
    <w:rsid w:val="00EE3C9F"/>
    <w:rsid w:val="00EE442D"/>
    <w:rsid w:val="00EE4518"/>
    <w:rsid w:val="00EE4847"/>
    <w:rsid w:val="00EE4D54"/>
    <w:rsid w:val="00EE5323"/>
    <w:rsid w:val="00EE53F6"/>
    <w:rsid w:val="00EE5411"/>
    <w:rsid w:val="00EE5543"/>
    <w:rsid w:val="00EE5733"/>
    <w:rsid w:val="00EE578C"/>
    <w:rsid w:val="00EE582E"/>
    <w:rsid w:val="00EE5946"/>
    <w:rsid w:val="00EE5C44"/>
    <w:rsid w:val="00EE5DF7"/>
    <w:rsid w:val="00EE5E4B"/>
    <w:rsid w:val="00EE6030"/>
    <w:rsid w:val="00EE6216"/>
    <w:rsid w:val="00EE6343"/>
    <w:rsid w:val="00EE6732"/>
    <w:rsid w:val="00EE67ED"/>
    <w:rsid w:val="00EE6894"/>
    <w:rsid w:val="00EE6BE7"/>
    <w:rsid w:val="00EE708B"/>
    <w:rsid w:val="00EE711C"/>
    <w:rsid w:val="00EE714D"/>
    <w:rsid w:val="00EE71EC"/>
    <w:rsid w:val="00EE722C"/>
    <w:rsid w:val="00EE745E"/>
    <w:rsid w:val="00EE7A8A"/>
    <w:rsid w:val="00EE7AC6"/>
    <w:rsid w:val="00EE7ADE"/>
    <w:rsid w:val="00EE7CFC"/>
    <w:rsid w:val="00EF0088"/>
    <w:rsid w:val="00EF0567"/>
    <w:rsid w:val="00EF05E0"/>
    <w:rsid w:val="00EF060E"/>
    <w:rsid w:val="00EF0A9D"/>
    <w:rsid w:val="00EF0C0A"/>
    <w:rsid w:val="00EF0DCE"/>
    <w:rsid w:val="00EF196B"/>
    <w:rsid w:val="00EF1A9C"/>
    <w:rsid w:val="00EF1C36"/>
    <w:rsid w:val="00EF1EE5"/>
    <w:rsid w:val="00EF2268"/>
    <w:rsid w:val="00EF24BF"/>
    <w:rsid w:val="00EF2608"/>
    <w:rsid w:val="00EF277C"/>
    <w:rsid w:val="00EF2B47"/>
    <w:rsid w:val="00EF2B9F"/>
    <w:rsid w:val="00EF2D9D"/>
    <w:rsid w:val="00EF2EF3"/>
    <w:rsid w:val="00EF2F00"/>
    <w:rsid w:val="00EF2F9E"/>
    <w:rsid w:val="00EF32AC"/>
    <w:rsid w:val="00EF33F2"/>
    <w:rsid w:val="00EF3499"/>
    <w:rsid w:val="00EF34FC"/>
    <w:rsid w:val="00EF378C"/>
    <w:rsid w:val="00EF3D26"/>
    <w:rsid w:val="00EF4141"/>
    <w:rsid w:val="00EF419E"/>
    <w:rsid w:val="00EF4739"/>
    <w:rsid w:val="00EF48A7"/>
    <w:rsid w:val="00EF48B9"/>
    <w:rsid w:val="00EF497E"/>
    <w:rsid w:val="00EF4A2D"/>
    <w:rsid w:val="00EF5631"/>
    <w:rsid w:val="00EF592B"/>
    <w:rsid w:val="00EF59DF"/>
    <w:rsid w:val="00EF5B0E"/>
    <w:rsid w:val="00EF5B63"/>
    <w:rsid w:val="00EF5BF8"/>
    <w:rsid w:val="00EF5C77"/>
    <w:rsid w:val="00EF5D2C"/>
    <w:rsid w:val="00EF6094"/>
    <w:rsid w:val="00EF615A"/>
    <w:rsid w:val="00EF621B"/>
    <w:rsid w:val="00EF63C4"/>
    <w:rsid w:val="00EF6549"/>
    <w:rsid w:val="00EF66F5"/>
    <w:rsid w:val="00EF69E2"/>
    <w:rsid w:val="00EF7038"/>
    <w:rsid w:val="00EF733A"/>
    <w:rsid w:val="00EF7398"/>
    <w:rsid w:val="00EF746A"/>
    <w:rsid w:val="00EF7671"/>
    <w:rsid w:val="00EF791C"/>
    <w:rsid w:val="00F001C1"/>
    <w:rsid w:val="00F005A1"/>
    <w:rsid w:val="00F0065C"/>
    <w:rsid w:val="00F00694"/>
    <w:rsid w:val="00F0080E"/>
    <w:rsid w:val="00F00B77"/>
    <w:rsid w:val="00F00F49"/>
    <w:rsid w:val="00F010A7"/>
    <w:rsid w:val="00F01146"/>
    <w:rsid w:val="00F018B4"/>
    <w:rsid w:val="00F0198D"/>
    <w:rsid w:val="00F01DD9"/>
    <w:rsid w:val="00F01E45"/>
    <w:rsid w:val="00F01F3B"/>
    <w:rsid w:val="00F0208B"/>
    <w:rsid w:val="00F020A8"/>
    <w:rsid w:val="00F0232B"/>
    <w:rsid w:val="00F0257D"/>
    <w:rsid w:val="00F026B0"/>
    <w:rsid w:val="00F027AB"/>
    <w:rsid w:val="00F02EE9"/>
    <w:rsid w:val="00F031E8"/>
    <w:rsid w:val="00F03321"/>
    <w:rsid w:val="00F034C7"/>
    <w:rsid w:val="00F038B9"/>
    <w:rsid w:val="00F03B4C"/>
    <w:rsid w:val="00F03EFC"/>
    <w:rsid w:val="00F043EB"/>
    <w:rsid w:val="00F04542"/>
    <w:rsid w:val="00F047E1"/>
    <w:rsid w:val="00F04B2F"/>
    <w:rsid w:val="00F04FA2"/>
    <w:rsid w:val="00F0514B"/>
    <w:rsid w:val="00F0514E"/>
    <w:rsid w:val="00F05773"/>
    <w:rsid w:val="00F058CD"/>
    <w:rsid w:val="00F059F1"/>
    <w:rsid w:val="00F05A92"/>
    <w:rsid w:val="00F05FCF"/>
    <w:rsid w:val="00F063DD"/>
    <w:rsid w:val="00F06B80"/>
    <w:rsid w:val="00F06CE5"/>
    <w:rsid w:val="00F071A4"/>
    <w:rsid w:val="00F0725B"/>
    <w:rsid w:val="00F07457"/>
    <w:rsid w:val="00F075F5"/>
    <w:rsid w:val="00F077BD"/>
    <w:rsid w:val="00F07A3F"/>
    <w:rsid w:val="00F07DA6"/>
    <w:rsid w:val="00F10205"/>
    <w:rsid w:val="00F1025B"/>
    <w:rsid w:val="00F10265"/>
    <w:rsid w:val="00F1028E"/>
    <w:rsid w:val="00F10690"/>
    <w:rsid w:val="00F10CA1"/>
    <w:rsid w:val="00F10DA3"/>
    <w:rsid w:val="00F10E4C"/>
    <w:rsid w:val="00F1115C"/>
    <w:rsid w:val="00F11241"/>
    <w:rsid w:val="00F11352"/>
    <w:rsid w:val="00F1169E"/>
    <w:rsid w:val="00F117C3"/>
    <w:rsid w:val="00F11A13"/>
    <w:rsid w:val="00F11AFE"/>
    <w:rsid w:val="00F11C37"/>
    <w:rsid w:val="00F120C1"/>
    <w:rsid w:val="00F12154"/>
    <w:rsid w:val="00F12407"/>
    <w:rsid w:val="00F125F1"/>
    <w:rsid w:val="00F127F7"/>
    <w:rsid w:val="00F1286C"/>
    <w:rsid w:val="00F1296A"/>
    <w:rsid w:val="00F13131"/>
    <w:rsid w:val="00F1329E"/>
    <w:rsid w:val="00F13560"/>
    <w:rsid w:val="00F13993"/>
    <w:rsid w:val="00F13B33"/>
    <w:rsid w:val="00F13B89"/>
    <w:rsid w:val="00F13DB6"/>
    <w:rsid w:val="00F13FE1"/>
    <w:rsid w:val="00F14232"/>
    <w:rsid w:val="00F144C3"/>
    <w:rsid w:val="00F14745"/>
    <w:rsid w:val="00F14998"/>
    <w:rsid w:val="00F14C7F"/>
    <w:rsid w:val="00F14CB5"/>
    <w:rsid w:val="00F14F7A"/>
    <w:rsid w:val="00F15034"/>
    <w:rsid w:val="00F152CC"/>
    <w:rsid w:val="00F154F4"/>
    <w:rsid w:val="00F15D61"/>
    <w:rsid w:val="00F15D70"/>
    <w:rsid w:val="00F1619D"/>
    <w:rsid w:val="00F16425"/>
    <w:rsid w:val="00F1651B"/>
    <w:rsid w:val="00F16585"/>
    <w:rsid w:val="00F1687D"/>
    <w:rsid w:val="00F16A5B"/>
    <w:rsid w:val="00F16A6E"/>
    <w:rsid w:val="00F16C64"/>
    <w:rsid w:val="00F16D64"/>
    <w:rsid w:val="00F17202"/>
    <w:rsid w:val="00F1728D"/>
    <w:rsid w:val="00F173E8"/>
    <w:rsid w:val="00F1748F"/>
    <w:rsid w:val="00F17647"/>
    <w:rsid w:val="00F176BD"/>
    <w:rsid w:val="00F1798D"/>
    <w:rsid w:val="00F17A3D"/>
    <w:rsid w:val="00F17BA0"/>
    <w:rsid w:val="00F17D05"/>
    <w:rsid w:val="00F2015F"/>
    <w:rsid w:val="00F202DF"/>
    <w:rsid w:val="00F20459"/>
    <w:rsid w:val="00F20643"/>
    <w:rsid w:val="00F20A36"/>
    <w:rsid w:val="00F20FF5"/>
    <w:rsid w:val="00F21431"/>
    <w:rsid w:val="00F21593"/>
    <w:rsid w:val="00F21949"/>
    <w:rsid w:val="00F21EB0"/>
    <w:rsid w:val="00F21EC9"/>
    <w:rsid w:val="00F21F16"/>
    <w:rsid w:val="00F220B0"/>
    <w:rsid w:val="00F223D0"/>
    <w:rsid w:val="00F22469"/>
    <w:rsid w:val="00F22A43"/>
    <w:rsid w:val="00F22CAD"/>
    <w:rsid w:val="00F22DE7"/>
    <w:rsid w:val="00F22DE8"/>
    <w:rsid w:val="00F22F6F"/>
    <w:rsid w:val="00F23272"/>
    <w:rsid w:val="00F23598"/>
    <w:rsid w:val="00F236F4"/>
    <w:rsid w:val="00F23821"/>
    <w:rsid w:val="00F239C9"/>
    <w:rsid w:val="00F23A5A"/>
    <w:rsid w:val="00F23D20"/>
    <w:rsid w:val="00F23EC3"/>
    <w:rsid w:val="00F23FCD"/>
    <w:rsid w:val="00F241F6"/>
    <w:rsid w:val="00F2434C"/>
    <w:rsid w:val="00F24583"/>
    <w:rsid w:val="00F2486C"/>
    <w:rsid w:val="00F24B7A"/>
    <w:rsid w:val="00F24D83"/>
    <w:rsid w:val="00F2505C"/>
    <w:rsid w:val="00F25063"/>
    <w:rsid w:val="00F2514D"/>
    <w:rsid w:val="00F257D3"/>
    <w:rsid w:val="00F26029"/>
    <w:rsid w:val="00F26545"/>
    <w:rsid w:val="00F26915"/>
    <w:rsid w:val="00F2697F"/>
    <w:rsid w:val="00F26DF7"/>
    <w:rsid w:val="00F27096"/>
    <w:rsid w:val="00F27277"/>
    <w:rsid w:val="00F2739B"/>
    <w:rsid w:val="00F274E7"/>
    <w:rsid w:val="00F27561"/>
    <w:rsid w:val="00F27564"/>
    <w:rsid w:val="00F276F5"/>
    <w:rsid w:val="00F30332"/>
    <w:rsid w:val="00F30470"/>
    <w:rsid w:val="00F3059D"/>
    <w:rsid w:val="00F305B6"/>
    <w:rsid w:val="00F309CB"/>
    <w:rsid w:val="00F314C8"/>
    <w:rsid w:val="00F3167F"/>
    <w:rsid w:val="00F318B1"/>
    <w:rsid w:val="00F31A3D"/>
    <w:rsid w:val="00F31B66"/>
    <w:rsid w:val="00F31CCA"/>
    <w:rsid w:val="00F31DCB"/>
    <w:rsid w:val="00F31F4D"/>
    <w:rsid w:val="00F32131"/>
    <w:rsid w:val="00F32B2F"/>
    <w:rsid w:val="00F32DF2"/>
    <w:rsid w:val="00F32FFD"/>
    <w:rsid w:val="00F333CB"/>
    <w:rsid w:val="00F33632"/>
    <w:rsid w:val="00F33644"/>
    <w:rsid w:val="00F33CF2"/>
    <w:rsid w:val="00F33E8F"/>
    <w:rsid w:val="00F33FB7"/>
    <w:rsid w:val="00F34229"/>
    <w:rsid w:val="00F3433F"/>
    <w:rsid w:val="00F343E2"/>
    <w:rsid w:val="00F3441D"/>
    <w:rsid w:val="00F3446D"/>
    <w:rsid w:val="00F349DE"/>
    <w:rsid w:val="00F34BAB"/>
    <w:rsid w:val="00F34E20"/>
    <w:rsid w:val="00F34F1C"/>
    <w:rsid w:val="00F351AB"/>
    <w:rsid w:val="00F3538E"/>
    <w:rsid w:val="00F357EE"/>
    <w:rsid w:val="00F35BDF"/>
    <w:rsid w:val="00F35CAF"/>
    <w:rsid w:val="00F3629D"/>
    <w:rsid w:val="00F362D5"/>
    <w:rsid w:val="00F3634F"/>
    <w:rsid w:val="00F3650F"/>
    <w:rsid w:val="00F366D3"/>
    <w:rsid w:val="00F36739"/>
    <w:rsid w:val="00F3689E"/>
    <w:rsid w:val="00F36FD1"/>
    <w:rsid w:val="00F37042"/>
    <w:rsid w:val="00F3704D"/>
    <w:rsid w:val="00F371EC"/>
    <w:rsid w:val="00F37358"/>
    <w:rsid w:val="00F37484"/>
    <w:rsid w:val="00F376AB"/>
    <w:rsid w:val="00F377E4"/>
    <w:rsid w:val="00F3785F"/>
    <w:rsid w:val="00F37A15"/>
    <w:rsid w:val="00F37A28"/>
    <w:rsid w:val="00F37A56"/>
    <w:rsid w:val="00F37D1D"/>
    <w:rsid w:val="00F404EC"/>
    <w:rsid w:val="00F405D6"/>
    <w:rsid w:val="00F406C5"/>
    <w:rsid w:val="00F408FE"/>
    <w:rsid w:val="00F40907"/>
    <w:rsid w:val="00F40AAA"/>
    <w:rsid w:val="00F40BD3"/>
    <w:rsid w:val="00F4198F"/>
    <w:rsid w:val="00F41AEF"/>
    <w:rsid w:val="00F4279B"/>
    <w:rsid w:val="00F428A5"/>
    <w:rsid w:val="00F4306B"/>
    <w:rsid w:val="00F432C3"/>
    <w:rsid w:val="00F432CF"/>
    <w:rsid w:val="00F433B4"/>
    <w:rsid w:val="00F43400"/>
    <w:rsid w:val="00F43809"/>
    <w:rsid w:val="00F43A7E"/>
    <w:rsid w:val="00F43AE8"/>
    <w:rsid w:val="00F43BA1"/>
    <w:rsid w:val="00F43C14"/>
    <w:rsid w:val="00F440F0"/>
    <w:rsid w:val="00F4433D"/>
    <w:rsid w:val="00F443FB"/>
    <w:rsid w:val="00F44404"/>
    <w:rsid w:val="00F444B9"/>
    <w:rsid w:val="00F44581"/>
    <w:rsid w:val="00F445D5"/>
    <w:rsid w:val="00F4475D"/>
    <w:rsid w:val="00F4537A"/>
    <w:rsid w:val="00F454A9"/>
    <w:rsid w:val="00F45625"/>
    <w:rsid w:val="00F456E2"/>
    <w:rsid w:val="00F45767"/>
    <w:rsid w:val="00F459F0"/>
    <w:rsid w:val="00F45CD6"/>
    <w:rsid w:val="00F45CF5"/>
    <w:rsid w:val="00F45D0E"/>
    <w:rsid w:val="00F45D41"/>
    <w:rsid w:val="00F45F02"/>
    <w:rsid w:val="00F4605A"/>
    <w:rsid w:val="00F462E4"/>
    <w:rsid w:val="00F46404"/>
    <w:rsid w:val="00F46624"/>
    <w:rsid w:val="00F46A53"/>
    <w:rsid w:val="00F46BB2"/>
    <w:rsid w:val="00F471EC"/>
    <w:rsid w:val="00F4723E"/>
    <w:rsid w:val="00F472E8"/>
    <w:rsid w:val="00F47438"/>
    <w:rsid w:val="00F474D3"/>
    <w:rsid w:val="00F47CA8"/>
    <w:rsid w:val="00F5016E"/>
    <w:rsid w:val="00F501CE"/>
    <w:rsid w:val="00F5090B"/>
    <w:rsid w:val="00F5098F"/>
    <w:rsid w:val="00F509FE"/>
    <w:rsid w:val="00F50A75"/>
    <w:rsid w:val="00F50A7E"/>
    <w:rsid w:val="00F50AC7"/>
    <w:rsid w:val="00F50AF2"/>
    <w:rsid w:val="00F50B21"/>
    <w:rsid w:val="00F50C83"/>
    <w:rsid w:val="00F50DB3"/>
    <w:rsid w:val="00F5128F"/>
    <w:rsid w:val="00F515E2"/>
    <w:rsid w:val="00F51652"/>
    <w:rsid w:val="00F51B55"/>
    <w:rsid w:val="00F51EC1"/>
    <w:rsid w:val="00F52294"/>
    <w:rsid w:val="00F5272D"/>
    <w:rsid w:val="00F5292A"/>
    <w:rsid w:val="00F52A11"/>
    <w:rsid w:val="00F52A5F"/>
    <w:rsid w:val="00F52EED"/>
    <w:rsid w:val="00F5324F"/>
    <w:rsid w:val="00F532AD"/>
    <w:rsid w:val="00F53315"/>
    <w:rsid w:val="00F53438"/>
    <w:rsid w:val="00F5386A"/>
    <w:rsid w:val="00F53895"/>
    <w:rsid w:val="00F5393A"/>
    <w:rsid w:val="00F53DC7"/>
    <w:rsid w:val="00F540DB"/>
    <w:rsid w:val="00F54244"/>
    <w:rsid w:val="00F5464C"/>
    <w:rsid w:val="00F54974"/>
    <w:rsid w:val="00F55064"/>
    <w:rsid w:val="00F55301"/>
    <w:rsid w:val="00F555C6"/>
    <w:rsid w:val="00F55608"/>
    <w:rsid w:val="00F556B2"/>
    <w:rsid w:val="00F557A8"/>
    <w:rsid w:val="00F559FA"/>
    <w:rsid w:val="00F55BF7"/>
    <w:rsid w:val="00F55F92"/>
    <w:rsid w:val="00F56459"/>
    <w:rsid w:val="00F565F2"/>
    <w:rsid w:val="00F56755"/>
    <w:rsid w:val="00F56813"/>
    <w:rsid w:val="00F56EC7"/>
    <w:rsid w:val="00F56F1F"/>
    <w:rsid w:val="00F5769E"/>
    <w:rsid w:val="00F57E13"/>
    <w:rsid w:val="00F6023F"/>
    <w:rsid w:val="00F60384"/>
    <w:rsid w:val="00F603B6"/>
    <w:rsid w:val="00F60475"/>
    <w:rsid w:val="00F60912"/>
    <w:rsid w:val="00F60D1A"/>
    <w:rsid w:val="00F60F1F"/>
    <w:rsid w:val="00F6119C"/>
    <w:rsid w:val="00F613CB"/>
    <w:rsid w:val="00F615B1"/>
    <w:rsid w:val="00F61A34"/>
    <w:rsid w:val="00F61D00"/>
    <w:rsid w:val="00F61E6C"/>
    <w:rsid w:val="00F61F84"/>
    <w:rsid w:val="00F62352"/>
    <w:rsid w:val="00F62688"/>
    <w:rsid w:val="00F62C8D"/>
    <w:rsid w:val="00F62E8B"/>
    <w:rsid w:val="00F62FAE"/>
    <w:rsid w:val="00F632D0"/>
    <w:rsid w:val="00F63455"/>
    <w:rsid w:val="00F6347F"/>
    <w:rsid w:val="00F6364D"/>
    <w:rsid w:val="00F636B7"/>
    <w:rsid w:val="00F637D1"/>
    <w:rsid w:val="00F63845"/>
    <w:rsid w:val="00F63AFA"/>
    <w:rsid w:val="00F63D74"/>
    <w:rsid w:val="00F63DB2"/>
    <w:rsid w:val="00F63E92"/>
    <w:rsid w:val="00F6408D"/>
    <w:rsid w:val="00F6442C"/>
    <w:rsid w:val="00F6451B"/>
    <w:rsid w:val="00F64598"/>
    <w:rsid w:val="00F645C8"/>
    <w:rsid w:val="00F64A21"/>
    <w:rsid w:val="00F64B5C"/>
    <w:rsid w:val="00F64B85"/>
    <w:rsid w:val="00F64CC6"/>
    <w:rsid w:val="00F64DAA"/>
    <w:rsid w:val="00F64E25"/>
    <w:rsid w:val="00F64FE6"/>
    <w:rsid w:val="00F65116"/>
    <w:rsid w:val="00F651C8"/>
    <w:rsid w:val="00F652C5"/>
    <w:rsid w:val="00F6541B"/>
    <w:rsid w:val="00F65748"/>
    <w:rsid w:val="00F657FD"/>
    <w:rsid w:val="00F65AA0"/>
    <w:rsid w:val="00F65C80"/>
    <w:rsid w:val="00F65CDA"/>
    <w:rsid w:val="00F65D89"/>
    <w:rsid w:val="00F65FDB"/>
    <w:rsid w:val="00F6604D"/>
    <w:rsid w:val="00F661B3"/>
    <w:rsid w:val="00F6665E"/>
    <w:rsid w:val="00F66D89"/>
    <w:rsid w:val="00F6713A"/>
    <w:rsid w:val="00F67415"/>
    <w:rsid w:val="00F67774"/>
    <w:rsid w:val="00F67A0C"/>
    <w:rsid w:val="00F67B2B"/>
    <w:rsid w:val="00F67C33"/>
    <w:rsid w:val="00F67CEC"/>
    <w:rsid w:val="00F67EDA"/>
    <w:rsid w:val="00F67F53"/>
    <w:rsid w:val="00F70066"/>
    <w:rsid w:val="00F702F2"/>
    <w:rsid w:val="00F703D7"/>
    <w:rsid w:val="00F7054C"/>
    <w:rsid w:val="00F709C6"/>
    <w:rsid w:val="00F70B6B"/>
    <w:rsid w:val="00F70CB6"/>
    <w:rsid w:val="00F70EE3"/>
    <w:rsid w:val="00F71167"/>
    <w:rsid w:val="00F71375"/>
    <w:rsid w:val="00F714A2"/>
    <w:rsid w:val="00F715F6"/>
    <w:rsid w:val="00F7173D"/>
    <w:rsid w:val="00F717E2"/>
    <w:rsid w:val="00F718E9"/>
    <w:rsid w:val="00F71B20"/>
    <w:rsid w:val="00F71F84"/>
    <w:rsid w:val="00F71FF6"/>
    <w:rsid w:val="00F7265C"/>
    <w:rsid w:val="00F72AE7"/>
    <w:rsid w:val="00F72CC0"/>
    <w:rsid w:val="00F72D5E"/>
    <w:rsid w:val="00F72E96"/>
    <w:rsid w:val="00F731F8"/>
    <w:rsid w:val="00F7331A"/>
    <w:rsid w:val="00F73365"/>
    <w:rsid w:val="00F7360D"/>
    <w:rsid w:val="00F7376A"/>
    <w:rsid w:val="00F737A5"/>
    <w:rsid w:val="00F73990"/>
    <w:rsid w:val="00F73B04"/>
    <w:rsid w:val="00F73C0B"/>
    <w:rsid w:val="00F73D59"/>
    <w:rsid w:val="00F74063"/>
    <w:rsid w:val="00F74211"/>
    <w:rsid w:val="00F746DF"/>
    <w:rsid w:val="00F7483B"/>
    <w:rsid w:val="00F748A1"/>
    <w:rsid w:val="00F748C1"/>
    <w:rsid w:val="00F749B5"/>
    <w:rsid w:val="00F74BEC"/>
    <w:rsid w:val="00F74EF4"/>
    <w:rsid w:val="00F75109"/>
    <w:rsid w:val="00F75549"/>
    <w:rsid w:val="00F7566C"/>
    <w:rsid w:val="00F756ED"/>
    <w:rsid w:val="00F7588F"/>
    <w:rsid w:val="00F75B8E"/>
    <w:rsid w:val="00F75CE0"/>
    <w:rsid w:val="00F75EC2"/>
    <w:rsid w:val="00F76284"/>
    <w:rsid w:val="00F762B0"/>
    <w:rsid w:val="00F76583"/>
    <w:rsid w:val="00F76DB8"/>
    <w:rsid w:val="00F76E60"/>
    <w:rsid w:val="00F76EF1"/>
    <w:rsid w:val="00F771AA"/>
    <w:rsid w:val="00F77203"/>
    <w:rsid w:val="00F77405"/>
    <w:rsid w:val="00F779DF"/>
    <w:rsid w:val="00F77B06"/>
    <w:rsid w:val="00F77CE7"/>
    <w:rsid w:val="00F77DFA"/>
    <w:rsid w:val="00F77FC1"/>
    <w:rsid w:val="00F80805"/>
    <w:rsid w:val="00F8096A"/>
    <w:rsid w:val="00F80A3E"/>
    <w:rsid w:val="00F80ACA"/>
    <w:rsid w:val="00F80D20"/>
    <w:rsid w:val="00F81273"/>
    <w:rsid w:val="00F81460"/>
    <w:rsid w:val="00F81F17"/>
    <w:rsid w:val="00F81F1E"/>
    <w:rsid w:val="00F81F44"/>
    <w:rsid w:val="00F81F45"/>
    <w:rsid w:val="00F825EE"/>
    <w:rsid w:val="00F8298D"/>
    <w:rsid w:val="00F82AAC"/>
    <w:rsid w:val="00F8323F"/>
    <w:rsid w:val="00F8336B"/>
    <w:rsid w:val="00F83898"/>
    <w:rsid w:val="00F8395A"/>
    <w:rsid w:val="00F83B71"/>
    <w:rsid w:val="00F83CA6"/>
    <w:rsid w:val="00F83F1D"/>
    <w:rsid w:val="00F841BC"/>
    <w:rsid w:val="00F845A6"/>
    <w:rsid w:val="00F846DB"/>
    <w:rsid w:val="00F846DF"/>
    <w:rsid w:val="00F847BB"/>
    <w:rsid w:val="00F84C45"/>
    <w:rsid w:val="00F85062"/>
    <w:rsid w:val="00F8508A"/>
    <w:rsid w:val="00F850DA"/>
    <w:rsid w:val="00F856DB"/>
    <w:rsid w:val="00F858CB"/>
    <w:rsid w:val="00F8593C"/>
    <w:rsid w:val="00F85E15"/>
    <w:rsid w:val="00F861EC"/>
    <w:rsid w:val="00F86290"/>
    <w:rsid w:val="00F864D5"/>
    <w:rsid w:val="00F86790"/>
    <w:rsid w:val="00F867E3"/>
    <w:rsid w:val="00F86975"/>
    <w:rsid w:val="00F869F1"/>
    <w:rsid w:val="00F86CBA"/>
    <w:rsid w:val="00F86D8B"/>
    <w:rsid w:val="00F86EAE"/>
    <w:rsid w:val="00F870DA"/>
    <w:rsid w:val="00F877DE"/>
    <w:rsid w:val="00F87846"/>
    <w:rsid w:val="00F87867"/>
    <w:rsid w:val="00F87A4D"/>
    <w:rsid w:val="00F87C45"/>
    <w:rsid w:val="00F87C60"/>
    <w:rsid w:val="00F87E3A"/>
    <w:rsid w:val="00F87FA7"/>
    <w:rsid w:val="00F87FE7"/>
    <w:rsid w:val="00F90009"/>
    <w:rsid w:val="00F9032E"/>
    <w:rsid w:val="00F904B9"/>
    <w:rsid w:val="00F90582"/>
    <w:rsid w:val="00F90761"/>
    <w:rsid w:val="00F909B9"/>
    <w:rsid w:val="00F91112"/>
    <w:rsid w:val="00F91148"/>
    <w:rsid w:val="00F91202"/>
    <w:rsid w:val="00F91567"/>
    <w:rsid w:val="00F91A47"/>
    <w:rsid w:val="00F924C4"/>
    <w:rsid w:val="00F92C13"/>
    <w:rsid w:val="00F92CA4"/>
    <w:rsid w:val="00F92E63"/>
    <w:rsid w:val="00F92EC1"/>
    <w:rsid w:val="00F930BD"/>
    <w:rsid w:val="00F9318D"/>
    <w:rsid w:val="00F9372F"/>
    <w:rsid w:val="00F93E97"/>
    <w:rsid w:val="00F93EEC"/>
    <w:rsid w:val="00F93FAC"/>
    <w:rsid w:val="00F9440C"/>
    <w:rsid w:val="00F94D7E"/>
    <w:rsid w:val="00F94E62"/>
    <w:rsid w:val="00F94FC4"/>
    <w:rsid w:val="00F9524E"/>
    <w:rsid w:val="00F95260"/>
    <w:rsid w:val="00F95270"/>
    <w:rsid w:val="00F95423"/>
    <w:rsid w:val="00F957DC"/>
    <w:rsid w:val="00F9590E"/>
    <w:rsid w:val="00F9595F"/>
    <w:rsid w:val="00F95A64"/>
    <w:rsid w:val="00F95B99"/>
    <w:rsid w:val="00F96019"/>
    <w:rsid w:val="00F96C1C"/>
    <w:rsid w:val="00F96D02"/>
    <w:rsid w:val="00F96D52"/>
    <w:rsid w:val="00F96F0A"/>
    <w:rsid w:val="00F96F6F"/>
    <w:rsid w:val="00F96F84"/>
    <w:rsid w:val="00F96FEF"/>
    <w:rsid w:val="00F976B7"/>
    <w:rsid w:val="00F9789C"/>
    <w:rsid w:val="00F97C1A"/>
    <w:rsid w:val="00F97F83"/>
    <w:rsid w:val="00FA06CD"/>
    <w:rsid w:val="00FA084A"/>
    <w:rsid w:val="00FA096A"/>
    <w:rsid w:val="00FA09FC"/>
    <w:rsid w:val="00FA0BAF"/>
    <w:rsid w:val="00FA0E40"/>
    <w:rsid w:val="00FA0F14"/>
    <w:rsid w:val="00FA0F89"/>
    <w:rsid w:val="00FA12D5"/>
    <w:rsid w:val="00FA1308"/>
    <w:rsid w:val="00FA16B9"/>
    <w:rsid w:val="00FA1793"/>
    <w:rsid w:val="00FA17E1"/>
    <w:rsid w:val="00FA17FC"/>
    <w:rsid w:val="00FA1BC7"/>
    <w:rsid w:val="00FA2026"/>
    <w:rsid w:val="00FA20E4"/>
    <w:rsid w:val="00FA2114"/>
    <w:rsid w:val="00FA28AD"/>
    <w:rsid w:val="00FA28BB"/>
    <w:rsid w:val="00FA2BB8"/>
    <w:rsid w:val="00FA2CEF"/>
    <w:rsid w:val="00FA2CFA"/>
    <w:rsid w:val="00FA306C"/>
    <w:rsid w:val="00FA3285"/>
    <w:rsid w:val="00FA32E1"/>
    <w:rsid w:val="00FA33E2"/>
    <w:rsid w:val="00FA37ED"/>
    <w:rsid w:val="00FA3B4A"/>
    <w:rsid w:val="00FA3B8B"/>
    <w:rsid w:val="00FA3C6E"/>
    <w:rsid w:val="00FA3FCD"/>
    <w:rsid w:val="00FA4134"/>
    <w:rsid w:val="00FA424E"/>
    <w:rsid w:val="00FA47E0"/>
    <w:rsid w:val="00FA4BC0"/>
    <w:rsid w:val="00FA4C6A"/>
    <w:rsid w:val="00FA4D06"/>
    <w:rsid w:val="00FA4EF9"/>
    <w:rsid w:val="00FA5220"/>
    <w:rsid w:val="00FA54AA"/>
    <w:rsid w:val="00FA54C8"/>
    <w:rsid w:val="00FA54F6"/>
    <w:rsid w:val="00FA5730"/>
    <w:rsid w:val="00FA5862"/>
    <w:rsid w:val="00FA6009"/>
    <w:rsid w:val="00FA615A"/>
    <w:rsid w:val="00FA6196"/>
    <w:rsid w:val="00FA6527"/>
    <w:rsid w:val="00FA6550"/>
    <w:rsid w:val="00FA67C0"/>
    <w:rsid w:val="00FA69BB"/>
    <w:rsid w:val="00FA6A2B"/>
    <w:rsid w:val="00FA6AE7"/>
    <w:rsid w:val="00FA6D89"/>
    <w:rsid w:val="00FA72A2"/>
    <w:rsid w:val="00FA77C4"/>
    <w:rsid w:val="00FA78C7"/>
    <w:rsid w:val="00FA78EF"/>
    <w:rsid w:val="00FA7A3C"/>
    <w:rsid w:val="00FA7AF8"/>
    <w:rsid w:val="00FA7B75"/>
    <w:rsid w:val="00FA7DA8"/>
    <w:rsid w:val="00FA7F54"/>
    <w:rsid w:val="00FA7F67"/>
    <w:rsid w:val="00FB0274"/>
    <w:rsid w:val="00FB03B9"/>
    <w:rsid w:val="00FB03DC"/>
    <w:rsid w:val="00FB0455"/>
    <w:rsid w:val="00FB0649"/>
    <w:rsid w:val="00FB0653"/>
    <w:rsid w:val="00FB087B"/>
    <w:rsid w:val="00FB0C04"/>
    <w:rsid w:val="00FB0D43"/>
    <w:rsid w:val="00FB0EF1"/>
    <w:rsid w:val="00FB10AF"/>
    <w:rsid w:val="00FB145D"/>
    <w:rsid w:val="00FB14BD"/>
    <w:rsid w:val="00FB14DC"/>
    <w:rsid w:val="00FB15FB"/>
    <w:rsid w:val="00FB16A1"/>
    <w:rsid w:val="00FB1760"/>
    <w:rsid w:val="00FB1AE6"/>
    <w:rsid w:val="00FB1B70"/>
    <w:rsid w:val="00FB1E9C"/>
    <w:rsid w:val="00FB2112"/>
    <w:rsid w:val="00FB226A"/>
    <w:rsid w:val="00FB24A8"/>
    <w:rsid w:val="00FB27A6"/>
    <w:rsid w:val="00FB2A0C"/>
    <w:rsid w:val="00FB2A78"/>
    <w:rsid w:val="00FB2BF1"/>
    <w:rsid w:val="00FB2E90"/>
    <w:rsid w:val="00FB309A"/>
    <w:rsid w:val="00FB30BB"/>
    <w:rsid w:val="00FB3222"/>
    <w:rsid w:val="00FB34A8"/>
    <w:rsid w:val="00FB37A6"/>
    <w:rsid w:val="00FB3991"/>
    <w:rsid w:val="00FB3B7A"/>
    <w:rsid w:val="00FB4087"/>
    <w:rsid w:val="00FB431E"/>
    <w:rsid w:val="00FB4322"/>
    <w:rsid w:val="00FB4492"/>
    <w:rsid w:val="00FB4561"/>
    <w:rsid w:val="00FB4727"/>
    <w:rsid w:val="00FB4B14"/>
    <w:rsid w:val="00FB4CF7"/>
    <w:rsid w:val="00FB4DE6"/>
    <w:rsid w:val="00FB507A"/>
    <w:rsid w:val="00FB5099"/>
    <w:rsid w:val="00FB5328"/>
    <w:rsid w:val="00FB5354"/>
    <w:rsid w:val="00FB54D7"/>
    <w:rsid w:val="00FB561A"/>
    <w:rsid w:val="00FB587F"/>
    <w:rsid w:val="00FB5A25"/>
    <w:rsid w:val="00FB5C2D"/>
    <w:rsid w:val="00FB5C2F"/>
    <w:rsid w:val="00FB6242"/>
    <w:rsid w:val="00FB6332"/>
    <w:rsid w:val="00FB646A"/>
    <w:rsid w:val="00FB6539"/>
    <w:rsid w:val="00FB66A3"/>
    <w:rsid w:val="00FB68E0"/>
    <w:rsid w:val="00FB6A22"/>
    <w:rsid w:val="00FB6B71"/>
    <w:rsid w:val="00FB7991"/>
    <w:rsid w:val="00FB7B9D"/>
    <w:rsid w:val="00FB7BA2"/>
    <w:rsid w:val="00FB7D91"/>
    <w:rsid w:val="00FC001E"/>
    <w:rsid w:val="00FC0091"/>
    <w:rsid w:val="00FC0172"/>
    <w:rsid w:val="00FC0334"/>
    <w:rsid w:val="00FC04D0"/>
    <w:rsid w:val="00FC0ADE"/>
    <w:rsid w:val="00FC0F71"/>
    <w:rsid w:val="00FC0FF4"/>
    <w:rsid w:val="00FC1427"/>
    <w:rsid w:val="00FC14FC"/>
    <w:rsid w:val="00FC155B"/>
    <w:rsid w:val="00FC172A"/>
    <w:rsid w:val="00FC1C62"/>
    <w:rsid w:val="00FC23F8"/>
    <w:rsid w:val="00FC24E7"/>
    <w:rsid w:val="00FC24FC"/>
    <w:rsid w:val="00FC253E"/>
    <w:rsid w:val="00FC2702"/>
    <w:rsid w:val="00FC2995"/>
    <w:rsid w:val="00FC2B16"/>
    <w:rsid w:val="00FC2B47"/>
    <w:rsid w:val="00FC2E3B"/>
    <w:rsid w:val="00FC300C"/>
    <w:rsid w:val="00FC307D"/>
    <w:rsid w:val="00FC33AC"/>
    <w:rsid w:val="00FC3690"/>
    <w:rsid w:val="00FC3942"/>
    <w:rsid w:val="00FC3CCF"/>
    <w:rsid w:val="00FC3DB9"/>
    <w:rsid w:val="00FC3F97"/>
    <w:rsid w:val="00FC434D"/>
    <w:rsid w:val="00FC4478"/>
    <w:rsid w:val="00FC44BA"/>
    <w:rsid w:val="00FC4908"/>
    <w:rsid w:val="00FC4E32"/>
    <w:rsid w:val="00FC4E69"/>
    <w:rsid w:val="00FC4F21"/>
    <w:rsid w:val="00FC51A5"/>
    <w:rsid w:val="00FC55D7"/>
    <w:rsid w:val="00FC5E09"/>
    <w:rsid w:val="00FC6032"/>
    <w:rsid w:val="00FC6046"/>
    <w:rsid w:val="00FC6187"/>
    <w:rsid w:val="00FC631E"/>
    <w:rsid w:val="00FC668B"/>
    <w:rsid w:val="00FC6785"/>
    <w:rsid w:val="00FC6A52"/>
    <w:rsid w:val="00FC6B30"/>
    <w:rsid w:val="00FC6B41"/>
    <w:rsid w:val="00FC6BD1"/>
    <w:rsid w:val="00FC709F"/>
    <w:rsid w:val="00FC7402"/>
    <w:rsid w:val="00FC747C"/>
    <w:rsid w:val="00FC74BD"/>
    <w:rsid w:val="00FC75BB"/>
    <w:rsid w:val="00FC76B9"/>
    <w:rsid w:val="00FD0117"/>
    <w:rsid w:val="00FD0298"/>
    <w:rsid w:val="00FD0359"/>
    <w:rsid w:val="00FD037C"/>
    <w:rsid w:val="00FD03A8"/>
    <w:rsid w:val="00FD03E4"/>
    <w:rsid w:val="00FD0454"/>
    <w:rsid w:val="00FD07B8"/>
    <w:rsid w:val="00FD099F"/>
    <w:rsid w:val="00FD0AF3"/>
    <w:rsid w:val="00FD0BC0"/>
    <w:rsid w:val="00FD0EB7"/>
    <w:rsid w:val="00FD1247"/>
    <w:rsid w:val="00FD12B3"/>
    <w:rsid w:val="00FD1827"/>
    <w:rsid w:val="00FD1957"/>
    <w:rsid w:val="00FD19C4"/>
    <w:rsid w:val="00FD1AB9"/>
    <w:rsid w:val="00FD1B70"/>
    <w:rsid w:val="00FD1F4A"/>
    <w:rsid w:val="00FD1F79"/>
    <w:rsid w:val="00FD2218"/>
    <w:rsid w:val="00FD251B"/>
    <w:rsid w:val="00FD2764"/>
    <w:rsid w:val="00FD28F8"/>
    <w:rsid w:val="00FD29BF"/>
    <w:rsid w:val="00FD2AD6"/>
    <w:rsid w:val="00FD2BF1"/>
    <w:rsid w:val="00FD2C86"/>
    <w:rsid w:val="00FD2E5F"/>
    <w:rsid w:val="00FD2F1F"/>
    <w:rsid w:val="00FD3CAA"/>
    <w:rsid w:val="00FD3CDC"/>
    <w:rsid w:val="00FD43A9"/>
    <w:rsid w:val="00FD4494"/>
    <w:rsid w:val="00FD4590"/>
    <w:rsid w:val="00FD466E"/>
    <w:rsid w:val="00FD4A2D"/>
    <w:rsid w:val="00FD533B"/>
    <w:rsid w:val="00FD5407"/>
    <w:rsid w:val="00FD54AE"/>
    <w:rsid w:val="00FD58CE"/>
    <w:rsid w:val="00FD5B81"/>
    <w:rsid w:val="00FD5BEF"/>
    <w:rsid w:val="00FD5CE1"/>
    <w:rsid w:val="00FD5CE2"/>
    <w:rsid w:val="00FD5E0A"/>
    <w:rsid w:val="00FD6013"/>
    <w:rsid w:val="00FD6026"/>
    <w:rsid w:val="00FD60AA"/>
    <w:rsid w:val="00FD6156"/>
    <w:rsid w:val="00FD64E7"/>
    <w:rsid w:val="00FD687B"/>
    <w:rsid w:val="00FD6AAC"/>
    <w:rsid w:val="00FD6BF0"/>
    <w:rsid w:val="00FD6C08"/>
    <w:rsid w:val="00FD6E35"/>
    <w:rsid w:val="00FD715D"/>
    <w:rsid w:val="00FD7196"/>
    <w:rsid w:val="00FD7634"/>
    <w:rsid w:val="00FD769B"/>
    <w:rsid w:val="00FD7E42"/>
    <w:rsid w:val="00FD7FDE"/>
    <w:rsid w:val="00FE079D"/>
    <w:rsid w:val="00FE117E"/>
    <w:rsid w:val="00FE179D"/>
    <w:rsid w:val="00FE181A"/>
    <w:rsid w:val="00FE19B3"/>
    <w:rsid w:val="00FE1B7D"/>
    <w:rsid w:val="00FE1C90"/>
    <w:rsid w:val="00FE2093"/>
    <w:rsid w:val="00FE24EA"/>
    <w:rsid w:val="00FE27AA"/>
    <w:rsid w:val="00FE27C8"/>
    <w:rsid w:val="00FE2B41"/>
    <w:rsid w:val="00FE2B7E"/>
    <w:rsid w:val="00FE2C38"/>
    <w:rsid w:val="00FE307D"/>
    <w:rsid w:val="00FE3113"/>
    <w:rsid w:val="00FE32E4"/>
    <w:rsid w:val="00FE3934"/>
    <w:rsid w:val="00FE3980"/>
    <w:rsid w:val="00FE3C3B"/>
    <w:rsid w:val="00FE3E8D"/>
    <w:rsid w:val="00FE3FF9"/>
    <w:rsid w:val="00FE40DE"/>
    <w:rsid w:val="00FE43A0"/>
    <w:rsid w:val="00FE44D1"/>
    <w:rsid w:val="00FE454A"/>
    <w:rsid w:val="00FE460D"/>
    <w:rsid w:val="00FE4811"/>
    <w:rsid w:val="00FE487E"/>
    <w:rsid w:val="00FE48BE"/>
    <w:rsid w:val="00FE4BBA"/>
    <w:rsid w:val="00FE4E94"/>
    <w:rsid w:val="00FE5026"/>
    <w:rsid w:val="00FE5042"/>
    <w:rsid w:val="00FE53AB"/>
    <w:rsid w:val="00FE565D"/>
    <w:rsid w:val="00FE59D0"/>
    <w:rsid w:val="00FE5A33"/>
    <w:rsid w:val="00FE5B5F"/>
    <w:rsid w:val="00FE5C14"/>
    <w:rsid w:val="00FE60F3"/>
    <w:rsid w:val="00FE614F"/>
    <w:rsid w:val="00FE67DC"/>
    <w:rsid w:val="00FE687E"/>
    <w:rsid w:val="00FE6A15"/>
    <w:rsid w:val="00FE7064"/>
    <w:rsid w:val="00FE7352"/>
    <w:rsid w:val="00FE75B4"/>
    <w:rsid w:val="00FE76CB"/>
    <w:rsid w:val="00FE7776"/>
    <w:rsid w:val="00FE782E"/>
    <w:rsid w:val="00FE78A0"/>
    <w:rsid w:val="00FE7BDD"/>
    <w:rsid w:val="00FE7F13"/>
    <w:rsid w:val="00FE7FBF"/>
    <w:rsid w:val="00FF005B"/>
    <w:rsid w:val="00FF00B2"/>
    <w:rsid w:val="00FF0237"/>
    <w:rsid w:val="00FF0452"/>
    <w:rsid w:val="00FF0836"/>
    <w:rsid w:val="00FF0B99"/>
    <w:rsid w:val="00FF0CE5"/>
    <w:rsid w:val="00FF0EA3"/>
    <w:rsid w:val="00FF0F4B"/>
    <w:rsid w:val="00FF100D"/>
    <w:rsid w:val="00FF1100"/>
    <w:rsid w:val="00FF1309"/>
    <w:rsid w:val="00FF17AB"/>
    <w:rsid w:val="00FF1C56"/>
    <w:rsid w:val="00FF1F17"/>
    <w:rsid w:val="00FF202C"/>
    <w:rsid w:val="00FF2103"/>
    <w:rsid w:val="00FF244F"/>
    <w:rsid w:val="00FF2900"/>
    <w:rsid w:val="00FF2B61"/>
    <w:rsid w:val="00FF2BBB"/>
    <w:rsid w:val="00FF2FF5"/>
    <w:rsid w:val="00FF3CB9"/>
    <w:rsid w:val="00FF3D1B"/>
    <w:rsid w:val="00FF3F3F"/>
    <w:rsid w:val="00FF4115"/>
    <w:rsid w:val="00FF4844"/>
    <w:rsid w:val="00FF4A67"/>
    <w:rsid w:val="00FF4A9D"/>
    <w:rsid w:val="00FF4AC5"/>
    <w:rsid w:val="00FF4B27"/>
    <w:rsid w:val="00FF51CB"/>
    <w:rsid w:val="00FF5682"/>
    <w:rsid w:val="00FF5764"/>
    <w:rsid w:val="00FF5922"/>
    <w:rsid w:val="00FF5C7B"/>
    <w:rsid w:val="00FF5E67"/>
    <w:rsid w:val="00FF6265"/>
    <w:rsid w:val="00FF63A6"/>
    <w:rsid w:val="00FF6403"/>
    <w:rsid w:val="00FF66EF"/>
    <w:rsid w:val="00FF6934"/>
    <w:rsid w:val="00FF6974"/>
    <w:rsid w:val="00FF69BA"/>
    <w:rsid w:val="00FF6C7E"/>
    <w:rsid w:val="00FF6DE0"/>
    <w:rsid w:val="00FF6E53"/>
    <w:rsid w:val="00FF7299"/>
    <w:rsid w:val="00FF73C1"/>
    <w:rsid w:val="00FF7441"/>
    <w:rsid w:val="00FF7577"/>
    <w:rsid w:val="00FF75F6"/>
    <w:rsid w:val="00FF768D"/>
    <w:rsid w:val="00FF772F"/>
    <w:rsid w:val="00FF7ABA"/>
    <w:rsid w:val="00FF7BFF"/>
    <w:rsid w:val="00FF7FAF"/>
    <w:rsid w:val="02316C50"/>
    <w:rsid w:val="02934822"/>
    <w:rsid w:val="02FAE24F"/>
    <w:rsid w:val="043659AA"/>
    <w:rsid w:val="05BBFD03"/>
    <w:rsid w:val="06BAC8D9"/>
    <w:rsid w:val="06C1FECE"/>
    <w:rsid w:val="06E26189"/>
    <w:rsid w:val="0721ADE2"/>
    <w:rsid w:val="072D6DA2"/>
    <w:rsid w:val="076E85AE"/>
    <w:rsid w:val="077E6F21"/>
    <w:rsid w:val="08C8F28F"/>
    <w:rsid w:val="094D9D3F"/>
    <w:rsid w:val="09730478"/>
    <w:rsid w:val="09B3DF00"/>
    <w:rsid w:val="0A86EBBD"/>
    <w:rsid w:val="0B441011"/>
    <w:rsid w:val="0CC020B2"/>
    <w:rsid w:val="0E349690"/>
    <w:rsid w:val="0E372187"/>
    <w:rsid w:val="0E9A48A0"/>
    <w:rsid w:val="0EF22468"/>
    <w:rsid w:val="0F0A0F02"/>
    <w:rsid w:val="11740B1A"/>
    <w:rsid w:val="128DA0E4"/>
    <w:rsid w:val="12C48F97"/>
    <w:rsid w:val="12E292C1"/>
    <w:rsid w:val="131FAE23"/>
    <w:rsid w:val="133A5BD7"/>
    <w:rsid w:val="1377BDB9"/>
    <w:rsid w:val="1407BAC6"/>
    <w:rsid w:val="14CE43D9"/>
    <w:rsid w:val="14EF8899"/>
    <w:rsid w:val="159AF854"/>
    <w:rsid w:val="16268B24"/>
    <w:rsid w:val="1722A2D7"/>
    <w:rsid w:val="17403393"/>
    <w:rsid w:val="17AEB594"/>
    <w:rsid w:val="17CF1B0D"/>
    <w:rsid w:val="17E5E055"/>
    <w:rsid w:val="1809F135"/>
    <w:rsid w:val="186DB7C8"/>
    <w:rsid w:val="18DA8155"/>
    <w:rsid w:val="19FB520A"/>
    <w:rsid w:val="1A150439"/>
    <w:rsid w:val="1A57C616"/>
    <w:rsid w:val="1A634781"/>
    <w:rsid w:val="1A9B15BC"/>
    <w:rsid w:val="1B799491"/>
    <w:rsid w:val="1C29CF41"/>
    <w:rsid w:val="1F3B6A53"/>
    <w:rsid w:val="1FBCE2DE"/>
    <w:rsid w:val="1FE5BA66"/>
    <w:rsid w:val="205A6B88"/>
    <w:rsid w:val="208CACB4"/>
    <w:rsid w:val="20C41AD8"/>
    <w:rsid w:val="2168125B"/>
    <w:rsid w:val="219C43D2"/>
    <w:rsid w:val="229AC33A"/>
    <w:rsid w:val="22E4D831"/>
    <w:rsid w:val="22F04FCC"/>
    <w:rsid w:val="23554DD7"/>
    <w:rsid w:val="23695AD5"/>
    <w:rsid w:val="23BD4842"/>
    <w:rsid w:val="2514B9A2"/>
    <w:rsid w:val="25348275"/>
    <w:rsid w:val="255EFBF2"/>
    <w:rsid w:val="256F27B6"/>
    <w:rsid w:val="25B176AE"/>
    <w:rsid w:val="26F50F90"/>
    <w:rsid w:val="2700EF1F"/>
    <w:rsid w:val="270A2CC8"/>
    <w:rsid w:val="2746B0B5"/>
    <w:rsid w:val="27A4B080"/>
    <w:rsid w:val="2869E921"/>
    <w:rsid w:val="28DAC7E0"/>
    <w:rsid w:val="29061748"/>
    <w:rsid w:val="2A159AC7"/>
    <w:rsid w:val="2A25243B"/>
    <w:rsid w:val="2A359031"/>
    <w:rsid w:val="2AEAB83C"/>
    <w:rsid w:val="2C7A80DD"/>
    <w:rsid w:val="2D003C05"/>
    <w:rsid w:val="2D3B43CC"/>
    <w:rsid w:val="2D572795"/>
    <w:rsid w:val="2DC070D0"/>
    <w:rsid w:val="2E128F64"/>
    <w:rsid w:val="2E41C05D"/>
    <w:rsid w:val="2F924018"/>
    <w:rsid w:val="300ECB50"/>
    <w:rsid w:val="30533EDC"/>
    <w:rsid w:val="30726552"/>
    <w:rsid w:val="308FD458"/>
    <w:rsid w:val="3130EDF8"/>
    <w:rsid w:val="316590FB"/>
    <w:rsid w:val="31659AF7"/>
    <w:rsid w:val="320BC9F2"/>
    <w:rsid w:val="33739E5C"/>
    <w:rsid w:val="3497EC52"/>
    <w:rsid w:val="35B50F32"/>
    <w:rsid w:val="35DC6349"/>
    <w:rsid w:val="35EF05C1"/>
    <w:rsid w:val="35F91DD6"/>
    <w:rsid w:val="361A6BF1"/>
    <w:rsid w:val="36F7A419"/>
    <w:rsid w:val="36FA8CF1"/>
    <w:rsid w:val="37084140"/>
    <w:rsid w:val="3793D9F2"/>
    <w:rsid w:val="390CBA6A"/>
    <w:rsid w:val="3970BD6F"/>
    <w:rsid w:val="39C8A0F7"/>
    <w:rsid w:val="39D239C6"/>
    <w:rsid w:val="3A25D566"/>
    <w:rsid w:val="3B7B63F6"/>
    <w:rsid w:val="3B957CE2"/>
    <w:rsid w:val="3C2A95C2"/>
    <w:rsid w:val="3C8CF99F"/>
    <w:rsid w:val="3D172DAA"/>
    <w:rsid w:val="3D1DDD4A"/>
    <w:rsid w:val="3D44D25E"/>
    <w:rsid w:val="3DEAA2C9"/>
    <w:rsid w:val="3E04E175"/>
    <w:rsid w:val="3F67B9A0"/>
    <w:rsid w:val="3FC4D5A1"/>
    <w:rsid w:val="3FEEDA0A"/>
    <w:rsid w:val="413D1BD4"/>
    <w:rsid w:val="41C82B96"/>
    <w:rsid w:val="41CE3E16"/>
    <w:rsid w:val="429BBA90"/>
    <w:rsid w:val="433ACE27"/>
    <w:rsid w:val="4347C278"/>
    <w:rsid w:val="4418A2D3"/>
    <w:rsid w:val="4425209E"/>
    <w:rsid w:val="44C7C089"/>
    <w:rsid w:val="452EBB7F"/>
    <w:rsid w:val="456AE8AB"/>
    <w:rsid w:val="45989DCF"/>
    <w:rsid w:val="459BBACF"/>
    <w:rsid w:val="45B76663"/>
    <w:rsid w:val="45C4DF5D"/>
    <w:rsid w:val="45F532A4"/>
    <w:rsid w:val="465EF139"/>
    <w:rsid w:val="46662EDC"/>
    <w:rsid w:val="47D35D69"/>
    <w:rsid w:val="48538075"/>
    <w:rsid w:val="4874E28F"/>
    <w:rsid w:val="495B072C"/>
    <w:rsid w:val="4A6F489C"/>
    <w:rsid w:val="4B7572FE"/>
    <w:rsid w:val="4B76C2F0"/>
    <w:rsid w:val="4C17C96D"/>
    <w:rsid w:val="4C303C8C"/>
    <w:rsid w:val="4CF95DD6"/>
    <w:rsid w:val="4D2E462F"/>
    <w:rsid w:val="4D45340D"/>
    <w:rsid w:val="4D712B57"/>
    <w:rsid w:val="4D736769"/>
    <w:rsid w:val="4DA23EC7"/>
    <w:rsid w:val="4E2114E1"/>
    <w:rsid w:val="4E2E014D"/>
    <w:rsid w:val="4E457AAE"/>
    <w:rsid w:val="4ED563CE"/>
    <w:rsid w:val="4F3492EA"/>
    <w:rsid w:val="4F37E3D5"/>
    <w:rsid w:val="4F6AEA34"/>
    <w:rsid w:val="4F6DC53C"/>
    <w:rsid w:val="4F9ED047"/>
    <w:rsid w:val="5016EF80"/>
    <w:rsid w:val="5042D978"/>
    <w:rsid w:val="514D2C42"/>
    <w:rsid w:val="51EA94C7"/>
    <w:rsid w:val="51FAD4BA"/>
    <w:rsid w:val="526AD248"/>
    <w:rsid w:val="5270971F"/>
    <w:rsid w:val="5271C135"/>
    <w:rsid w:val="52D2D1D7"/>
    <w:rsid w:val="53081C52"/>
    <w:rsid w:val="530D288C"/>
    <w:rsid w:val="535A7C88"/>
    <w:rsid w:val="536D73C9"/>
    <w:rsid w:val="53DB50CF"/>
    <w:rsid w:val="5455488B"/>
    <w:rsid w:val="5470E7FA"/>
    <w:rsid w:val="54A9240F"/>
    <w:rsid w:val="54B28529"/>
    <w:rsid w:val="54B58060"/>
    <w:rsid w:val="566134ED"/>
    <w:rsid w:val="5692A794"/>
    <w:rsid w:val="56F79B2B"/>
    <w:rsid w:val="57520FA1"/>
    <w:rsid w:val="57EB9488"/>
    <w:rsid w:val="58121FD1"/>
    <w:rsid w:val="5812ACAB"/>
    <w:rsid w:val="585683F5"/>
    <w:rsid w:val="5883CAA9"/>
    <w:rsid w:val="595CE86A"/>
    <w:rsid w:val="59827C97"/>
    <w:rsid w:val="5A281687"/>
    <w:rsid w:val="5A37A71A"/>
    <w:rsid w:val="5A9B60E3"/>
    <w:rsid w:val="5B667E29"/>
    <w:rsid w:val="5BCC6C7B"/>
    <w:rsid w:val="5C515F91"/>
    <w:rsid w:val="5DA785A7"/>
    <w:rsid w:val="5E2F0663"/>
    <w:rsid w:val="5E52AB93"/>
    <w:rsid w:val="5F551076"/>
    <w:rsid w:val="5F8212FD"/>
    <w:rsid w:val="5F9BC71A"/>
    <w:rsid w:val="601C070A"/>
    <w:rsid w:val="6087B93B"/>
    <w:rsid w:val="6111B78F"/>
    <w:rsid w:val="6130C673"/>
    <w:rsid w:val="6157F082"/>
    <w:rsid w:val="615CBC71"/>
    <w:rsid w:val="616D5177"/>
    <w:rsid w:val="631A45D2"/>
    <w:rsid w:val="63514B57"/>
    <w:rsid w:val="6362C124"/>
    <w:rsid w:val="638433A8"/>
    <w:rsid w:val="63FAA9B6"/>
    <w:rsid w:val="640317D1"/>
    <w:rsid w:val="647E6687"/>
    <w:rsid w:val="64EB6E56"/>
    <w:rsid w:val="654E55C7"/>
    <w:rsid w:val="663881F7"/>
    <w:rsid w:val="66960C6F"/>
    <w:rsid w:val="66989020"/>
    <w:rsid w:val="66BB662E"/>
    <w:rsid w:val="66E2F7B8"/>
    <w:rsid w:val="67E543BF"/>
    <w:rsid w:val="6805CA9C"/>
    <w:rsid w:val="681C2867"/>
    <w:rsid w:val="682F5045"/>
    <w:rsid w:val="6841A7C8"/>
    <w:rsid w:val="6AC4202A"/>
    <w:rsid w:val="6B5F1714"/>
    <w:rsid w:val="6BA16D53"/>
    <w:rsid w:val="6BE4328D"/>
    <w:rsid w:val="6BF69284"/>
    <w:rsid w:val="6C3F4AA6"/>
    <w:rsid w:val="6C59B99D"/>
    <w:rsid w:val="6C92F0E1"/>
    <w:rsid w:val="6E854DC6"/>
    <w:rsid w:val="6F69DA34"/>
    <w:rsid w:val="6FF191EE"/>
    <w:rsid w:val="706804DE"/>
    <w:rsid w:val="70901305"/>
    <w:rsid w:val="72B15B5D"/>
    <w:rsid w:val="72C6D06B"/>
    <w:rsid w:val="72F3E5DF"/>
    <w:rsid w:val="73C07EC7"/>
    <w:rsid w:val="73F0EAD1"/>
    <w:rsid w:val="74CCD44C"/>
    <w:rsid w:val="7553B2AC"/>
    <w:rsid w:val="75DD4DFD"/>
    <w:rsid w:val="766F8E2B"/>
    <w:rsid w:val="76F11A82"/>
    <w:rsid w:val="779B35B2"/>
    <w:rsid w:val="79B5BA92"/>
    <w:rsid w:val="79E7079E"/>
    <w:rsid w:val="79EB7E68"/>
    <w:rsid w:val="7A0D9011"/>
    <w:rsid w:val="7A13A7A7"/>
    <w:rsid w:val="7A4B011E"/>
    <w:rsid w:val="7A50BAF9"/>
    <w:rsid w:val="7AA75D78"/>
    <w:rsid w:val="7B680F39"/>
    <w:rsid w:val="7B783C76"/>
    <w:rsid w:val="7B91E476"/>
    <w:rsid w:val="7C30BA14"/>
    <w:rsid w:val="7C3C4BA4"/>
    <w:rsid w:val="7D375EDC"/>
    <w:rsid w:val="7D997B89"/>
    <w:rsid w:val="7E5E6E5F"/>
    <w:rsid w:val="7F0F7956"/>
    <w:rsid w:val="7F284DD2"/>
    <w:rsid w:val="7F4EB4EA"/>
    <w:rsid w:val="7F7C432E"/>
    <w:rsid w:val="7F9CD8E6"/>
    <w:rsid w:val="7FEF9409"/>
  </w:rsids>
  <m:mathPr>
    <m:mathFont m:val="Cambria Math"/>
    <m:brkBin m:val="before"/>
    <m:brkBinSub m:val="--"/>
    <m:smallFrac m:val="0"/>
    <m:dispDef m:val="0"/>
    <m:lMargin m:val="0"/>
    <m:rMargin m:val="0"/>
    <m:defJc m:val="centerGroup"/>
    <m:wrapRight/>
    <m:intLim m:val="subSup"/>
    <m:naryLim m:val="subSup"/>
  </m:mathPr>
  <w:themeFontLang w:val="sk-SK"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ecimalSymbol w:val=","/>
  <w:listSeparator w:val=";"/>
  <w14:docId w14:val="77485A4C"/>
  <w15:docId w15:val="{8123CF74-A505-4143-9B9E-C3437DFE1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99"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C4EA9"/>
    <w:rPr>
      <w:rFonts w:ascii="Constantia" w:hAnsi="Constantia"/>
      <w:sz w:val="22"/>
    </w:rPr>
  </w:style>
  <w:style w:type="paragraph" w:styleId="Heading1">
    <w:name w:val="heading 1"/>
    <w:basedOn w:val="Normal"/>
    <w:next w:val="Normal"/>
    <w:link w:val="Heading1Char"/>
    <w:qFormat/>
    <w:rsid w:val="00090B6B"/>
    <w:pPr>
      <w:keepNext/>
      <w:spacing w:before="240" w:after="60"/>
      <w:jc w:val="both"/>
      <w:outlineLvl w:val="0"/>
    </w:pPr>
    <w:rPr>
      <w:rFonts w:cs="Arial"/>
      <w:b/>
      <w:bCs/>
      <w:color w:val="59595B"/>
      <w:kern w:val="32"/>
      <w:sz w:val="32"/>
      <w:szCs w:val="32"/>
    </w:rPr>
  </w:style>
  <w:style w:type="paragraph" w:styleId="Heading2">
    <w:name w:val="heading 2"/>
    <w:basedOn w:val="Normal"/>
    <w:next w:val="Normal"/>
    <w:link w:val="Heading2Char"/>
    <w:qFormat/>
    <w:rsid w:val="007F7022"/>
    <w:pPr>
      <w:keepNext/>
      <w:spacing w:beforeLines="1" w:afterLines="1" w:after="200" w:line="276" w:lineRule="auto"/>
      <w:jc w:val="both"/>
      <w:outlineLvl w:val="1"/>
    </w:pPr>
    <w:rPr>
      <w:rFonts w:cs="Arial"/>
      <w:b/>
      <w:bCs/>
      <w:color w:val="5A5A5A"/>
      <w:sz w:val="28"/>
      <w:lang w:eastAsia="en-US"/>
    </w:rPr>
  </w:style>
  <w:style w:type="paragraph" w:styleId="Heading3">
    <w:name w:val="heading 3"/>
    <w:basedOn w:val="Normal"/>
    <w:next w:val="Normal"/>
    <w:link w:val="Heading3Char"/>
    <w:semiHidden/>
    <w:unhideWhenUsed/>
    <w:qFormat/>
    <w:rsid w:val="005B6F84"/>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0B6B"/>
    <w:rPr>
      <w:rFonts w:ascii="Constantia" w:hAnsi="Constantia" w:cs="Arial"/>
      <w:b/>
      <w:bCs/>
      <w:color w:val="59595B"/>
      <w:kern w:val="32"/>
      <w:sz w:val="32"/>
      <w:szCs w:val="32"/>
    </w:rPr>
  </w:style>
  <w:style w:type="character" w:customStyle="1" w:styleId="Heading2Char">
    <w:name w:val="Heading 2 Char"/>
    <w:basedOn w:val="DefaultParagraphFont"/>
    <w:link w:val="Heading2"/>
    <w:locked/>
    <w:rsid w:val="00E83FA5"/>
    <w:rPr>
      <w:rFonts w:ascii="Constantia" w:hAnsi="Constantia" w:cs="Arial"/>
      <w:b/>
      <w:bCs/>
      <w:color w:val="5A5A5A"/>
      <w:sz w:val="28"/>
      <w:lang w:eastAsia="en-US"/>
    </w:rPr>
  </w:style>
  <w:style w:type="character" w:customStyle="1" w:styleId="Heading3Char">
    <w:name w:val="Heading 3 Char"/>
    <w:basedOn w:val="DefaultParagraphFont"/>
    <w:link w:val="Heading3"/>
    <w:semiHidden/>
    <w:rsid w:val="005B6F84"/>
    <w:rPr>
      <w:rFonts w:asciiTheme="majorHAnsi" w:eastAsiaTheme="majorEastAsia" w:hAnsiTheme="majorHAnsi" w:cstheme="majorBidi"/>
      <w:color w:val="243F60" w:themeColor="accent1" w:themeShade="7F"/>
      <w:sz w:val="24"/>
      <w:szCs w:val="24"/>
    </w:rPr>
  </w:style>
  <w:style w:type="paragraph" w:styleId="Header">
    <w:name w:val="header"/>
    <w:basedOn w:val="Normal"/>
    <w:link w:val="HeaderChar"/>
    <w:rsid w:val="003A2935"/>
    <w:pPr>
      <w:tabs>
        <w:tab w:val="center" w:pos="4536"/>
        <w:tab w:val="right" w:pos="9072"/>
      </w:tabs>
    </w:pPr>
  </w:style>
  <w:style w:type="character" w:customStyle="1" w:styleId="HeaderChar">
    <w:name w:val="Header Char"/>
    <w:link w:val="Header"/>
    <w:rsid w:val="00F35CAF"/>
    <w:rPr>
      <w:rFonts w:ascii="Constantia" w:hAnsi="Constantia"/>
      <w:sz w:val="22"/>
    </w:rPr>
  </w:style>
  <w:style w:type="paragraph" w:styleId="Footer">
    <w:name w:val="footer"/>
    <w:basedOn w:val="Normal"/>
    <w:link w:val="FooterChar"/>
    <w:uiPriority w:val="99"/>
    <w:rsid w:val="003A2935"/>
    <w:pPr>
      <w:tabs>
        <w:tab w:val="center" w:pos="4536"/>
        <w:tab w:val="right" w:pos="9072"/>
      </w:tabs>
    </w:pPr>
  </w:style>
  <w:style w:type="character" w:customStyle="1" w:styleId="FooterChar">
    <w:name w:val="Footer Char"/>
    <w:basedOn w:val="DefaultParagraphFont"/>
    <w:link w:val="Footer"/>
    <w:uiPriority w:val="99"/>
    <w:rsid w:val="00957F52"/>
    <w:rPr>
      <w:sz w:val="24"/>
      <w:szCs w:val="24"/>
    </w:rPr>
  </w:style>
  <w:style w:type="character" w:styleId="PageNumber">
    <w:name w:val="page number"/>
    <w:basedOn w:val="DefaultParagraphFont"/>
    <w:rsid w:val="004B233C"/>
  </w:style>
  <w:style w:type="paragraph" w:styleId="ListParagraph">
    <w:name w:val="List Paragraph"/>
    <w:aliases w:val="Nad,Odstavec_muj,Conclusion de partie,_Odstavec se seznamem,Seznam - odrážky,Odstavec cíl se seznamem,Odstavec se seznamem5,List Paragraph (Czech Tourism),body,Odsek zoznamu2,Odsek zoznamu1,Odsek,ODRAZKY PRVA UROVEN"/>
    <w:basedOn w:val="Normal"/>
    <w:link w:val="ListParagraphChar"/>
    <w:uiPriority w:val="34"/>
    <w:qFormat/>
    <w:rsid w:val="00DC465B"/>
    <w:pPr>
      <w:spacing w:after="200" w:line="276" w:lineRule="auto"/>
      <w:ind w:left="720"/>
      <w:contextualSpacing/>
    </w:pPr>
    <w:rPr>
      <w:rFonts w:ascii="Calibri" w:eastAsia="Calibri" w:hAnsi="Calibri"/>
      <w:szCs w:val="22"/>
      <w:lang w:eastAsia="en-US"/>
    </w:rPr>
  </w:style>
  <w:style w:type="character" w:customStyle="1" w:styleId="ListParagraphChar">
    <w:name w:val="List Paragraph Char"/>
    <w:aliases w:val="Nad Char,Odstavec_muj Char,Conclusion de partie Char,_Odstavec se seznamem Char,Seznam - odrážky Char,Odstavec cíl se seznamem Char,Odstavec se seznamem5 Char,List Paragraph (Czech Tourism) Char,body Char,Odsek zoznamu2 Char"/>
    <w:link w:val="ListParagraph"/>
    <w:uiPriority w:val="34"/>
    <w:locked/>
    <w:rsid w:val="00D42381"/>
    <w:rPr>
      <w:rFonts w:ascii="Calibri" w:eastAsia="Calibri" w:hAnsi="Calibri"/>
      <w:sz w:val="22"/>
      <w:szCs w:val="22"/>
      <w:lang w:eastAsia="en-US"/>
    </w:rPr>
  </w:style>
  <w:style w:type="character" w:styleId="Hyperlink">
    <w:name w:val="Hyperlink"/>
    <w:uiPriority w:val="99"/>
    <w:unhideWhenUsed/>
    <w:rsid w:val="00DC465B"/>
    <w:rPr>
      <w:color w:val="0000FF"/>
      <w:u w:val="single"/>
    </w:rPr>
  </w:style>
  <w:style w:type="paragraph" w:customStyle="1" w:styleId="Default">
    <w:name w:val="Default"/>
    <w:rsid w:val="00DC465B"/>
    <w:pPr>
      <w:autoSpaceDE w:val="0"/>
      <w:autoSpaceDN w:val="0"/>
      <w:adjustRightInd w:val="0"/>
    </w:pPr>
    <w:rPr>
      <w:rFonts w:ascii="Constantia" w:eastAsia="Calibri" w:hAnsi="Constantia" w:cs="Constantia"/>
      <w:color w:val="000000"/>
      <w:sz w:val="24"/>
      <w:szCs w:val="24"/>
      <w:lang w:eastAsia="en-US"/>
    </w:rPr>
  </w:style>
  <w:style w:type="table" w:styleId="TableGrid">
    <w:name w:val="Table Grid"/>
    <w:basedOn w:val="TableNormal"/>
    <w:uiPriority w:val="59"/>
    <w:rsid w:val="00DC46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ußnotentext Char,Footnote Text Char3 Char,Footnote Text Char1 Char1 Char,Footnote Text Char2 Char Char Char,Footnote Text Char1 Char1 Char Char Char,Footnote Text Char2 Char Char Char Char Char,Fußnotentext Char1,Plonk,f"/>
    <w:basedOn w:val="Normal"/>
    <w:link w:val="FootnoteTextChar"/>
    <w:uiPriority w:val="99"/>
    <w:qFormat/>
    <w:rsid w:val="00DC465B"/>
    <w:rPr>
      <w:sz w:val="20"/>
    </w:rPr>
  </w:style>
  <w:style w:type="character" w:customStyle="1" w:styleId="FootnoteTextChar">
    <w:name w:val="Footnote Text Char"/>
    <w:aliases w:val="Fußnotentext Char Char,Footnote Text Char3 Char Char,Footnote Text Char1 Char1 Char Char,Footnote Text Char2 Char Char Char Char,Footnote Text Char1 Char1 Char Char Char Char,Footnote Text Char2 Char Char Char Char Char Char,f Char"/>
    <w:basedOn w:val="DefaultParagraphFont"/>
    <w:link w:val="FootnoteText"/>
    <w:uiPriority w:val="99"/>
    <w:rsid w:val="00DC465B"/>
  </w:style>
  <w:style w:type="character" w:styleId="FootnoteReference">
    <w:name w:val="footnote reference"/>
    <w:aliases w:val="16 Point,Superscript 6 Point,Footnote Reference Number,Footnote Reference_LVL6,Footnote Reference_LVL61,Footnote Reference_LVL62,Footnote Reference_LVL63,Footnote Reference_LVL64,Footnote call,BVI fnr,SUPERS,Footnote symbol"/>
    <w:link w:val="Char2"/>
    <w:uiPriority w:val="99"/>
    <w:qFormat/>
    <w:rsid w:val="00DC465B"/>
    <w:rPr>
      <w:vertAlign w:val="superscript"/>
    </w:rPr>
  </w:style>
  <w:style w:type="paragraph" w:styleId="BalloonText">
    <w:name w:val="Balloon Text"/>
    <w:basedOn w:val="Normal"/>
    <w:link w:val="BalloonTextChar"/>
    <w:rsid w:val="00B73A7A"/>
    <w:rPr>
      <w:rFonts w:ascii="Tahoma" w:hAnsi="Tahoma" w:cs="Tahoma"/>
      <w:sz w:val="16"/>
      <w:szCs w:val="16"/>
    </w:rPr>
  </w:style>
  <w:style w:type="character" w:customStyle="1" w:styleId="BalloonTextChar">
    <w:name w:val="Balloon Text Char"/>
    <w:basedOn w:val="DefaultParagraphFont"/>
    <w:link w:val="BalloonText"/>
    <w:rsid w:val="00B73A7A"/>
    <w:rPr>
      <w:rFonts w:ascii="Tahoma" w:hAnsi="Tahoma" w:cs="Tahoma"/>
      <w:sz w:val="16"/>
      <w:szCs w:val="16"/>
    </w:rPr>
  </w:style>
  <w:style w:type="paragraph" w:styleId="Revision">
    <w:name w:val="Revision"/>
    <w:hidden/>
    <w:rsid w:val="00BF6E3D"/>
    <w:rPr>
      <w:rFonts w:ascii="Constantia" w:hAnsi="Constantia"/>
      <w:sz w:val="22"/>
    </w:rPr>
  </w:style>
  <w:style w:type="paragraph" w:styleId="TOC1">
    <w:name w:val="toc 1"/>
    <w:basedOn w:val="Normal"/>
    <w:next w:val="Normal"/>
    <w:autoRedefine/>
    <w:uiPriority w:val="39"/>
    <w:rsid w:val="006E4248"/>
    <w:pPr>
      <w:spacing w:after="100"/>
    </w:pPr>
    <w:rPr>
      <w:b/>
    </w:rPr>
  </w:style>
  <w:style w:type="paragraph" w:styleId="TOC2">
    <w:name w:val="toc 2"/>
    <w:basedOn w:val="Normal"/>
    <w:next w:val="Normal"/>
    <w:autoRedefine/>
    <w:uiPriority w:val="39"/>
    <w:rsid w:val="008B45D9"/>
    <w:pPr>
      <w:tabs>
        <w:tab w:val="left" w:pos="851"/>
        <w:tab w:val="right" w:leader="underscore" w:pos="9074"/>
      </w:tabs>
      <w:spacing w:after="100"/>
      <w:ind w:left="221"/>
    </w:pPr>
  </w:style>
  <w:style w:type="character" w:styleId="FollowedHyperlink">
    <w:name w:val="FollowedHyperlink"/>
    <w:basedOn w:val="DefaultParagraphFont"/>
    <w:uiPriority w:val="99"/>
    <w:semiHidden/>
    <w:unhideWhenUsed/>
    <w:rsid w:val="000B55D3"/>
    <w:rPr>
      <w:color w:val="800080" w:themeColor="followedHyperlink"/>
      <w:u w:val="single"/>
    </w:rPr>
  </w:style>
  <w:style w:type="paragraph" w:styleId="NormalWeb">
    <w:name w:val="Normal (Web)"/>
    <w:basedOn w:val="Normal"/>
    <w:uiPriority w:val="99"/>
    <w:semiHidden/>
    <w:unhideWhenUsed/>
    <w:rsid w:val="008D57A6"/>
    <w:pPr>
      <w:spacing w:before="100" w:beforeAutospacing="1" w:after="100" w:afterAutospacing="1"/>
    </w:pPr>
    <w:rPr>
      <w:rFonts w:ascii="Times New Roman" w:hAnsi="Times New Roman"/>
      <w:sz w:val="24"/>
      <w:szCs w:val="24"/>
    </w:rPr>
  </w:style>
  <w:style w:type="character" w:styleId="CommentReference">
    <w:name w:val="annotation reference"/>
    <w:basedOn w:val="DefaultParagraphFont"/>
    <w:semiHidden/>
    <w:unhideWhenUsed/>
    <w:rsid w:val="00B03A1A"/>
    <w:rPr>
      <w:sz w:val="16"/>
      <w:szCs w:val="16"/>
    </w:rPr>
  </w:style>
  <w:style w:type="paragraph" w:styleId="CommentText">
    <w:name w:val="annotation text"/>
    <w:basedOn w:val="Normal"/>
    <w:link w:val="CommentTextChar"/>
    <w:semiHidden/>
    <w:unhideWhenUsed/>
    <w:rsid w:val="00B03A1A"/>
    <w:rPr>
      <w:sz w:val="20"/>
    </w:rPr>
  </w:style>
  <w:style w:type="character" w:customStyle="1" w:styleId="CommentTextChar">
    <w:name w:val="Comment Text Char"/>
    <w:basedOn w:val="DefaultParagraphFont"/>
    <w:link w:val="CommentText"/>
    <w:semiHidden/>
    <w:rsid w:val="00B03A1A"/>
    <w:rPr>
      <w:rFonts w:ascii="Constantia" w:hAnsi="Constantia"/>
    </w:rPr>
  </w:style>
  <w:style w:type="paragraph" w:styleId="CommentSubject">
    <w:name w:val="annotation subject"/>
    <w:basedOn w:val="CommentText"/>
    <w:next w:val="CommentText"/>
    <w:link w:val="CommentSubjectChar"/>
    <w:semiHidden/>
    <w:unhideWhenUsed/>
    <w:rsid w:val="00B03A1A"/>
    <w:rPr>
      <w:b/>
      <w:bCs/>
    </w:rPr>
  </w:style>
  <w:style w:type="character" w:customStyle="1" w:styleId="CommentSubjectChar">
    <w:name w:val="Comment Subject Char"/>
    <w:basedOn w:val="CommentTextChar"/>
    <w:link w:val="CommentSubject"/>
    <w:semiHidden/>
    <w:rsid w:val="00B03A1A"/>
    <w:rPr>
      <w:rFonts w:ascii="Constantia" w:hAnsi="Constantia"/>
      <w:b/>
      <w:bCs/>
    </w:rPr>
  </w:style>
  <w:style w:type="character" w:customStyle="1" w:styleId="apple-converted-space">
    <w:name w:val="apple-converted-space"/>
    <w:basedOn w:val="DefaultParagraphFont"/>
    <w:rsid w:val="0083720B"/>
  </w:style>
  <w:style w:type="paragraph" w:styleId="TOCHeading">
    <w:name w:val="TOC Heading"/>
    <w:basedOn w:val="Heading1"/>
    <w:next w:val="Normal"/>
    <w:uiPriority w:val="39"/>
    <w:unhideWhenUsed/>
    <w:qFormat/>
    <w:rsid w:val="00DB7886"/>
    <w:pPr>
      <w:keepLines/>
      <w:spacing w:after="0" w:line="259" w:lineRule="auto"/>
      <w:jc w:val="left"/>
      <w:outlineLvl w:val="9"/>
    </w:pPr>
    <w:rPr>
      <w:rFonts w:asciiTheme="majorHAnsi" w:eastAsiaTheme="majorEastAsia" w:hAnsiTheme="majorHAnsi" w:cstheme="majorBidi"/>
      <w:b w:val="0"/>
      <w:bCs w:val="0"/>
      <w:color w:val="365F91" w:themeColor="accent1" w:themeShade="BF"/>
      <w:kern w:val="0"/>
      <w:lang w:val="en-US" w:eastAsia="en-US"/>
    </w:rPr>
  </w:style>
  <w:style w:type="paragraph" w:customStyle="1" w:styleId="xl124">
    <w:name w:val="xl124"/>
    <w:basedOn w:val="Normal"/>
    <w:rsid w:val="006F320E"/>
    <w:pPr>
      <w:spacing w:before="100" w:beforeAutospacing="1" w:after="100" w:afterAutospacing="1"/>
      <w:textAlignment w:val="center"/>
    </w:pPr>
    <w:rPr>
      <w:sz w:val="20"/>
    </w:rPr>
  </w:style>
  <w:style w:type="paragraph" w:customStyle="1" w:styleId="xl125">
    <w:name w:val="xl125"/>
    <w:basedOn w:val="Normal"/>
    <w:rsid w:val="006F320E"/>
    <w:pPr>
      <w:shd w:val="clear" w:color="000000" w:fill="13B5EA"/>
      <w:spacing w:before="100" w:beforeAutospacing="1" w:after="100" w:afterAutospacing="1"/>
      <w:textAlignment w:val="center"/>
    </w:pPr>
    <w:rPr>
      <w:b/>
      <w:bCs/>
      <w:color w:val="FFFFFF"/>
      <w:sz w:val="18"/>
      <w:szCs w:val="18"/>
    </w:rPr>
  </w:style>
  <w:style w:type="paragraph" w:customStyle="1" w:styleId="xl126">
    <w:name w:val="xl126"/>
    <w:basedOn w:val="Normal"/>
    <w:rsid w:val="006F320E"/>
    <w:pPr>
      <w:shd w:val="clear" w:color="000000" w:fill="13B5EA"/>
      <w:spacing w:before="100" w:beforeAutospacing="1" w:after="100" w:afterAutospacing="1"/>
      <w:jc w:val="right"/>
      <w:textAlignment w:val="center"/>
    </w:pPr>
    <w:rPr>
      <w:b/>
      <w:bCs/>
      <w:color w:val="FFFFFF"/>
      <w:sz w:val="18"/>
      <w:szCs w:val="18"/>
    </w:rPr>
  </w:style>
  <w:style w:type="paragraph" w:customStyle="1" w:styleId="xl127">
    <w:name w:val="xl127"/>
    <w:basedOn w:val="Normal"/>
    <w:rsid w:val="006F320E"/>
    <w:pPr>
      <w:spacing w:before="100" w:beforeAutospacing="1" w:after="100" w:afterAutospacing="1"/>
      <w:textAlignment w:val="center"/>
    </w:pPr>
    <w:rPr>
      <w:sz w:val="24"/>
      <w:szCs w:val="24"/>
    </w:rPr>
  </w:style>
  <w:style w:type="paragraph" w:customStyle="1" w:styleId="xl128">
    <w:name w:val="xl128"/>
    <w:basedOn w:val="Normal"/>
    <w:rsid w:val="006F320E"/>
    <w:pPr>
      <w:pBdr>
        <w:bottom w:val="single" w:sz="4" w:space="0" w:color="13B5EA"/>
      </w:pBdr>
      <w:spacing w:before="100" w:beforeAutospacing="1" w:after="100" w:afterAutospacing="1"/>
      <w:textAlignment w:val="center"/>
    </w:pPr>
    <w:rPr>
      <w:sz w:val="24"/>
      <w:szCs w:val="24"/>
    </w:rPr>
  </w:style>
  <w:style w:type="paragraph" w:customStyle="1" w:styleId="xl129">
    <w:name w:val="xl129"/>
    <w:basedOn w:val="Normal"/>
    <w:rsid w:val="006F320E"/>
    <w:pPr>
      <w:spacing w:before="100" w:beforeAutospacing="1" w:after="100" w:afterAutospacing="1"/>
      <w:textAlignment w:val="center"/>
    </w:pPr>
    <w:rPr>
      <w:sz w:val="20"/>
    </w:rPr>
  </w:style>
  <w:style w:type="paragraph" w:customStyle="1" w:styleId="xl130">
    <w:name w:val="xl130"/>
    <w:basedOn w:val="Normal"/>
    <w:rsid w:val="006F320E"/>
    <w:pPr>
      <w:spacing w:before="100" w:beforeAutospacing="1" w:after="100" w:afterAutospacing="1"/>
      <w:jc w:val="right"/>
      <w:textAlignment w:val="center"/>
    </w:pPr>
    <w:rPr>
      <w:sz w:val="24"/>
      <w:szCs w:val="24"/>
    </w:rPr>
  </w:style>
  <w:style w:type="paragraph" w:customStyle="1" w:styleId="xl131">
    <w:name w:val="xl131"/>
    <w:basedOn w:val="Normal"/>
    <w:rsid w:val="006F320E"/>
    <w:pPr>
      <w:pBdr>
        <w:bottom w:val="single" w:sz="4" w:space="0" w:color="13B5EA"/>
      </w:pBdr>
      <w:spacing w:before="100" w:beforeAutospacing="1" w:after="100" w:afterAutospacing="1"/>
      <w:jc w:val="right"/>
      <w:textAlignment w:val="center"/>
    </w:pPr>
    <w:rPr>
      <w:sz w:val="24"/>
      <w:szCs w:val="24"/>
    </w:rPr>
  </w:style>
  <w:style w:type="paragraph" w:customStyle="1" w:styleId="xl132">
    <w:name w:val="xl132"/>
    <w:basedOn w:val="Normal"/>
    <w:rsid w:val="006F320E"/>
    <w:pPr>
      <w:spacing w:before="100" w:beforeAutospacing="1" w:after="100" w:afterAutospacing="1"/>
      <w:textAlignment w:val="center"/>
    </w:pPr>
    <w:rPr>
      <w:sz w:val="24"/>
      <w:szCs w:val="24"/>
    </w:rPr>
  </w:style>
  <w:style w:type="paragraph" w:customStyle="1" w:styleId="xl133">
    <w:name w:val="xl133"/>
    <w:basedOn w:val="Normal"/>
    <w:rsid w:val="006F320E"/>
    <w:pPr>
      <w:shd w:val="clear" w:color="000000" w:fill="13B5EA"/>
      <w:spacing w:before="100" w:beforeAutospacing="1" w:after="100" w:afterAutospacing="1"/>
      <w:jc w:val="right"/>
      <w:textAlignment w:val="center"/>
    </w:pPr>
    <w:rPr>
      <w:b/>
      <w:bCs/>
      <w:color w:val="FFFFFF"/>
      <w:sz w:val="18"/>
      <w:szCs w:val="18"/>
    </w:rPr>
  </w:style>
  <w:style w:type="paragraph" w:customStyle="1" w:styleId="xl134">
    <w:name w:val="xl134"/>
    <w:basedOn w:val="Normal"/>
    <w:rsid w:val="006F320E"/>
    <w:pPr>
      <w:spacing w:before="100" w:beforeAutospacing="1" w:after="100" w:afterAutospacing="1"/>
      <w:textAlignment w:val="center"/>
    </w:pPr>
    <w:rPr>
      <w:sz w:val="20"/>
    </w:rPr>
  </w:style>
  <w:style w:type="paragraph" w:customStyle="1" w:styleId="xl135">
    <w:name w:val="xl135"/>
    <w:basedOn w:val="Normal"/>
    <w:rsid w:val="006F320E"/>
    <w:pPr>
      <w:spacing w:before="100" w:beforeAutospacing="1" w:after="100" w:afterAutospacing="1"/>
      <w:textAlignment w:val="center"/>
    </w:pPr>
    <w:rPr>
      <w:sz w:val="24"/>
      <w:szCs w:val="24"/>
    </w:rPr>
  </w:style>
  <w:style w:type="paragraph" w:customStyle="1" w:styleId="xl136">
    <w:name w:val="xl136"/>
    <w:basedOn w:val="Normal"/>
    <w:rsid w:val="006F320E"/>
    <w:pPr>
      <w:spacing w:before="100" w:beforeAutospacing="1" w:after="100" w:afterAutospacing="1"/>
      <w:textAlignment w:val="center"/>
    </w:pPr>
    <w:rPr>
      <w:sz w:val="20"/>
    </w:rPr>
  </w:style>
  <w:style w:type="paragraph" w:customStyle="1" w:styleId="xl137">
    <w:name w:val="xl137"/>
    <w:basedOn w:val="Normal"/>
    <w:rsid w:val="006F320E"/>
    <w:pPr>
      <w:spacing w:before="100" w:beforeAutospacing="1" w:after="100" w:afterAutospacing="1"/>
      <w:textAlignment w:val="center"/>
    </w:pPr>
    <w:rPr>
      <w:sz w:val="24"/>
      <w:szCs w:val="24"/>
    </w:rPr>
  </w:style>
  <w:style w:type="paragraph" w:customStyle="1" w:styleId="xl138">
    <w:name w:val="xl138"/>
    <w:basedOn w:val="Normal"/>
    <w:rsid w:val="006F320E"/>
    <w:pPr>
      <w:spacing w:before="100" w:beforeAutospacing="1" w:after="100" w:afterAutospacing="1"/>
      <w:jc w:val="right"/>
      <w:textAlignment w:val="center"/>
    </w:pPr>
    <w:rPr>
      <w:sz w:val="24"/>
      <w:szCs w:val="24"/>
    </w:rPr>
  </w:style>
  <w:style w:type="paragraph" w:customStyle="1" w:styleId="xl139">
    <w:name w:val="xl139"/>
    <w:basedOn w:val="Normal"/>
    <w:rsid w:val="006F320E"/>
    <w:pPr>
      <w:spacing w:before="100" w:beforeAutospacing="1" w:after="100" w:afterAutospacing="1"/>
      <w:textAlignment w:val="center"/>
    </w:pPr>
    <w:rPr>
      <w:sz w:val="24"/>
      <w:szCs w:val="24"/>
    </w:rPr>
  </w:style>
  <w:style w:type="paragraph" w:customStyle="1" w:styleId="xl140">
    <w:name w:val="xl140"/>
    <w:basedOn w:val="Normal"/>
    <w:rsid w:val="006F320E"/>
    <w:pPr>
      <w:pBdr>
        <w:bottom w:val="single" w:sz="4" w:space="0" w:color="13B5EA"/>
      </w:pBdr>
      <w:spacing w:before="100" w:beforeAutospacing="1" w:after="100" w:afterAutospacing="1"/>
      <w:jc w:val="right"/>
      <w:textAlignment w:val="center"/>
    </w:pPr>
    <w:rPr>
      <w:sz w:val="24"/>
      <w:szCs w:val="24"/>
    </w:rPr>
  </w:style>
  <w:style w:type="paragraph" w:customStyle="1" w:styleId="xl141">
    <w:name w:val="xl141"/>
    <w:basedOn w:val="Normal"/>
    <w:rsid w:val="006F320E"/>
    <w:pPr>
      <w:pBdr>
        <w:bottom w:val="single" w:sz="4" w:space="0" w:color="13B5EA"/>
      </w:pBdr>
      <w:spacing w:before="100" w:beforeAutospacing="1" w:after="100" w:afterAutospacing="1"/>
      <w:textAlignment w:val="center"/>
    </w:pPr>
    <w:rPr>
      <w:sz w:val="24"/>
      <w:szCs w:val="24"/>
    </w:rPr>
  </w:style>
  <w:style w:type="paragraph" w:customStyle="1" w:styleId="xl142">
    <w:name w:val="xl142"/>
    <w:basedOn w:val="Normal"/>
    <w:rsid w:val="006F320E"/>
    <w:pPr>
      <w:shd w:val="clear" w:color="000000" w:fill="13B5EA"/>
      <w:spacing w:before="100" w:beforeAutospacing="1" w:after="100" w:afterAutospacing="1"/>
      <w:jc w:val="right"/>
      <w:textAlignment w:val="center"/>
    </w:pPr>
    <w:rPr>
      <w:b/>
      <w:bCs/>
      <w:color w:val="FFFFFF"/>
      <w:sz w:val="18"/>
      <w:szCs w:val="18"/>
    </w:rPr>
  </w:style>
  <w:style w:type="paragraph" w:customStyle="1" w:styleId="xl143">
    <w:name w:val="xl143"/>
    <w:basedOn w:val="Normal"/>
    <w:rsid w:val="006F320E"/>
    <w:pPr>
      <w:shd w:val="clear" w:color="000000" w:fill="13B5EA"/>
      <w:spacing w:before="100" w:beforeAutospacing="1" w:after="100" w:afterAutospacing="1"/>
      <w:jc w:val="right"/>
      <w:textAlignment w:val="center"/>
    </w:pPr>
    <w:rPr>
      <w:b/>
      <w:bCs/>
      <w:color w:val="FFFFFF"/>
      <w:sz w:val="18"/>
      <w:szCs w:val="18"/>
    </w:rPr>
  </w:style>
  <w:style w:type="paragraph" w:customStyle="1" w:styleId="xl144">
    <w:name w:val="xl144"/>
    <w:basedOn w:val="Normal"/>
    <w:rsid w:val="006F320E"/>
    <w:pPr>
      <w:spacing w:before="100" w:beforeAutospacing="1" w:after="100" w:afterAutospacing="1"/>
      <w:jc w:val="right"/>
      <w:textAlignment w:val="center"/>
    </w:pPr>
    <w:rPr>
      <w:i/>
      <w:iCs/>
      <w:color w:val="13B5EA"/>
      <w:sz w:val="24"/>
      <w:szCs w:val="24"/>
    </w:rPr>
  </w:style>
  <w:style w:type="paragraph" w:customStyle="1" w:styleId="xl145">
    <w:name w:val="xl145"/>
    <w:basedOn w:val="Normal"/>
    <w:rsid w:val="006F320E"/>
    <w:pPr>
      <w:spacing w:before="100" w:beforeAutospacing="1" w:after="100" w:afterAutospacing="1"/>
      <w:textAlignment w:val="center"/>
    </w:pPr>
    <w:rPr>
      <w:b/>
      <w:bCs/>
      <w:color w:val="00B0F0"/>
      <w:sz w:val="20"/>
    </w:rPr>
  </w:style>
  <w:style w:type="paragraph" w:customStyle="1" w:styleId="xl146">
    <w:name w:val="xl146"/>
    <w:basedOn w:val="Normal"/>
    <w:rsid w:val="006F320E"/>
    <w:pPr>
      <w:pBdr>
        <w:left w:val="single" w:sz="4" w:space="0" w:color="13B5EA"/>
      </w:pBdr>
      <w:spacing w:before="100" w:beforeAutospacing="1" w:after="100" w:afterAutospacing="1"/>
      <w:textAlignment w:val="center"/>
    </w:pPr>
    <w:rPr>
      <w:sz w:val="24"/>
      <w:szCs w:val="24"/>
    </w:rPr>
  </w:style>
  <w:style w:type="paragraph" w:customStyle="1" w:styleId="xl147">
    <w:name w:val="xl147"/>
    <w:basedOn w:val="Normal"/>
    <w:rsid w:val="006F320E"/>
    <w:pPr>
      <w:pBdr>
        <w:left w:val="single" w:sz="4" w:space="0" w:color="13B5EA"/>
        <w:bottom w:val="single" w:sz="4" w:space="0" w:color="13B5EA"/>
      </w:pBdr>
      <w:spacing w:before="100" w:beforeAutospacing="1" w:after="100" w:afterAutospacing="1"/>
      <w:textAlignment w:val="center"/>
    </w:pPr>
    <w:rPr>
      <w:sz w:val="24"/>
      <w:szCs w:val="24"/>
    </w:rPr>
  </w:style>
  <w:style w:type="paragraph" w:customStyle="1" w:styleId="box">
    <w:name w:val="box"/>
    <w:basedOn w:val="Normal"/>
    <w:link w:val="boxChar"/>
    <w:qFormat/>
    <w:rsid w:val="00101527"/>
    <w:pPr>
      <w:suppressAutoHyphens/>
      <w:autoSpaceDN w:val="0"/>
      <w:spacing w:line="276" w:lineRule="auto"/>
      <w:jc w:val="both"/>
      <w:textAlignment w:val="baseline"/>
    </w:pPr>
    <w:rPr>
      <w:rFonts w:eastAsia="Arial Unicode MS" w:cs="Tahoma"/>
      <w:b/>
      <w:iCs/>
      <w:color w:val="13B5EA"/>
      <w:kern w:val="3"/>
      <w:szCs w:val="22"/>
      <w:lang w:val="en-GB"/>
    </w:rPr>
  </w:style>
  <w:style w:type="character" w:customStyle="1" w:styleId="boxChar">
    <w:name w:val="box Char"/>
    <w:basedOn w:val="DefaultParagraphFont"/>
    <w:link w:val="box"/>
    <w:rsid w:val="00101527"/>
    <w:rPr>
      <w:rFonts w:ascii="Constantia" w:eastAsia="Arial Unicode MS" w:hAnsi="Constantia" w:cs="Tahoma"/>
      <w:b/>
      <w:iCs/>
      <w:color w:val="13B5EA"/>
      <w:kern w:val="3"/>
      <w:sz w:val="22"/>
      <w:szCs w:val="22"/>
      <w:lang w:val="en-GB"/>
    </w:rPr>
  </w:style>
  <w:style w:type="paragraph" w:customStyle="1" w:styleId="tab">
    <w:name w:val="tab"/>
    <w:basedOn w:val="Normal"/>
    <w:link w:val="tabChar"/>
    <w:qFormat/>
    <w:rsid w:val="00101527"/>
    <w:rPr>
      <w:b/>
      <w:color w:val="13B5EA"/>
      <w:sz w:val="20"/>
      <w:szCs w:val="22"/>
    </w:rPr>
  </w:style>
  <w:style w:type="character" w:customStyle="1" w:styleId="tabChar">
    <w:name w:val="tab Char"/>
    <w:basedOn w:val="DefaultParagraphFont"/>
    <w:link w:val="tab"/>
    <w:rsid w:val="00101527"/>
    <w:rPr>
      <w:rFonts w:ascii="Constantia" w:hAnsi="Constantia"/>
      <w:b/>
      <w:color w:val="13B5EA"/>
      <w:szCs w:val="22"/>
    </w:rPr>
  </w:style>
  <w:style w:type="paragraph" w:customStyle="1" w:styleId="graf">
    <w:name w:val="graf"/>
    <w:basedOn w:val="Normal"/>
    <w:link w:val="grafChar"/>
    <w:qFormat/>
    <w:rsid w:val="00101527"/>
    <w:rPr>
      <w:b/>
      <w:color w:val="13B5EA"/>
      <w:sz w:val="20"/>
    </w:rPr>
  </w:style>
  <w:style w:type="character" w:customStyle="1" w:styleId="grafChar">
    <w:name w:val="graf Char"/>
    <w:basedOn w:val="DefaultParagraphFont"/>
    <w:link w:val="graf"/>
    <w:rsid w:val="00101527"/>
    <w:rPr>
      <w:rFonts w:ascii="Constantia" w:hAnsi="Constantia"/>
      <w:b/>
      <w:color w:val="13B5EA"/>
    </w:rPr>
  </w:style>
  <w:style w:type="paragraph" w:styleId="TableofFigures">
    <w:name w:val="table of figures"/>
    <w:basedOn w:val="Normal"/>
    <w:next w:val="Normal"/>
    <w:link w:val="TableofFiguresChar"/>
    <w:uiPriority w:val="99"/>
    <w:unhideWhenUsed/>
    <w:rsid w:val="0053156D"/>
  </w:style>
  <w:style w:type="paragraph" w:styleId="TOC3">
    <w:name w:val="toc 3"/>
    <w:basedOn w:val="Normal"/>
    <w:next w:val="Normal"/>
    <w:autoRedefine/>
    <w:uiPriority w:val="39"/>
    <w:unhideWhenUsed/>
    <w:rsid w:val="005B6F84"/>
    <w:pPr>
      <w:spacing w:after="100"/>
      <w:ind w:left="440"/>
    </w:pPr>
  </w:style>
  <w:style w:type="paragraph" w:styleId="NoSpacing">
    <w:name w:val="No Spacing"/>
    <w:basedOn w:val="Normal"/>
    <w:uiPriority w:val="99"/>
    <w:qFormat/>
    <w:rsid w:val="00874FC0"/>
    <w:rPr>
      <w:rFonts w:ascii="Arial Narrow" w:hAnsi="Arial Narrow"/>
      <w:szCs w:val="22"/>
      <w:lang w:eastAsia="en-US"/>
    </w:rPr>
  </w:style>
  <w:style w:type="paragraph" w:styleId="Subtitle">
    <w:name w:val="Subtitle"/>
    <w:basedOn w:val="Normal"/>
    <w:next w:val="Normal"/>
    <w:link w:val="SubtitleChar"/>
    <w:qFormat/>
    <w:rsid w:val="001C4A0A"/>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1C4A0A"/>
    <w:rPr>
      <w:rFonts w:asciiTheme="minorHAnsi" w:eastAsiaTheme="minorEastAsia" w:hAnsiTheme="minorHAnsi" w:cstheme="minorBidi"/>
      <w:color w:val="5A5A5A" w:themeColor="text1" w:themeTint="A5"/>
      <w:spacing w:val="15"/>
      <w:sz w:val="22"/>
      <w:szCs w:val="22"/>
    </w:rPr>
  </w:style>
  <w:style w:type="paragraph" w:styleId="BodyText">
    <w:name w:val="Body Text"/>
    <w:basedOn w:val="Normal"/>
    <w:link w:val="BodyTextChar"/>
    <w:uiPriority w:val="1"/>
    <w:qFormat/>
    <w:rsid w:val="00280058"/>
    <w:pPr>
      <w:widowControl w:val="0"/>
      <w:spacing w:before="18"/>
      <w:ind w:left="851"/>
    </w:pPr>
    <w:rPr>
      <w:rFonts w:ascii="Times New Roman" w:hAnsi="Times New Roman" w:cstheme="minorBidi"/>
      <w:sz w:val="23"/>
      <w:szCs w:val="23"/>
      <w:lang w:val="en-US" w:eastAsia="en-US"/>
    </w:rPr>
  </w:style>
  <w:style w:type="character" w:customStyle="1" w:styleId="BodyTextChar">
    <w:name w:val="Body Text Char"/>
    <w:basedOn w:val="DefaultParagraphFont"/>
    <w:link w:val="BodyText"/>
    <w:uiPriority w:val="1"/>
    <w:rsid w:val="00280058"/>
    <w:rPr>
      <w:rFonts w:cstheme="minorBidi"/>
      <w:sz w:val="23"/>
      <w:szCs w:val="23"/>
      <w:lang w:val="en-US" w:eastAsia="en-US"/>
    </w:rPr>
  </w:style>
  <w:style w:type="character" w:styleId="Mention">
    <w:name w:val="Mention"/>
    <w:basedOn w:val="DefaultParagraphFont"/>
    <w:uiPriority w:val="99"/>
    <w:semiHidden/>
    <w:unhideWhenUsed/>
    <w:rsid w:val="00370A2E"/>
    <w:rPr>
      <w:color w:val="2B579A"/>
      <w:shd w:val="clear" w:color="auto" w:fill="E6E6E6"/>
    </w:rPr>
  </w:style>
  <w:style w:type="character" w:styleId="UnresolvedMention">
    <w:name w:val="Unresolved Mention"/>
    <w:basedOn w:val="DefaultParagraphFont"/>
    <w:uiPriority w:val="99"/>
    <w:semiHidden/>
    <w:unhideWhenUsed/>
    <w:rsid w:val="00C71990"/>
    <w:rPr>
      <w:color w:val="808080"/>
      <w:shd w:val="clear" w:color="auto" w:fill="E6E6E6"/>
    </w:rPr>
  </w:style>
  <w:style w:type="character" w:customStyle="1" w:styleId="Zkladntext2">
    <w:name w:val="Základný text (2)_"/>
    <w:link w:val="Zkladntext21"/>
    <w:uiPriority w:val="99"/>
    <w:locked/>
    <w:rsid w:val="00EA38E9"/>
    <w:rPr>
      <w:b/>
      <w:bCs/>
      <w:sz w:val="19"/>
      <w:szCs w:val="19"/>
      <w:shd w:val="clear" w:color="auto" w:fill="FFFFFF"/>
    </w:rPr>
  </w:style>
  <w:style w:type="character" w:customStyle="1" w:styleId="Zkladntext20">
    <w:name w:val="Základný text (2)"/>
    <w:basedOn w:val="Zkladntext2"/>
    <w:uiPriority w:val="99"/>
    <w:rsid w:val="00EA38E9"/>
    <w:rPr>
      <w:b/>
      <w:bCs/>
      <w:sz w:val="19"/>
      <w:szCs w:val="19"/>
      <w:shd w:val="clear" w:color="auto" w:fill="FFFFFF"/>
    </w:rPr>
  </w:style>
  <w:style w:type="paragraph" w:customStyle="1" w:styleId="Zkladntext21">
    <w:name w:val="Základný text (2)1"/>
    <w:basedOn w:val="Normal"/>
    <w:link w:val="Zkladntext2"/>
    <w:uiPriority w:val="99"/>
    <w:rsid w:val="00EA38E9"/>
    <w:pPr>
      <w:widowControl w:val="0"/>
      <w:shd w:val="clear" w:color="auto" w:fill="FFFFFF"/>
      <w:spacing w:before="60" w:after="60" w:line="240" w:lineRule="atLeast"/>
    </w:pPr>
    <w:rPr>
      <w:rFonts w:ascii="Times New Roman" w:hAnsi="Times New Roman"/>
      <w:b/>
      <w:bCs/>
      <w:sz w:val="19"/>
      <w:szCs w:val="19"/>
    </w:rPr>
  </w:style>
  <w:style w:type="paragraph" w:customStyle="1" w:styleId="schma">
    <w:name w:val="schéma"/>
    <w:basedOn w:val="Normal"/>
    <w:link w:val="schmaChar"/>
    <w:qFormat/>
    <w:rsid w:val="00840AC3"/>
    <w:pPr>
      <w:tabs>
        <w:tab w:val="right" w:leader="underscore" w:pos="9060"/>
      </w:tabs>
      <w:jc w:val="center"/>
    </w:pPr>
    <w:rPr>
      <w:b/>
      <w:noProof/>
      <w:color w:val="13B5EA"/>
      <w:sz w:val="20"/>
    </w:rPr>
  </w:style>
  <w:style w:type="character" w:customStyle="1" w:styleId="TableofFiguresChar">
    <w:name w:val="Table of Figures Char"/>
    <w:basedOn w:val="DefaultParagraphFont"/>
    <w:link w:val="TableofFigures"/>
    <w:uiPriority w:val="99"/>
    <w:rsid w:val="00AD5CBB"/>
    <w:rPr>
      <w:rFonts w:ascii="Constantia" w:hAnsi="Constantia"/>
      <w:sz w:val="22"/>
    </w:rPr>
  </w:style>
  <w:style w:type="character" w:customStyle="1" w:styleId="schmaChar">
    <w:name w:val="schéma Char"/>
    <w:basedOn w:val="TableofFiguresChar"/>
    <w:link w:val="schma"/>
    <w:rsid w:val="003A2ABD"/>
    <w:rPr>
      <w:rFonts w:ascii="Constantia" w:hAnsi="Constantia"/>
      <w:b/>
      <w:noProof/>
      <w:color w:val="13B5EA"/>
      <w:sz w:val="22"/>
    </w:rPr>
  </w:style>
  <w:style w:type="paragraph" w:customStyle="1" w:styleId="Char2">
    <w:name w:val="Char2"/>
    <w:basedOn w:val="Normal"/>
    <w:link w:val="FootnoteReference"/>
    <w:uiPriority w:val="99"/>
    <w:rsid w:val="00CA541F"/>
    <w:pPr>
      <w:spacing w:line="240" w:lineRule="exact"/>
    </w:pPr>
    <w:rPr>
      <w:rFonts w:ascii="Times New Roman" w:hAnsi="Times New Roman"/>
      <w:sz w:val="20"/>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1163">
      <w:bodyDiv w:val="1"/>
      <w:marLeft w:val="0"/>
      <w:marRight w:val="0"/>
      <w:marTop w:val="0"/>
      <w:marBottom w:val="0"/>
      <w:divBdr>
        <w:top w:val="none" w:sz="0" w:space="0" w:color="auto"/>
        <w:left w:val="none" w:sz="0" w:space="0" w:color="auto"/>
        <w:bottom w:val="none" w:sz="0" w:space="0" w:color="auto"/>
        <w:right w:val="none" w:sz="0" w:space="0" w:color="auto"/>
      </w:divBdr>
    </w:div>
    <w:div w:id="7954055">
      <w:bodyDiv w:val="1"/>
      <w:marLeft w:val="0"/>
      <w:marRight w:val="0"/>
      <w:marTop w:val="0"/>
      <w:marBottom w:val="0"/>
      <w:divBdr>
        <w:top w:val="none" w:sz="0" w:space="0" w:color="auto"/>
        <w:left w:val="none" w:sz="0" w:space="0" w:color="auto"/>
        <w:bottom w:val="none" w:sz="0" w:space="0" w:color="auto"/>
        <w:right w:val="none" w:sz="0" w:space="0" w:color="auto"/>
      </w:divBdr>
      <w:divsChild>
        <w:div w:id="406151145">
          <w:marLeft w:val="0"/>
          <w:marRight w:val="0"/>
          <w:marTop w:val="0"/>
          <w:marBottom w:val="0"/>
          <w:divBdr>
            <w:top w:val="none" w:sz="0" w:space="0" w:color="auto"/>
            <w:left w:val="none" w:sz="0" w:space="0" w:color="auto"/>
            <w:bottom w:val="none" w:sz="0" w:space="0" w:color="auto"/>
            <w:right w:val="none" w:sz="0" w:space="0" w:color="auto"/>
          </w:divBdr>
        </w:div>
        <w:div w:id="492335542">
          <w:marLeft w:val="0"/>
          <w:marRight w:val="0"/>
          <w:marTop w:val="0"/>
          <w:marBottom w:val="0"/>
          <w:divBdr>
            <w:top w:val="none" w:sz="0" w:space="0" w:color="auto"/>
            <w:left w:val="none" w:sz="0" w:space="0" w:color="auto"/>
            <w:bottom w:val="none" w:sz="0" w:space="0" w:color="auto"/>
            <w:right w:val="none" w:sz="0" w:space="0" w:color="auto"/>
          </w:divBdr>
        </w:div>
        <w:div w:id="752049435">
          <w:marLeft w:val="0"/>
          <w:marRight w:val="0"/>
          <w:marTop w:val="0"/>
          <w:marBottom w:val="0"/>
          <w:divBdr>
            <w:top w:val="none" w:sz="0" w:space="0" w:color="auto"/>
            <w:left w:val="none" w:sz="0" w:space="0" w:color="auto"/>
            <w:bottom w:val="none" w:sz="0" w:space="0" w:color="auto"/>
            <w:right w:val="none" w:sz="0" w:space="0" w:color="auto"/>
          </w:divBdr>
        </w:div>
        <w:div w:id="754134531">
          <w:marLeft w:val="0"/>
          <w:marRight w:val="0"/>
          <w:marTop w:val="0"/>
          <w:marBottom w:val="0"/>
          <w:divBdr>
            <w:top w:val="none" w:sz="0" w:space="0" w:color="auto"/>
            <w:left w:val="none" w:sz="0" w:space="0" w:color="auto"/>
            <w:bottom w:val="none" w:sz="0" w:space="0" w:color="auto"/>
            <w:right w:val="none" w:sz="0" w:space="0" w:color="auto"/>
          </w:divBdr>
        </w:div>
        <w:div w:id="817498701">
          <w:marLeft w:val="0"/>
          <w:marRight w:val="0"/>
          <w:marTop w:val="0"/>
          <w:marBottom w:val="0"/>
          <w:divBdr>
            <w:top w:val="none" w:sz="0" w:space="0" w:color="auto"/>
            <w:left w:val="none" w:sz="0" w:space="0" w:color="auto"/>
            <w:bottom w:val="none" w:sz="0" w:space="0" w:color="auto"/>
            <w:right w:val="none" w:sz="0" w:space="0" w:color="auto"/>
          </w:divBdr>
        </w:div>
        <w:div w:id="1197474668">
          <w:marLeft w:val="0"/>
          <w:marRight w:val="0"/>
          <w:marTop w:val="0"/>
          <w:marBottom w:val="0"/>
          <w:divBdr>
            <w:top w:val="none" w:sz="0" w:space="0" w:color="auto"/>
            <w:left w:val="none" w:sz="0" w:space="0" w:color="auto"/>
            <w:bottom w:val="none" w:sz="0" w:space="0" w:color="auto"/>
            <w:right w:val="none" w:sz="0" w:space="0" w:color="auto"/>
          </w:divBdr>
        </w:div>
        <w:div w:id="1343170724">
          <w:marLeft w:val="0"/>
          <w:marRight w:val="0"/>
          <w:marTop w:val="0"/>
          <w:marBottom w:val="0"/>
          <w:divBdr>
            <w:top w:val="none" w:sz="0" w:space="0" w:color="auto"/>
            <w:left w:val="none" w:sz="0" w:space="0" w:color="auto"/>
            <w:bottom w:val="none" w:sz="0" w:space="0" w:color="auto"/>
            <w:right w:val="none" w:sz="0" w:space="0" w:color="auto"/>
          </w:divBdr>
        </w:div>
        <w:div w:id="1642732315">
          <w:marLeft w:val="0"/>
          <w:marRight w:val="0"/>
          <w:marTop w:val="0"/>
          <w:marBottom w:val="0"/>
          <w:divBdr>
            <w:top w:val="none" w:sz="0" w:space="0" w:color="auto"/>
            <w:left w:val="none" w:sz="0" w:space="0" w:color="auto"/>
            <w:bottom w:val="none" w:sz="0" w:space="0" w:color="auto"/>
            <w:right w:val="none" w:sz="0" w:space="0" w:color="auto"/>
          </w:divBdr>
        </w:div>
        <w:div w:id="1720546419">
          <w:marLeft w:val="0"/>
          <w:marRight w:val="0"/>
          <w:marTop w:val="0"/>
          <w:marBottom w:val="0"/>
          <w:divBdr>
            <w:top w:val="none" w:sz="0" w:space="0" w:color="auto"/>
            <w:left w:val="none" w:sz="0" w:space="0" w:color="auto"/>
            <w:bottom w:val="none" w:sz="0" w:space="0" w:color="auto"/>
            <w:right w:val="none" w:sz="0" w:space="0" w:color="auto"/>
          </w:divBdr>
        </w:div>
        <w:div w:id="1918595185">
          <w:marLeft w:val="0"/>
          <w:marRight w:val="0"/>
          <w:marTop w:val="0"/>
          <w:marBottom w:val="0"/>
          <w:divBdr>
            <w:top w:val="none" w:sz="0" w:space="0" w:color="auto"/>
            <w:left w:val="none" w:sz="0" w:space="0" w:color="auto"/>
            <w:bottom w:val="none" w:sz="0" w:space="0" w:color="auto"/>
            <w:right w:val="none" w:sz="0" w:space="0" w:color="auto"/>
          </w:divBdr>
        </w:div>
        <w:div w:id="2093775103">
          <w:marLeft w:val="0"/>
          <w:marRight w:val="0"/>
          <w:marTop w:val="0"/>
          <w:marBottom w:val="0"/>
          <w:divBdr>
            <w:top w:val="none" w:sz="0" w:space="0" w:color="auto"/>
            <w:left w:val="none" w:sz="0" w:space="0" w:color="auto"/>
            <w:bottom w:val="none" w:sz="0" w:space="0" w:color="auto"/>
            <w:right w:val="none" w:sz="0" w:space="0" w:color="auto"/>
          </w:divBdr>
        </w:div>
        <w:div w:id="2103866337">
          <w:marLeft w:val="0"/>
          <w:marRight w:val="0"/>
          <w:marTop w:val="0"/>
          <w:marBottom w:val="0"/>
          <w:divBdr>
            <w:top w:val="none" w:sz="0" w:space="0" w:color="auto"/>
            <w:left w:val="none" w:sz="0" w:space="0" w:color="auto"/>
            <w:bottom w:val="none" w:sz="0" w:space="0" w:color="auto"/>
            <w:right w:val="none" w:sz="0" w:space="0" w:color="auto"/>
          </w:divBdr>
        </w:div>
      </w:divsChild>
    </w:div>
    <w:div w:id="15813788">
      <w:bodyDiv w:val="1"/>
      <w:marLeft w:val="0"/>
      <w:marRight w:val="0"/>
      <w:marTop w:val="0"/>
      <w:marBottom w:val="0"/>
      <w:divBdr>
        <w:top w:val="none" w:sz="0" w:space="0" w:color="auto"/>
        <w:left w:val="none" w:sz="0" w:space="0" w:color="auto"/>
        <w:bottom w:val="none" w:sz="0" w:space="0" w:color="auto"/>
        <w:right w:val="none" w:sz="0" w:space="0" w:color="auto"/>
      </w:divBdr>
    </w:div>
    <w:div w:id="20204779">
      <w:bodyDiv w:val="1"/>
      <w:marLeft w:val="0"/>
      <w:marRight w:val="0"/>
      <w:marTop w:val="0"/>
      <w:marBottom w:val="0"/>
      <w:divBdr>
        <w:top w:val="none" w:sz="0" w:space="0" w:color="auto"/>
        <w:left w:val="none" w:sz="0" w:space="0" w:color="auto"/>
        <w:bottom w:val="none" w:sz="0" w:space="0" w:color="auto"/>
        <w:right w:val="none" w:sz="0" w:space="0" w:color="auto"/>
      </w:divBdr>
    </w:div>
    <w:div w:id="22638492">
      <w:bodyDiv w:val="1"/>
      <w:marLeft w:val="0"/>
      <w:marRight w:val="0"/>
      <w:marTop w:val="0"/>
      <w:marBottom w:val="0"/>
      <w:divBdr>
        <w:top w:val="none" w:sz="0" w:space="0" w:color="auto"/>
        <w:left w:val="none" w:sz="0" w:space="0" w:color="auto"/>
        <w:bottom w:val="none" w:sz="0" w:space="0" w:color="auto"/>
        <w:right w:val="none" w:sz="0" w:space="0" w:color="auto"/>
      </w:divBdr>
      <w:divsChild>
        <w:div w:id="275675483">
          <w:marLeft w:val="0"/>
          <w:marRight w:val="0"/>
          <w:marTop w:val="0"/>
          <w:marBottom w:val="0"/>
          <w:divBdr>
            <w:top w:val="none" w:sz="0" w:space="0" w:color="auto"/>
            <w:left w:val="none" w:sz="0" w:space="0" w:color="auto"/>
            <w:bottom w:val="none" w:sz="0" w:space="0" w:color="auto"/>
            <w:right w:val="none" w:sz="0" w:space="0" w:color="auto"/>
          </w:divBdr>
        </w:div>
        <w:div w:id="306781653">
          <w:marLeft w:val="0"/>
          <w:marRight w:val="0"/>
          <w:marTop w:val="0"/>
          <w:marBottom w:val="0"/>
          <w:divBdr>
            <w:top w:val="none" w:sz="0" w:space="0" w:color="auto"/>
            <w:left w:val="none" w:sz="0" w:space="0" w:color="auto"/>
            <w:bottom w:val="none" w:sz="0" w:space="0" w:color="auto"/>
            <w:right w:val="none" w:sz="0" w:space="0" w:color="auto"/>
          </w:divBdr>
        </w:div>
        <w:div w:id="311372122">
          <w:marLeft w:val="0"/>
          <w:marRight w:val="0"/>
          <w:marTop w:val="0"/>
          <w:marBottom w:val="0"/>
          <w:divBdr>
            <w:top w:val="none" w:sz="0" w:space="0" w:color="auto"/>
            <w:left w:val="none" w:sz="0" w:space="0" w:color="auto"/>
            <w:bottom w:val="none" w:sz="0" w:space="0" w:color="auto"/>
            <w:right w:val="none" w:sz="0" w:space="0" w:color="auto"/>
          </w:divBdr>
        </w:div>
        <w:div w:id="321466041">
          <w:marLeft w:val="0"/>
          <w:marRight w:val="0"/>
          <w:marTop w:val="0"/>
          <w:marBottom w:val="0"/>
          <w:divBdr>
            <w:top w:val="none" w:sz="0" w:space="0" w:color="auto"/>
            <w:left w:val="none" w:sz="0" w:space="0" w:color="auto"/>
            <w:bottom w:val="none" w:sz="0" w:space="0" w:color="auto"/>
            <w:right w:val="none" w:sz="0" w:space="0" w:color="auto"/>
          </w:divBdr>
        </w:div>
        <w:div w:id="355498963">
          <w:marLeft w:val="0"/>
          <w:marRight w:val="0"/>
          <w:marTop w:val="0"/>
          <w:marBottom w:val="0"/>
          <w:divBdr>
            <w:top w:val="none" w:sz="0" w:space="0" w:color="auto"/>
            <w:left w:val="none" w:sz="0" w:space="0" w:color="auto"/>
            <w:bottom w:val="none" w:sz="0" w:space="0" w:color="auto"/>
            <w:right w:val="none" w:sz="0" w:space="0" w:color="auto"/>
          </w:divBdr>
        </w:div>
        <w:div w:id="387845782">
          <w:marLeft w:val="0"/>
          <w:marRight w:val="0"/>
          <w:marTop w:val="0"/>
          <w:marBottom w:val="0"/>
          <w:divBdr>
            <w:top w:val="none" w:sz="0" w:space="0" w:color="auto"/>
            <w:left w:val="none" w:sz="0" w:space="0" w:color="auto"/>
            <w:bottom w:val="none" w:sz="0" w:space="0" w:color="auto"/>
            <w:right w:val="none" w:sz="0" w:space="0" w:color="auto"/>
          </w:divBdr>
        </w:div>
        <w:div w:id="404760213">
          <w:marLeft w:val="0"/>
          <w:marRight w:val="0"/>
          <w:marTop w:val="0"/>
          <w:marBottom w:val="0"/>
          <w:divBdr>
            <w:top w:val="none" w:sz="0" w:space="0" w:color="auto"/>
            <w:left w:val="none" w:sz="0" w:space="0" w:color="auto"/>
            <w:bottom w:val="none" w:sz="0" w:space="0" w:color="auto"/>
            <w:right w:val="none" w:sz="0" w:space="0" w:color="auto"/>
          </w:divBdr>
        </w:div>
        <w:div w:id="474220981">
          <w:marLeft w:val="0"/>
          <w:marRight w:val="0"/>
          <w:marTop w:val="0"/>
          <w:marBottom w:val="0"/>
          <w:divBdr>
            <w:top w:val="none" w:sz="0" w:space="0" w:color="auto"/>
            <w:left w:val="none" w:sz="0" w:space="0" w:color="auto"/>
            <w:bottom w:val="none" w:sz="0" w:space="0" w:color="auto"/>
            <w:right w:val="none" w:sz="0" w:space="0" w:color="auto"/>
          </w:divBdr>
        </w:div>
        <w:div w:id="782304379">
          <w:marLeft w:val="0"/>
          <w:marRight w:val="0"/>
          <w:marTop w:val="0"/>
          <w:marBottom w:val="0"/>
          <w:divBdr>
            <w:top w:val="none" w:sz="0" w:space="0" w:color="auto"/>
            <w:left w:val="none" w:sz="0" w:space="0" w:color="auto"/>
            <w:bottom w:val="none" w:sz="0" w:space="0" w:color="auto"/>
            <w:right w:val="none" w:sz="0" w:space="0" w:color="auto"/>
          </w:divBdr>
        </w:div>
        <w:div w:id="784076663">
          <w:marLeft w:val="0"/>
          <w:marRight w:val="0"/>
          <w:marTop w:val="0"/>
          <w:marBottom w:val="0"/>
          <w:divBdr>
            <w:top w:val="none" w:sz="0" w:space="0" w:color="auto"/>
            <w:left w:val="none" w:sz="0" w:space="0" w:color="auto"/>
            <w:bottom w:val="none" w:sz="0" w:space="0" w:color="auto"/>
            <w:right w:val="none" w:sz="0" w:space="0" w:color="auto"/>
          </w:divBdr>
        </w:div>
        <w:div w:id="955916583">
          <w:marLeft w:val="0"/>
          <w:marRight w:val="0"/>
          <w:marTop w:val="0"/>
          <w:marBottom w:val="0"/>
          <w:divBdr>
            <w:top w:val="none" w:sz="0" w:space="0" w:color="auto"/>
            <w:left w:val="none" w:sz="0" w:space="0" w:color="auto"/>
            <w:bottom w:val="none" w:sz="0" w:space="0" w:color="auto"/>
            <w:right w:val="none" w:sz="0" w:space="0" w:color="auto"/>
          </w:divBdr>
        </w:div>
        <w:div w:id="980887794">
          <w:marLeft w:val="0"/>
          <w:marRight w:val="0"/>
          <w:marTop w:val="0"/>
          <w:marBottom w:val="0"/>
          <w:divBdr>
            <w:top w:val="none" w:sz="0" w:space="0" w:color="auto"/>
            <w:left w:val="none" w:sz="0" w:space="0" w:color="auto"/>
            <w:bottom w:val="none" w:sz="0" w:space="0" w:color="auto"/>
            <w:right w:val="none" w:sz="0" w:space="0" w:color="auto"/>
          </w:divBdr>
        </w:div>
        <w:div w:id="1036274538">
          <w:marLeft w:val="0"/>
          <w:marRight w:val="0"/>
          <w:marTop w:val="0"/>
          <w:marBottom w:val="0"/>
          <w:divBdr>
            <w:top w:val="none" w:sz="0" w:space="0" w:color="auto"/>
            <w:left w:val="none" w:sz="0" w:space="0" w:color="auto"/>
            <w:bottom w:val="none" w:sz="0" w:space="0" w:color="auto"/>
            <w:right w:val="none" w:sz="0" w:space="0" w:color="auto"/>
          </w:divBdr>
        </w:div>
        <w:div w:id="1177383744">
          <w:marLeft w:val="0"/>
          <w:marRight w:val="0"/>
          <w:marTop w:val="0"/>
          <w:marBottom w:val="0"/>
          <w:divBdr>
            <w:top w:val="none" w:sz="0" w:space="0" w:color="auto"/>
            <w:left w:val="none" w:sz="0" w:space="0" w:color="auto"/>
            <w:bottom w:val="none" w:sz="0" w:space="0" w:color="auto"/>
            <w:right w:val="none" w:sz="0" w:space="0" w:color="auto"/>
          </w:divBdr>
        </w:div>
        <w:div w:id="1373308452">
          <w:marLeft w:val="0"/>
          <w:marRight w:val="0"/>
          <w:marTop w:val="0"/>
          <w:marBottom w:val="0"/>
          <w:divBdr>
            <w:top w:val="none" w:sz="0" w:space="0" w:color="auto"/>
            <w:left w:val="none" w:sz="0" w:space="0" w:color="auto"/>
            <w:bottom w:val="none" w:sz="0" w:space="0" w:color="auto"/>
            <w:right w:val="none" w:sz="0" w:space="0" w:color="auto"/>
          </w:divBdr>
        </w:div>
        <w:div w:id="1403026304">
          <w:marLeft w:val="0"/>
          <w:marRight w:val="0"/>
          <w:marTop w:val="0"/>
          <w:marBottom w:val="0"/>
          <w:divBdr>
            <w:top w:val="none" w:sz="0" w:space="0" w:color="auto"/>
            <w:left w:val="none" w:sz="0" w:space="0" w:color="auto"/>
            <w:bottom w:val="none" w:sz="0" w:space="0" w:color="auto"/>
            <w:right w:val="none" w:sz="0" w:space="0" w:color="auto"/>
          </w:divBdr>
        </w:div>
        <w:div w:id="1611889142">
          <w:marLeft w:val="0"/>
          <w:marRight w:val="0"/>
          <w:marTop w:val="0"/>
          <w:marBottom w:val="0"/>
          <w:divBdr>
            <w:top w:val="none" w:sz="0" w:space="0" w:color="auto"/>
            <w:left w:val="none" w:sz="0" w:space="0" w:color="auto"/>
            <w:bottom w:val="none" w:sz="0" w:space="0" w:color="auto"/>
            <w:right w:val="none" w:sz="0" w:space="0" w:color="auto"/>
          </w:divBdr>
        </w:div>
        <w:div w:id="1633903243">
          <w:marLeft w:val="0"/>
          <w:marRight w:val="0"/>
          <w:marTop w:val="0"/>
          <w:marBottom w:val="0"/>
          <w:divBdr>
            <w:top w:val="none" w:sz="0" w:space="0" w:color="auto"/>
            <w:left w:val="none" w:sz="0" w:space="0" w:color="auto"/>
            <w:bottom w:val="none" w:sz="0" w:space="0" w:color="auto"/>
            <w:right w:val="none" w:sz="0" w:space="0" w:color="auto"/>
          </w:divBdr>
        </w:div>
        <w:div w:id="1740981563">
          <w:marLeft w:val="0"/>
          <w:marRight w:val="0"/>
          <w:marTop w:val="0"/>
          <w:marBottom w:val="0"/>
          <w:divBdr>
            <w:top w:val="none" w:sz="0" w:space="0" w:color="auto"/>
            <w:left w:val="none" w:sz="0" w:space="0" w:color="auto"/>
            <w:bottom w:val="none" w:sz="0" w:space="0" w:color="auto"/>
            <w:right w:val="none" w:sz="0" w:space="0" w:color="auto"/>
          </w:divBdr>
        </w:div>
        <w:div w:id="1921677028">
          <w:marLeft w:val="0"/>
          <w:marRight w:val="0"/>
          <w:marTop w:val="0"/>
          <w:marBottom w:val="0"/>
          <w:divBdr>
            <w:top w:val="none" w:sz="0" w:space="0" w:color="auto"/>
            <w:left w:val="none" w:sz="0" w:space="0" w:color="auto"/>
            <w:bottom w:val="none" w:sz="0" w:space="0" w:color="auto"/>
            <w:right w:val="none" w:sz="0" w:space="0" w:color="auto"/>
          </w:divBdr>
        </w:div>
        <w:div w:id="1967588616">
          <w:marLeft w:val="0"/>
          <w:marRight w:val="0"/>
          <w:marTop w:val="0"/>
          <w:marBottom w:val="0"/>
          <w:divBdr>
            <w:top w:val="none" w:sz="0" w:space="0" w:color="auto"/>
            <w:left w:val="none" w:sz="0" w:space="0" w:color="auto"/>
            <w:bottom w:val="none" w:sz="0" w:space="0" w:color="auto"/>
            <w:right w:val="none" w:sz="0" w:space="0" w:color="auto"/>
          </w:divBdr>
        </w:div>
        <w:div w:id="1977643868">
          <w:marLeft w:val="0"/>
          <w:marRight w:val="0"/>
          <w:marTop w:val="0"/>
          <w:marBottom w:val="0"/>
          <w:divBdr>
            <w:top w:val="none" w:sz="0" w:space="0" w:color="auto"/>
            <w:left w:val="none" w:sz="0" w:space="0" w:color="auto"/>
            <w:bottom w:val="none" w:sz="0" w:space="0" w:color="auto"/>
            <w:right w:val="none" w:sz="0" w:space="0" w:color="auto"/>
          </w:divBdr>
        </w:div>
      </w:divsChild>
    </w:div>
    <w:div w:id="23942884">
      <w:bodyDiv w:val="1"/>
      <w:marLeft w:val="0"/>
      <w:marRight w:val="0"/>
      <w:marTop w:val="0"/>
      <w:marBottom w:val="0"/>
      <w:divBdr>
        <w:top w:val="none" w:sz="0" w:space="0" w:color="auto"/>
        <w:left w:val="none" w:sz="0" w:space="0" w:color="auto"/>
        <w:bottom w:val="none" w:sz="0" w:space="0" w:color="auto"/>
        <w:right w:val="none" w:sz="0" w:space="0" w:color="auto"/>
      </w:divBdr>
    </w:div>
    <w:div w:id="28190433">
      <w:bodyDiv w:val="1"/>
      <w:marLeft w:val="0"/>
      <w:marRight w:val="0"/>
      <w:marTop w:val="0"/>
      <w:marBottom w:val="0"/>
      <w:divBdr>
        <w:top w:val="none" w:sz="0" w:space="0" w:color="auto"/>
        <w:left w:val="none" w:sz="0" w:space="0" w:color="auto"/>
        <w:bottom w:val="none" w:sz="0" w:space="0" w:color="auto"/>
        <w:right w:val="none" w:sz="0" w:space="0" w:color="auto"/>
      </w:divBdr>
    </w:div>
    <w:div w:id="43213515">
      <w:bodyDiv w:val="1"/>
      <w:marLeft w:val="0"/>
      <w:marRight w:val="0"/>
      <w:marTop w:val="0"/>
      <w:marBottom w:val="0"/>
      <w:divBdr>
        <w:top w:val="none" w:sz="0" w:space="0" w:color="auto"/>
        <w:left w:val="none" w:sz="0" w:space="0" w:color="auto"/>
        <w:bottom w:val="none" w:sz="0" w:space="0" w:color="auto"/>
        <w:right w:val="none" w:sz="0" w:space="0" w:color="auto"/>
      </w:divBdr>
      <w:divsChild>
        <w:div w:id="15621201">
          <w:marLeft w:val="0"/>
          <w:marRight w:val="0"/>
          <w:marTop w:val="0"/>
          <w:marBottom w:val="0"/>
          <w:divBdr>
            <w:top w:val="none" w:sz="0" w:space="0" w:color="auto"/>
            <w:left w:val="none" w:sz="0" w:space="0" w:color="auto"/>
            <w:bottom w:val="none" w:sz="0" w:space="0" w:color="auto"/>
            <w:right w:val="none" w:sz="0" w:space="0" w:color="auto"/>
          </w:divBdr>
        </w:div>
        <w:div w:id="39330559">
          <w:marLeft w:val="0"/>
          <w:marRight w:val="0"/>
          <w:marTop w:val="0"/>
          <w:marBottom w:val="0"/>
          <w:divBdr>
            <w:top w:val="none" w:sz="0" w:space="0" w:color="auto"/>
            <w:left w:val="none" w:sz="0" w:space="0" w:color="auto"/>
            <w:bottom w:val="none" w:sz="0" w:space="0" w:color="auto"/>
            <w:right w:val="none" w:sz="0" w:space="0" w:color="auto"/>
          </w:divBdr>
        </w:div>
        <w:div w:id="57830747">
          <w:marLeft w:val="0"/>
          <w:marRight w:val="0"/>
          <w:marTop w:val="0"/>
          <w:marBottom w:val="0"/>
          <w:divBdr>
            <w:top w:val="none" w:sz="0" w:space="0" w:color="auto"/>
            <w:left w:val="none" w:sz="0" w:space="0" w:color="auto"/>
            <w:bottom w:val="none" w:sz="0" w:space="0" w:color="auto"/>
            <w:right w:val="none" w:sz="0" w:space="0" w:color="auto"/>
          </w:divBdr>
        </w:div>
        <w:div w:id="60451875">
          <w:marLeft w:val="0"/>
          <w:marRight w:val="0"/>
          <w:marTop w:val="0"/>
          <w:marBottom w:val="0"/>
          <w:divBdr>
            <w:top w:val="none" w:sz="0" w:space="0" w:color="auto"/>
            <w:left w:val="none" w:sz="0" w:space="0" w:color="auto"/>
            <w:bottom w:val="none" w:sz="0" w:space="0" w:color="auto"/>
            <w:right w:val="none" w:sz="0" w:space="0" w:color="auto"/>
          </w:divBdr>
        </w:div>
        <w:div w:id="84614958">
          <w:marLeft w:val="0"/>
          <w:marRight w:val="0"/>
          <w:marTop w:val="0"/>
          <w:marBottom w:val="0"/>
          <w:divBdr>
            <w:top w:val="none" w:sz="0" w:space="0" w:color="auto"/>
            <w:left w:val="none" w:sz="0" w:space="0" w:color="auto"/>
            <w:bottom w:val="none" w:sz="0" w:space="0" w:color="auto"/>
            <w:right w:val="none" w:sz="0" w:space="0" w:color="auto"/>
          </w:divBdr>
        </w:div>
        <w:div w:id="94131741">
          <w:marLeft w:val="0"/>
          <w:marRight w:val="0"/>
          <w:marTop w:val="0"/>
          <w:marBottom w:val="0"/>
          <w:divBdr>
            <w:top w:val="none" w:sz="0" w:space="0" w:color="auto"/>
            <w:left w:val="none" w:sz="0" w:space="0" w:color="auto"/>
            <w:bottom w:val="none" w:sz="0" w:space="0" w:color="auto"/>
            <w:right w:val="none" w:sz="0" w:space="0" w:color="auto"/>
          </w:divBdr>
        </w:div>
        <w:div w:id="97336402">
          <w:marLeft w:val="0"/>
          <w:marRight w:val="0"/>
          <w:marTop w:val="0"/>
          <w:marBottom w:val="0"/>
          <w:divBdr>
            <w:top w:val="none" w:sz="0" w:space="0" w:color="auto"/>
            <w:left w:val="none" w:sz="0" w:space="0" w:color="auto"/>
            <w:bottom w:val="none" w:sz="0" w:space="0" w:color="auto"/>
            <w:right w:val="none" w:sz="0" w:space="0" w:color="auto"/>
          </w:divBdr>
        </w:div>
        <w:div w:id="101462448">
          <w:marLeft w:val="0"/>
          <w:marRight w:val="0"/>
          <w:marTop w:val="0"/>
          <w:marBottom w:val="0"/>
          <w:divBdr>
            <w:top w:val="none" w:sz="0" w:space="0" w:color="auto"/>
            <w:left w:val="none" w:sz="0" w:space="0" w:color="auto"/>
            <w:bottom w:val="none" w:sz="0" w:space="0" w:color="auto"/>
            <w:right w:val="none" w:sz="0" w:space="0" w:color="auto"/>
          </w:divBdr>
        </w:div>
        <w:div w:id="101925652">
          <w:marLeft w:val="0"/>
          <w:marRight w:val="0"/>
          <w:marTop w:val="0"/>
          <w:marBottom w:val="0"/>
          <w:divBdr>
            <w:top w:val="none" w:sz="0" w:space="0" w:color="auto"/>
            <w:left w:val="none" w:sz="0" w:space="0" w:color="auto"/>
            <w:bottom w:val="none" w:sz="0" w:space="0" w:color="auto"/>
            <w:right w:val="none" w:sz="0" w:space="0" w:color="auto"/>
          </w:divBdr>
        </w:div>
        <w:div w:id="118647087">
          <w:marLeft w:val="0"/>
          <w:marRight w:val="0"/>
          <w:marTop w:val="0"/>
          <w:marBottom w:val="0"/>
          <w:divBdr>
            <w:top w:val="none" w:sz="0" w:space="0" w:color="auto"/>
            <w:left w:val="none" w:sz="0" w:space="0" w:color="auto"/>
            <w:bottom w:val="none" w:sz="0" w:space="0" w:color="auto"/>
            <w:right w:val="none" w:sz="0" w:space="0" w:color="auto"/>
          </w:divBdr>
        </w:div>
        <w:div w:id="121268574">
          <w:marLeft w:val="0"/>
          <w:marRight w:val="0"/>
          <w:marTop w:val="0"/>
          <w:marBottom w:val="0"/>
          <w:divBdr>
            <w:top w:val="none" w:sz="0" w:space="0" w:color="auto"/>
            <w:left w:val="none" w:sz="0" w:space="0" w:color="auto"/>
            <w:bottom w:val="none" w:sz="0" w:space="0" w:color="auto"/>
            <w:right w:val="none" w:sz="0" w:space="0" w:color="auto"/>
          </w:divBdr>
        </w:div>
        <w:div w:id="126708122">
          <w:marLeft w:val="0"/>
          <w:marRight w:val="0"/>
          <w:marTop w:val="0"/>
          <w:marBottom w:val="0"/>
          <w:divBdr>
            <w:top w:val="none" w:sz="0" w:space="0" w:color="auto"/>
            <w:left w:val="none" w:sz="0" w:space="0" w:color="auto"/>
            <w:bottom w:val="none" w:sz="0" w:space="0" w:color="auto"/>
            <w:right w:val="none" w:sz="0" w:space="0" w:color="auto"/>
          </w:divBdr>
        </w:div>
        <w:div w:id="134563852">
          <w:marLeft w:val="0"/>
          <w:marRight w:val="0"/>
          <w:marTop w:val="0"/>
          <w:marBottom w:val="0"/>
          <w:divBdr>
            <w:top w:val="none" w:sz="0" w:space="0" w:color="auto"/>
            <w:left w:val="none" w:sz="0" w:space="0" w:color="auto"/>
            <w:bottom w:val="none" w:sz="0" w:space="0" w:color="auto"/>
            <w:right w:val="none" w:sz="0" w:space="0" w:color="auto"/>
          </w:divBdr>
        </w:div>
        <w:div w:id="161051381">
          <w:marLeft w:val="0"/>
          <w:marRight w:val="0"/>
          <w:marTop w:val="0"/>
          <w:marBottom w:val="0"/>
          <w:divBdr>
            <w:top w:val="none" w:sz="0" w:space="0" w:color="auto"/>
            <w:left w:val="none" w:sz="0" w:space="0" w:color="auto"/>
            <w:bottom w:val="none" w:sz="0" w:space="0" w:color="auto"/>
            <w:right w:val="none" w:sz="0" w:space="0" w:color="auto"/>
          </w:divBdr>
        </w:div>
        <w:div w:id="186139556">
          <w:marLeft w:val="0"/>
          <w:marRight w:val="0"/>
          <w:marTop w:val="0"/>
          <w:marBottom w:val="0"/>
          <w:divBdr>
            <w:top w:val="none" w:sz="0" w:space="0" w:color="auto"/>
            <w:left w:val="none" w:sz="0" w:space="0" w:color="auto"/>
            <w:bottom w:val="none" w:sz="0" w:space="0" w:color="auto"/>
            <w:right w:val="none" w:sz="0" w:space="0" w:color="auto"/>
          </w:divBdr>
        </w:div>
        <w:div w:id="197087740">
          <w:marLeft w:val="0"/>
          <w:marRight w:val="0"/>
          <w:marTop w:val="0"/>
          <w:marBottom w:val="0"/>
          <w:divBdr>
            <w:top w:val="none" w:sz="0" w:space="0" w:color="auto"/>
            <w:left w:val="none" w:sz="0" w:space="0" w:color="auto"/>
            <w:bottom w:val="none" w:sz="0" w:space="0" w:color="auto"/>
            <w:right w:val="none" w:sz="0" w:space="0" w:color="auto"/>
          </w:divBdr>
        </w:div>
        <w:div w:id="231550651">
          <w:marLeft w:val="0"/>
          <w:marRight w:val="0"/>
          <w:marTop w:val="0"/>
          <w:marBottom w:val="0"/>
          <w:divBdr>
            <w:top w:val="none" w:sz="0" w:space="0" w:color="auto"/>
            <w:left w:val="none" w:sz="0" w:space="0" w:color="auto"/>
            <w:bottom w:val="none" w:sz="0" w:space="0" w:color="auto"/>
            <w:right w:val="none" w:sz="0" w:space="0" w:color="auto"/>
          </w:divBdr>
        </w:div>
        <w:div w:id="251013739">
          <w:marLeft w:val="0"/>
          <w:marRight w:val="0"/>
          <w:marTop w:val="0"/>
          <w:marBottom w:val="0"/>
          <w:divBdr>
            <w:top w:val="none" w:sz="0" w:space="0" w:color="auto"/>
            <w:left w:val="none" w:sz="0" w:space="0" w:color="auto"/>
            <w:bottom w:val="none" w:sz="0" w:space="0" w:color="auto"/>
            <w:right w:val="none" w:sz="0" w:space="0" w:color="auto"/>
          </w:divBdr>
        </w:div>
        <w:div w:id="272829542">
          <w:marLeft w:val="0"/>
          <w:marRight w:val="0"/>
          <w:marTop w:val="0"/>
          <w:marBottom w:val="0"/>
          <w:divBdr>
            <w:top w:val="none" w:sz="0" w:space="0" w:color="auto"/>
            <w:left w:val="none" w:sz="0" w:space="0" w:color="auto"/>
            <w:bottom w:val="none" w:sz="0" w:space="0" w:color="auto"/>
            <w:right w:val="none" w:sz="0" w:space="0" w:color="auto"/>
          </w:divBdr>
        </w:div>
        <w:div w:id="278148938">
          <w:marLeft w:val="0"/>
          <w:marRight w:val="0"/>
          <w:marTop w:val="0"/>
          <w:marBottom w:val="0"/>
          <w:divBdr>
            <w:top w:val="none" w:sz="0" w:space="0" w:color="auto"/>
            <w:left w:val="none" w:sz="0" w:space="0" w:color="auto"/>
            <w:bottom w:val="none" w:sz="0" w:space="0" w:color="auto"/>
            <w:right w:val="none" w:sz="0" w:space="0" w:color="auto"/>
          </w:divBdr>
        </w:div>
        <w:div w:id="309094048">
          <w:marLeft w:val="0"/>
          <w:marRight w:val="0"/>
          <w:marTop w:val="0"/>
          <w:marBottom w:val="0"/>
          <w:divBdr>
            <w:top w:val="none" w:sz="0" w:space="0" w:color="auto"/>
            <w:left w:val="none" w:sz="0" w:space="0" w:color="auto"/>
            <w:bottom w:val="none" w:sz="0" w:space="0" w:color="auto"/>
            <w:right w:val="none" w:sz="0" w:space="0" w:color="auto"/>
          </w:divBdr>
        </w:div>
        <w:div w:id="309479700">
          <w:marLeft w:val="0"/>
          <w:marRight w:val="0"/>
          <w:marTop w:val="0"/>
          <w:marBottom w:val="0"/>
          <w:divBdr>
            <w:top w:val="none" w:sz="0" w:space="0" w:color="auto"/>
            <w:left w:val="none" w:sz="0" w:space="0" w:color="auto"/>
            <w:bottom w:val="none" w:sz="0" w:space="0" w:color="auto"/>
            <w:right w:val="none" w:sz="0" w:space="0" w:color="auto"/>
          </w:divBdr>
        </w:div>
        <w:div w:id="374231417">
          <w:marLeft w:val="0"/>
          <w:marRight w:val="0"/>
          <w:marTop w:val="0"/>
          <w:marBottom w:val="0"/>
          <w:divBdr>
            <w:top w:val="none" w:sz="0" w:space="0" w:color="auto"/>
            <w:left w:val="none" w:sz="0" w:space="0" w:color="auto"/>
            <w:bottom w:val="none" w:sz="0" w:space="0" w:color="auto"/>
            <w:right w:val="none" w:sz="0" w:space="0" w:color="auto"/>
          </w:divBdr>
        </w:div>
        <w:div w:id="408120120">
          <w:marLeft w:val="0"/>
          <w:marRight w:val="0"/>
          <w:marTop w:val="0"/>
          <w:marBottom w:val="0"/>
          <w:divBdr>
            <w:top w:val="none" w:sz="0" w:space="0" w:color="auto"/>
            <w:left w:val="none" w:sz="0" w:space="0" w:color="auto"/>
            <w:bottom w:val="none" w:sz="0" w:space="0" w:color="auto"/>
            <w:right w:val="none" w:sz="0" w:space="0" w:color="auto"/>
          </w:divBdr>
        </w:div>
        <w:div w:id="436870999">
          <w:marLeft w:val="0"/>
          <w:marRight w:val="0"/>
          <w:marTop w:val="0"/>
          <w:marBottom w:val="0"/>
          <w:divBdr>
            <w:top w:val="none" w:sz="0" w:space="0" w:color="auto"/>
            <w:left w:val="none" w:sz="0" w:space="0" w:color="auto"/>
            <w:bottom w:val="none" w:sz="0" w:space="0" w:color="auto"/>
            <w:right w:val="none" w:sz="0" w:space="0" w:color="auto"/>
          </w:divBdr>
        </w:div>
        <w:div w:id="440296571">
          <w:marLeft w:val="0"/>
          <w:marRight w:val="0"/>
          <w:marTop w:val="0"/>
          <w:marBottom w:val="0"/>
          <w:divBdr>
            <w:top w:val="none" w:sz="0" w:space="0" w:color="auto"/>
            <w:left w:val="none" w:sz="0" w:space="0" w:color="auto"/>
            <w:bottom w:val="none" w:sz="0" w:space="0" w:color="auto"/>
            <w:right w:val="none" w:sz="0" w:space="0" w:color="auto"/>
          </w:divBdr>
        </w:div>
        <w:div w:id="445544907">
          <w:marLeft w:val="0"/>
          <w:marRight w:val="0"/>
          <w:marTop w:val="0"/>
          <w:marBottom w:val="0"/>
          <w:divBdr>
            <w:top w:val="none" w:sz="0" w:space="0" w:color="auto"/>
            <w:left w:val="none" w:sz="0" w:space="0" w:color="auto"/>
            <w:bottom w:val="none" w:sz="0" w:space="0" w:color="auto"/>
            <w:right w:val="none" w:sz="0" w:space="0" w:color="auto"/>
          </w:divBdr>
        </w:div>
        <w:div w:id="469445049">
          <w:marLeft w:val="0"/>
          <w:marRight w:val="0"/>
          <w:marTop w:val="0"/>
          <w:marBottom w:val="0"/>
          <w:divBdr>
            <w:top w:val="none" w:sz="0" w:space="0" w:color="auto"/>
            <w:left w:val="none" w:sz="0" w:space="0" w:color="auto"/>
            <w:bottom w:val="none" w:sz="0" w:space="0" w:color="auto"/>
            <w:right w:val="none" w:sz="0" w:space="0" w:color="auto"/>
          </w:divBdr>
        </w:div>
        <w:div w:id="489716796">
          <w:marLeft w:val="0"/>
          <w:marRight w:val="0"/>
          <w:marTop w:val="0"/>
          <w:marBottom w:val="0"/>
          <w:divBdr>
            <w:top w:val="none" w:sz="0" w:space="0" w:color="auto"/>
            <w:left w:val="none" w:sz="0" w:space="0" w:color="auto"/>
            <w:bottom w:val="none" w:sz="0" w:space="0" w:color="auto"/>
            <w:right w:val="none" w:sz="0" w:space="0" w:color="auto"/>
          </w:divBdr>
        </w:div>
        <w:div w:id="498619984">
          <w:marLeft w:val="0"/>
          <w:marRight w:val="0"/>
          <w:marTop w:val="0"/>
          <w:marBottom w:val="0"/>
          <w:divBdr>
            <w:top w:val="none" w:sz="0" w:space="0" w:color="auto"/>
            <w:left w:val="none" w:sz="0" w:space="0" w:color="auto"/>
            <w:bottom w:val="none" w:sz="0" w:space="0" w:color="auto"/>
            <w:right w:val="none" w:sz="0" w:space="0" w:color="auto"/>
          </w:divBdr>
        </w:div>
        <w:div w:id="509562386">
          <w:marLeft w:val="0"/>
          <w:marRight w:val="0"/>
          <w:marTop w:val="0"/>
          <w:marBottom w:val="0"/>
          <w:divBdr>
            <w:top w:val="none" w:sz="0" w:space="0" w:color="auto"/>
            <w:left w:val="none" w:sz="0" w:space="0" w:color="auto"/>
            <w:bottom w:val="none" w:sz="0" w:space="0" w:color="auto"/>
            <w:right w:val="none" w:sz="0" w:space="0" w:color="auto"/>
          </w:divBdr>
        </w:div>
        <w:div w:id="513149777">
          <w:marLeft w:val="0"/>
          <w:marRight w:val="0"/>
          <w:marTop w:val="0"/>
          <w:marBottom w:val="0"/>
          <w:divBdr>
            <w:top w:val="none" w:sz="0" w:space="0" w:color="auto"/>
            <w:left w:val="none" w:sz="0" w:space="0" w:color="auto"/>
            <w:bottom w:val="none" w:sz="0" w:space="0" w:color="auto"/>
            <w:right w:val="none" w:sz="0" w:space="0" w:color="auto"/>
          </w:divBdr>
        </w:div>
        <w:div w:id="524295369">
          <w:marLeft w:val="0"/>
          <w:marRight w:val="0"/>
          <w:marTop w:val="0"/>
          <w:marBottom w:val="0"/>
          <w:divBdr>
            <w:top w:val="none" w:sz="0" w:space="0" w:color="auto"/>
            <w:left w:val="none" w:sz="0" w:space="0" w:color="auto"/>
            <w:bottom w:val="none" w:sz="0" w:space="0" w:color="auto"/>
            <w:right w:val="none" w:sz="0" w:space="0" w:color="auto"/>
          </w:divBdr>
        </w:div>
        <w:div w:id="552618518">
          <w:marLeft w:val="0"/>
          <w:marRight w:val="0"/>
          <w:marTop w:val="0"/>
          <w:marBottom w:val="0"/>
          <w:divBdr>
            <w:top w:val="none" w:sz="0" w:space="0" w:color="auto"/>
            <w:left w:val="none" w:sz="0" w:space="0" w:color="auto"/>
            <w:bottom w:val="none" w:sz="0" w:space="0" w:color="auto"/>
            <w:right w:val="none" w:sz="0" w:space="0" w:color="auto"/>
          </w:divBdr>
        </w:div>
        <w:div w:id="564803855">
          <w:marLeft w:val="0"/>
          <w:marRight w:val="0"/>
          <w:marTop w:val="0"/>
          <w:marBottom w:val="0"/>
          <w:divBdr>
            <w:top w:val="none" w:sz="0" w:space="0" w:color="auto"/>
            <w:left w:val="none" w:sz="0" w:space="0" w:color="auto"/>
            <w:bottom w:val="none" w:sz="0" w:space="0" w:color="auto"/>
            <w:right w:val="none" w:sz="0" w:space="0" w:color="auto"/>
          </w:divBdr>
        </w:div>
        <w:div w:id="591472684">
          <w:marLeft w:val="0"/>
          <w:marRight w:val="0"/>
          <w:marTop w:val="0"/>
          <w:marBottom w:val="0"/>
          <w:divBdr>
            <w:top w:val="none" w:sz="0" w:space="0" w:color="auto"/>
            <w:left w:val="none" w:sz="0" w:space="0" w:color="auto"/>
            <w:bottom w:val="none" w:sz="0" w:space="0" w:color="auto"/>
            <w:right w:val="none" w:sz="0" w:space="0" w:color="auto"/>
          </w:divBdr>
        </w:div>
        <w:div w:id="630987047">
          <w:marLeft w:val="0"/>
          <w:marRight w:val="0"/>
          <w:marTop w:val="0"/>
          <w:marBottom w:val="0"/>
          <w:divBdr>
            <w:top w:val="none" w:sz="0" w:space="0" w:color="auto"/>
            <w:left w:val="none" w:sz="0" w:space="0" w:color="auto"/>
            <w:bottom w:val="none" w:sz="0" w:space="0" w:color="auto"/>
            <w:right w:val="none" w:sz="0" w:space="0" w:color="auto"/>
          </w:divBdr>
        </w:div>
        <w:div w:id="658386600">
          <w:marLeft w:val="0"/>
          <w:marRight w:val="0"/>
          <w:marTop w:val="0"/>
          <w:marBottom w:val="0"/>
          <w:divBdr>
            <w:top w:val="none" w:sz="0" w:space="0" w:color="auto"/>
            <w:left w:val="none" w:sz="0" w:space="0" w:color="auto"/>
            <w:bottom w:val="none" w:sz="0" w:space="0" w:color="auto"/>
            <w:right w:val="none" w:sz="0" w:space="0" w:color="auto"/>
          </w:divBdr>
        </w:div>
        <w:div w:id="680206963">
          <w:marLeft w:val="0"/>
          <w:marRight w:val="0"/>
          <w:marTop w:val="0"/>
          <w:marBottom w:val="0"/>
          <w:divBdr>
            <w:top w:val="none" w:sz="0" w:space="0" w:color="auto"/>
            <w:left w:val="none" w:sz="0" w:space="0" w:color="auto"/>
            <w:bottom w:val="none" w:sz="0" w:space="0" w:color="auto"/>
            <w:right w:val="none" w:sz="0" w:space="0" w:color="auto"/>
          </w:divBdr>
        </w:div>
        <w:div w:id="689836510">
          <w:marLeft w:val="0"/>
          <w:marRight w:val="0"/>
          <w:marTop w:val="0"/>
          <w:marBottom w:val="0"/>
          <w:divBdr>
            <w:top w:val="none" w:sz="0" w:space="0" w:color="auto"/>
            <w:left w:val="none" w:sz="0" w:space="0" w:color="auto"/>
            <w:bottom w:val="none" w:sz="0" w:space="0" w:color="auto"/>
            <w:right w:val="none" w:sz="0" w:space="0" w:color="auto"/>
          </w:divBdr>
        </w:div>
        <w:div w:id="694303934">
          <w:marLeft w:val="0"/>
          <w:marRight w:val="0"/>
          <w:marTop w:val="0"/>
          <w:marBottom w:val="0"/>
          <w:divBdr>
            <w:top w:val="none" w:sz="0" w:space="0" w:color="auto"/>
            <w:left w:val="none" w:sz="0" w:space="0" w:color="auto"/>
            <w:bottom w:val="none" w:sz="0" w:space="0" w:color="auto"/>
            <w:right w:val="none" w:sz="0" w:space="0" w:color="auto"/>
          </w:divBdr>
        </w:div>
        <w:div w:id="695233248">
          <w:marLeft w:val="0"/>
          <w:marRight w:val="0"/>
          <w:marTop w:val="0"/>
          <w:marBottom w:val="0"/>
          <w:divBdr>
            <w:top w:val="none" w:sz="0" w:space="0" w:color="auto"/>
            <w:left w:val="none" w:sz="0" w:space="0" w:color="auto"/>
            <w:bottom w:val="none" w:sz="0" w:space="0" w:color="auto"/>
            <w:right w:val="none" w:sz="0" w:space="0" w:color="auto"/>
          </w:divBdr>
        </w:div>
        <w:div w:id="708382576">
          <w:marLeft w:val="0"/>
          <w:marRight w:val="0"/>
          <w:marTop w:val="0"/>
          <w:marBottom w:val="0"/>
          <w:divBdr>
            <w:top w:val="none" w:sz="0" w:space="0" w:color="auto"/>
            <w:left w:val="none" w:sz="0" w:space="0" w:color="auto"/>
            <w:bottom w:val="none" w:sz="0" w:space="0" w:color="auto"/>
            <w:right w:val="none" w:sz="0" w:space="0" w:color="auto"/>
          </w:divBdr>
        </w:div>
        <w:div w:id="776948469">
          <w:marLeft w:val="0"/>
          <w:marRight w:val="0"/>
          <w:marTop w:val="0"/>
          <w:marBottom w:val="0"/>
          <w:divBdr>
            <w:top w:val="none" w:sz="0" w:space="0" w:color="auto"/>
            <w:left w:val="none" w:sz="0" w:space="0" w:color="auto"/>
            <w:bottom w:val="none" w:sz="0" w:space="0" w:color="auto"/>
            <w:right w:val="none" w:sz="0" w:space="0" w:color="auto"/>
          </w:divBdr>
        </w:div>
        <w:div w:id="791173282">
          <w:marLeft w:val="0"/>
          <w:marRight w:val="0"/>
          <w:marTop w:val="0"/>
          <w:marBottom w:val="0"/>
          <w:divBdr>
            <w:top w:val="none" w:sz="0" w:space="0" w:color="auto"/>
            <w:left w:val="none" w:sz="0" w:space="0" w:color="auto"/>
            <w:bottom w:val="none" w:sz="0" w:space="0" w:color="auto"/>
            <w:right w:val="none" w:sz="0" w:space="0" w:color="auto"/>
          </w:divBdr>
        </w:div>
        <w:div w:id="796339612">
          <w:marLeft w:val="0"/>
          <w:marRight w:val="0"/>
          <w:marTop w:val="0"/>
          <w:marBottom w:val="0"/>
          <w:divBdr>
            <w:top w:val="none" w:sz="0" w:space="0" w:color="auto"/>
            <w:left w:val="none" w:sz="0" w:space="0" w:color="auto"/>
            <w:bottom w:val="none" w:sz="0" w:space="0" w:color="auto"/>
            <w:right w:val="none" w:sz="0" w:space="0" w:color="auto"/>
          </w:divBdr>
        </w:div>
        <w:div w:id="820855252">
          <w:marLeft w:val="0"/>
          <w:marRight w:val="0"/>
          <w:marTop w:val="0"/>
          <w:marBottom w:val="0"/>
          <w:divBdr>
            <w:top w:val="none" w:sz="0" w:space="0" w:color="auto"/>
            <w:left w:val="none" w:sz="0" w:space="0" w:color="auto"/>
            <w:bottom w:val="none" w:sz="0" w:space="0" w:color="auto"/>
            <w:right w:val="none" w:sz="0" w:space="0" w:color="auto"/>
          </w:divBdr>
        </w:div>
        <w:div w:id="829834385">
          <w:marLeft w:val="0"/>
          <w:marRight w:val="0"/>
          <w:marTop w:val="0"/>
          <w:marBottom w:val="0"/>
          <w:divBdr>
            <w:top w:val="none" w:sz="0" w:space="0" w:color="auto"/>
            <w:left w:val="none" w:sz="0" w:space="0" w:color="auto"/>
            <w:bottom w:val="none" w:sz="0" w:space="0" w:color="auto"/>
            <w:right w:val="none" w:sz="0" w:space="0" w:color="auto"/>
          </w:divBdr>
        </w:div>
        <w:div w:id="835144940">
          <w:marLeft w:val="0"/>
          <w:marRight w:val="0"/>
          <w:marTop w:val="0"/>
          <w:marBottom w:val="0"/>
          <w:divBdr>
            <w:top w:val="none" w:sz="0" w:space="0" w:color="auto"/>
            <w:left w:val="none" w:sz="0" w:space="0" w:color="auto"/>
            <w:bottom w:val="none" w:sz="0" w:space="0" w:color="auto"/>
            <w:right w:val="none" w:sz="0" w:space="0" w:color="auto"/>
          </w:divBdr>
        </w:div>
        <w:div w:id="847865192">
          <w:marLeft w:val="0"/>
          <w:marRight w:val="0"/>
          <w:marTop w:val="0"/>
          <w:marBottom w:val="0"/>
          <w:divBdr>
            <w:top w:val="none" w:sz="0" w:space="0" w:color="auto"/>
            <w:left w:val="none" w:sz="0" w:space="0" w:color="auto"/>
            <w:bottom w:val="none" w:sz="0" w:space="0" w:color="auto"/>
            <w:right w:val="none" w:sz="0" w:space="0" w:color="auto"/>
          </w:divBdr>
        </w:div>
        <w:div w:id="850098419">
          <w:marLeft w:val="0"/>
          <w:marRight w:val="0"/>
          <w:marTop w:val="0"/>
          <w:marBottom w:val="0"/>
          <w:divBdr>
            <w:top w:val="none" w:sz="0" w:space="0" w:color="auto"/>
            <w:left w:val="none" w:sz="0" w:space="0" w:color="auto"/>
            <w:bottom w:val="none" w:sz="0" w:space="0" w:color="auto"/>
            <w:right w:val="none" w:sz="0" w:space="0" w:color="auto"/>
          </w:divBdr>
        </w:div>
        <w:div w:id="872572875">
          <w:marLeft w:val="0"/>
          <w:marRight w:val="0"/>
          <w:marTop w:val="0"/>
          <w:marBottom w:val="0"/>
          <w:divBdr>
            <w:top w:val="none" w:sz="0" w:space="0" w:color="auto"/>
            <w:left w:val="none" w:sz="0" w:space="0" w:color="auto"/>
            <w:bottom w:val="none" w:sz="0" w:space="0" w:color="auto"/>
            <w:right w:val="none" w:sz="0" w:space="0" w:color="auto"/>
          </w:divBdr>
        </w:div>
        <w:div w:id="874198622">
          <w:marLeft w:val="0"/>
          <w:marRight w:val="0"/>
          <w:marTop w:val="0"/>
          <w:marBottom w:val="0"/>
          <w:divBdr>
            <w:top w:val="none" w:sz="0" w:space="0" w:color="auto"/>
            <w:left w:val="none" w:sz="0" w:space="0" w:color="auto"/>
            <w:bottom w:val="none" w:sz="0" w:space="0" w:color="auto"/>
            <w:right w:val="none" w:sz="0" w:space="0" w:color="auto"/>
          </w:divBdr>
        </w:div>
        <w:div w:id="876238247">
          <w:marLeft w:val="0"/>
          <w:marRight w:val="0"/>
          <w:marTop w:val="0"/>
          <w:marBottom w:val="0"/>
          <w:divBdr>
            <w:top w:val="none" w:sz="0" w:space="0" w:color="auto"/>
            <w:left w:val="none" w:sz="0" w:space="0" w:color="auto"/>
            <w:bottom w:val="none" w:sz="0" w:space="0" w:color="auto"/>
            <w:right w:val="none" w:sz="0" w:space="0" w:color="auto"/>
          </w:divBdr>
        </w:div>
        <w:div w:id="883368615">
          <w:marLeft w:val="0"/>
          <w:marRight w:val="0"/>
          <w:marTop w:val="0"/>
          <w:marBottom w:val="0"/>
          <w:divBdr>
            <w:top w:val="none" w:sz="0" w:space="0" w:color="auto"/>
            <w:left w:val="none" w:sz="0" w:space="0" w:color="auto"/>
            <w:bottom w:val="none" w:sz="0" w:space="0" w:color="auto"/>
            <w:right w:val="none" w:sz="0" w:space="0" w:color="auto"/>
          </w:divBdr>
        </w:div>
        <w:div w:id="885675291">
          <w:marLeft w:val="0"/>
          <w:marRight w:val="0"/>
          <w:marTop w:val="0"/>
          <w:marBottom w:val="0"/>
          <w:divBdr>
            <w:top w:val="none" w:sz="0" w:space="0" w:color="auto"/>
            <w:left w:val="none" w:sz="0" w:space="0" w:color="auto"/>
            <w:bottom w:val="none" w:sz="0" w:space="0" w:color="auto"/>
            <w:right w:val="none" w:sz="0" w:space="0" w:color="auto"/>
          </w:divBdr>
        </w:div>
        <w:div w:id="894588292">
          <w:marLeft w:val="0"/>
          <w:marRight w:val="0"/>
          <w:marTop w:val="0"/>
          <w:marBottom w:val="0"/>
          <w:divBdr>
            <w:top w:val="none" w:sz="0" w:space="0" w:color="auto"/>
            <w:left w:val="none" w:sz="0" w:space="0" w:color="auto"/>
            <w:bottom w:val="none" w:sz="0" w:space="0" w:color="auto"/>
            <w:right w:val="none" w:sz="0" w:space="0" w:color="auto"/>
          </w:divBdr>
        </w:div>
        <w:div w:id="904218114">
          <w:marLeft w:val="0"/>
          <w:marRight w:val="0"/>
          <w:marTop w:val="0"/>
          <w:marBottom w:val="0"/>
          <w:divBdr>
            <w:top w:val="none" w:sz="0" w:space="0" w:color="auto"/>
            <w:left w:val="none" w:sz="0" w:space="0" w:color="auto"/>
            <w:bottom w:val="none" w:sz="0" w:space="0" w:color="auto"/>
            <w:right w:val="none" w:sz="0" w:space="0" w:color="auto"/>
          </w:divBdr>
        </w:div>
        <w:div w:id="922223189">
          <w:marLeft w:val="0"/>
          <w:marRight w:val="0"/>
          <w:marTop w:val="0"/>
          <w:marBottom w:val="0"/>
          <w:divBdr>
            <w:top w:val="none" w:sz="0" w:space="0" w:color="auto"/>
            <w:left w:val="none" w:sz="0" w:space="0" w:color="auto"/>
            <w:bottom w:val="none" w:sz="0" w:space="0" w:color="auto"/>
            <w:right w:val="none" w:sz="0" w:space="0" w:color="auto"/>
          </w:divBdr>
        </w:div>
        <w:div w:id="963076050">
          <w:marLeft w:val="0"/>
          <w:marRight w:val="0"/>
          <w:marTop w:val="0"/>
          <w:marBottom w:val="0"/>
          <w:divBdr>
            <w:top w:val="none" w:sz="0" w:space="0" w:color="auto"/>
            <w:left w:val="none" w:sz="0" w:space="0" w:color="auto"/>
            <w:bottom w:val="none" w:sz="0" w:space="0" w:color="auto"/>
            <w:right w:val="none" w:sz="0" w:space="0" w:color="auto"/>
          </w:divBdr>
        </w:div>
        <w:div w:id="975181378">
          <w:marLeft w:val="0"/>
          <w:marRight w:val="0"/>
          <w:marTop w:val="0"/>
          <w:marBottom w:val="0"/>
          <w:divBdr>
            <w:top w:val="none" w:sz="0" w:space="0" w:color="auto"/>
            <w:left w:val="none" w:sz="0" w:space="0" w:color="auto"/>
            <w:bottom w:val="none" w:sz="0" w:space="0" w:color="auto"/>
            <w:right w:val="none" w:sz="0" w:space="0" w:color="auto"/>
          </w:divBdr>
        </w:div>
        <w:div w:id="985478800">
          <w:marLeft w:val="0"/>
          <w:marRight w:val="0"/>
          <w:marTop w:val="0"/>
          <w:marBottom w:val="0"/>
          <w:divBdr>
            <w:top w:val="none" w:sz="0" w:space="0" w:color="auto"/>
            <w:left w:val="none" w:sz="0" w:space="0" w:color="auto"/>
            <w:bottom w:val="none" w:sz="0" w:space="0" w:color="auto"/>
            <w:right w:val="none" w:sz="0" w:space="0" w:color="auto"/>
          </w:divBdr>
        </w:div>
        <w:div w:id="1019238929">
          <w:marLeft w:val="0"/>
          <w:marRight w:val="0"/>
          <w:marTop w:val="0"/>
          <w:marBottom w:val="0"/>
          <w:divBdr>
            <w:top w:val="none" w:sz="0" w:space="0" w:color="auto"/>
            <w:left w:val="none" w:sz="0" w:space="0" w:color="auto"/>
            <w:bottom w:val="none" w:sz="0" w:space="0" w:color="auto"/>
            <w:right w:val="none" w:sz="0" w:space="0" w:color="auto"/>
          </w:divBdr>
        </w:div>
        <w:div w:id="1079522759">
          <w:marLeft w:val="0"/>
          <w:marRight w:val="0"/>
          <w:marTop w:val="0"/>
          <w:marBottom w:val="0"/>
          <w:divBdr>
            <w:top w:val="none" w:sz="0" w:space="0" w:color="auto"/>
            <w:left w:val="none" w:sz="0" w:space="0" w:color="auto"/>
            <w:bottom w:val="none" w:sz="0" w:space="0" w:color="auto"/>
            <w:right w:val="none" w:sz="0" w:space="0" w:color="auto"/>
          </w:divBdr>
        </w:div>
        <w:div w:id="1137379140">
          <w:marLeft w:val="0"/>
          <w:marRight w:val="0"/>
          <w:marTop w:val="0"/>
          <w:marBottom w:val="0"/>
          <w:divBdr>
            <w:top w:val="none" w:sz="0" w:space="0" w:color="auto"/>
            <w:left w:val="none" w:sz="0" w:space="0" w:color="auto"/>
            <w:bottom w:val="none" w:sz="0" w:space="0" w:color="auto"/>
            <w:right w:val="none" w:sz="0" w:space="0" w:color="auto"/>
          </w:divBdr>
        </w:div>
        <w:div w:id="1149858772">
          <w:marLeft w:val="0"/>
          <w:marRight w:val="0"/>
          <w:marTop w:val="0"/>
          <w:marBottom w:val="0"/>
          <w:divBdr>
            <w:top w:val="none" w:sz="0" w:space="0" w:color="auto"/>
            <w:left w:val="none" w:sz="0" w:space="0" w:color="auto"/>
            <w:bottom w:val="none" w:sz="0" w:space="0" w:color="auto"/>
            <w:right w:val="none" w:sz="0" w:space="0" w:color="auto"/>
          </w:divBdr>
        </w:div>
        <w:div w:id="1187479398">
          <w:marLeft w:val="0"/>
          <w:marRight w:val="0"/>
          <w:marTop w:val="0"/>
          <w:marBottom w:val="0"/>
          <w:divBdr>
            <w:top w:val="none" w:sz="0" w:space="0" w:color="auto"/>
            <w:left w:val="none" w:sz="0" w:space="0" w:color="auto"/>
            <w:bottom w:val="none" w:sz="0" w:space="0" w:color="auto"/>
            <w:right w:val="none" w:sz="0" w:space="0" w:color="auto"/>
          </w:divBdr>
        </w:div>
        <w:div w:id="1194223597">
          <w:marLeft w:val="0"/>
          <w:marRight w:val="0"/>
          <w:marTop w:val="0"/>
          <w:marBottom w:val="0"/>
          <w:divBdr>
            <w:top w:val="none" w:sz="0" w:space="0" w:color="auto"/>
            <w:left w:val="none" w:sz="0" w:space="0" w:color="auto"/>
            <w:bottom w:val="none" w:sz="0" w:space="0" w:color="auto"/>
            <w:right w:val="none" w:sz="0" w:space="0" w:color="auto"/>
          </w:divBdr>
        </w:div>
        <w:div w:id="1196192757">
          <w:marLeft w:val="0"/>
          <w:marRight w:val="0"/>
          <w:marTop w:val="0"/>
          <w:marBottom w:val="0"/>
          <w:divBdr>
            <w:top w:val="none" w:sz="0" w:space="0" w:color="auto"/>
            <w:left w:val="none" w:sz="0" w:space="0" w:color="auto"/>
            <w:bottom w:val="none" w:sz="0" w:space="0" w:color="auto"/>
            <w:right w:val="none" w:sz="0" w:space="0" w:color="auto"/>
          </w:divBdr>
        </w:div>
        <w:div w:id="1226646097">
          <w:marLeft w:val="0"/>
          <w:marRight w:val="0"/>
          <w:marTop w:val="0"/>
          <w:marBottom w:val="0"/>
          <w:divBdr>
            <w:top w:val="none" w:sz="0" w:space="0" w:color="auto"/>
            <w:left w:val="none" w:sz="0" w:space="0" w:color="auto"/>
            <w:bottom w:val="none" w:sz="0" w:space="0" w:color="auto"/>
            <w:right w:val="none" w:sz="0" w:space="0" w:color="auto"/>
          </w:divBdr>
        </w:div>
        <w:div w:id="1235042485">
          <w:marLeft w:val="0"/>
          <w:marRight w:val="0"/>
          <w:marTop w:val="0"/>
          <w:marBottom w:val="0"/>
          <w:divBdr>
            <w:top w:val="none" w:sz="0" w:space="0" w:color="auto"/>
            <w:left w:val="none" w:sz="0" w:space="0" w:color="auto"/>
            <w:bottom w:val="none" w:sz="0" w:space="0" w:color="auto"/>
            <w:right w:val="none" w:sz="0" w:space="0" w:color="auto"/>
          </w:divBdr>
        </w:div>
        <w:div w:id="1285700349">
          <w:marLeft w:val="0"/>
          <w:marRight w:val="0"/>
          <w:marTop w:val="0"/>
          <w:marBottom w:val="0"/>
          <w:divBdr>
            <w:top w:val="none" w:sz="0" w:space="0" w:color="auto"/>
            <w:left w:val="none" w:sz="0" w:space="0" w:color="auto"/>
            <w:bottom w:val="none" w:sz="0" w:space="0" w:color="auto"/>
            <w:right w:val="none" w:sz="0" w:space="0" w:color="auto"/>
          </w:divBdr>
        </w:div>
        <w:div w:id="1308702208">
          <w:marLeft w:val="0"/>
          <w:marRight w:val="0"/>
          <w:marTop w:val="0"/>
          <w:marBottom w:val="0"/>
          <w:divBdr>
            <w:top w:val="none" w:sz="0" w:space="0" w:color="auto"/>
            <w:left w:val="none" w:sz="0" w:space="0" w:color="auto"/>
            <w:bottom w:val="none" w:sz="0" w:space="0" w:color="auto"/>
            <w:right w:val="none" w:sz="0" w:space="0" w:color="auto"/>
          </w:divBdr>
        </w:div>
        <w:div w:id="1340891478">
          <w:marLeft w:val="0"/>
          <w:marRight w:val="0"/>
          <w:marTop w:val="0"/>
          <w:marBottom w:val="0"/>
          <w:divBdr>
            <w:top w:val="none" w:sz="0" w:space="0" w:color="auto"/>
            <w:left w:val="none" w:sz="0" w:space="0" w:color="auto"/>
            <w:bottom w:val="none" w:sz="0" w:space="0" w:color="auto"/>
            <w:right w:val="none" w:sz="0" w:space="0" w:color="auto"/>
          </w:divBdr>
        </w:div>
        <w:div w:id="1342856685">
          <w:marLeft w:val="0"/>
          <w:marRight w:val="0"/>
          <w:marTop w:val="0"/>
          <w:marBottom w:val="0"/>
          <w:divBdr>
            <w:top w:val="none" w:sz="0" w:space="0" w:color="auto"/>
            <w:left w:val="none" w:sz="0" w:space="0" w:color="auto"/>
            <w:bottom w:val="none" w:sz="0" w:space="0" w:color="auto"/>
            <w:right w:val="none" w:sz="0" w:space="0" w:color="auto"/>
          </w:divBdr>
        </w:div>
        <w:div w:id="1351563234">
          <w:marLeft w:val="0"/>
          <w:marRight w:val="0"/>
          <w:marTop w:val="0"/>
          <w:marBottom w:val="0"/>
          <w:divBdr>
            <w:top w:val="none" w:sz="0" w:space="0" w:color="auto"/>
            <w:left w:val="none" w:sz="0" w:space="0" w:color="auto"/>
            <w:bottom w:val="none" w:sz="0" w:space="0" w:color="auto"/>
            <w:right w:val="none" w:sz="0" w:space="0" w:color="auto"/>
          </w:divBdr>
        </w:div>
        <w:div w:id="1361785817">
          <w:marLeft w:val="0"/>
          <w:marRight w:val="0"/>
          <w:marTop w:val="0"/>
          <w:marBottom w:val="0"/>
          <w:divBdr>
            <w:top w:val="none" w:sz="0" w:space="0" w:color="auto"/>
            <w:left w:val="none" w:sz="0" w:space="0" w:color="auto"/>
            <w:bottom w:val="none" w:sz="0" w:space="0" w:color="auto"/>
            <w:right w:val="none" w:sz="0" w:space="0" w:color="auto"/>
          </w:divBdr>
        </w:div>
        <w:div w:id="1372918319">
          <w:marLeft w:val="0"/>
          <w:marRight w:val="0"/>
          <w:marTop w:val="0"/>
          <w:marBottom w:val="0"/>
          <w:divBdr>
            <w:top w:val="none" w:sz="0" w:space="0" w:color="auto"/>
            <w:left w:val="none" w:sz="0" w:space="0" w:color="auto"/>
            <w:bottom w:val="none" w:sz="0" w:space="0" w:color="auto"/>
            <w:right w:val="none" w:sz="0" w:space="0" w:color="auto"/>
          </w:divBdr>
        </w:div>
        <w:div w:id="1379934285">
          <w:marLeft w:val="0"/>
          <w:marRight w:val="0"/>
          <w:marTop w:val="0"/>
          <w:marBottom w:val="0"/>
          <w:divBdr>
            <w:top w:val="none" w:sz="0" w:space="0" w:color="auto"/>
            <w:left w:val="none" w:sz="0" w:space="0" w:color="auto"/>
            <w:bottom w:val="none" w:sz="0" w:space="0" w:color="auto"/>
            <w:right w:val="none" w:sz="0" w:space="0" w:color="auto"/>
          </w:divBdr>
        </w:div>
        <w:div w:id="1387139815">
          <w:marLeft w:val="0"/>
          <w:marRight w:val="0"/>
          <w:marTop w:val="0"/>
          <w:marBottom w:val="0"/>
          <w:divBdr>
            <w:top w:val="none" w:sz="0" w:space="0" w:color="auto"/>
            <w:left w:val="none" w:sz="0" w:space="0" w:color="auto"/>
            <w:bottom w:val="none" w:sz="0" w:space="0" w:color="auto"/>
            <w:right w:val="none" w:sz="0" w:space="0" w:color="auto"/>
          </w:divBdr>
        </w:div>
        <w:div w:id="1398897315">
          <w:marLeft w:val="0"/>
          <w:marRight w:val="0"/>
          <w:marTop w:val="0"/>
          <w:marBottom w:val="0"/>
          <w:divBdr>
            <w:top w:val="none" w:sz="0" w:space="0" w:color="auto"/>
            <w:left w:val="none" w:sz="0" w:space="0" w:color="auto"/>
            <w:bottom w:val="none" w:sz="0" w:space="0" w:color="auto"/>
            <w:right w:val="none" w:sz="0" w:space="0" w:color="auto"/>
          </w:divBdr>
        </w:div>
        <w:div w:id="1432123532">
          <w:marLeft w:val="0"/>
          <w:marRight w:val="0"/>
          <w:marTop w:val="0"/>
          <w:marBottom w:val="0"/>
          <w:divBdr>
            <w:top w:val="none" w:sz="0" w:space="0" w:color="auto"/>
            <w:left w:val="none" w:sz="0" w:space="0" w:color="auto"/>
            <w:bottom w:val="none" w:sz="0" w:space="0" w:color="auto"/>
            <w:right w:val="none" w:sz="0" w:space="0" w:color="auto"/>
          </w:divBdr>
        </w:div>
        <w:div w:id="1448087088">
          <w:marLeft w:val="0"/>
          <w:marRight w:val="0"/>
          <w:marTop w:val="0"/>
          <w:marBottom w:val="0"/>
          <w:divBdr>
            <w:top w:val="none" w:sz="0" w:space="0" w:color="auto"/>
            <w:left w:val="none" w:sz="0" w:space="0" w:color="auto"/>
            <w:bottom w:val="none" w:sz="0" w:space="0" w:color="auto"/>
            <w:right w:val="none" w:sz="0" w:space="0" w:color="auto"/>
          </w:divBdr>
        </w:div>
        <w:div w:id="1448617289">
          <w:marLeft w:val="0"/>
          <w:marRight w:val="0"/>
          <w:marTop w:val="0"/>
          <w:marBottom w:val="0"/>
          <w:divBdr>
            <w:top w:val="none" w:sz="0" w:space="0" w:color="auto"/>
            <w:left w:val="none" w:sz="0" w:space="0" w:color="auto"/>
            <w:bottom w:val="none" w:sz="0" w:space="0" w:color="auto"/>
            <w:right w:val="none" w:sz="0" w:space="0" w:color="auto"/>
          </w:divBdr>
        </w:div>
        <w:div w:id="1449278408">
          <w:marLeft w:val="0"/>
          <w:marRight w:val="0"/>
          <w:marTop w:val="0"/>
          <w:marBottom w:val="0"/>
          <w:divBdr>
            <w:top w:val="none" w:sz="0" w:space="0" w:color="auto"/>
            <w:left w:val="none" w:sz="0" w:space="0" w:color="auto"/>
            <w:bottom w:val="none" w:sz="0" w:space="0" w:color="auto"/>
            <w:right w:val="none" w:sz="0" w:space="0" w:color="auto"/>
          </w:divBdr>
        </w:div>
        <w:div w:id="1451165169">
          <w:marLeft w:val="0"/>
          <w:marRight w:val="0"/>
          <w:marTop w:val="0"/>
          <w:marBottom w:val="0"/>
          <w:divBdr>
            <w:top w:val="none" w:sz="0" w:space="0" w:color="auto"/>
            <w:left w:val="none" w:sz="0" w:space="0" w:color="auto"/>
            <w:bottom w:val="none" w:sz="0" w:space="0" w:color="auto"/>
            <w:right w:val="none" w:sz="0" w:space="0" w:color="auto"/>
          </w:divBdr>
        </w:div>
        <w:div w:id="1452281805">
          <w:marLeft w:val="0"/>
          <w:marRight w:val="0"/>
          <w:marTop w:val="0"/>
          <w:marBottom w:val="0"/>
          <w:divBdr>
            <w:top w:val="none" w:sz="0" w:space="0" w:color="auto"/>
            <w:left w:val="none" w:sz="0" w:space="0" w:color="auto"/>
            <w:bottom w:val="none" w:sz="0" w:space="0" w:color="auto"/>
            <w:right w:val="none" w:sz="0" w:space="0" w:color="auto"/>
          </w:divBdr>
        </w:div>
        <w:div w:id="1504779123">
          <w:marLeft w:val="0"/>
          <w:marRight w:val="0"/>
          <w:marTop w:val="0"/>
          <w:marBottom w:val="0"/>
          <w:divBdr>
            <w:top w:val="none" w:sz="0" w:space="0" w:color="auto"/>
            <w:left w:val="none" w:sz="0" w:space="0" w:color="auto"/>
            <w:bottom w:val="none" w:sz="0" w:space="0" w:color="auto"/>
            <w:right w:val="none" w:sz="0" w:space="0" w:color="auto"/>
          </w:divBdr>
        </w:div>
        <w:div w:id="1509829181">
          <w:marLeft w:val="0"/>
          <w:marRight w:val="0"/>
          <w:marTop w:val="0"/>
          <w:marBottom w:val="0"/>
          <w:divBdr>
            <w:top w:val="none" w:sz="0" w:space="0" w:color="auto"/>
            <w:left w:val="none" w:sz="0" w:space="0" w:color="auto"/>
            <w:bottom w:val="none" w:sz="0" w:space="0" w:color="auto"/>
            <w:right w:val="none" w:sz="0" w:space="0" w:color="auto"/>
          </w:divBdr>
        </w:div>
        <w:div w:id="1531727152">
          <w:marLeft w:val="0"/>
          <w:marRight w:val="0"/>
          <w:marTop w:val="0"/>
          <w:marBottom w:val="0"/>
          <w:divBdr>
            <w:top w:val="none" w:sz="0" w:space="0" w:color="auto"/>
            <w:left w:val="none" w:sz="0" w:space="0" w:color="auto"/>
            <w:bottom w:val="none" w:sz="0" w:space="0" w:color="auto"/>
            <w:right w:val="none" w:sz="0" w:space="0" w:color="auto"/>
          </w:divBdr>
        </w:div>
        <w:div w:id="1555386659">
          <w:marLeft w:val="0"/>
          <w:marRight w:val="0"/>
          <w:marTop w:val="0"/>
          <w:marBottom w:val="0"/>
          <w:divBdr>
            <w:top w:val="none" w:sz="0" w:space="0" w:color="auto"/>
            <w:left w:val="none" w:sz="0" w:space="0" w:color="auto"/>
            <w:bottom w:val="none" w:sz="0" w:space="0" w:color="auto"/>
            <w:right w:val="none" w:sz="0" w:space="0" w:color="auto"/>
          </w:divBdr>
        </w:div>
        <w:div w:id="1601716856">
          <w:marLeft w:val="0"/>
          <w:marRight w:val="0"/>
          <w:marTop w:val="0"/>
          <w:marBottom w:val="0"/>
          <w:divBdr>
            <w:top w:val="none" w:sz="0" w:space="0" w:color="auto"/>
            <w:left w:val="none" w:sz="0" w:space="0" w:color="auto"/>
            <w:bottom w:val="none" w:sz="0" w:space="0" w:color="auto"/>
            <w:right w:val="none" w:sz="0" w:space="0" w:color="auto"/>
          </w:divBdr>
        </w:div>
        <w:div w:id="1643198198">
          <w:marLeft w:val="0"/>
          <w:marRight w:val="0"/>
          <w:marTop w:val="0"/>
          <w:marBottom w:val="0"/>
          <w:divBdr>
            <w:top w:val="none" w:sz="0" w:space="0" w:color="auto"/>
            <w:left w:val="none" w:sz="0" w:space="0" w:color="auto"/>
            <w:bottom w:val="none" w:sz="0" w:space="0" w:color="auto"/>
            <w:right w:val="none" w:sz="0" w:space="0" w:color="auto"/>
          </w:divBdr>
        </w:div>
        <w:div w:id="1652783253">
          <w:marLeft w:val="0"/>
          <w:marRight w:val="0"/>
          <w:marTop w:val="0"/>
          <w:marBottom w:val="0"/>
          <w:divBdr>
            <w:top w:val="none" w:sz="0" w:space="0" w:color="auto"/>
            <w:left w:val="none" w:sz="0" w:space="0" w:color="auto"/>
            <w:bottom w:val="none" w:sz="0" w:space="0" w:color="auto"/>
            <w:right w:val="none" w:sz="0" w:space="0" w:color="auto"/>
          </w:divBdr>
        </w:div>
        <w:div w:id="1660381832">
          <w:marLeft w:val="0"/>
          <w:marRight w:val="0"/>
          <w:marTop w:val="0"/>
          <w:marBottom w:val="0"/>
          <w:divBdr>
            <w:top w:val="none" w:sz="0" w:space="0" w:color="auto"/>
            <w:left w:val="none" w:sz="0" w:space="0" w:color="auto"/>
            <w:bottom w:val="none" w:sz="0" w:space="0" w:color="auto"/>
            <w:right w:val="none" w:sz="0" w:space="0" w:color="auto"/>
          </w:divBdr>
        </w:div>
        <w:div w:id="1711344680">
          <w:marLeft w:val="0"/>
          <w:marRight w:val="0"/>
          <w:marTop w:val="0"/>
          <w:marBottom w:val="0"/>
          <w:divBdr>
            <w:top w:val="none" w:sz="0" w:space="0" w:color="auto"/>
            <w:left w:val="none" w:sz="0" w:space="0" w:color="auto"/>
            <w:bottom w:val="none" w:sz="0" w:space="0" w:color="auto"/>
            <w:right w:val="none" w:sz="0" w:space="0" w:color="auto"/>
          </w:divBdr>
        </w:div>
        <w:div w:id="1754156178">
          <w:marLeft w:val="0"/>
          <w:marRight w:val="0"/>
          <w:marTop w:val="0"/>
          <w:marBottom w:val="0"/>
          <w:divBdr>
            <w:top w:val="none" w:sz="0" w:space="0" w:color="auto"/>
            <w:left w:val="none" w:sz="0" w:space="0" w:color="auto"/>
            <w:bottom w:val="none" w:sz="0" w:space="0" w:color="auto"/>
            <w:right w:val="none" w:sz="0" w:space="0" w:color="auto"/>
          </w:divBdr>
        </w:div>
        <w:div w:id="1779107528">
          <w:marLeft w:val="0"/>
          <w:marRight w:val="0"/>
          <w:marTop w:val="0"/>
          <w:marBottom w:val="0"/>
          <w:divBdr>
            <w:top w:val="none" w:sz="0" w:space="0" w:color="auto"/>
            <w:left w:val="none" w:sz="0" w:space="0" w:color="auto"/>
            <w:bottom w:val="none" w:sz="0" w:space="0" w:color="auto"/>
            <w:right w:val="none" w:sz="0" w:space="0" w:color="auto"/>
          </w:divBdr>
        </w:div>
        <w:div w:id="1792242275">
          <w:marLeft w:val="0"/>
          <w:marRight w:val="0"/>
          <w:marTop w:val="0"/>
          <w:marBottom w:val="0"/>
          <w:divBdr>
            <w:top w:val="none" w:sz="0" w:space="0" w:color="auto"/>
            <w:left w:val="none" w:sz="0" w:space="0" w:color="auto"/>
            <w:bottom w:val="none" w:sz="0" w:space="0" w:color="auto"/>
            <w:right w:val="none" w:sz="0" w:space="0" w:color="auto"/>
          </w:divBdr>
        </w:div>
        <w:div w:id="1833252113">
          <w:marLeft w:val="0"/>
          <w:marRight w:val="0"/>
          <w:marTop w:val="0"/>
          <w:marBottom w:val="0"/>
          <w:divBdr>
            <w:top w:val="none" w:sz="0" w:space="0" w:color="auto"/>
            <w:left w:val="none" w:sz="0" w:space="0" w:color="auto"/>
            <w:bottom w:val="none" w:sz="0" w:space="0" w:color="auto"/>
            <w:right w:val="none" w:sz="0" w:space="0" w:color="auto"/>
          </w:divBdr>
        </w:div>
        <w:div w:id="1866602940">
          <w:marLeft w:val="0"/>
          <w:marRight w:val="0"/>
          <w:marTop w:val="0"/>
          <w:marBottom w:val="0"/>
          <w:divBdr>
            <w:top w:val="none" w:sz="0" w:space="0" w:color="auto"/>
            <w:left w:val="none" w:sz="0" w:space="0" w:color="auto"/>
            <w:bottom w:val="none" w:sz="0" w:space="0" w:color="auto"/>
            <w:right w:val="none" w:sz="0" w:space="0" w:color="auto"/>
          </w:divBdr>
        </w:div>
        <w:div w:id="1875657453">
          <w:marLeft w:val="0"/>
          <w:marRight w:val="0"/>
          <w:marTop w:val="0"/>
          <w:marBottom w:val="0"/>
          <w:divBdr>
            <w:top w:val="none" w:sz="0" w:space="0" w:color="auto"/>
            <w:left w:val="none" w:sz="0" w:space="0" w:color="auto"/>
            <w:bottom w:val="none" w:sz="0" w:space="0" w:color="auto"/>
            <w:right w:val="none" w:sz="0" w:space="0" w:color="auto"/>
          </w:divBdr>
        </w:div>
        <w:div w:id="1876773723">
          <w:marLeft w:val="0"/>
          <w:marRight w:val="0"/>
          <w:marTop w:val="0"/>
          <w:marBottom w:val="0"/>
          <w:divBdr>
            <w:top w:val="none" w:sz="0" w:space="0" w:color="auto"/>
            <w:left w:val="none" w:sz="0" w:space="0" w:color="auto"/>
            <w:bottom w:val="none" w:sz="0" w:space="0" w:color="auto"/>
            <w:right w:val="none" w:sz="0" w:space="0" w:color="auto"/>
          </w:divBdr>
        </w:div>
        <w:div w:id="1883903954">
          <w:marLeft w:val="0"/>
          <w:marRight w:val="0"/>
          <w:marTop w:val="0"/>
          <w:marBottom w:val="0"/>
          <w:divBdr>
            <w:top w:val="none" w:sz="0" w:space="0" w:color="auto"/>
            <w:left w:val="none" w:sz="0" w:space="0" w:color="auto"/>
            <w:bottom w:val="none" w:sz="0" w:space="0" w:color="auto"/>
            <w:right w:val="none" w:sz="0" w:space="0" w:color="auto"/>
          </w:divBdr>
        </w:div>
        <w:div w:id="1988317954">
          <w:marLeft w:val="0"/>
          <w:marRight w:val="0"/>
          <w:marTop w:val="0"/>
          <w:marBottom w:val="0"/>
          <w:divBdr>
            <w:top w:val="none" w:sz="0" w:space="0" w:color="auto"/>
            <w:left w:val="none" w:sz="0" w:space="0" w:color="auto"/>
            <w:bottom w:val="none" w:sz="0" w:space="0" w:color="auto"/>
            <w:right w:val="none" w:sz="0" w:space="0" w:color="auto"/>
          </w:divBdr>
        </w:div>
        <w:div w:id="1992784294">
          <w:marLeft w:val="0"/>
          <w:marRight w:val="0"/>
          <w:marTop w:val="0"/>
          <w:marBottom w:val="0"/>
          <w:divBdr>
            <w:top w:val="none" w:sz="0" w:space="0" w:color="auto"/>
            <w:left w:val="none" w:sz="0" w:space="0" w:color="auto"/>
            <w:bottom w:val="none" w:sz="0" w:space="0" w:color="auto"/>
            <w:right w:val="none" w:sz="0" w:space="0" w:color="auto"/>
          </w:divBdr>
        </w:div>
        <w:div w:id="2012753670">
          <w:marLeft w:val="0"/>
          <w:marRight w:val="0"/>
          <w:marTop w:val="0"/>
          <w:marBottom w:val="0"/>
          <w:divBdr>
            <w:top w:val="none" w:sz="0" w:space="0" w:color="auto"/>
            <w:left w:val="none" w:sz="0" w:space="0" w:color="auto"/>
            <w:bottom w:val="none" w:sz="0" w:space="0" w:color="auto"/>
            <w:right w:val="none" w:sz="0" w:space="0" w:color="auto"/>
          </w:divBdr>
        </w:div>
        <w:div w:id="2074815157">
          <w:marLeft w:val="0"/>
          <w:marRight w:val="0"/>
          <w:marTop w:val="0"/>
          <w:marBottom w:val="0"/>
          <w:divBdr>
            <w:top w:val="none" w:sz="0" w:space="0" w:color="auto"/>
            <w:left w:val="none" w:sz="0" w:space="0" w:color="auto"/>
            <w:bottom w:val="none" w:sz="0" w:space="0" w:color="auto"/>
            <w:right w:val="none" w:sz="0" w:space="0" w:color="auto"/>
          </w:divBdr>
        </w:div>
        <w:div w:id="2077969565">
          <w:marLeft w:val="0"/>
          <w:marRight w:val="0"/>
          <w:marTop w:val="0"/>
          <w:marBottom w:val="0"/>
          <w:divBdr>
            <w:top w:val="none" w:sz="0" w:space="0" w:color="auto"/>
            <w:left w:val="none" w:sz="0" w:space="0" w:color="auto"/>
            <w:bottom w:val="none" w:sz="0" w:space="0" w:color="auto"/>
            <w:right w:val="none" w:sz="0" w:space="0" w:color="auto"/>
          </w:divBdr>
        </w:div>
        <w:div w:id="2095278218">
          <w:marLeft w:val="0"/>
          <w:marRight w:val="0"/>
          <w:marTop w:val="0"/>
          <w:marBottom w:val="0"/>
          <w:divBdr>
            <w:top w:val="none" w:sz="0" w:space="0" w:color="auto"/>
            <w:left w:val="none" w:sz="0" w:space="0" w:color="auto"/>
            <w:bottom w:val="none" w:sz="0" w:space="0" w:color="auto"/>
            <w:right w:val="none" w:sz="0" w:space="0" w:color="auto"/>
          </w:divBdr>
        </w:div>
        <w:div w:id="2102868286">
          <w:marLeft w:val="0"/>
          <w:marRight w:val="0"/>
          <w:marTop w:val="0"/>
          <w:marBottom w:val="0"/>
          <w:divBdr>
            <w:top w:val="none" w:sz="0" w:space="0" w:color="auto"/>
            <w:left w:val="none" w:sz="0" w:space="0" w:color="auto"/>
            <w:bottom w:val="none" w:sz="0" w:space="0" w:color="auto"/>
            <w:right w:val="none" w:sz="0" w:space="0" w:color="auto"/>
          </w:divBdr>
        </w:div>
        <w:div w:id="2109765948">
          <w:marLeft w:val="0"/>
          <w:marRight w:val="0"/>
          <w:marTop w:val="0"/>
          <w:marBottom w:val="0"/>
          <w:divBdr>
            <w:top w:val="none" w:sz="0" w:space="0" w:color="auto"/>
            <w:left w:val="none" w:sz="0" w:space="0" w:color="auto"/>
            <w:bottom w:val="none" w:sz="0" w:space="0" w:color="auto"/>
            <w:right w:val="none" w:sz="0" w:space="0" w:color="auto"/>
          </w:divBdr>
        </w:div>
      </w:divsChild>
    </w:div>
    <w:div w:id="65420075">
      <w:bodyDiv w:val="1"/>
      <w:marLeft w:val="0"/>
      <w:marRight w:val="0"/>
      <w:marTop w:val="0"/>
      <w:marBottom w:val="0"/>
      <w:divBdr>
        <w:top w:val="none" w:sz="0" w:space="0" w:color="auto"/>
        <w:left w:val="none" w:sz="0" w:space="0" w:color="auto"/>
        <w:bottom w:val="none" w:sz="0" w:space="0" w:color="auto"/>
        <w:right w:val="none" w:sz="0" w:space="0" w:color="auto"/>
      </w:divBdr>
    </w:div>
    <w:div w:id="72162781">
      <w:bodyDiv w:val="1"/>
      <w:marLeft w:val="0"/>
      <w:marRight w:val="0"/>
      <w:marTop w:val="0"/>
      <w:marBottom w:val="0"/>
      <w:divBdr>
        <w:top w:val="none" w:sz="0" w:space="0" w:color="auto"/>
        <w:left w:val="none" w:sz="0" w:space="0" w:color="auto"/>
        <w:bottom w:val="none" w:sz="0" w:space="0" w:color="auto"/>
        <w:right w:val="none" w:sz="0" w:space="0" w:color="auto"/>
      </w:divBdr>
    </w:div>
    <w:div w:id="100105741">
      <w:bodyDiv w:val="1"/>
      <w:marLeft w:val="0"/>
      <w:marRight w:val="0"/>
      <w:marTop w:val="0"/>
      <w:marBottom w:val="0"/>
      <w:divBdr>
        <w:top w:val="none" w:sz="0" w:space="0" w:color="auto"/>
        <w:left w:val="none" w:sz="0" w:space="0" w:color="auto"/>
        <w:bottom w:val="none" w:sz="0" w:space="0" w:color="auto"/>
        <w:right w:val="none" w:sz="0" w:space="0" w:color="auto"/>
      </w:divBdr>
      <w:divsChild>
        <w:div w:id="190382158">
          <w:marLeft w:val="0"/>
          <w:marRight w:val="0"/>
          <w:marTop w:val="0"/>
          <w:marBottom w:val="0"/>
          <w:divBdr>
            <w:top w:val="none" w:sz="0" w:space="0" w:color="auto"/>
            <w:left w:val="none" w:sz="0" w:space="0" w:color="auto"/>
            <w:bottom w:val="none" w:sz="0" w:space="0" w:color="auto"/>
            <w:right w:val="none" w:sz="0" w:space="0" w:color="auto"/>
          </w:divBdr>
        </w:div>
        <w:div w:id="996808582">
          <w:marLeft w:val="0"/>
          <w:marRight w:val="0"/>
          <w:marTop w:val="0"/>
          <w:marBottom w:val="0"/>
          <w:divBdr>
            <w:top w:val="none" w:sz="0" w:space="0" w:color="auto"/>
            <w:left w:val="none" w:sz="0" w:space="0" w:color="auto"/>
            <w:bottom w:val="none" w:sz="0" w:space="0" w:color="auto"/>
            <w:right w:val="none" w:sz="0" w:space="0" w:color="auto"/>
          </w:divBdr>
        </w:div>
        <w:div w:id="1109817776">
          <w:marLeft w:val="0"/>
          <w:marRight w:val="0"/>
          <w:marTop w:val="0"/>
          <w:marBottom w:val="0"/>
          <w:divBdr>
            <w:top w:val="none" w:sz="0" w:space="0" w:color="auto"/>
            <w:left w:val="none" w:sz="0" w:space="0" w:color="auto"/>
            <w:bottom w:val="none" w:sz="0" w:space="0" w:color="auto"/>
            <w:right w:val="none" w:sz="0" w:space="0" w:color="auto"/>
          </w:divBdr>
        </w:div>
        <w:div w:id="1204175278">
          <w:marLeft w:val="0"/>
          <w:marRight w:val="0"/>
          <w:marTop w:val="0"/>
          <w:marBottom w:val="0"/>
          <w:divBdr>
            <w:top w:val="none" w:sz="0" w:space="0" w:color="auto"/>
            <w:left w:val="none" w:sz="0" w:space="0" w:color="auto"/>
            <w:bottom w:val="none" w:sz="0" w:space="0" w:color="auto"/>
            <w:right w:val="none" w:sz="0" w:space="0" w:color="auto"/>
          </w:divBdr>
        </w:div>
        <w:div w:id="1978993325">
          <w:marLeft w:val="0"/>
          <w:marRight w:val="0"/>
          <w:marTop w:val="0"/>
          <w:marBottom w:val="0"/>
          <w:divBdr>
            <w:top w:val="none" w:sz="0" w:space="0" w:color="auto"/>
            <w:left w:val="none" w:sz="0" w:space="0" w:color="auto"/>
            <w:bottom w:val="none" w:sz="0" w:space="0" w:color="auto"/>
            <w:right w:val="none" w:sz="0" w:space="0" w:color="auto"/>
          </w:divBdr>
        </w:div>
        <w:div w:id="2054697599">
          <w:marLeft w:val="0"/>
          <w:marRight w:val="0"/>
          <w:marTop w:val="0"/>
          <w:marBottom w:val="0"/>
          <w:divBdr>
            <w:top w:val="none" w:sz="0" w:space="0" w:color="auto"/>
            <w:left w:val="none" w:sz="0" w:space="0" w:color="auto"/>
            <w:bottom w:val="none" w:sz="0" w:space="0" w:color="auto"/>
            <w:right w:val="none" w:sz="0" w:space="0" w:color="auto"/>
          </w:divBdr>
        </w:div>
      </w:divsChild>
    </w:div>
    <w:div w:id="107697507">
      <w:bodyDiv w:val="1"/>
      <w:marLeft w:val="0"/>
      <w:marRight w:val="0"/>
      <w:marTop w:val="0"/>
      <w:marBottom w:val="0"/>
      <w:divBdr>
        <w:top w:val="none" w:sz="0" w:space="0" w:color="auto"/>
        <w:left w:val="none" w:sz="0" w:space="0" w:color="auto"/>
        <w:bottom w:val="none" w:sz="0" w:space="0" w:color="auto"/>
        <w:right w:val="none" w:sz="0" w:space="0" w:color="auto"/>
      </w:divBdr>
    </w:div>
    <w:div w:id="113641538">
      <w:bodyDiv w:val="1"/>
      <w:marLeft w:val="0"/>
      <w:marRight w:val="0"/>
      <w:marTop w:val="0"/>
      <w:marBottom w:val="0"/>
      <w:divBdr>
        <w:top w:val="none" w:sz="0" w:space="0" w:color="auto"/>
        <w:left w:val="none" w:sz="0" w:space="0" w:color="auto"/>
        <w:bottom w:val="none" w:sz="0" w:space="0" w:color="auto"/>
        <w:right w:val="none" w:sz="0" w:space="0" w:color="auto"/>
      </w:divBdr>
    </w:div>
    <w:div w:id="115953222">
      <w:bodyDiv w:val="1"/>
      <w:marLeft w:val="0"/>
      <w:marRight w:val="0"/>
      <w:marTop w:val="0"/>
      <w:marBottom w:val="0"/>
      <w:divBdr>
        <w:top w:val="none" w:sz="0" w:space="0" w:color="auto"/>
        <w:left w:val="none" w:sz="0" w:space="0" w:color="auto"/>
        <w:bottom w:val="none" w:sz="0" w:space="0" w:color="auto"/>
        <w:right w:val="none" w:sz="0" w:space="0" w:color="auto"/>
      </w:divBdr>
    </w:div>
    <w:div w:id="120467219">
      <w:bodyDiv w:val="1"/>
      <w:marLeft w:val="0"/>
      <w:marRight w:val="0"/>
      <w:marTop w:val="0"/>
      <w:marBottom w:val="0"/>
      <w:divBdr>
        <w:top w:val="none" w:sz="0" w:space="0" w:color="auto"/>
        <w:left w:val="none" w:sz="0" w:space="0" w:color="auto"/>
        <w:bottom w:val="none" w:sz="0" w:space="0" w:color="auto"/>
        <w:right w:val="none" w:sz="0" w:space="0" w:color="auto"/>
      </w:divBdr>
    </w:div>
    <w:div w:id="148864103">
      <w:bodyDiv w:val="1"/>
      <w:marLeft w:val="0"/>
      <w:marRight w:val="0"/>
      <w:marTop w:val="0"/>
      <w:marBottom w:val="0"/>
      <w:divBdr>
        <w:top w:val="none" w:sz="0" w:space="0" w:color="auto"/>
        <w:left w:val="none" w:sz="0" w:space="0" w:color="auto"/>
        <w:bottom w:val="none" w:sz="0" w:space="0" w:color="auto"/>
        <w:right w:val="none" w:sz="0" w:space="0" w:color="auto"/>
      </w:divBdr>
    </w:div>
    <w:div w:id="157811865">
      <w:bodyDiv w:val="1"/>
      <w:marLeft w:val="0"/>
      <w:marRight w:val="0"/>
      <w:marTop w:val="0"/>
      <w:marBottom w:val="0"/>
      <w:divBdr>
        <w:top w:val="none" w:sz="0" w:space="0" w:color="auto"/>
        <w:left w:val="none" w:sz="0" w:space="0" w:color="auto"/>
        <w:bottom w:val="none" w:sz="0" w:space="0" w:color="auto"/>
        <w:right w:val="none" w:sz="0" w:space="0" w:color="auto"/>
      </w:divBdr>
      <w:divsChild>
        <w:div w:id="19666035">
          <w:marLeft w:val="0"/>
          <w:marRight w:val="0"/>
          <w:marTop w:val="0"/>
          <w:marBottom w:val="0"/>
          <w:divBdr>
            <w:top w:val="none" w:sz="0" w:space="0" w:color="auto"/>
            <w:left w:val="none" w:sz="0" w:space="0" w:color="auto"/>
            <w:bottom w:val="none" w:sz="0" w:space="0" w:color="auto"/>
            <w:right w:val="none" w:sz="0" w:space="0" w:color="auto"/>
          </w:divBdr>
        </w:div>
        <w:div w:id="66613793">
          <w:marLeft w:val="0"/>
          <w:marRight w:val="0"/>
          <w:marTop w:val="0"/>
          <w:marBottom w:val="0"/>
          <w:divBdr>
            <w:top w:val="none" w:sz="0" w:space="0" w:color="auto"/>
            <w:left w:val="none" w:sz="0" w:space="0" w:color="auto"/>
            <w:bottom w:val="none" w:sz="0" w:space="0" w:color="auto"/>
            <w:right w:val="none" w:sz="0" w:space="0" w:color="auto"/>
          </w:divBdr>
        </w:div>
        <w:div w:id="245505965">
          <w:marLeft w:val="0"/>
          <w:marRight w:val="0"/>
          <w:marTop w:val="0"/>
          <w:marBottom w:val="0"/>
          <w:divBdr>
            <w:top w:val="none" w:sz="0" w:space="0" w:color="auto"/>
            <w:left w:val="none" w:sz="0" w:space="0" w:color="auto"/>
            <w:bottom w:val="none" w:sz="0" w:space="0" w:color="auto"/>
            <w:right w:val="none" w:sz="0" w:space="0" w:color="auto"/>
          </w:divBdr>
        </w:div>
        <w:div w:id="512839466">
          <w:marLeft w:val="0"/>
          <w:marRight w:val="0"/>
          <w:marTop w:val="0"/>
          <w:marBottom w:val="0"/>
          <w:divBdr>
            <w:top w:val="none" w:sz="0" w:space="0" w:color="auto"/>
            <w:left w:val="none" w:sz="0" w:space="0" w:color="auto"/>
            <w:bottom w:val="none" w:sz="0" w:space="0" w:color="auto"/>
            <w:right w:val="none" w:sz="0" w:space="0" w:color="auto"/>
          </w:divBdr>
        </w:div>
        <w:div w:id="571231389">
          <w:marLeft w:val="0"/>
          <w:marRight w:val="0"/>
          <w:marTop w:val="0"/>
          <w:marBottom w:val="0"/>
          <w:divBdr>
            <w:top w:val="none" w:sz="0" w:space="0" w:color="auto"/>
            <w:left w:val="none" w:sz="0" w:space="0" w:color="auto"/>
            <w:bottom w:val="none" w:sz="0" w:space="0" w:color="auto"/>
            <w:right w:val="none" w:sz="0" w:space="0" w:color="auto"/>
          </w:divBdr>
        </w:div>
        <w:div w:id="580023383">
          <w:marLeft w:val="0"/>
          <w:marRight w:val="0"/>
          <w:marTop w:val="0"/>
          <w:marBottom w:val="0"/>
          <w:divBdr>
            <w:top w:val="none" w:sz="0" w:space="0" w:color="auto"/>
            <w:left w:val="none" w:sz="0" w:space="0" w:color="auto"/>
            <w:bottom w:val="none" w:sz="0" w:space="0" w:color="auto"/>
            <w:right w:val="none" w:sz="0" w:space="0" w:color="auto"/>
          </w:divBdr>
        </w:div>
        <w:div w:id="622229700">
          <w:marLeft w:val="0"/>
          <w:marRight w:val="0"/>
          <w:marTop w:val="0"/>
          <w:marBottom w:val="0"/>
          <w:divBdr>
            <w:top w:val="none" w:sz="0" w:space="0" w:color="auto"/>
            <w:left w:val="none" w:sz="0" w:space="0" w:color="auto"/>
            <w:bottom w:val="none" w:sz="0" w:space="0" w:color="auto"/>
            <w:right w:val="none" w:sz="0" w:space="0" w:color="auto"/>
          </w:divBdr>
        </w:div>
        <w:div w:id="670186115">
          <w:marLeft w:val="0"/>
          <w:marRight w:val="0"/>
          <w:marTop w:val="0"/>
          <w:marBottom w:val="0"/>
          <w:divBdr>
            <w:top w:val="none" w:sz="0" w:space="0" w:color="auto"/>
            <w:left w:val="none" w:sz="0" w:space="0" w:color="auto"/>
            <w:bottom w:val="none" w:sz="0" w:space="0" w:color="auto"/>
            <w:right w:val="none" w:sz="0" w:space="0" w:color="auto"/>
          </w:divBdr>
        </w:div>
        <w:div w:id="672800904">
          <w:marLeft w:val="0"/>
          <w:marRight w:val="0"/>
          <w:marTop w:val="0"/>
          <w:marBottom w:val="0"/>
          <w:divBdr>
            <w:top w:val="none" w:sz="0" w:space="0" w:color="auto"/>
            <w:left w:val="none" w:sz="0" w:space="0" w:color="auto"/>
            <w:bottom w:val="none" w:sz="0" w:space="0" w:color="auto"/>
            <w:right w:val="none" w:sz="0" w:space="0" w:color="auto"/>
          </w:divBdr>
        </w:div>
        <w:div w:id="679619743">
          <w:marLeft w:val="0"/>
          <w:marRight w:val="0"/>
          <w:marTop w:val="0"/>
          <w:marBottom w:val="0"/>
          <w:divBdr>
            <w:top w:val="none" w:sz="0" w:space="0" w:color="auto"/>
            <w:left w:val="none" w:sz="0" w:space="0" w:color="auto"/>
            <w:bottom w:val="none" w:sz="0" w:space="0" w:color="auto"/>
            <w:right w:val="none" w:sz="0" w:space="0" w:color="auto"/>
          </w:divBdr>
        </w:div>
        <w:div w:id="733311357">
          <w:marLeft w:val="0"/>
          <w:marRight w:val="0"/>
          <w:marTop w:val="0"/>
          <w:marBottom w:val="0"/>
          <w:divBdr>
            <w:top w:val="none" w:sz="0" w:space="0" w:color="auto"/>
            <w:left w:val="none" w:sz="0" w:space="0" w:color="auto"/>
            <w:bottom w:val="none" w:sz="0" w:space="0" w:color="auto"/>
            <w:right w:val="none" w:sz="0" w:space="0" w:color="auto"/>
          </w:divBdr>
        </w:div>
        <w:div w:id="754015845">
          <w:marLeft w:val="0"/>
          <w:marRight w:val="0"/>
          <w:marTop w:val="0"/>
          <w:marBottom w:val="0"/>
          <w:divBdr>
            <w:top w:val="none" w:sz="0" w:space="0" w:color="auto"/>
            <w:left w:val="none" w:sz="0" w:space="0" w:color="auto"/>
            <w:bottom w:val="none" w:sz="0" w:space="0" w:color="auto"/>
            <w:right w:val="none" w:sz="0" w:space="0" w:color="auto"/>
          </w:divBdr>
        </w:div>
        <w:div w:id="767699232">
          <w:marLeft w:val="0"/>
          <w:marRight w:val="0"/>
          <w:marTop w:val="0"/>
          <w:marBottom w:val="0"/>
          <w:divBdr>
            <w:top w:val="none" w:sz="0" w:space="0" w:color="auto"/>
            <w:left w:val="none" w:sz="0" w:space="0" w:color="auto"/>
            <w:bottom w:val="none" w:sz="0" w:space="0" w:color="auto"/>
            <w:right w:val="none" w:sz="0" w:space="0" w:color="auto"/>
          </w:divBdr>
        </w:div>
        <w:div w:id="806554662">
          <w:marLeft w:val="0"/>
          <w:marRight w:val="0"/>
          <w:marTop w:val="0"/>
          <w:marBottom w:val="0"/>
          <w:divBdr>
            <w:top w:val="none" w:sz="0" w:space="0" w:color="auto"/>
            <w:left w:val="none" w:sz="0" w:space="0" w:color="auto"/>
            <w:bottom w:val="none" w:sz="0" w:space="0" w:color="auto"/>
            <w:right w:val="none" w:sz="0" w:space="0" w:color="auto"/>
          </w:divBdr>
        </w:div>
        <w:div w:id="917597203">
          <w:marLeft w:val="0"/>
          <w:marRight w:val="0"/>
          <w:marTop w:val="0"/>
          <w:marBottom w:val="0"/>
          <w:divBdr>
            <w:top w:val="none" w:sz="0" w:space="0" w:color="auto"/>
            <w:left w:val="none" w:sz="0" w:space="0" w:color="auto"/>
            <w:bottom w:val="none" w:sz="0" w:space="0" w:color="auto"/>
            <w:right w:val="none" w:sz="0" w:space="0" w:color="auto"/>
          </w:divBdr>
        </w:div>
        <w:div w:id="940722543">
          <w:marLeft w:val="0"/>
          <w:marRight w:val="0"/>
          <w:marTop w:val="0"/>
          <w:marBottom w:val="0"/>
          <w:divBdr>
            <w:top w:val="none" w:sz="0" w:space="0" w:color="auto"/>
            <w:left w:val="none" w:sz="0" w:space="0" w:color="auto"/>
            <w:bottom w:val="none" w:sz="0" w:space="0" w:color="auto"/>
            <w:right w:val="none" w:sz="0" w:space="0" w:color="auto"/>
          </w:divBdr>
        </w:div>
        <w:div w:id="951284774">
          <w:marLeft w:val="0"/>
          <w:marRight w:val="0"/>
          <w:marTop w:val="0"/>
          <w:marBottom w:val="0"/>
          <w:divBdr>
            <w:top w:val="none" w:sz="0" w:space="0" w:color="auto"/>
            <w:left w:val="none" w:sz="0" w:space="0" w:color="auto"/>
            <w:bottom w:val="none" w:sz="0" w:space="0" w:color="auto"/>
            <w:right w:val="none" w:sz="0" w:space="0" w:color="auto"/>
          </w:divBdr>
        </w:div>
        <w:div w:id="1020819027">
          <w:marLeft w:val="0"/>
          <w:marRight w:val="0"/>
          <w:marTop w:val="0"/>
          <w:marBottom w:val="0"/>
          <w:divBdr>
            <w:top w:val="none" w:sz="0" w:space="0" w:color="auto"/>
            <w:left w:val="none" w:sz="0" w:space="0" w:color="auto"/>
            <w:bottom w:val="none" w:sz="0" w:space="0" w:color="auto"/>
            <w:right w:val="none" w:sz="0" w:space="0" w:color="auto"/>
          </w:divBdr>
        </w:div>
        <w:div w:id="1044675647">
          <w:marLeft w:val="0"/>
          <w:marRight w:val="0"/>
          <w:marTop w:val="0"/>
          <w:marBottom w:val="0"/>
          <w:divBdr>
            <w:top w:val="none" w:sz="0" w:space="0" w:color="auto"/>
            <w:left w:val="none" w:sz="0" w:space="0" w:color="auto"/>
            <w:bottom w:val="none" w:sz="0" w:space="0" w:color="auto"/>
            <w:right w:val="none" w:sz="0" w:space="0" w:color="auto"/>
          </w:divBdr>
        </w:div>
        <w:div w:id="1068265247">
          <w:marLeft w:val="0"/>
          <w:marRight w:val="0"/>
          <w:marTop w:val="0"/>
          <w:marBottom w:val="0"/>
          <w:divBdr>
            <w:top w:val="none" w:sz="0" w:space="0" w:color="auto"/>
            <w:left w:val="none" w:sz="0" w:space="0" w:color="auto"/>
            <w:bottom w:val="none" w:sz="0" w:space="0" w:color="auto"/>
            <w:right w:val="none" w:sz="0" w:space="0" w:color="auto"/>
          </w:divBdr>
        </w:div>
        <w:div w:id="1110125873">
          <w:marLeft w:val="0"/>
          <w:marRight w:val="0"/>
          <w:marTop w:val="0"/>
          <w:marBottom w:val="0"/>
          <w:divBdr>
            <w:top w:val="none" w:sz="0" w:space="0" w:color="auto"/>
            <w:left w:val="none" w:sz="0" w:space="0" w:color="auto"/>
            <w:bottom w:val="none" w:sz="0" w:space="0" w:color="auto"/>
            <w:right w:val="none" w:sz="0" w:space="0" w:color="auto"/>
          </w:divBdr>
        </w:div>
        <w:div w:id="1152210978">
          <w:marLeft w:val="0"/>
          <w:marRight w:val="0"/>
          <w:marTop w:val="0"/>
          <w:marBottom w:val="0"/>
          <w:divBdr>
            <w:top w:val="none" w:sz="0" w:space="0" w:color="auto"/>
            <w:left w:val="none" w:sz="0" w:space="0" w:color="auto"/>
            <w:bottom w:val="none" w:sz="0" w:space="0" w:color="auto"/>
            <w:right w:val="none" w:sz="0" w:space="0" w:color="auto"/>
          </w:divBdr>
        </w:div>
        <w:div w:id="1263806777">
          <w:marLeft w:val="0"/>
          <w:marRight w:val="0"/>
          <w:marTop w:val="0"/>
          <w:marBottom w:val="0"/>
          <w:divBdr>
            <w:top w:val="none" w:sz="0" w:space="0" w:color="auto"/>
            <w:left w:val="none" w:sz="0" w:space="0" w:color="auto"/>
            <w:bottom w:val="none" w:sz="0" w:space="0" w:color="auto"/>
            <w:right w:val="none" w:sz="0" w:space="0" w:color="auto"/>
          </w:divBdr>
        </w:div>
        <w:div w:id="1342001252">
          <w:marLeft w:val="0"/>
          <w:marRight w:val="0"/>
          <w:marTop w:val="0"/>
          <w:marBottom w:val="0"/>
          <w:divBdr>
            <w:top w:val="none" w:sz="0" w:space="0" w:color="auto"/>
            <w:left w:val="none" w:sz="0" w:space="0" w:color="auto"/>
            <w:bottom w:val="none" w:sz="0" w:space="0" w:color="auto"/>
            <w:right w:val="none" w:sz="0" w:space="0" w:color="auto"/>
          </w:divBdr>
        </w:div>
        <w:div w:id="1343899384">
          <w:marLeft w:val="0"/>
          <w:marRight w:val="0"/>
          <w:marTop w:val="0"/>
          <w:marBottom w:val="0"/>
          <w:divBdr>
            <w:top w:val="none" w:sz="0" w:space="0" w:color="auto"/>
            <w:left w:val="none" w:sz="0" w:space="0" w:color="auto"/>
            <w:bottom w:val="none" w:sz="0" w:space="0" w:color="auto"/>
            <w:right w:val="none" w:sz="0" w:space="0" w:color="auto"/>
          </w:divBdr>
        </w:div>
        <w:div w:id="1375928400">
          <w:marLeft w:val="0"/>
          <w:marRight w:val="0"/>
          <w:marTop w:val="0"/>
          <w:marBottom w:val="0"/>
          <w:divBdr>
            <w:top w:val="none" w:sz="0" w:space="0" w:color="auto"/>
            <w:left w:val="none" w:sz="0" w:space="0" w:color="auto"/>
            <w:bottom w:val="none" w:sz="0" w:space="0" w:color="auto"/>
            <w:right w:val="none" w:sz="0" w:space="0" w:color="auto"/>
          </w:divBdr>
        </w:div>
        <w:div w:id="1561675592">
          <w:marLeft w:val="0"/>
          <w:marRight w:val="0"/>
          <w:marTop w:val="0"/>
          <w:marBottom w:val="0"/>
          <w:divBdr>
            <w:top w:val="none" w:sz="0" w:space="0" w:color="auto"/>
            <w:left w:val="none" w:sz="0" w:space="0" w:color="auto"/>
            <w:bottom w:val="none" w:sz="0" w:space="0" w:color="auto"/>
            <w:right w:val="none" w:sz="0" w:space="0" w:color="auto"/>
          </w:divBdr>
        </w:div>
        <w:div w:id="1764836298">
          <w:marLeft w:val="0"/>
          <w:marRight w:val="0"/>
          <w:marTop w:val="0"/>
          <w:marBottom w:val="0"/>
          <w:divBdr>
            <w:top w:val="none" w:sz="0" w:space="0" w:color="auto"/>
            <w:left w:val="none" w:sz="0" w:space="0" w:color="auto"/>
            <w:bottom w:val="none" w:sz="0" w:space="0" w:color="auto"/>
            <w:right w:val="none" w:sz="0" w:space="0" w:color="auto"/>
          </w:divBdr>
        </w:div>
        <w:div w:id="1907836738">
          <w:marLeft w:val="0"/>
          <w:marRight w:val="0"/>
          <w:marTop w:val="0"/>
          <w:marBottom w:val="0"/>
          <w:divBdr>
            <w:top w:val="none" w:sz="0" w:space="0" w:color="auto"/>
            <w:left w:val="none" w:sz="0" w:space="0" w:color="auto"/>
            <w:bottom w:val="none" w:sz="0" w:space="0" w:color="auto"/>
            <w:right w:val="none" w:sz="0" w:space="0" w:color="auto"/>
          </w:divBdr>
        </w:div>
        <w:div w:id="1918513897">
          <w:marLeft w:val="0"/>
          <w:marRight w:val="0"/>
          <w:marTop w:val="0"/>
          <w:marBottom w:val="0"/>
          <w:divBdr>
            <w:top w:val="none" w:sz="0" w:space="0" w:color="auto"/>
            <w:left w:val="none" w:sz="0" w:space="0" w:color="auto"/>
            <w:bottom w:val="none" w:sz="0" w:space="0" w:color="auto"/>
            <w:right w:val="none" w:sz="0" w:space="0" w:color="auto"/>
          </w:divBdr>
        </w:div>
        <w:div w:id="1943031852">
          <w:marLeft w:val="0"/>
          <w:marRight w:val="0"/>
          <w:marTop w:val="0"/>
          <w:marBottom w:val="0"/>
          <w:divBdr>
            <w:top w:val="none" w:sz="0" w:space="0" w:color="auto"/>
            <w:left w:val="none" w:sz="0" w:space="0" w:color="auto"/>
            <w:bottom w:val="none" w:sz="0" w:space="0" w:color="auto"/>
            <w:right w:val="none" w:sz="0" w:space="0" w:color="auto"/>
          </w:divBdr>
        </w:div>
        <w:div w:id="2139755457">
          <w:marLeft w:val="0"/>
          <w:marRight w:val="0"/>
          <w:marTop w:val="0"/>
          <w:marBottom w:val="0"/>
          <w:divBdr>
            <w:top w:val="none" w:sz="0" w:space="0" w:color="auto"/>
            <w:left w:val="none" w:sz="0" w:space="0" w:color="auto"/>
            <w:bottom w:val="none" w:sz="0" w:space="0" w:color="auto"/>
            <w:right w:val="none" w:sz="0" w:space="0" w:color="auto"/>
          </w:divBdr>
        </w:div>
      </w:divsChild>
    </w:div>
    <w:div w:id="175924806">
      <w:bodyDiv w:val="1"/>
      <w:marLeft w:val="0"/>
      <w:marRight w:val="0"/>
      <w:marTop w:val="0"/>
      <w:marBottom w:val="0"/>
      <w:divBdr>
        <w:top w:val="none" w:sz="0" w:space="0" w:color="auto"/>
        <w:left w:val="none" w:sz="0" w:space="0" w:color="auto"/>
        <w:bottom w:val="none" w:sz="0" w:space="0" w:color="auto"/>
        <w:right w:val="none" w:sz="0" w:space="0" w:color="auto"/>
      </w:divBdr>
    </w:div>
    <w:div w:id="198662244">
      <w:bodyDiv w:val="1"/>
      <w:marLeft w:val="0"/>
      <w:marRight w:val="0"/>
      <w:marTop w:val="0"/>
      <w:marBottom w:val="0"/>
      <w:divBdr>
        <w:top w:val="none" w:sz="0" w:space="0" w:color="auto"/>
        <w:left w:val="none" w:sz="0" w:space="0" w:color="auto"/>
        <w:bottom w:val="none" w:sz="0" w:space="0" w:color="auto"/>
        <w:right w:val="none" w:sz="0" w:space="0" w:color="auto"/>
      </w:divBdr>
      <w:divsChild>
        <w:div w:id="20473555">
          <w:marLeft w:val="0"/>
          <w:marRight w:val="0"/>
          <w:marTop w:val="0"/>
          <w:marBottom w:val="0"/>
          <w:divBdr>
            <w:top w:val="none" w:sz="0" w:space="0" w:color="auto"/>
            <w:left w:val="none" w:sz="0" w:space="0" w:color="auto"/>
            <w:bottom w:val="none" w:sz="0" w:space="0" w:color="auto"/>
            <w:right w:val="none" w:sz="0" w:space="0" w:color="auto"/>
          </w:divBdr>
        </w:div>
        <w:div w:id="93089663">
          <w:marLeft w:val="0"/>
          <w:marRight w:val="0"/>
          <w:marTop w:val="0"/>
          <w:marBottom w:val="0"/>
          <w:divBdr>
            <w:top w:val="none" w:sz="0" w:space="0" w:color="auto"/>
            <w:left w:val="none" w:sz="0" w:space="0" w:color="auto"/>
            <w:bottom w:val="none" w:sz="0" w:space="0" w:color="auto"/>
            <w:right w:val="none" w:sz="0" w:space="0" w:color="auto"/>
          </w:divBdr>
        </w:div>
        <w:div w:id="279073032">
          <w:marLeft w:val="0"/>
          <w:marRight w:val="0"/>
          <w:marTop w:val="0"/>
          <w:marBottom w:val="0"/>
          <w:divBdr>
            <w:top w:val="none" w:sz="0" w:space="0" w:color="auto"/>
            <w:left w:val="none" w:sz="0" w:space="0" w:color="auto"/>
            <w:bottom w:val="none" w:sz="0" w:space="0" w:color="auto"/>
            <w:right w:val="none" w:sz="0" w:space="0" w:color="auto"/>
          </w:divBdr>
        </w:div>
        <w:div w:id="376972509">
          <w:marLeft w:val="0"/>
          <w:marRight w:val="0"/>
          <w:marTop w:val="0"/>
          <w:marBottom w:val="0"/>
          <w:divBdr>
            <w:top w:val="none" w:sz="0" w:space="0" w:color="auto"/>
            <w:left w:val="none" w:sz="0" w:space="0" w:color="auto"/>
            <w:bottom w:val="none" w:sz="0" w:space="0" w:color="auto"/>
            <w:right w:val="none" w:sz="0" w:space="0" w:color="auto"/>
          </w:divBdr>
        </w:div>
        <w:div w:id="409936621">
          <w:marLeft w:val="0"/>
          <w:marRight w:val="0"/>
          <w:marTop w:val="0"/>
          <w:marBottom w:val="0"/>
          <w:divBdr>
            <w:top w:val="none" w:sz="0" w:space="0" w:color="auto"/>
            <w:left w:val="none" w:sz="0" w:space="0" w:color="auto"/>
            <w:bottom w:val="none" w:sz="0" w:space="0" w:color="auto"/>
            <w:right w:val="none" w:sz="0" w:space="0" w:color="auto"/>
          </w:divBdr>
        </w:div>
        <w:div w:id="526260944">
          <w:marLeft w:val="0"/>
          <w:marRight w:val="0"/>
          <w:marTop w:val="0"/>
          <w:marBottom w:val="0"/>
          <w:divBdr>
            <w:top w:val="none" w:sz="0" w:space="0" w:color="auto"/>
            <w:left w:val="none" w:sz="0" w:space="0" w:color="auto"/>
            <w:bottom w:val="none" w:sz="0" w:space="0" w:color="auto"/>
            <w:right w:val="none" w:sz="0" w:space="0" w:color="auto"/>
          </w:divBdr>
        </w:div>
        <w:div w:id="528222059">
          <w:marLeft w:val="0"/>
          <w:marRight w:val="0"/>
          <w:marTop w:val="0"/>
          <w:marBottom w:val="0"/>
          <w:divBdr>
            <w:top w:val="none" w:sz="0" w:space="0" w:color="auto"/>
            <w:left w:val="none" w:sz="0" w:space="0" w:color="auto"/>
            <w:bottom w:val="none" w:sz="0" w:space="0" w:color="auto"/>
            <w:right w:val="none" w:sz="0" w:space="0" w:color="auto"/>
          </w:divBdr>
        </w:div>
        <w:div w:id="555550293">
          <w:marLeft w:val="0"/>
          <w:marRight w:val="0"/>
          <w:marTop w:val="0"/>
          <w:marBottom w:val="0"/>
          <w:divBdr>
            <w:top w:val="none" w:sz="0" w:space="0" w:color="auto"/>
            <w:left w:val="none" w:sz="0" w:space="0" w:color="auto"/>
            <w:bottom w:val="none" w:sz="0" w:space="0" w:color="auto"/>
            <w:right w:val="none" w:sz="0" w:space="0" w:color="auto"/>
          </w:divBdr>
        </w:div>
        <w:div w:id="723798898">
          <w:marLeft w:val="0"/>
          <w:marRight w:val="0"/>
          <w:marTop w:val="0"/>
          <w:marBottom w:val="0"/>
          <w:divBdr>
            <w:top w:val="none" w:sz="0" w:space="0" w:color="auto"/>
            <w:left w:val="none" w:sz="0" w:space="0" w:color="auto"/>
            <w:bottom w:val="none" w:sz="0" w:space="0" w:color="auto"/>
            <w:right w:val="none" w:sz="0" w:space="0" w:color="auto"/>
          </w:divBdr>
        </w:div>
        <w:div w:id="1080718251">
          <w:marLeft w:val="0"/>
          <w:marRight w:val="0"/>
          <w:marTop w:val="0"/>
          <w:marBottom w:val="0"/>
          <w:divBdr>
            <w:top w:val="none" w:sz="0" w:space="0" w:color="auto"/>
            <w:left w:val="none" w:sz="0" w:space="0" w:color="auto"/>
            <w:bottom w:val="none" w:sz="0" w:space="0" w:color="auto"/>
            <w:right w:val="none" w:sz="0" w:space="0" w:color="auto"/>
          </w:divBdr>
        </w:div>
        <w:div w:id="1222444797">
          <w:marLeft w:val="0"/>
          <w:marRight w:val="0"/>
          <w:marTop w:val="0"/>
          <w:marBottom w:val="0"/>
          <w:divBdr>
            <w:top w:val="none" w:sz="0" w:space="0" w:color="auto"/>
            <w:left w:val="none" w:sz="0" w:space="0" w:color="auto"/>
            <w:bottom w:val="none" w:sz="0" w:space="0" w:color="auto"/>
            <w:right w:val="none" w:sz="0" w:space="0" w:color="auto"/>
          </w:divBdr>
        </w:div>
        <w:div w:id="1251308967">
          <w:marLeft w:val="0"/>
          <w:marRight w:val="0"/>
          <w:marTop w:val="0"/>
          <w:marBottom w:val="0"/>
          <w:divBdr>
            <w:top w:val="none" w:sz="0" w:space="0" w:color="auto"/>
            <w:left w:val="none" w:sz="0" w:space="0" w:color="auto"/>
            <w:bottom w:val="none" w:sz="0" w:space="0" w:color="auto"/>
            <w:right w:val="none" w:sz="0" w:space="0" w:color="auto"/>
          </w:divBdr>
        </w:div>
        <w:div w:id="1389109841">
          <w:marLeft w:val="0"/>
          <w:marRight w:val="0"/>
          <w:marTop w:val="0"/>
          <w:marBottom w:val="0"/>
          <w:divBdr>
            <w:top w:val="none" w:sz="0" w:space="0" w:color="auto"/>
            <w:left w:val="none" w:sz="0" w:space="0" w:color="auto"/>
            <w:bottom w:val="none" w:sz="0" w:space="0" w:color="auto"/>
            <w:right w:val="none" w:sz="0" w:space="0" w:color="auto"/>
          </w:divBdr>
        </w:div>
        <w:div w:id="1696154541">
          <w:marLeft w:val="0"/>
          <w:marRight w:val="0"/>
          <w:marTop w:val="0"/>
          <w:marBottom w:val="0"/>
          <w:divBdr>
            <w:top w:val="none" w:sz="0" w:space="0" w:color="auto"/>
            <w:left w:val="none" w:sz="0" w:space="0" w:color="auto"/>
            <w:bottom w:val="none" w:sz="0" w:space="0" w:color="auto"/>
            <w:right w:val="none" w:sz="0" w:space="0" w:color="auto"/>
          </w:divBdr>
        </w:div>
        <w:div w:id="1821846414">
          <w:marLeft w:val="0"/>
          <w:marRight w:val="0"/>
          <w:marTop w:val="0"/>
          <w:marBottom w:val="0"/>
          <w:divBdr>
            <w:top w:val="none" w:sz="0" w:space="0" w:color="auto"/>
            <w:left w:val="none" w:sz="0" w:space="0" w:color="auto"/>
            <w:bottom w:val="none" w:sz="0" w:space="0" w:color="auto"/>
            <w:right w:val="none" w:sz="0" w:space="0" w:color="auto"/>
          </w:divBdr>
        </w:div>
        <w:div w:id="1874876312">
          <w:marLeft w:val="0"/>
          <w:marRight w:val="0"/>
          <w:marTop w:val="0"/>
          <w:marBottom w:val="0"/>
          <w:divBdr>
            <w:top w:val="none" w:sz="0" w:space="0" w:color="auto"/>
            <w:left w:val="none" w:sz="0" w:space="0" w:color="auto"/>
            <w:bottom w:val="none" w:sz="0" w:space="0" w:color="auto"/>
            <w:right w:val="none" w:sz="0" w:space="0" w:color="auto"/>
          </w:divBdr>
        </w:div>
      </w:divsChild>
    </w:div>
    <w:div w:id="222956042">
      <w:bodyDiv w:val="1"/>
      <w:marLeft w:val="0"/>
      <w:marRight w:val="0"/>
      <w:marTop w:val="0"/>
      <w:marBottom w:val="0"/>
      <w:divBdr>
        <w:top w:val="none" w:sz="0" w:space="0" w:color="auto"/>
        <w:left w:val="none" w:sz="0" w:space="0" w:color="auto"/>
        <w:bottom w:val="none" w:sz="0" w:space="0" w:color="auto"/>
        <w:right w:val="none" w:sz="0" w:space="0" w:color="auto"/>
      </w:divBdr>
    </w:div>
    <w:div w:id="236135751">
      <w:bodyDiv w:val="1"/>
      <w:marLeft w:val="0"/>
      <w:marRight w:val="0"/>
      <w:marTop w:val="0"/>
      <w:marBottom w:val="0"/>
      <w:divBdr>
        <w:top w:val="none" w:sz="0" w:space="0" w:color="auto"/>
        <w:left w:val="none" w:sz="0" w:space="0" w:color="auto"/>
        <w:bottom w:val="none" w:sz="0" w:space="0" w:color="auto"/>
        <w:right w:val="none" w:sz="0" w:space="0" w:color="auto"/>
      </w:divBdr>
    </w:div>
    <w:div w:id="248004158">
      <w:bodyDiv w:val="1"/>
      <w:marLeft w:val="0"/>
      <w:marRight w:val="0"/>
      <w:marTop w:val="0"/>
      <w:marBottom w:val="0"/>
      <w:divBdr>
        <w:top w:val="none" w:sz="0" w:space="0" w:color="auto"/>
        <w:left w:val="none" w:sz="0" w:space="0" w:color="auto"/>
        <w:bottom w:val="none" w:sz="0" w:space="0" w:color="auto"/>
        <w:right w:val="none" w:sz="0" w:space="0" w:color="auto"/>
      </w:divBdr>
    </w:div>
    <w:div w:id="250313578">
      <w:bodyDiv w:val="1"/>
      <w:marLeft w:val="0"/>
      <w:marRight w:val="0"/>
      <w:marTop w:val="0"/>
      <w:marBottom w:val="0"/>
      <w:divBdr>
        <w:top w:val="none" w:sz="0" w:space="0" w:color="auto"/>
        <w:left w:val="none" w:sz="0" w:space="0" w:color="auto"/>
        <w:bottom w:val="none" w:sz="0" w:space="0" w:color="auto"/>
        <w:right w:val="none" w:sz="0" w:space="0" w:color="auto"/>
      </w:divBdr>
    </w:div>
    <w:div w:id="254946007">
      <w:bodyDiv w:val="1"/>
      <w:marLeft w:val="0"/>
      <w:marRight w:val="0"/>
      <w:marTop w:val="0"/>
      <w:marBottom w:val="0"/>
      <w:divBdr>
        <w:top w:val="none" w:sz="0" w:space="0" w:color="auto"/>
        <w:left w:val="none" w:sz="0" w:space="0" w:color="auto"/>
        <w:bottom w:val="none" w:sz="0" w:space="0" w:color="auto"/>
        <w:right w:val="none" w:sz="0" w:space="0" w:color="auto"/>
      </w:divBdr>
    </w:div>
    <w:div w:id="281959357">
      <w:bodyDiv w:val="1"/>
      <w:marLeft w:val="0"/>
      <w:marRight w:val="0"/>
      <w:marTop w:val="0"/>
      <w:marBottom w:val="0"/>
      <w:divBdr>
        <w:top w:val="none" w:sz="0" w:space="0" w:color="auto"/>
        <w:left w:val="none" w:sz="0" w:space="0" w:color="auto"/>
        <w:bottom w:val="none" w:sz="0" w:space="0" w:color="auto"/>
        <w:right w:val="none" w:sz="0" w:space="0" w:color="auto"/>
      </w:divBdr>
      <w:divsChild>
        <w:div w:id="74476687">
          <w:marLeft w:val="0"/>
          <w:marRight w:val="0"/>
          <w:marTop w:val="0"/>
          <w:marBottom w:val="0"/>
          <w:divBdr>
            <w:top w:val="none" w:sz="0" w:space="0" w:color="auto"/>
            <w:left w:val="none" w:sz="0" w:space="0" w:color="auto"/>
            <w:bottom w:val="none" w:sz="0" w:space="0" w:color="auto"/>
            <w:right w:val="none" w:sz="0" w:space="0" w:color="auto"/>
          </w:divBdr>
        </w:div>
        <w:div w:id="130439211">
          <w:marLeft w:val="0"/>
          <w:marRight w:val="0"/>
          <w:marTop w:val="0"/>
          <w:marBottom w:val="0"/>
          <w:divBdr>
            <w:top w:val="none" w:sz="0" w:space="0" w:color="auto"/>
            <w:left w:val="none" w:sz="0" w:space="0" w:color="auto"/>
            <w:bottom w:val="none" w:sz="0" w:space="0" w:color="auto"/>
            <w:right w:val="none" w:sz="0" w:space="0" w:color="auto"/>
          </w:divBdr>
        </w:div>
        <w:div w:id="280110222">
          <w:marLeft w:val="0"/>
          <w:marRight w:val="0"/>
          <w:marTop w:val="0"/>
          <w:marBottom w:val="0"/>
          <w:divBdr>
            <w:top w:val="none" w:sz="0" w:space="0" w:color="auto"/>
            <w:left w:val="none" w:sz="0" w:space="0" w:color="auto"/>
            <w:bottom w:val="none" w:sz="0" w:space="0" w:color="auto"/>
            <w:right w:val="none" w:sz="0" w:space="0" w:color="auto"/>
          </w:divBdr>
        </w:div>
        <w:div w:id="338968594">
          <w:marLeft w:val="0"/>
          <w:marRight w:val="0"/>
          <w:marTop w:val="0"/>
          <w:marBottom w:val="0"/>
          <w:divBdr>
            <w:top w:val="none" w:sz="0" w:space="0" w:color="auto"/>
            <w:left w:val="none" w:sz="0" w:space="0" w:color="auto"/>
            <w:bottom w:val="none" w:sz="0" w:space="0" w:color="auto"/>
            <w:right w:val="none" w:sz="0" w:space="0" w:color="auto"/>
          </w:divBdr>
        </w:div>
        <w:div w:id="342174922">
          <w:marLeft w:val="0"/>
          <w:marRight w:val="0"/>
          <w:marTop w:val="0"/>
          <w:marBottom w:val="0"/>
          <w:divBdr>
            <w:top w:val="none" w:sz="0" w:space="0" w:color="auto"/>
            <w:left w:val="none" w:sz="0" w:space="0" w:color="auto"/>
            <w:bottom w:val="none" w:sz="0" w:space="0" w:color="auto"/>
            <w:right w:val="none" w:sz="0" w:space="0" w:color="auto"/>
          </w:divBdr>
        </w:div>
        <w:div w:id="408425771">
          <w:marLeft w:val="0"/>
          <w:marRight w:val="0"/>
          <w:marTop w:val="0"/>
          <w:marBottom w:val="0"/>
          <w:divBdr>
            <w:top w:val="none" w:sz="0" w:space="0" w:color="auto"/>
            <w:left w:val="none" w:sz="0" w:space="0" w:color="auto"/>
            <w:bottom w:val="none" w:sz="0" w:space="0" w:color="auto"/>
            <w:right w:val="none" w:sz="0" w:space="0" w:color="auto"/>
          </w:divBdr>
        </w:div>
        <w:div w:id="413623646">
          <w:marLeft w:val="0"/>
          <w:marRight w:val="0"/>
          <w:marTop w:val="0"/>
          <w:marBottom w:val="0"/>
          <w:divBdr>
            <w:top w:val="none" w:sz="0" w:space="0" w:color="auto"/>
            <w:left w:val="none" w:sz="0" w:space="0" w:color="auto"/>
            <w:bottom w:val="none" w:sz="0" w:space="0" w:color="auto"/>
            <w:right w:val="none" w:sz="0" w:space="0" w:color="auto"/>
          </w:divBdr>
        </w:div>
        <w:div w:id="472060255">
          <w:marLeft w:val="0"/>
          <w:marRight w:val="0"/>
          <w:marTop w:val="0"/>
          <w:marBottom w:val="0"/>
          <w:divBdr>
            <w:top w:val="none" w:sz="0" w:space="0" w:color="auto"/>
            <w:left w:val="none" w:sz="0" w:space="0" w:color="auto"/>
            <w:bottom w:val="none" w:sz="0" w:space="0" w:color="auto"/>
            <w:right w:val="none" w:sz="0" w:space="0" w:color="auto"/>
          </w:divBdr>
        </w:div>
        <w:div w:id="684596678">
          <w:marLeft w:val="0"/>
          <w:marRight w:val="0"/>
          <w:marTop w:val="0"/>
          <w:marBottom w:val="0"/>
          <w:divBdr>
            <w:top w:val="none" w:sz="0" w:space="0" w:color="auto"/>
            <w:left w:val="none" w:sz="0" w:space="0" w:color="auto"/>
            <w:bottom w:val="none" w:sz="0" w:space="0" w:color="auto"/>
            <w:right w:val="none" w:sz="0" w:space="0" w:color="auto"/>
          </w:divBdr>
        </w:div>
        <w:div w:id="762802913">
          <w:marLeft w:val="0"/>
          <w:marRight w:val="0"/>
          <w:marTop w:val="0"/>
          <w:marBottom w:val="0"/>
          <w:divBdr>
            <w:top w:val="none" w:sz="0" w:space="0" w:color="auto"/>
            <w:left w:val="none" w:sz="0" w:space="0" w:color="auto"/>
            <w:bottom w:val="none" w:sz="0" w:space="0" w:color="auto"/>
            <w:right w:val="none" w:sz="0" w:space="0" w:color="auto"/>
          </w:divBdr>
        </w:div>
        <w:div w:id="853038323">
          <w:marLeft w:val="0"/>
          <w:marRight w:val="0"/>
          <w:marTop w:val="0"/>
          <w:marBottom w:val="0"/>
          <w:divBdr>
            <w:top w:val="none" w:sz="0" w:space="0" w:color="auto"/>
            <w:left w:val="none" w:sz="0" w:space="0" w:color="auto"/>
            <w:bottom w:val="none" w:sz="0" w:space="0" w:color="auto"/>
            <w:right w:val="none" w:sz="0" w:space="0" w:color="auto"/>
          </w:divBdr>
        </w:div>
        <w:div w:id="865213490">
          <w:marLeft w:val="0"/>
          <w:marRight w:val="0"/>
          <w:marTop w:val="0"/>
          <w:marBottom w:val="0"/>
          <w:divBdr>
            <w:top w:val="none" w:sz="0" w:space="0" w:color="auto"/>
            <w:left w:val="none" w:sz="0" w:space="0" w:color="auto"/>
            <w:bottom w:val="none" w:sz="0" w:space="0" w:color="auto"/>
            <w:right w:val="none" w:sz="0" w:space="0" w:color="auto"/>
          </w:divBdr>
        </w:div>
        <w:div w:id="880021471">
          <w:marLeft w:val="0"/>
          <w:marRight w:val="0"/>
          <w:marTop w:val="0"/>
          <w:marBottom w:val="0"/>
          <w:divBdr>
            <w:top w:val="none" w:sz="0" w:space="0" w:color="auto"/>
            <w:left w:val="none" w:sz="0" w:space="0" w:color="auto"/>
            <w:bottom w:val="none" w:sz="0" w:space="0" w:color="auto"/>
            <w:right w:val="none" w:sz="0" w:space="0" w:color="auto"/>
          </w:divBdr>
        </w:div>
        <w:div w:id="1016343345">
          <w:marLeft w:val="0"/>
          <w:marRight w:val="0"/>
          <w:marTop w:val="0"/>
          <w:marBottom w:val="0"/>
          <w:divBdr>
            <w:top w:val="none" w:sz="0" w:space="0" w:color="auto"/>
            <w:left w:val="none" w:sz="0" w:space="0" w:color="auto"/>
            <w:bottom w:val="none" w:sz="0" w:space="0" w:color="auto"/>
            <w:right w:val="none" w:sz="0" w:space="0" w:color="auto"/>
          </w:divBdr>
        </w:div>
        <w:div w:id="1057439802">
          <w:marLeft w:val="0"/>
          <w:marRight w:val="0"/>
          <w:marTop w:val="0"/>
          <w:marBottom w:val="0"/>
          <w:divBdr>
            <w:top w:val="none" w:sz="0" w:space="0" w:color="auto"/>
            <w:left w:val="none" w:sz="0" w:space="0" w:color="auto"/>
            <w:bottom w:val="none" w:sz="0" w:space="0" w:color="auto"/>
            <w:right w:val="none" w:sz="0" w:space="0" w:color="auto"/>
          </w:divBdr>
        </w:div>
        <w:div w:id="1208298851">
          <w:marLeft w:val="0"/>
          <w:marRight w:val="0"/>
          <w:marTop w:val="0"/>
          <w:marBottom w:val="0"/>
          <w:divBdr>
            <w:top w:val="none" w:sz="0" w:space="0" w:color="auto"/>
            <w:left w:val="none" w:sz="0" w:space="0" w:color="auto"/>
            <w:bottom w:val="none" w:sz="0" w:space="0" w:color="auto"/>
            <w:right w:val="none" w:sz="0" w:space="0" w:color="auto"/>
          </w:divBdr>
        </w:div>
        <w:div w:id="1438596086">
          <w:marLeft w:val="0"/>
          <w:marRight w:val="0"/>
          <w:marTop w:val="0"/>
          <w:marBottom w:val="0"/>
          <w:divBdr>
            <w:top w:val="none" w:sz="0" w:space="0" w:color="auto"/>
            <w:left w:val="none" w:sz="0" w:space="0" w:color="auto"/>
            <w:bottom w:val="none" w:sz="0" w:space="0" w:color="auto"/>
            <w:right w:val="none" w:sz="0" w:space="0" w:color="auto"/>
          </w:divBdr>
        </w:div>
        <w:div w:id="1579947489">
          <w:marLeft w:val="0"/>
          <w:marRight w:val="0"/>
          <w:marTop w:val="0"/>
          <w:marBottom w:val="0"/>
          <w:divBdr>
            <w:top w:val="none" w:sz="0" w:space="0" w:color="auto"/>
            <w:left w:val="none" w:sz="0" w:space="0" w:color="auto"/>
            <w:bottom w:val="none" w:sz="0" w:space="0" w:color="auto"/>
            <w:right w:val="none" w:sz="0" w:space="0" w:color="auto"/>
          </w:divBdr>
        </w:div>
        <w:div w:id="1609966607">
          <w:marLeft w:val="0"/>
          <w:marRight w:val="0"/>
          <w:marTop w:val="0"/>
          <w:marBottom w:val="0"/>
          <w:divBdr>
            <w:top w:val="none" w:sz="0" w:space="0" w:color="auto"/>
            <w:left w:val="none" w:sz="0" w:space="0" w:color="auto"/>
            <w:bottom w:val="none" w:sz="0" w:space="0" w:color="auto"/>
            <w:right w:val="none" w:sz="0" w:space="0" w:color="auto"/>
          </w:divBdr>
        </w:div>
        <w:div w:id="1694258156">
          <w:marLeft w:val="0"/>
          <w:marRight w:val="0"/>
          <w:marTop w:val="0"/>
          <w:marBottom w:val="0"/>
          <w:divBdr>
            <w:top w:val="none" w:sz="0" w:space="0" w:color="auto"/>
            <w:left w:val="none" w:sz="0" w:space="0" w:color="auto"/>
            <w:bottom w:val="none" w:sz="0" w:space="0" w:color="auto"/>
            <w:right w:val="none" w:sz="0" w:space="0" w:color="auto"/>
          </w:divBdr>
        </w:div>
        <w:div w:id="1712219991">
          <w:marLeft w:val="0"/>
          <w:marRight w:val="0"/>
          <w:marTop w:val="0"/>
          <w:marBottom w:val="0"/>
          <w:divBdr>
            <w:top w:val="none" w:sz="0" w:space="0" w:color="auto"/>
            <w:left w:val="none" w:sz="0" w:space="0" w:color="auto"/>
            <w:bottom w:val="none" w:sz="0" w:space="0" w:color="auto"/>
            <w:right w:val="none" w:sz="0" w:space="0" w:color="auto"/>
          </w:divBdr>
        </w:div>
        <w:div w:id="1741831814">
          <w:marLeft w:val="0"/>
          <w:marRight w:val="0"/>
          <w:marTop w:val="0"/>
          <w:marBottom w:val="0"/>
          <w:divBdr>
            <w:top w:val="none" w:sz="0" w:space="0" w:color="auto"/>
            <w:left w:val="none" w:sz="0" w:space="0" w:color="auto"/>
            <w:bottom w:val="none" w:sz="0" w:space="0" w:color="auto"/>
            <w:right w:val="none" w:sz="0" w:space="0" w:color="auto"/>
          </w:divBdr>
        </w:div>
        <w:div w:id="1745104469">
          <w:marLeft w:val="0"/>
          <w:marRight w:val="0"/>
          <w:marTop w:val="0"/>
          <w:marBottom w:val="0"/>
          <w:divBdr>
            <w:top w:val="none" w:sz="0" w:space="0" w:color="auto"/>
            <w:left w:val="none" w:sz="0" w:space="0" w:color="auto"/>
            <w:bottom w:val="none" w:sz="0" w:space="0" w:color="auto"/>
            <w:right w:val="none" w:sz="0" w:space="0" w:color="auto"/>
          </w:divBdr>
        </w:div>
        <w:div w:id="1745837030">
          <w:marLeft w:val="0"/>
          <w:marRight w:val="0"/>
          <w:marTop w:val="0"/>
          <w:marBottom w:val="0"/>
          <w:divBdr>
            <w:top w:val="none" w:sz="0" w:space="0" w:color="auto"/>
            <w:left w:val="none" w:sz="0" w:space="0" w:color="auto"/>
            <w:bottom w:val="none" w:sz="0" w:space="0" w:color="auto"/>
            <w:right w:val="none" w:sz="0" w:space="0" w:color="auto"/>
          </w:divBdr>
        </w:div>
        <w:div w:id="1786844881">
          <w:marLeft w:val="0"/>
          <w:marRight w:val="0"/>
          <w:marTop w:val="0"/>
          <w:marBottom w:val="0"/>
          <w:divBdr>
            <w:top w:val="none" w:sz="0" w:space="0" w:color="auto"/>
            <w:left w:val="none" w:sz="0" w:space="0" w:color="auto"/>
            <w:bottom w:val="none" w:sz="0" w:space="0" w:color="auto"/>
            <w:right w:val="none" w:sz="0" w:space="0" w:color="auto"/>
          </w:divBdr>
        </w:div>
        <w:div w:id="1792673642">
          <w:marLeft w:val="0"/>
          <w:marRight w:val="0"/>
          <w:marTop w:val="0"/>
          <w:marBottom w:val="0"/>
          <w:divBdr>
            <w:top w:val="none" w:sz="0" w:space="0" w:color="auto"/>
            <w:left w:val="none" w:sz="0" w:space="0" w:color="auto"/>
            <w:bottom w:val="none" w:sz="0" w:space="0" w:color="auto"/>
            <w:right w:val="none" w:sz="0" w:space="0" w:color="auto"/>
          </w:divBdr>
        </w:div>
        <w:div w:id="1814249685">
          <w:marLeft w:val="0"/>
          <w:marRight w:val="0"/>
          <w:marTop w:val="0"/>
          <w:marBottom w:val="0"/>
          <w:divBdr>
            <w:top w:val="none" w:sz="0" w:space="0" w:color="auto"/>
            <w:left w:val="none" w:sz="0" w:space="0" w:color="auto"/>
            <w:bottom w:val="none" w:sz="0" w:space="0" w:color="auto"/>
            <w:right w:val="none" w:sz="0" w:space="0" w:color="auto"/>
          </w:divBdr>
        </w:div>
        <w:div w:id="1964388566">
          <w:marLeft w:val="0"/>
          <w:marRight w:val="0"/>
          <w:marTop w:val="0"/>
          <w:marBottom w:val="0"/>
          <w:divBdr>
            <w:top w:val="none" w:sz="0" w:space="0" w:color="auto"/>
            <w:left w:val="none" w:sz="0" w:space="0" w:color="auto"/>
            <w:bottom w:val="none" w:sz="0" w:space="0" w:color="auto"/>
            <w:right w:val="none" w:sz="0" w:space="0" w:color="auto"/>
          </w:divBdr>
        </w:div>
      </w:divsChild>
    </w:div>
    <w:div w:id="304510764">
      <w:bodyDiv w:val="1"/>
      <w:marLeft w:val="0"/>
      <w:marRight w:val="0"/>
      <w:marTop w:val="0"/>
      <w:marBottom w:val="0"/>
      <w:divBdr>
        <w:top w:val="none" w:sz="0" w:space="0" w:color="auto"/>
        <w:left w:val="none" w:sz="0" w:space="0" w:color="auto"/>
        <w:bottom w:val="none" w:sz="0" w:space="0" w:color="auto"/>
        <w:right w:val="none" w:sz="0" w:space="0" w:color="auto"/>
      </w:divBdr>
      <w:divsChild>
        <w:div w:id="323751620">
          <w:marLeft w:val="0"/>
          <w:marRight w:val="0"/>
          <w:marTop w:val="0"/>
          <w:marBottom w:val="0"/>
          <w:divBdr>
            <w:top w:val="none" w:sz="0" w:space="0" w:color="auto"/>
            <w:left w:val="none" w:sz="0" w:space="0" w:color="auto"/>
            <w:bottom w:val="none" w:sz="0" w:space="0" w:color="auto"/>
            <w:right w:val="none" w:sz="0" w:space="0" w:color="auto"/>
          </w:divBdr>
        </w:div>
        <w:div w:id="361783406">
          <w:marLeft w:val="0"/>
          <w:marRight w:val="0"/>
          <w:marTop w:val="0"/>
          <w:marBottom w:val="0"/>
          <w:divBdr>
            <w:top w:val="none" w:sz="0" w:space="0" w:color="auto"/>
            <w:left w:val="none" w:sz="0" w:space="0" w:color="auto"/>
            <w:bottom w:val="none" w:sz="0" w:space="0" w:color="auto"/>
            <w:right w:val="none" w:sz="0" w:space="0" w:color="auto"/>
          </w:divBdr>
        </w:div>
        <w:div w:id="433092297">
          <w:marLeft w:val="0"/>
          <w:marRight w:val="0"/>
          <w:marTop w:val="0"/>
          <w:marBottom w:val="0"/>
          <w:divBdr>
            <w:top w:val="none" w:sz="0" w:space="0" w:color="auto"/>
            <w:left w:val="none" w:sz="0" w:space="0" w:color="auto"/>
            <w:bottom w:val="none" w:sz="0" w:space="0" w:color="auto"/>
            <w:right w:val="none" w:sz="0" w:space="0" w:color="auto"/>
          </w:divBdr>
        </w:div>
        <w:div w:id="624121002">
          <w:marLeft w:val="0"/>
          <w:marRight w:val="0"/>
          <w:marTop w:val="0"/>
          <w:marBottom w:val="0"/>
          <w:divBdr>
            <w:top w:val="none" w:sz="0" w:space="0" w:color="auto"/>
            <w:left w:val="none" w:sz="0" w:space="0" w:color="auto"/>
            <w:bottom w:val="none" w:sz="0" w:space="0" w:color="auto"/>
            <w:right w:val="none" w:sz="0" w:space="0" w:color="auto"/>
          </w:divBdr>
        </w:div>
        <w:div w:id="636570070">
          <w:marLeft w:val="0"/>
          <w:marRight w:val="0"/>
          <w:marTop w:val="0"/>
          <w:marBottom w:val="0"/>
          <w:divBdr>
            <w:top w:val="none" w:sz="0" w:space="0" w:color="auto"/>
            <w:left w:val="none" w:sz="0" w:space="0" w:color="auto"/>
            <w:bottom w:val="none" w:sz="0" w:space="0" w:color="auto"/>
            <w:right w:val="none" w:sz="0" w:space="0" w:color="auto"/>
          </w:divBdr>
        </w:div>
        <w:div w:id="679820895">
          <w:marLeft w:val="0"/>
          <w:marRight w:val="0"/>
          <w:marTop w:val="0"/>
          <w:marBottom w:val="0"/>
          <w:divBdr>
            <w:top w:val="none" w:sz="0" w:space="0" w:color="auto"/>
            <w:left w:val="none" w:sz="0" w:space="0" w:color="auto"/>
            <w:bottom w:val="none" w:sz="0" w:space="0" w:color="auto"/>
            <w:right w:val="none" w:sz="0" w:space="0" w:color="auto"/>
          </w:divBdr>
        </w:div>
        <w:div w:id="762183912">
          <w:marLeft w:val="0"/>
          <w:marRight w:val="0"/>
          <w:marTop w:val="0"/>
          <w:marBottom w:val="0"/>
          <w:divBdr>
            <w:top w:val="none" w:sz="0" w:space="0" w:color="auto"/>
            <w:left w:val="none" w:sz="0" w:space="0" w:color="auto"/>
            <w:bottom w:val="none" w:sz="0" w:space="0" w:color="auto"/>
            <w:right w:val="none" w:sz="0" w:space="0" w:color="auto"/>
          </w:divBdr>
        </w:div>
        <w:div w:id="934169885">
          <w:marLeft w:val="0"/>
          <w:marRight w:val="0"/>
          <w:marTop w:val="0"/>
          <w:marBottom w:val="0"/>
          <w:divBdr>
            <w:top w:val="none" w:sz="0" w:space="0" w:color="auto"/>
            <w:left w:val="none" w:sz="0" w:space="0" w:color="auto"/>
            <w:bottom w:val="none" w:sz="0" w:space="0" w:color="auto"/>
            <w:right w:val="none" w:sz="0" w:space="0" w:color="auto"/>
          </w:divBdr>
        </w:div>
        <w:div w:id="1244487000">
          <w:marLeft w:val="0"/>
          <w:marRight w:val="0"/>
          <w:marTop w:val="0"/>
          <w:marBottom w:val="0"/>
          <w:divBdr>
            <w:top w:val="none" w:sz="0" w:space="0" w:color="auto"/>
            <w:left w:val="none" w:sz="0" w:space="0" w:color="auto"/>
            <w:bottom w:val="none" w:sz="0" w:space="0" w:color="auto"/>
            <w:right w:val="none" w:sz="0" w:space="0" w:color="auto"/>
          </w:divBdr>
        </w:div>
        <w:div w:id="1395620036">
          <w:marLeft w:val="0"/>
          <w:marRight w:val="0"/>
          <w:marTop w:val="0"/>
          <w:marBottom w:val="0"/>
          <w:divBdr>
            <w:top w:val="none" w:sz="0" w:space="0" w:color="auto"/>
            <w:left w:val="none" w:sz="0" w:space="0" w:color="auto"/>
            <w:bottom w:val="none" w:sz="0" w:space="0" w:color="auto"/>
            <w:right w:val="none" w:sz="0" w:space="0" w:color="auto"/>
          </w:divBdr>
        </w:div>
        <w:div w:id="1709602388">
          <w:marLeft w:val="0"/>
          <w:marRight w:val="0"/>
          <w:marTop w:val="0"/>
          <w:marBottom w:val="0"/>
          <w:divBdr>
            <w:top w:val="none" w:sz="0" w:space="0" w:color="auto"/>
            <w:left w:val="none" w:sz="0" w:space="0" w:color="auto"/>
            <w:bottom w:val="none" w:sz="0" w:space="0" w:color="auto"/>
            <w:right w:val="none" w:sz="0" w:space="0" w:color="auto"/>
          </w:divBdr>
        </w:div>
        <w:div w:id="1853838912">
          <w:marLeft w:val="0"/>
          <w:marRight w:val="0"/>
          <w:marTop w:val="0"/>
          <w:marBottom w:val="0"/>
          <w:divBdr>
            <w:top w:val="none" w:sz="0" w:space="0" w:color="auto"/>
            <w:left w:val="none" w:sz="0" w:space="0" w:color="auto"/>
            <w:bottom w:val="none" w:sz="0" w:space="0" w:color="auto"/>
            <w:right w:val="none" w:sz="0" w:space="0" w:color="auto"/>
          </w:divBdr>
        </w:div>
        <w:div w:id="1909420952">
          <w:marLeft w:val="0"/>
          <w:marRight w:val="0"/>
          <w:marTop w:val="0"/>
          <w:marBottom w:val="0"/>
          <w:divBdr>
            <w:top w:val="none" w:sz="0" w:space="0" w:color="auto"/>
            <w:left w:val="none" w:sz="0" w:space="0" w:color="auto"/>
            <w:bottom w:val="none" w:sz="0" w:space="0" w:color="auto"/>
            <w:right w:val="none" w:sz="0" w:space="0" w:color="auto"/>
          </w:divBdr>
        </w:div>
      </w:divsChild>
    </w:div>
    <w:div w:id="315769093">
      <w:bodyDiv w:val="1"/>
      <w:marLeft w:val="0"/>
      <w:marRight w:val="0"/>
      <w:marTop w:val="0"/>
      <w:marBottom w:val="0"/>
      <w:divBdr>
        <w:top w:val="none" w:sz="0" w:space="0" w:color="auto"/>
        <w:left w:val="none" w:sz="0" w:space="0" w:color="auto"/>
        <w:bottom w:val="none" w:sz="0" w:space="0" w:color="auto"/>
        <w:right w:val="none" w:sz="0" w:space="0" w:color="auto"/>
      </w:divBdr>
      <w:divsChild>
        <w:div w:id="235867003">
          <w:marLeft w:val="0"/>
          <w:marRight w:val="0"/>
          <w:marTop w:val="0"/>
          <w:marBottom w:val="0"/>
          <w:divBdr>
            <w:top w:val="none" w:sz="0" w:space="0" w:color="auto"/>
            <w:left w:val="none" w:sz="0" w:space="0" w:color="auto"/>
            <w:bottom w:val="none" w:sz="0" w:space="0" w:color="auto"/>
            <w:right w:val="none" w:sz="0" w:space="0" w:color="auto"/>
          </w:divBdr>
        </w:div>
        <w:div w:id="296421334">
          <w:marLeft w:val="0"/>
          <w:marRight w:val="0"/>
          <w:marTop w:val="0"/>
          <w:marBottom w:val="0"/>
          <w:divBdr>
            <w:top w:val="none" w:sz="0" w:space="0" w:color="auto"/>
            <w:left w:val="none" w:sz="0" w:space="0" w:color="auto"/>
            <w:bottom w:val="none" w:sz="0" w:space="0" w:color="auto"/>
            <w:right w:val="none" w:sz="0" w:space="0" w:color="auto"/>
          </w:divBdr>
        </w:div>
        <w:div w:id="297035810">
          <w:marLeft w:val="0"/>
          <w:marRight w:val="0"/>
          <w:marTop w:val="0"/>
          <w:marBottom w:val="0"/>
          <w:divBdr>
            <w:top w:val="none" w:sz="0" w:space="0" w:color="auto"/>
            <w:left w:val="none" w:sz="0" w:space="0" w:color="auto"/>
            <w:bottom w:val="none" w:sz="0" w:space="0" w:color="auto"/>
            <w:right w:val="none" w:sz="0" w:space="0" w:color="auto"/>
          </w:divBdr>
        </w:div>
        <w:div w:id="320930539">
          <w:marLeft w:val="0"/>
          <w:marRight w:val="0"/>
          <w:marTop w:val="0"/>
          <w:marBottom w:val="0"/>
          <w:divBdr>
            <w:top w:val="none" w:sz="0" w:space="0" w:color="auto"/>
            <w:left w:val="none" w:sz="0" w:space="0" w:color="auto"/>
            <w:bottom w:val="none" w:sz="0" w:space="0" w:color="auto"/>
            <w:right w:val="none" w:sz="0" w:space="0" w:color="auto"/>
          </w:divBdr>
        </w:div>
        <w:div w:id="339696310">
          <w:marLeft w:val="0"/>
          <w:marRight w:val="0"/>
          <w:marTop w:val="0"/>
          <w:marBottom w:val="0"/>
          <w:divBdr>
            <w:top w:val="none" w:sz="0" w:space="0" w:color="auto"/>
            <w:left w:val="none" w:sz="0" w:space="0" w:color="auto"/>
            <w:bottom w:val="none" w:sz="0" w:space="0" w:color="auto"/>
            <w:right w:val="none" w:sz="0" w:space="0" w:color="auto"/>
          </w:divBdr>
        </w:div>
        <w:div w:id="707533008">
          <w:marLeft w:val="0"/>
          <w:marRight w:val="0"/>
          <w:marTop w:val="0"/>
          <w:marBottom w:val="0"/>
          <w:divBdr>
            <w:top w:val="none" w:sz="0" w:space="0" w:color="auto"/>
            <w:left w:val="none" w:sz="0" w:space="0" w:color="auto"/>
            <w:bottom w:val="none" w:sz="0" w:space="0" w:color="auto"/>
            <w:right w:val="none" w:sz="0" w:space="0" w:color="auto"/>
          </w:divBdr>
        </w:div>
        <w:div w:id="798492431">
          <w:marLeft w:val="0"/>
          <w:marRight w:val="0"/>
          <w:marTop w:val="0"/>
          <w:marBottom w:val="0"/>
          <w:divBdr>
            <w:top w:val="none" w:sz="0" w:space="0" w:color="auto"/>
            <w:left w:val="none" w:sz="0" w:space="0" w:color="auto"/>
            <w:bottom w:val="none" w:sz="0" w:space="0" w:color="auto"/>
            <w:right w:val="none" w:sz="0" w:space="0" w:color="auto"/>
          </w:divBdr>
        </w:div>
        <w:div w:id="834881940">
          <w:marLeft w:val="0"/>
          <w:marRight w:val="0"/>
          <w:marTop w:val="0"/>
          <w:marBottom w:val="0"/>
          <w:divBdr>
            <w:top w:val="none" w:sz="0" w:space="0" w:color="auto"/>
            <w:left w:val="none" w:sz="0" w:space="0" w:color="auto"/>
            <w:bottom w:val="none" w:sz="0" w:space="0" w:color="auto"/>
            <w:right w:val="none" w:sz="0" w:space="0" w:color="auto"/>
          </w:divBdr>
        </w:div>
        <w:div w:id="847402597">
          <w:marLeft w:val="0"/>
          <w:marRight w:val="0"/>
          <w:marTop w:val="0"/>
          <w:marBottom w:val="0"/>
          <w:divBdr>
            <w:top w:val="none" w:sz="0" w:space="0" w:color="auto"/>
            <w:left w:val="none" w:sz="0" w:space="0" w:color="auto"/>
            <w:bottom w:val="none" w:sz="0" w:space="0" w:color="auto"/>
            <w:right w:val="none" w:sz="0" w:space="0" w:color="auto"/>
          </w:divBdr>
        </w:div>
        <w:div w:id="1169062396">
          <w:marLeft w:val="0"/>
          <w:marRight w:val="0"/>
          <w:marTop w:val="0"/>
          <w:marBottom w:val="0"/>
          <w:divBdr>
            <w:top w:val="none" w:sz="0" w:space="0" w:color="auto"/>
            <w:left w:val="none" w:sz="0" w:space="0" w:color="auto"/>
            <w:bottom w:val="none" w:sz="0" w:space="0" w:color="auto"/>
            <w:right w:val="none" w:sz="0" w:space="0" w:color="auto"/>
          </w:divBdr>
        </w:div>
        <w:div w:id="1346520112">
          <w:marLeft w:val="0"/>
          <w:marRight w:val="0"/>
          <w:marTop w:val="0"/>
          <w:marBottom w:val="0"/>
          <w:divBdr>
            <w:top w:val="none" w:sz="0" w:space="0" w:color="auto"/>
            <w:left w:val="none" w:sz="0" w:space="0" w:color="auto"/>
            <w:bottom w:val="none" w:sz="0" w:space="0" w:color="auto"/>
            <w:right w:val="none" w:sz="0" w:space="0" w:color="auto"/>
          </w:divBdr>
        </w:div>
        <w:div w:id="1380863106">
          <w:marLeft w:val="0"/>
          <w:marRight w:val="0"/>
          <w:marTop w:val="0"/>
          <w:marBottom w:val="0"/>
          <w:divBdr>
            <w:top w:val="none" w:sz="0" w:space="0" w:color="auto"/>
            <w:left w:val="none" w:sz="0" w:space="0" w:color="auto"/>
            <w:bottom w:val="none" w:sz="0" w:space="0" w:color="auto"/>
            <w:right w:val="none" w:sz="0" w:space="0" w:color="auto"/>
          </w:divBdr>
        </w:div>
        <w:div w:id="1405955309">
          <w:marLeft w:val="0"/>
          <w:marRight w:val="0"/>
          <w:marTop w:val="0"/>
          <w:marBottom w:val="0"/>
          <w:divBdr>
            <w:top w:val="none" w:sz="0" w:space="0" w:color="auto"/>
            <w:left w:val="none" w:sz="0" w:space="0" w:color="auto"/>
            <w:bottom w:val="none" w:sz="0" w:space="0" w:color="auto"/>
            <w:right w:val="none" w:sz="0" w:space="0" w:color="auto"/>
          </w:divBdr>
        </w:div>
        <w:div w:id="1422331283">
          <w:marLeft w:val="0"/>
          <w:marRight w:val="0"/>
          <w:marTop w:val="0"/>
          <w:marBottom w:val="0"/>
          <w:divBdr>
            <w:top w:val="none" w:sz="0" w:space="0" w:color="auto"/>
            <w:left w:val="none" w:sz="0" w:space="0" w:color="auto"/>
            <w:bottom w:val="none" w:sz="0" w:space="0" w:color="auto"/>
            <w:right w:val="none" w:sz="0" w:space="0" w:color="auto"/>
          </w:divBdr>
        </w:div>
        <w:div w:id="1423528764">
          <w:marLeft w:val="0"/>
          <w:marRight w:val="0"/>
          <w:marTop w:val="0"/>
          <w:marBottom w:val="0"/>
          <w:divBdr>
            <w:top w:val="none" w:sz="0" w:space="0" w:color="auto"/>
            <w:left w:val="none" w:sz="0" w:space="0" w:color="auto"/>
            <w:bottom w:val="none" w:sz="0" w:space="0" w:color="auto"/>
            <w:right w:val="none" w:sz="0" w:space="0" w:color="auto"/>
          </w:divBdr>
        </w:div>
        <w:div w:id="1602496265">
          <w:marLeft w:val="0"/>
          <w:marRight w:val="0"/>
          <w:marTop w:val="0"/>
          <w:marBottom w:val="0"/>
          <w:divBdr>
            <w:top w:val="none" w:sz="0" w:space="0" w:color="auto"/>
            <w:left w:val="none" w:sz="0" w:space="0" w:color="auto"/>
            <w:bottom w:val="none" w:sz="0" w:space="0" w:color="auto"/>
            <w:right w:val="none" w:sz="0" w:space="0" w:color="auto"/>
          </w:divBdr>
        </w:div>
        <w:div w:id="1639727785">
          <w:marLeft w:val="0"/>
          <w:marRight w:val="0"/>
          <w:marTop w:val="0"/>
          <w:marBottom w:val="0"/>
          <w:divBdr>
            <w:top w:val="none" w:sz="0" w:space="0" w:color="auto"/>
            <w:left w:val="none" w:sz="0" w:space="0" w:color="auto"/>
            <w:bottom w:val="none" w:sz="0" w:space="0" w:color="auto"/>
            <w:right w:val="none" w:sz="0" w:space="0" w:color="auto"/>
          </w:divBdr>
        </w:div>
        <w:div w:id="1673020375">
          <w:marLeft w:val="0"/>
          <w:marRight w:val="0"/>
          <w:marTop w:val="0"/>
          <w:marBottom w:val="0"/>
          <w:divBdr>
            <w:top w:val="none" w:sz="0" w:space="0" w:color="auto"/>
            <w:left w:val="none" w:sz="0" w:space="0" w:color="auto"/>
            <w:bottom w:val="none" w:sz="0" w:space="0" w:color="auto"/>
            <w:right w:val="none" w:sz="0" w:space="0" w:color="auto"/>
          </w:divBdr>
        </w:div>
        <w:div w:id="1726025731">
          <w:marLeft w:val="0"/>
          <w:marRight w:val="0"/>
          <w:marTop w:val="0"/>
          <w:marBottom w:val="0"/>
          <w:divBdr>
            <w:top w:val="none" w:sz="0" w:space="0" w:color="auto"/>
            <w:left w:val="none" w:sz="0" w:space="0" w:color="auto"/>
            <w:bottom w:val="none" w:sz="0" w:space="0" w:color="auto"/>
            <w:right w:val="none" w:sz="0" w:space="0" w:color="auto"/>
          </w:divBdr>
        </w:div>
        <w:div w:id="1745762609">
          <w:marLeft w:val="0"/>
          <w:marRight w:val="0"/>
          <w:marTop w:val="0"/>
          <w:marBottom w:val="0"/>
          <w:divBdr>
            <w:top w:val="none" w:sz="0" w:space="0" w:color="auto"/>
            <w:left w:val="none" w:sz="0" w:space="0" w:color="auto"/>
            <w:bottom w:val="none" w:sz="0" w:space="0" w:color="auto"/>
            <w:right w:val="none" w:sz="0" w:space="0" w:color="auto"/>
          </w:divBdr>
        </w:div>
        <w:div w:id="1823042694">
          <w:marLeft w:val="0"/>
          <w:marRight w:val="0"/>
          <w:marTop w:val="0"/>
          <w:marBottom w:val="0"/>
          <w:divBdr>
            <w:top w:val="none" w:sz="0" w:space="0" w:color="auto"/>
            <w:left w:val="none" w:sz="0" w:space="0" w:color="auto"/>
            <w:bottom w:val="none" w:sz="0" w:space="0" w:color="auto"/>
            <w:right w:val="none" w:sz="0" w:space="0" w:color="auto"/>
          </w:divBdr>
        </w:div>
        <w:div w:id="1864054256">
          <w:marLeft w:val="0"/>
          <w:marRight w:val="0"/>
          <w:marTop w:val="0"/>
          <w:marBottom w:val="0"/>
          <w:divBdr>
            <w:top w:val="none" w:sz="0" w:space="0" w:color="auto"/>
            <w:left w:val="none" w:sz="0" w:space="0" w:color="auto"/>
            <w:bottom w:val="none" w:sz="0" w:space="0" w:color="auto"/>
            <w:right w:val="none" w:sz="0" w:space="0" w:color="auto"/>
          </w:divBdr>
        </w:div>
        <w:div w:id="1986887105">
          <w:marLeft w:val="0"/>
          <w:marRight w:val="0"/>
          <w:marTop w:val="0"/>
          <w:marBottom w:val="0"/>
          <w:divBdr>
            <w:top w:val="none" w:sz="0" w:space="0" w:color="auto"/>
            <w:left w:val="none" w:sz="0" w:space="0" w:color="auto"/>
            <w:bottom w:val="none" w:sz="0" w:space="0" w:color="auto"/>
            <w:right w:val="none" w:sz="0" w:space="0" w:color="auto"/>
          </w:divBdr>
        </w:div>
        <w:div w:id="2032490943">
          <w:marLeft w:val="0"/>
          <w:marRight w:val="0"/>
          <w:marTop w:val="0"/>
          <w:marBottom w:val="0"/>
          <w:divBdr>
            <w:top w:val="none" w:sz="0" w:space="0" w:color="auto"/>
            <w:left w:val="none" w:sz="0" w:space="0" w:color="auto"/>
            <w:bottom w:val="none" w:sz="0" w:space="0" w:color="auto"/>
            <w:right w:val="none" w:sz="0" w:space="0" w:color="auto"/>
          </w:divBdr>
        </w:div>
        <w:div w:id="2072461519">
          <w:marLeft w:val="0"/>
          <w:marRight w:val="0"/>
          <w:marTop w:val="0"/>
          <w:marBottom w:val="0"/>
          <w:divBdr>
            <w:top w:val="none" w:sz="0" w:space="0" w:color="auto"/>
            <w:left w:val="none" w:sz="0" w:space="0" w:color="auto"/>
            <w:bottom w:val="none" w:sz="0" w:space="0" w:color="auto"/>
            <w:right w:val="none" w:sz="0" w:space="0" w:color="auto"/>
          </w:divBdr>
        </w:div>
      </w:divsChild>
    </w:div>
    <w:div w:id="326134180">
      <w:bodyDiv w:val="1"/>
      <w:marLeft w:val="0"/>
      <w:marRight w:val="0"/>
      <w:marTop w:val="0"/>
      <w:marBottom w:val="0"/>
      <w:divBdr>
        <w:top w:val="none" w:sz="0" w:space="0" w:color="auto"/>
        <w:left w:val="none" w:sz="0" w:space="0" w:color="auto"/>
        <w:bottom w:val="none" w:sz="0" w:space="0" w:color="auto"/>
        <w:right w:val="none" w:sz="0" w:space="0" w:color="auto"/>
      </w:divBdr>
    </w:div>
    <w:div w:id="336619523">
      <w:bodyDiv w:val="1"/>
      <w:marLeft w:val="0"/>
      <w:marRight w:val="0"/>
      <w:marTop w:val="0"/>
      <w:marBottom w:val="0"/>
      <w:divBdr>
        <w:top w:val="none" w:sz="0" w:space="0" w:color="auto"/>
        <w:left w:val="none" w:sz="0" w:space="0" w:color="auto"/>
        <w:bottom w:val="none" w:sz="0" w:space="0" w:color="auto"/>
        <w:right w:val="none" w:sz="0" w:space="0" w:color="auto"/>
      </w:divBdr>
    </w:div>
    <w:div w:id="342436868">
      <w:bodyDiv w:val="1"/>
      <w:marLeft w:val="0"/>
      <w:marRight w:val="0"/>
      <w:marTop w:val="0"/>
      <w:marBottom w:val="0"/>
      <w:divBdr>
        <w:top w:val="none" w:sz="0" w:space="0" w:color="auto"/>
        <w:left w:val="none" w:sz="0" w:space="0" w:color="auto"/>
        <w:bottom w:val="none" w:sz="0" w:space="0" w:color="auto"/>
        <w:right w:val="none" w:sz="0" w:space="0" w:color="auto"/>
      </w:divBdr>
    </w:div>
    <w:div w:id="364870956">
      <w:bodyDiv w:val="1"/>
      <w:marLeft w:val="0"/>
      <w:marRight w:val="0"/>
      <w:marTop w:val="0"/>
      <w:marBottom w:val="0"/>
      <w:divBdr>
        <w:top w:val="none" w:sz="0" w:space="0" w:color="auto"/>
        <w:left w:val="none" w:sz="0" w:space="0" w:color="auto"/>
        <w:bottom w:val="none" w:sz="0" w:space="0" w:color="auto"/>
        <w:right w:val="none" w:sz="0" w:space="0" w:color="auto"/>
      </w:divBdr>
    </w:div>
    <w:div w:id="378751261">
      <w:bodyDiv w:val="1"/>
      <w:marLeft w:val="0"/>
      <w:marRight w:val="0"/>
      <w:marTop w:val="0"/>
      <w:marBottom w:val="0"/>
      <w:divBdr>
        <w:top w:val="none" w:sz="0" w:space="0" w:color="auto"/>
        <w:left w:val="none" w:sz="0" w:space="0" w:color="auto"/>
        <w:bottom w:val="none" w:sz="0" w:space="0" w:color="auto"/>
        <w:right w:val="none" w:sz="0" w:space="0" w:color="auto"/>
      </w:divBdr>
      <w:divsChild>
        <w:div w:id="112411540">
          <w:marLeft w:val="0"/>
          <w:marRight w:val="0"/>
          <w:marTop w:val="0"/>
          <w:marBottom w:val="0"/>
          <w:divBdr>
            <w:top w:val="none" w:sz="0" w:space="0" w:color="auto"/>
            <w:left w:val="none" w:sz="0" w:space="0" w:color="auto"/>
            <w:bottom w:val="none" w:sz="0" w:space="0" w:color="auto"/>
            <w:right w:val="none" w:sz="0" w:space="0" w:color="auto"/>
          </w:divBdr>
        </w:div>
        <w:div w:id="388111631">
          <w:marLeft w:val="0"/>
          <w:marRight w:val="0"/>
          <w:marTop w:val="0"/>
          <w:marBottom w:val="0"/>
          <w:divBdr>
            <w:top w:val="none" w:sz="0" w:space="0" w:color="auto"/>
            <w:left w:val="none" w:sz="0" w:space="0" w:color="auto"/>
            <w:bottom w:val="none" w:sz="0" w:space="0" w:color="auto"/>
            <w:right w:val="none" w:sz="0" w:space="0" w:color="auto"/>
          </w:divBdr>
        </w:div>
        <w:div w:id="425881078">
          <w:marLeft w:val="0"/>
          <w:marRight w:val="0"/>
          <w:marTop w:val="0"/>
          <w:marBottom w:val="0"/>
          <w:divBdr>
            <w:top w:val="none" w:sz="0" w:space="0" w:color="auto"/>
            <w:left w:val="none" w:sz="0" w:space="0" w:color="auto"/>
            <w:bottom w:val="none" w:sz="0" w:space="0" w:color="auto"/>
            <w:right w:val="none" w:sz="0" w:space="0" w:color="auto"/>
          </w:divBdr>
        </w:div>
        <w:div w:id="437069940">
          <w:marLeft w:val="0"/>
          <w:marRight w:val="0"/>
          <w:marTop w:val="0"/>
          <w:marBottom w:val="0"/>
          <w:divBdr>
            <w:top w:val="none" w:sz="0" w:space="0" w:color="auto"/>
            <w:left w:val="none" w:sz="0" w:space="0" w:color="auto"/>
            <w:bottom w:val="none" w:sz="0" w:space="0" w:color="auto"/>
            <w:right w:val="none" w:sz="0" w:space="0" w:color="auto"/>
          </w:divBdr>
        </w:div>
        <w:div w:id="679547661">
          <w:marLeft w:val="0"/>
          <w:marRight w:val="0"/>
          <w:marTop w:val="0"/>
          <w:marBottom w:val="0"/>
          <w:divBdr>
            <w:top w:val="none" w:sz="0" w:space="0" w:color="auto"/>
            <w:left w:val="none" w:sz="0" w:space="0" w:color="auto"/>
            <w:bottom w:val="none" w:sz="0" w:space="0" w:color="auto"/>
            <w:right w:val="none" w:sz="0" w:space="0" w:color="auto"/>
          </w:divBdr>
        </w:div>
        <w:div w:id="800923010">
          <w:marLeft w:val="0"/>
          <w:marRight w:val="0"/>
          <w:marTop w:val="0"/>
          <w:marBottom w:val="0"/>
          <w:divBdr>
            <w:top w:val="none" w:sz="0" w:space="0" w:color="auto"/>
            <w:left w:val="none" w:sz="0" w:space="0" w:color="auto"/>
            <w:bottom w:val="none" w:sz="0" w:space="0" w:color="auto"/>
            <w:right w:val="none" w:sz="0" w:space="0" w:color="auto"/>
          </w:divBdr>
        </w:div>
        <w:div w:id="1414278211">
          <w:marLeft w:val="0"/>
          <w:marRight w:val="0"/>
          <w:marTop w:val="0"/>
          <w:marBottom w:val="0"/>
          <w:divBdr>
            <w:top w:val="none" w:sz="0" w:space="0" w:color="auto"/>
            <w:left w:val="none" w:sz="0" w:space="0" w:color="auto"/>
            <w:bottom w:val="none" w:sz="0" w:space="0" w:color="auto"/>
            <w:right w:val="none" w:sz="0" w:space="0" w:color="auto"/>
          </w:divBdr>
        </w:div>
        <w:div w:id="1628587411">
          <w:marLeft w:val="0"/>
          <w:marRight w:val="0"/>
          <w:marTop w:val="0"/>
          <w:marBottom w:val="0"/>
          <w:divBdr>
            <w:top w:val="none" w:sz="0" w:space="0" w:color="auto"/>
            <w:left w:val="none" w:sz="0" w:space="0" w:color="auto"/>
            <w:bottom w:val="none" w:sz="0" w:space="0" w:color="auto"/>
            <w:right w:val="none" w:sz="0" w:space="0" w:color="auto"/>
          </w:divBdr>
        </w:div>
      </w:divsChild>
    </w:div>
    <w:div w:id="386956251">
      <w:bodyDiv w:val="1"/>
      <w:marLeft w:val="0"/>
      <w:marRight w:val="0"/>
      <w:marTop w:val="0"/>
      <w:marBottom w:val="0"/>
      <w:divBdr>
        <w:top w:val="none" w:sz="0" w:space="0" w:color="auto"/>
        <w:left w:val="none" w:sz="0" w:space="0" w:color="auto"/>
        <w:bottom w:val="none" w:sz="0" w:space="0" w:color="auto"/>
        <w:right w:val="none" w:sz="0" w:space="0" w:color="auto"/>
      </w:divBdr>
    </w:div>
    <w:div w:id="401761180">
      <w:bodyDiv w:val="1"/>
      <w:marLeft w:val="0"/>
      <w:marRight w:val="0"/>
      <w:marTop w:val="0"/>
      <w:marBottom w:val="0"/>
      <w:divBdr>
        <w:top w:val="none" w:sz="0" w:space="0" w:color="auto"/>
        <w:left w:val="none" w:sz="0" w:space="0" w:color="auto"/>
        <w:bottom w:val="none" w:sz="0" w:space="0" w:color="auto"/>
        <w:right w:val="none" w:sz="0" w:space="0" w:color="auto"/>
      </w:divBdr>
    </w:div>
    <w:div w:id="431122392">
      <w:bodyDiv w:val="1"/>
      <w:marLeft w:val="0"/>
      <w:marRight w:val="0"/>
      <w:marTop w:val="0"/>
      <w:marBottom w:val="0"/>
      <w:divBdr>
        <w:top w:val="none" w:sz="0" w:space="0" w:color="auto"/>
        <w:left w:val="none" w:sz="0" w:space="0" w:color="auto"/>
        <w:bottom w:val="none" w:sz="0" w:space="0" w:color="auto"/>
        <w:right w:val="none" w:sz="0" w:space="0" w:color="auto"/>
      </w:divBdr>
    </w:div>
    <w:div w:id="443505278">
      <w:bodyDiv w:val="1"/>
      <w:marLeft w:val="0"/>
      <w:marRight w:val="0"/>
      <w:marTop w:val="0"/>
      <w:marBottom w:val="0"/>
      <w:divBdr>
        <w:top w:val="none" w:sz="0" w:space="0" w:color="auto"/>
        <w:left w:val="none" w:sz="0" w:space="0" w:color="auto"/>
        <w:bottom w:val="none" w:sz="0" w:space="0" w:color="auto"/>
        <w:right w:val="none" w:sz="0" w:space="0" w:color="auto"/>
      </w:divBdr>
    </w:div>
    <w:div w:id="468089571">
      <w:bodyDiv w:val="1"/>
      <w:marLeft w:val="0"/>
      <w:marRight w:val="0"/>
      <w:marTop w:val="0"/>
      <w:marBottom w:val="0"/>
      <w:divBdr>
        <w:top w:val="none" w:sz="0" w:space="0" w:color="auto"/>
        <w:left w:val="none" w:sz="0" w:space="0" w:color="auto"/>
        <w:bottom w:val="none" w:sz="0" w:space="0" w:color="auto"/>
        <w:right w:val="none" w:sz="0" w:space="0" w:color="auto"/>
      </w:divBdr>
    </w:div>
    <w:div w:id="472410324">
      <w:bodyDiv w:val="1"/>
      <w:marLeft w:val="0"/>
      <w:marRight w:val="0"/>
      <w:marTop w:val="0"/>
      <w:marBottom w:val="0"/>
      <w:divBdr>
        <w:top w:val="none" w:sz="0" w:space="0" w:color="auto"/>
        <w:left w:val="none" w:sz="0" w:space="0" w:color="auto"/>
        <w:bottom w:val="none" w:sz="0" w:space="0" w:color="auto"/>
        <w:right w:val="none" w:sz="0" w:space="0" w:color="auto"/>
      </w:divBdr>
    </w:div>
    <w:div w:id="480462371">
      <w:bodyDiv w:val="1"/>
      <w:marLeft w:val="0"/>
      <w:marRight w:val="0"/>
      <w:marTop w:val="0"/>
      <w:marBottom w:val="0"/>
      <w:divBdr>
        <w:top w:val="none" w:sz="0" w:space="0" w:color="auto"/>
        <w:left w:val="none" w:sz="0" w:space="0" w:color="auto"/>
        <w:bottom w:val="none" w:sz="0" w:space="0" w:color="auto"/>
        <w:right w:val="none" w:sz="0" w:space="0" w:color="auto"/>
      </w:divBdr>
      <w:divsChild>
        <w:div w:id="46343831">
          <w:marLeft w:val="0"/>
          <w:marRight w:val="0"/>
          <w:marTop w:val="0"/>
          <w:marBottom w:val="0"/>
          <w:divBdr>
            <w:top w:val="none" w:sz="0" w:space="0" w:color="auto"/>
            <w:left w:val="none" w:sz="0" w:space="0" w:color="auto"/>
            <w:bottom w:val="none" w:sz="0" w:space="0" w:color="auto"/>
            <w:right w:val="none" w:sz="0" w:space="0" w:color="auto"/>
          </w:divBdr>
        </w:div>
        <w:div w:id="125005850">
          <w:marLeft w:val="0"/>
          <w:marRight w:val="0"/>
          <w:marTop w:val="0"/>
          <w:marBottom w:val="0"/>
          <w:divBdr>
            <w:top w:val="none" w:sz="0" w:space="0" w:color="auto"/>
            <w:left w:val="none" w:sz="0" w:space="0" w:color="auto"/>
            <w:bottom w:val="none" w:sz="0" w:space="0" w:color="auto"/>
            <w:right w:val="none" w:sz="0" w:space="0" w:color="auto"/>
          </w:divBdr>
        </w:div>
        <w:div w:id="546795454">
          <w:marLeft w:val="0"/>
          <w:marRight w:val="0"/>
          <w:marTop w:val="0"/>
          <w:marBottom w:val="0"/>
          <w:divBdr>
            <w:top w:val="none" w:sz="0" w:space="0" w:color="auto"/>
            <w:left w:val="none" w:sz="0" w:space="0" w:color="auto"/>
            <w:bottom w:val="none" w:sz="0" w:space="0" w:color="auto"/>
            <w:right w:val="none" w:sz="0" w:space="0" w:color="auto"/>
          </w:divBdr>
        </w:div>
        <w:div w:id="760101682">
          <w:marLeft w:val="0"/>
          <w:marRight w:val="0"/>
          <w:marTop w:val="0"/>
          <w:marBottom w:val="0"/>
          <w:divBdr>
            <w:top w:val="none" w:sz="0" w:space="0" w:color="auto"/>
            <w:left w:val="none" w:sz="0" w:space="0" w:color="auto"/>
            <w:bottom w:val="none" w:sz="0" w:space="0" w:color="auto"/>
            <w:right w:val="none" w:sz="0" w:space="0" w:color="auto"/>
          </w:divBdr>
        </w:div>
        <w:div w:id="1686127587">
          <w:marLeft w:val="0"/>
          <w:marRight w:val="0"/>
          <w:marTop w:val="0"/>
          <w:marBottom w:val="0"/>
          <w:divBdr>
            <w:top w:val="none" w:sz="0" w:space="0" w:color="auto"/>
            <w:left w:val="none" w:sz="0" w:space="0" w:color="auto"/>
            <w:bottom w:val="none" w:sz="0" w:space="0" w:color="auto"/>
            <w:right w:val="none" w:sz="0" w:space="0" w:color="auto"/>
          </w:divBdr>
        </w:div>
        <w:div w:id="1897355507">
          <w:marLeft w:val="0"/>
          <w:marRight w:val="0"/>
          <w:marTop w:val="0"/>
          <w:marBottom w:val="0"/>
          <w:divBdr>
            <w:top w:val="none" w:sz="0" w:space="0" w:color="auto"/>
            <w:left w:val="none" w:sz="0" w:space="0" w:color="auto"/>
            <w:bottom w:val="none" w:sz="0" w:space="0" w:color="auto"/>
            <w:right w:val="none" w:sz="0" w:space="0" w:color="auto"/>
          </w:divBdr>
        </w:div>
        <w:div w:id="1947500247">
          <w:marLeft w:val="0"/>
          <w:marRight w:val="0"/>
          <w:marTop w:val="0"/>
          <w:marBottom w:val="0"/>
          <w:divBdr>
            <w:top w:val="none" w:sz="0" w:space="0" w:color="auto"/>
            <w:left w:val="none" w:sz="0" w:space="0" w:color="auto"/>
            <w:bottom w:val="none" w:sz="0" w:space="0" w:color="auto"/>
            <w:right w:val="none" w:sz="0" w:space="0" w:color="auto"/>
          </w:divBdr>
        </w:div>
        <w:div w:id="2076387951">
          <w:marLeft w:val="0"/>
          <w:marRight w:val="0"/>
          <w:marTop w:val="0"/>
          <w:marBottom w:val="0"/>
          <w:divBdr>
            <w:top w:val="none" w:sz="0" w:space="0" w:color="auto"/>
            <w:left w:val="none" w:sz="0" w:space="0" w:color="auto"/>
            <w:bottom w:val="none" w:sz="0" w:space="0" w:color="auto"/>
            <w:right w:val="none" w:sz="0" w:space="0" w:color="auto"/>
          </w:divBdr>
        </w:div>
      </w:divsChild>
    </w:div>
    <w:div w:id="482166589">
      <w:bodyDiv w:val="1"/>
      <w:marLeft w:val="0"/>
      <w:marRight w:val="0"/>
      <w:marTop w:val="0"/>
      <w:marBottom w:val="0"/>
      <w:divBdr>
        <w:top w:val="none" w:sz="0" w:space="0" w:color="auto"/>
        <w:left w:val="none" w:sz="0" w:space="0" w:color="auto"/>
        <w:bottom w:val="none" w:sz="0" w:space="0" w:color="auto"/>
        <w:right w:val="none" w:sz="0" w:space="0" w:color="auto"/>
      </w:divBdr>
    </w:div>
    <w:div w:id="487135063">
      <w:bodyDiv w:val="1"/>
      <w:marLeft w:val="0"/>
      <w:marRight w:val="0"/>
      <w:marTop w:val="0"/>
      <w:marBottom w:val="0"/>
      <w:divBdr>
        <w:top w:val="none" w:sz="0" w:space="0" w:color="auto"/>
        <w:left w:val="none" w:sz="0" w:space="0" w:color="auto"/>
        <w:bottom w:val="none" w:sz="0" w:space="0" w:color="auto"/>
        <w:right w:val="none" w:sz="0" w:space="0" w:color="auto"/>
      </w:divBdr>
    </w:div>
    <w:div w:id="498890273">
      <w:bodyDiv w:val="1"/>
      <w:marLeft w:val="0"/>
      <w:marRight w:val="0"/>
      <w:marTop w:val="0"/>
      <w:marBottom w:val="0"/>
      <w:divBdr>
        <w:top w:val="none" w:sz="0" w:space="0" w:color="auto"/>
        <w:left w:val="none" w:sz="0" w:space="0" w:color="auto"/>
        <w:bottom w:val="none" w:sz="0" w:space="0" w:color="auto"/>
        <w:right w:val="none" w:sz="0" w:space="0" w:color="auto"/>
      </w:divBdr>
      <w:divsChild>
        <w:div w:id="358507677">
          <w:marLeft w:val="0"/>
          <w:marRight w:val="0"/>
          <w:marTop w:val="0"/>
          <w:marBottom w:val="0"/>
          <w:divBdr>
            <w:top w:val="none" w:sz="0" w:space="0" w:color="auto"/>
            <w:left w:val="none" w:sz="0" w:space="0" w:color="auto"/>
            <w:bottom w:val="none" w:sz="0" w:space="0" w:color="auto"/>
            <w:right w:val="none" w:sz="0" w:space="0" w:color="auto"/>
          </w:divBdr>
        </w:div>
        <w:div w:id="497231759">
          <w:marLeft w:val="0"/>
          <w:marRight w:val="0"/>
          <w:marTop w:val="0"/>
          <w:marBottom w:val="0"/>
          <w:divBdr>
            <w:top w:val="none" w:sz="0" w:space="0" w:color="auto"/>
            <w:left w:val="none" w:sz="0" w:space="0" w:color="auto"/>
            <w:bottom w:val="none" w:sz="0" w:space="0" w:color="auto"/>
            <w:right w:val="none" w:sz="0" w:space="0" w:color="auto"/>
          </w:divBdr>
        </w:div>
        <w:div w:id="627442733">
          <w:marLeft w:val="0"/>
          <w:marRight w:val="0"/>
          <w:marTop w:val="0"/>
          <w:marBottom w:val="0"/>
          <w:divBdr>
            <w:top w:val="none" w:sz="0" w:space="0" w:color="auto"/>
            <w:left w:val="none" w:sz="0" w:space="0" w:color="auto"/>
            <w:bottom w:val="none" w:sz="0" w:space="0" w:color="auto"/>
            <w:right w:val="none" w:sz="0" w:space="0" w:color="auto"/>
          </w:divBdr>
        </w:div>
        <w:div w:id="692221414">
          <w:marLeft w:val="0"/>
          <w:marRight w:val="0"/>
          <w:marTop w:val="0"/>
          <w:marBottom w:val="0"/>
          <w:divBdr>
            <w:top w:val="none" w:sz="0" w:space="0" w:color="auto"/>
            <w:left w:val="none" w:sz="0" w:space="0" w:color="auto"/>
            <w:bottom w:val="none" w:sz="0" w:space="0" w:color="auto"/>
            <w:right w:val="none" w:sz="0" w:space="0" w:color="auto"/>
          </w:divBdr>
        </w:div>
        <w:div w:id="749236352">
          <w:marLeft w:val="0"/>
          <w:marRight w:val="0"/>
          <w:marTop w:val="0"/>
          <w:marBottom w:val="0"/>
          <w:divBdr>
            <w:top w:val="none" w:sz="0" w:space="0" w:color="auto"/>
            <w:left w:val="none" w:sz="0" w:space="0" w:color="auto"/>
            <w:bottom w:val="none" w:sz="0" w:space="0" w:color="auto"/>
            <w:right w:val="none" w:sz="0" w:space="0" w:color="auto"/>
          </w:divBdr>
        </w:div>
        <w:div w:id="826894418">
          <w:marLeft w:val="0"/>
          <w:marRight w:val="0"/>
          <w:marTop w:val="0"/>
          <w:marBottom w:val="0"/>
          <w:divBdr>
            <w:top w:val="none" w:sz="0" w:space="0" w:color="auto"/>
            <w:left w:val="none" w:sz="0" w:space="0" w:color="auto"/>
            <w:bottom w:val="none" w:sz="0" w:space="0" w:color="auto"/>
            <w:right w:val="none" w:sz="0" w:space="0" w:color="auto"/>
          </w:divBdr>
        </w:div>
        <w:div w:id="892540533">
          <w:marLeft w:val="0"/>
          <w:marRight w:val="0"/>
          <w:marTop w:val="0"/>
          <w:marBottom w:val="0"/>
          <w:divBdr>
            <w:top w:val="none" w:sz="0" w:space="0" w:color="auto"/>
            <w:left w:val="none" w:sz="0" w:space="0" w:color="auto"/>
            <w:bottom w:val="none" w:sz="0" w:space="0" w:color="auto"/>
            <w:right w:val="none" w:sz="0" w:space="0" w:color="auto"/>
          </w:divBdr>
        </w:div>
        <w:div w:id="1143473621">
          <w:marLeft w:val="0"/>
          <w:marRight w:val="0"/>
          <w:marTop w:val="0"/>
          <w:marBottom w:val="0"/>
          <w:divBdr>
            <w:top w:val="none" w:sz="0" w:space="0" w:color="auto"/>
            <w:left w:val="none" w:sz="0" w:space="0" w:color="auto"/>
            <w:bottom w:val="none" w:sz="0" w:space="0" w:color="auto"/>
            <w:right w:val="none" w:sz="0" w:space="0" w:color="auto"/>
          </w:divBdr>
        </w:div>
        <w:div w:id="1145204156">
          <w:marLeft w:val="0"/>
          <w:marRight w:val="0"/>
          <w:marTop w:val="0"/>
          <w:marBottom w:val="0"/>
          <w:divBdr>
            <w:top w:val="none" w:sz="0" w:space="0" w:color="auto"/>
            <w:left w:val="none" w:sz="0" w:space="0" w:color="auto"/>
            <w:bottom w:val="none" w:sz="0" w:space="0" w:color="auto"/>
            <w:right w:val="none" w:sz="0" w:space="0" w:color="auto"/>
          </w:divBdr>
        </w:div>
        <w:div w:id="1692220028">
          <w:marLeft w:val="0"/>
          <w:marRight w:val="0"/>
          <w:marTop w:val="0"/>
          <w:marBottom w:val="0"/>
          <w:divBdr>
            <w:top w:val="none" w:sz="0" w:space="0" w:color="auto"/>
            <w:left w:val="none" w:sz="0" w:space="0" w:color="auto"/>
            <w:bottom w:val="none" w:sz="0" w:space="0" w:color="auto"/>
            <w:right w:val="none" w:sz="0" w:space="0" w:color="auto"/>
          </w:divBdr>
        </w:div>
        <w:div w:id="1729448800">
          <w:marLeft w:val="0"/>
          <w:marRight w:val="0"/>
          <w:marTop w:val="0"/>
          <w:marBottom w:val="0"/>
          <w:divBdr>
            <w:top w:val="none" w:sz="0" w:space="0" w:color="auto"/>
            <w:left w:val="none" w:sz="0" w:space="0" w:color="auto"/>
            <w:bottom w:val="none" w:sz="0" w:space="0" w:color="auto"/>
            <w:right w:val="none" w:sz="0" w:space="0" w:color="auto"/>
          </w:divBdr>
        </w:div>
        <w:div w:id="1891532299">
          <w:marLeft w:val="0"/>
          <w:marRight w:val="0"/>
          <w:marTop w:val="0"/>
          <w:marBottom w:val="0"/>
          <w:divBdr>
            <w:top w:val="none" w:sz="0" w:space="0" w:color="auto"/>
            <w:left w:val="none" w:sz="0" w:space="0" w:color="auto"/>
            <w:bottom w:val="none" w:sz="0" w:space="0" w:color="auto"/>
            <w:right w:val="none" w:sz="0" w:space="0" w:color="auto"/>
          </w:divBdr>
        </w:div>
        <w:div w:id="1927759313">
          <w:marLeft w:val="0"/>
          <w:marRight w:val="0"/>
          <w:marTop w:val="0"/>
          <w:marBottom w:val="0"/>
          <w:divBdr>
            <w:top w:val="none" w:sz="0" w:space="0" w:color="auto"/>
            <w:left w:val="none" w:sz="0" w:space="0" w:color="auto"/>
            <w:bottom w:val="none" w:sz="0" w:space="0" w:color="auto"/>
            <w:right w:val="none" w:sz="0" w:space="0" w:color="auto"/>
          </w:divBdr>
        </w:div>
        <w:div w:id="1990278796">
          <w:marLeft w:val="0"/>
          <w:marRight w:val="0"/>
          <w:marTop w:val="0"/>
          <w:marBottom w:val="0"/>
          <w:divBdr>
            <w:top w:val="none" w:sz="0" w:space="0" w:color="auto"/>
            <w:left w:val="none" w:sz="0" w:space="0" w:color="auto"/>
            <w:bottom w:val="none" w:sz="0" w:space="0" w:color="auto"/>
            <w:right w:val="none" w:sz="0" w:space="0" w:color="auto"/>
          </w:divBdr>
        </w:div>
        <w:div w:id="2110811667">
          <w:marLeft w:val="0"/>
          <w:marRight w:val="0"/>
          <w:marTop w:val="0"/>
          <w:marBottom w:val="0"/>
          <w:divBdr>
            <w:top w:val="none" w:sz="0" w:space="0" w:color="auto"/>
            <w:left w:val="none" w:sz="0" w:space="0" w:color="auto"/>
            <w:bottom w:val="none" w:sz="0" w:space="0" w:color="auto"/>
            <w:right w:val="none" w:sz="0" w:space="0" w:color="auto"/>
          </w:divBdr>
        </w:div>
      </w:divsChild>
    </w:div>
    <w:div w:id="500436462">
      <w:bodyDiv w:val="1"/>
      <w:marLeft w:val="0"/>
      <w:marRight w:val="0"/>
      <w:marTop w:val="0"/>
      <w:marBottom w:val="0"/>
      <w:divBdr>
        <w:top w:val="none" w:sz="0" w:space="0" w:color="auto"/>
        <w:left w:val="none" w:sz="0" w:space="0" w:color="auto"/>
        <w:bottom w:val="none" w:sz="0" w:space="0" w:color="auto"/>
        <w:right w:val="none" w:sz="0" w:space="0" w:color="auto"/>
      </w:divBdr>
    </w:div>
    <w:div w:id="518662070">
      <w:bodyDiv w:val="1"/>
      <w:marLeft w:val="0"/>
      <w:marRight w:val="0"/>
      <w:marTop w:val="0"/>
      <w:marBottom w:val="0"/>
      <w:divBdr>
        <w:top w:val="none" w:sz="0" w:space="0" w:color="auto"/>
        <w:left w:val="none" w:sz="0" w:space="0" w:color="auto"/>
        <w:bottom w:val="none" w:sz="0" w:space="0" w:color="auto"/>
        <w:right w:val="none" w:sz="0" w:space="0" w:color="auto"/>
      </w:divBdr>
    </w:div>
    <w:div w:id="551042255">
      <w:bodyDiv w:val="1"/>
      <w:marLeft w:val="0"/>
      <w:marRight w:val="0"/>
      <w:marTop w:val="0"/>
      <w:marBottom w:val="0"/>
      <w:divBdr>
        <w:top w:val="none" w:sz="0" w:space="0" w:color="auto"/>
        <w:left w:val="none" w:sz="0" w:space="0" w:color="auto"/>
        <w:bottom w:val="none" w:sz="0" w:space="0" w:color="auto"/>
        <w:right w:val="none" w:sz="0" w:space="0" w:color="auto"/>
      </w:divBdr>
    </w:div>
    <w:div w:id="559679744">
      <w:bodyDiv w:val="1"/>
      <w:marLeft w:val="0"/>
      <w:marRight w:val="0"/>
      <w:marTop w:val="0"/>
      <w:marBottom w:val="0"/>
      <w:divBdr>
        <w:top w:val="none" w:sz="0" w:space="0" w:color="auto"/>
        <w:left w:val="none" w:sz="0" w:space="0" w:color="auto"/>
        <w:bottom w:val="none" w:sz="0" w:space="0" w:color="auto"/>
        <w:right w:val="none" w:sz="0" w:space="0" w:color="auto"/>
      </w:divBdr>
    </w:div>
    <w:div w:id="590359922">
      <w:bodyDiv w:val="1"/>
      <w:marLeft w:val="0"/>
      <w:marRight w:val="0"/>
      <w:marTop w:val="0"/>
      <w:marBottom w:val="0"/>
      <w:divBdr>
        <w:top w:val="none" w:sz="0" w:space="0" w:color="auto"/>
        <w:left w:val="none" w:sz="0" w:space="0" w:color="auto"/>
        <w:bottom w:val="none" w:sz="0" w:space="0" w:color="auto"/>
        <w:right w:val="none" w:sz="0" w:space="0" w:color="auto"/>
      </w:divBdr>
    </w:div>
    <w:div w:id="590696505">
      <w:bodyDiv w:val="1"/>
      <w:marLeft w:val="0"/>
      <w:marRight w:val="0"/>
      <w:marTop w:val="0"/>
      <w:marBottom w:val="0"/>
      <w:divBdr>
        <w:top w:val="none" w:sz="0" w:space="0" w:color="auto"/>
        <w:left w:val="none" w:sz="0" w:space="0" w:color="auto"/>
        <w:bottom w:val="none" w:sz="0" w:space="0" w:color="auto"/>
        <w:right w:val="none" w:sz="0" w:space="0" w:color="auto"/>
      </w:divBdr>
    </w:div>
    <w:div w:id="645862661">
      <w:bodyDiv w:val="1"/>
      <w:marLeft w:val="0"/>
      <w:marRight w:val="0"/>
      <w:marTop w:val="0"/>
      <w:marBottom w:val="0"/>
      <w:divBdr>
        <w:top w:val="none" w:sz="0" w:space="0" w:color="auto"/>
        <w:left w:val="none" w:sz="0" w:space="0" w:color="auto"/>
        <w:bottom w:val="none" w:sz="0" w:space="0" w:color="auto"/>
        <w:right w:val="none" w:sz="0" w:space="0" w:color="auto"/>
      </w:divBdr>
    </w:div>
    <w:div w:id="646782922">
      <w:bodyDiv w:val="1"/>
      <w:marLeft w:val="0"/>
      <w:marRight w:val="0"/>
      <w:marTop w:val="0"/>
      <w:marBottom w:val="0"/>
      <w:divBdr>
        <w:top w:val="none" w:sz="0" w:space="0" w:color="auto"/>
        <w:left w:val="none" w:sz="0" w:space="0" w:color="auto"/>
        <w:bottom w:val="none" w:sz="0" w:space="0" w:color="auto"/>
        <w:right w:val="none" w:sz="0" w:space="0" w:color="auto"/>
      </w:divBdr>
    </w:div>
    <w:div w:id="688481945">
      <w:bodyDiv w:val="1"/>
      <w:marLeft w:val="0"/>
      <w:marRight w:val="0"/>
      <w:marTop w:val="0"/>
      <w:marBottom w:val="0"/>
      <w:divBdr>
        <w:top w:val="none" w:sz="0" w:space="0" w:color="auto"/>
        <w:left w:val="none" w:sz="0" w:space="0" w:color="auto"/>
        <w:bottom w:val="none" w:sz="0" w:space="0" w:color="auto"/>
        <w:right w:val="none" w:sz="0" w:space="0" w:color="auto"/>
      </w:divBdr>
    </w:div>
    <w:div w:id="692921865">
      <w:bodyDiv w:val="1"/>
      <w:marLeft w:val="0"/>
      <w:marRight w:val="0"/>
      <w:marTop w:val="0"/>
      <w:marBottom w:val="0"/>
      <w:divBdr>
        <w:top w:val="none" w:sz="0" w:space="0" w:color="auto"/>
        <w:left w:val="none" w:sz="0" w:space="0" w:color="auto"/>
        <w:bottom w:val="none" w:sz="0" w:space="0" w:color="auto"/>
        <w:right w:val="none" w:sz="0" w:space="0" w:color="auto"/>
      </w:divBdr>
    </w:div>
    <w:div w:id="694886333">
      <w:bodyDiv w:val="1"/>
      <w:marLeft w:val="0"/>
      <w:marRight w:val="0"/>
      <w:marTop w:val="0"/>
      <w:marBottom w:val="0"/>
      <w:divBdr>
        <w:top w:val="none" w:sz="0" w:space="0" w:color="auto"/>
        <w:left w:val="none" w:sz="0" w:space="0" w:color="auto"/>
        <w:bottom w:val="none" w:sz="0" w:space="0" w:color="auto"/>
        <w:right w:val="none" w:sz="0" w:space="0" w:color="auto"/>
      </w:divBdr>
    </w:div>
    <w:div w:id="730077612">
      <w:bodyDiv w:val="1"/>
      <w:marLeft w:val="0"/>
      <w:marRight w:val="0"/>
      <w:marTop w:val="0"/>
      <w:marBottom w:val="0"/>
      <w:divBdr>
        <w:top w:val="none" w:sz="0" w:space="0" w:color="auto"/>
        <w:left w:val="none" w:sz="0" w:space="0" w:color="auto"/>
        <w:bottom w:val="none" w:sz="0" w:space="0" w:color="auto"/>
        <w:right w:val="none" w:sz="0" w:space="0" w:color="auto"/>
      </w:divBdr>
    </w:div>
    <w:div w:id="740563687">
      <w:bodyDiv w:val="1"/>
      <w:marLeft w:val="0"/>
      <w:marRight w:val="0"/>
      <w:marTop w:val="0"/>
      <w:marBottom w:val="0"/>
      <w:divBdr>
        <w:top w:val="none" w:sz="0" w:space="0" w:color="auto"/>
        <w:left w:val="none" w:sz="0" w:space="0" w:color="auto"/>
        <w:bottom w:val="none" w:sz="0" w:space="0" w:color="auto"/>
        <w:right w:val="none" w:sz="0" w:space="0" w:color="auto"/>
      </w:divBdr>
    </w:div>
    <w:div w:id="745151870">
      <w:bodyDiv w:val="1"/>
      <w:marLeft w:val="0"/>
      <w:marRight w:val="0"/>
      <w:marTop w:val="0"/>
      <w:marBottom w:val="0"/>
      <w:divBdr>
        <w:top w:val="none" w:sz="0" w:space="0" w:color="auto"/>
        <w:left w:val="none" w:sz="0" w:space="0" w:color="auto"/>
        <w:bottom w:val="none" w:sz="0" w:space="0" w:color="auto"/>
        <w:right w:val="none" w:sz="0" w:space="0" w:color="auto"/>
      </w:divBdr>
    </w:div>
    <w:div w:id="747310836">
      <w:bodyDiv w:val="1"/>
      <w:marLeft w:val="0"/>
      <w:marRight w:val="0"/>
      <w:marTop w:val="0"/>
      <w:marBottom w:val="0"/>
      <w:divBdr>
        <w:top w:val="none" w:sz="0" w:space="0" w:color="auto"/>
        <w:left w:val="none" w:sz="0" w:space="0" w:color="auto"/>
        <w:bottom w:val="none" w:sz="0" w:space="0" w:color="auto"/>
        <w:right w:val="none" w:sz="0" w:space="0" w:color="auto"/>
      </w:divBdr>
    </w:div>
    <w:div w:id="761873478">
      <w:bodyDiv w:val="1"/>
      <w:marLeft w:val="0"/>
      <w:marRight w:val="0"/>
      <w:marTop w:val="0"/>
      <w:marBottom w:val="0"/>
      <w:divBdr>
        <w:top w:val="none" w:sz="0" w:space="0" w:color="auto"/>
        <w:left w:val="none" w:sz="0" w:space="0" w:color="auto"/>
        <w:bottom w:val="none" w:sz="0" w:space="0" w:color="auto"/>
        <w:right w:val="none" w:sz="0" w:space="0" w:color="auto"/>
      </w:divBdr>
    </w:div>
    <w:div w:id="773943436">
      <w:bodyDiv w:val="1"/>
      <w:marLeft w:val="0"/>
      <w:marRight w:val="0"/>
      <w:marTop w:val="0"/>
      <w:marBottom w:val="0"/>
      <w:divBdr>
        <w:top w:val="none" w:sz="0" w:space="0" w:color="auto"/>
        <w:left w:val="none" w:sz="0" w:space="0" w:color="auto"/>
        <w:bottom w:val="none" w:sz="0" w:space="0" w:color="auto"/>
        <w:right w:val="none" w:sz="0" w:space="0" w:color="auto"/>
      </w:divBdr>
      <w:divsChild>
        <w:div w:id="100029445">
          <w:marLeft w:val="0"/>
          <w:marRight w:val="0"/>
          <w:marTop w:val="0"/>
          <w:marBottom w:val="0"/>
          <w:divBdr>
            <w:top w:val="none" w:sz="0" w:space="0" w:color="auto"/>
            <w:left w:val="none" w:sz="0" w:space="0" w:color="auto"/>
            <w:bottom w:val="none" w:sz="0" w:space="0" w:color="auto"/>
            <w:right w:val="none" w:sz="0" w:space="0" w:color="auto"/>
          </w:divBdr>
        </w:div>
        <w:div w:id="132329615">
          <w:marLeft w:val="0"/>
          <w:marRight w:val="0"/>
          <w:marTop w:val="0"/>
          <w:marBottom w:val="0"/>
          <w:divBdr>
            <w:top w:val="none" w:sz="0" w:space="0" w:color="auto"/>
            <w:left w:val="none" w:sz="0" w:space="0" w:color="auto"/>
            <w:bottom w:val="none" w:sz="0" w:space="0" w:color="auto"/>
            <w:right w:val="none" w:sz="0" w:space="0" w:color="auto"/>
          </w:divBdr>
        </w:div>
        <w:div w:id="333073398">
          <w:marLeft w:val="0"/>
          <w:marRight w:val="0"/>
          <w:marTop w:val="0"/>
          <w:marBottom w:val="0"/>
          <w:divBdr>
            <w:top w:val="none" w:sz="0" w:space="0" w:color="auto"/>
            <w:left w:val="none" w:sz="0" w:space="0" w:color="auto"/>
            <w:bottom w:val="none" w:sz="0" w:space="0" w:color="auto"/>
            <w:right w:val="none" w:sz="0" w:space="0" w:color="auto"/>
          </w:divBdr>
        </w:div>
        <w:div w:id="390033309">
          <w:marLeft w:val="0"/>
          <w:marRight w:val="0"/>
          <w:marTop w:val="0"/>
          <w:marBottom w:val="0"/>
          <w:divBdr>
            <w:top w:val="none" w:sz="0" w:space="0" w:color="auto"/>
            <w:left w:val="none" w:sz="0" w:space="0" w:color="auto"/>
            <w:bottom w:val="none" w:sz="0" w:space="0" w:color="auto"/>
            <w:right w:val="none" w:sz="0" w:space="0" w:color="auto"/>
          </w:divBdr>
        </w:div>
        <w:div w:id="542601844">
          <w:marLeft w:val="0"/>
          <w:marRight w:val="0"/>
          <w:marTop w:val="0"/>
          <w:marBottom w:val="0"/>
          <w:divBdr>
            <w:top w:val="none" w:sz="0" w:space="0" w:color="auto"/>
            <w:left w:val="none" w:sz="0" w:space="0" w:color="auto"/>
            <w:bottom w:val="none" w:sz="0" w:space="0" w:color="auto"/>
            <w:right w:val="none" w:sz="0" w:space="0" w:color="auto"/>
          </w:divBdr>
        </w:div>
        <w:div w:id="631331746">
          <w:marLeft w:val="0"/>
          <w:marRight w:val="0"/>
          <w:marTop w:val="0"/>
          <w:marBottom w:val="0"/>
          <w:divBdr>
            <w:top w:val="none" w:sz="0" w:space="0" w:color="auto"/>
            <w:left w:val="none" w:sz="0" w:space="0" w:color="auto"/>
            <w:bottom w:val="none" w:sz="0" w:space="0" w:color="auto"/>
            <w:right w:val="none" w:sz="0" w:space="0" w:color="auto"/>
          </w:divBdr>
        </w:div>
        <w:div w:id="711927066">
          <w:marLeft w:val="0"/>
          <w:marRight w:val="0"/>
          <w:marTop w:val="0"/>
          <w:marBottom w:val="0"/>
          <w:divBdr>
            <w:top w:val="none" w:sz="0" w:space="0" w:color="auto"/>
            <w:left w:val="none" w:sz="0" w:space="0" w:color="auto"/>
            <w:bottom w:val="none" w:sz="0" w:space="0" w:color="auto"/>
            <w:right w:val="none" w:sz="0" w:space="0" w:color="auto"/>
          </w:divBdr>
        </w:div>
        <w:div w:id="772170718">
          <w:marLeft w:val="0"/>
          <w:marRight w:val="0"/>
          <w:marTop w:val="0"/>
          <w:marBottom w:val="0"/>
          <w:divBdr>
            <w:top w:val="none" w:sz="0" w:space="0" w:color="auto"/>
            <w:left w:val="none" w:sz="0" w:space="0" w:color="auto"/>
            <w:bottom w:val="none" w:sz="0" w:space="0" w:color="auto"/>
            <w:right w:val="none" w:sz="0" w:space="0" w:color="auto"/>
          </w:divBdr>
        </w:div>
        <w:div w:id="913124319">
          <w:marLeft w:val="0"/>
          <w:marRight w:val="0"/>
          <w:marTop w:val="0"/>
          <w:marBottom w:val="0"/>
          <w:divBdr>
            <w:top w:val="none" w:sz="0" w:space="0" w:color="auto"/>
            <w:left w:val="none" w:sz="0" w:space="0" w:color="auto"/>
            <w:bottom w:val="none" w:sz="0" w:space="0" w:color="auto"/>
            <w:right w:val="none" w:sz="0" w:space="0" w:color="auto"/>
          </w:divBdr>
        </w:div>
        <w:div w:id="919023368">
          <w:marLeft w:val="0"/>
          <w:marRight w:val="0"/>
          <w:marTop w:val="0"/>
          <w:marBottom w:val="0"/>
          <w:divBdr>
            <w:top w:val="none" w:sz="0" w:space="0" w:color="auto"/>
            <w:left w:val="none" w:sz="0" w:space="0" w:color="auto"/>
            <w:bottom w:val="none" w:sz="0" w:space="0" w:color="auto"/>
            <w:right w:val="none" w:sz="0" w:space="0" w:color="auto"/>
          </w:divBdr>
        </w:div>
        <w:div w:id="961152838">
          <w:marLeft w:val="0"/>
          <w:marRight w:val="0"/>
          <w:marTop w:val="0"/>
          <w:marBottom w:val="0"/>
          <w:divBdr>
            <w:top w:val="none" w:sz="0" w:space="0" w:color="auto"/>
            <w:left w:val="none" w:sz="0" w:space="0" w:color="auto"/>
            <w:bottom w:val="none" w:sz="0" w:space="0" w:color="auto"/>
            <w:right w:val="none" w:sz="0" w:space="0" w:color="auto"/>
          </w:divBdr>
        </w:div>
        <w:div w:id="971709300">
          <w:marLeft w:val="0"/>
          <w:marRight w:val="0"/>
          <w:marTop w:val="0"/>
          <w:marBottom w:val="0"/>
          <w:divBdr>
            <w:top w:val="none" w:sz="0" w:space="0" w:color="auto"/>
            <w:left w:val="none" w:sz="0" w:space="0" w:color="auto"/>
            <w:bottom w:val="none" w:sz="0" w:space="0" w:color="auto"/>
            <w:right w:val="none" w:sz="0" w:space="0" w:color="auto"/>
          </w:divBdr>
        </w:div>
        <w:div w:id="995382900">
          <w:marLeft w:val="0"/>
          <w:marRight w:val="0"/>
          <w:marTop w:val="0"/>
          <w:marBottom w:val="0"/>
          <w:divBdr>
            <w:top w:val="none" w:sz="0" w:space="0" w:color="auto"/>
            <w:left w:val="none" w:sz="0" w:space="0" w:color="auto"/>
            <w:bottom w:val="none" w:sz="0" w:space="0" w:color="auto"/>
            <w:right w:val="none" w:sz="0" w:space="0" w:color="auto"/>
          </w:divBdr>
        </w:div>
        <w:div w:id="1056660545">
          <w:marLeft w:val="0"/>
          <w:marRight w:val="0"/>
          <w:marTop w:val="0"/>
          <w:marBottom w:val="0"/>
          <w:divBdr>
            <w:top w:val="none" w:sz="0" w:space="0" w:color="auto"/>
            <w:left w:val="none" w:sz="0" w:space="0" w:color="auto"/>
            <w:bottom w:val="none" w:sz="0" w:space="0" w:color="auto"/>
            <w:right w:val="none" w:sz="0" w:space="0" w:color="auto"/>
          </w:divBdr>
        </w:div>
        <w:div w:id="1106193897">
          <w:marLeft w:val="0"/>
          <w:marRight w:val="0"/>
          <w:marTop w:val="0"/>
          <w:marBottom w:val="0"/>
          <w:divBdr>
            <w:top w:val="none" w:sz="0" w:space="0" w:color="auto"/>
            <w:left w:val="none" w:sz="0" w:space="0" w:color="auto"/>
            <w:bottom w:val="none" w:sz="0" w:space="0" w:color="auto"/>
            <w:right w:val="none" w:sz="0" w:space="0" w:color="auto"/>
          </w:divBdr>
        </w:div>
        <w:div w:id="1107847385">
          <w:marLeft w:val="0"/>
          <w:marRight w:val="0"/>
          <w:marTop w:val="0"/>
          <w:marBottom w:val="0"/>
          <w:divBdr>
            <w:top w:val="none" w:sz="0" w:space="0" w:color="auto"/>
            <w:left w:val="none" w:sz="0" w:space="0" w:color="auto"/>
            <w:bottom w:val="none" w:sz="0" w:space="0" w:color="auto"/>
            <w:right w:val="none" w:sz="0" w:space="0" w:color="auto"/>
          </w:divBdr>
        </w:div>
        <w:div w:id="1199508524">
          <w:marLeft w:val="0"/>
          <w:marRight w:val="0"/>
          <w:marTop w:val="0"/>
          <w:marBottom w:val="0"/>
          <w:divBdr>
            <w:top w:val="none" w:sz="0" w:space="0" w:color="auto"/>
            <w:left w:val="none" w:sz="0" w:space="0" w:color="auto"/>
            <w:bottom w:val="none" w:sz="0" w:space="0" w:color="auto"/>
            <w:right w:val="none" w:sz="0" w:space="0" w:color="auto"/>
          </w:divBdr>
        </w:div>
        <w:div w:id="1239941757">
          <w:marLeft w:val="0"/>
          <w:marRight w:val="0"/>
          <w:marTop w:val="0"/>
          <w:marBottom w:val="0"/>
          <w:divBdr>
            <w:top w:val="none" w:sz="0" w:space="0" w:color="auto"/>
            <w:left w:val="none" w:sz="0" w:space="0" w:color="auto"/>
            <w:bottom w:val="none" w:sz="0" w:space="0" w:color="auto"/>
            <w:right w:val="none" w:sz="0" w:space="0" w:color="auto"/>
          </w:divBdr>
        </w:div>
        <w:div w:id="1292203519">
          <w:marLeft w:val="0"/>
          <w:marRight w:val="0"/>
          <w:marTop w:val="0"/>
          <w:marBottom w:val="0"/>
          <w:divBdr>
            <w:top w:val="none" w:sz="0" w:space="0" w:color="auto"/>
            <w:left w:val="none" w:sz="0" w:space="0" w:color="auto"/>
            <w:bottom w:val="none" w:sz="0" w:space="0" w:color="auto"/>
            <w:right w:val="none" w:sz="0" w:space="0" w:color="auto"/>
          </w:divBdr>
        </w:div>
        <w:div w:id="1350714574">
          <w:marLeft w:val="0"/>
          <w:marRight w:val="0"/>
          <w:marTop w:val="0"/>
          <w:marBottom w:val="0"/>
          <w:divBdr>
            <w:top w:val="none" w:sz="0" w:space="0" w:color="auto"/>
            <w:left w:val="none" w:sz="0" w:space="0" w:color="auto"/>
            <w:bottom w:val="none" w:sz="0" w:space="0" w:color="auto"/>
            <w:right w:val="none" w:sz="0" w:space="0" w:color="auto"/>
          </w:divBdr>
        </w:div>
        <w:div w:id="1388723436">
          <w:marLeft w:val="0"/>
          <w:marRight w:val="0"/>
          <w:marTop w:val="0"/>
          <w:marBottom w:val="0"/>
          <w:divBdr>
            <w:top w:val="none" w:sz="0" w:space="0" w:color="auto"/>
            <w:left w:val="none" w:sz="0" w:space="0" w:color="auto"/>
            <w:bottom w:val="none" w:sz="0" w:space="0" w:color="auto"/>
            <w:right w:val="none" w:sz="0" w:space="0" w:color="auto"/>
          </w:divBdr>
        </w:div>
        <w:div w:id="1431241462">
          <w:marLeft w:val="0"/>
          <w:marRight w:val="0"/>
          <w:marTop w:val="0"/>
          <w:marBottom w:val="0"/>
          <w:divBdr>
            <w:top w:val="none" w:sz="0" w:space="0" w:color="auto"/>
            <w:left w:val="none" w:sz="0" w:space="0" w:color="auto"/>
            <w:bottom w:val="none" w:sz="0" w:space="0" w:color="auto"/>
            <w:right w:val="none" w:sz="0" w:space="0" w:color="auto"/>
          </w:divBdr>
        </w:div>
        <w:div w:id="1445615163">
          <w:marLeft w:val="0"/>
          <w:marRight w:val="0"/>
          <w:marTop w:val="0"/>
          <w:marBottom w:val="0"/>
          <w:divBdr>
            <w:top w:val="none" w:sz="0" w:space="0" w:color="auto"/>
            <w:left w:val="none" w:sz="0" w:space="0" w:color="auto"/>
            <w:bottom w:val="none" w:sz="0" w:space="0" w:color="auto"/>
            <w:right w:val="none" w:sz="0" w:space="0" w:color="auto"/>
          </w:divBdr>
        </w:div>
        <w:div w:id="1552955351">
          <w:marLeft w:val="0"/>
          <w:marRight w:val="0"/>
          <w:marTop w:val="0"/>
          <w:marBottom w:val="0"/>
          <w:divBdr>
            <w:top w:val="none" w:sz="0" w:space="0" w:color="auto"/>
            <w:left w:val="none" w:sz="0" w:space="0" w:color="auto"/>
            <w:bottom w:val="none" w:sz="0" w:space="0" w:color="auto"/>
            <w:right w:val="none" w:sz="0" w:space="0" w:color="auto"/>
          </w:divBdr>
        </w:div>
        <w:div w:id="1650592862">
          <w:marLeft w:val="0"/>
          <w:marRight w:val="0"/>
          <w:marTop w:val="0"/>
          <w:marBottom w:val="0"/>
          <w:divBdr>
            <w:top w:val="none" w:sz="0" w:space="0" w:color="auto"/>
            <w:left w:val="none" w:sz="0" w:space="0" w:color="auto"/>
            <w:bottom w:val="none" w:sz="0" w:space="0" w:color="auto"/>
            <w:right w:val="none" w:sz="0" w:space="0" w:color="auto"/>
          </w:divBdr>
        </w:div>
        <w:div w:id="1725710370">
          <w:marLeft w:val="0"/>
          <w:marRight w:val="0"/>
          <w:marTop w:val="0"/>
          <w:marBottom w:val="0"/>
          <w:divBdr>
            <w:top w:val="none" w:sz="0" w:space="0" w:color="auto"/>
            <w:left w:val="none" w:sz="0" w:space="0" w:color="auto"/>
            <w:bottom w:val="none" w:sz="0" w:space="0" w:color="auto"/>
            <w:right w:val="none" w:sz="0" w:space="0" w:color="auto"/>
          </w:divBdr>
        </w:div>
        <w:div w:id="1736195892">
          <w:marLeft w:val="0"/>
          <w:marRight w:val="0"/>
          <w:marTop w:val="0"/>
          <w:marBottom w:val="0"/>
          <w:divBdr>
            <w:top w:val="none" w:sz="0" w:space="0" w:color="auto"/>
            <w:left w:val="none" w:sz="0" w:space="0" w:color="auto"/>
            <w:bottom w:val="none" w:sz="0" w:space="0" w:color="auto"/>
            <w:right w:val="none" w:sz="0" w:space="0" w:color="auto"/>
          </w:divBdr>
        </w:div>
        <w:div w:id="1749500784">
          <w:marLeft w:val="0"/>
          <w:marRight w:val="0"/>
          <w:marTop w:val="0"/>
          <w:marBottom w:val="0"/>
          <w:divBdr>
            <w:top w:val="none" w:sz="0" w:space="0" w:color="auto"/>
            <w:left w:val="none" w:sz="0" w:space="0" w:color="auto"/>
            <w:bottom w:val="none" w:sz="0" w:space="0" w:color="auto"/>
            <w:right w:val="none" w:sz="0" w:space="0" w:color="auto"/>
          </w:divBdr>
        </w:div>
        <w:div w:id="1766073241">
          <w:marLeft w:val="0"/>
          <w:marRight w:val="0"/>
          <w:marTop w:val="0"/>
          <w:marBottom w:val="0"/>
          <w:divBdr>
            <w:top w:val="none" w:sz="0" w:space="0" w:color="auto"/>
            <w:left w:val="none" w:sz="0" w:space="0" w:color="auto"/>
            <w:bottom w:val="none" w:sz="0" w:space="0" w:color="auto"/>
            <w:right w:val="none" w:sz="0" w:space="0" w:color="auto"/>
          </w:divBdr>
        </w:div>
        <w:div w:id="1786999632">
          <w:marLeft w:val="0"/>
          <w:marRight w:val="0"/>
          <w:marTop w:val="0"/>
          <w:marBottom w:val="0"/>
          <w:divBdr>
            <w:top w:val="none" w:sz="0" w:space="0" w:color="auto"/>
            <w:left w:val="none" w:sz="0" w:space="0" w:color="auto"/>
            <w:bottom w:val="none" w:sz="0" w:space="0" w:color="auto"/>
            <w:right w:val="none" w:sz="0" w:space="0" w:color="auto"/>
          </w:divBdr>
        </w:div>
        <w:div w:id="1826387761">
          <w:marLeft w:val="0"/>
          <w:marRight w:val="0"/>
          <w:marTop w:val="0"/>
          <w:marBottom w:val="0"/>
          <w:divBdr>
            <w:top w:val="none" w:sz="0" w:space="0" w:color="auto"/>
            <w:left w:val="none" w:sz="0" w:space="0" w:color="auto"/>
            <w:bottom w:val="none" w:sz="0" w:space="0" w:color="auto"/>
            <w:right w:val="none" w:sz="0" w:space="0" w:color="auto"/>
          </w:divBdr>
        </w:div>
        <w:div w:id="1833911253">
          <w:marLeft w:val="0"/>
          <w:marRight w:val="0"/>
          <w:marTop w:val="0"/>
          <w:marBottom w:val="0"/>
          <w:divBdr>
            <w:top w:val="none" w:sz="0" w:space="0" w:color="auto"/>
            <w:left w:val="none" w:sz="0" w:space="0" w:color="auto"/>
            <w:bottom w:val="none" w:sz="0" w:space="0" w:color="auto"/>
            <w:right w:val="none" w:sz="0" w:space="0" w:color="auto"/>
          </w:divBdr>
        </w:div>
        <w:div w:id="1836601770">
          <w:marLeft w:val="0"/>
          <w:marRight w:val="0"/>
          <w:marTop w:val="0"/>
          <w:marBottom w:val="0"/>
          <w:divBdr>
            <w:top w:val="none" w:sz="0" w:space="0" w:color="auto"/>
            <w:left w:val="none" w:sz="0" w:space="0" w:color="auto"/>
            <w:bottom w:val="none" w:sz="0" w:space="0" w:color="auto"/>
            <w:right w:val="none" w:sz="0" w:space="0" w:color="auto"/>
          </w:divBdr>
        </w:div>
        <w:div w:id="1913924853">
          <w:marLeft w:val="0"/>
          <w:marRight w:val="0"/>
          <w:marTop w:val="0"/>
          <w:marBottom w:val="0"/>
          <w:divBdr>
            <w:top w:val="none" w:sz="0" w:space="0" w:color="auto"/>
            <w:left w:val="none" w:sz="0" w:space="0" w:color="auto"/>
            <w:bottom w:val="none" w:sz="0" w:space="0" w:color="auto"/>
            <w:right w:val="none" w:sz="0" w:space="0" w:color="auto"/>
          </w:divBdr>
        </w:div>
        <w:div w:id="1939099350">
          <w:marLeft w:val="0"/>
          <w:marRight w:val="0"/>
          <w:marTop w:val="0"/>
          <w:marBottom w:val="0"/>
          <w:divBdr>
            <w:top w:val="none" w:sz="0" w:space="0" w:color="auto"/>
            <w:left w:val="none" w:sz="0" w:space="0" w:color="auto"/>
            <w:bottom w:val="none" w:sz="0" w:space="0" w:color="auto"/>
            <w:right w:val="none" w:sz="0" w:space="0" w:color="auto"/>
          </w:divBdr>
        </w:div>
        <w:div w:id="1961689706">
          <w:marLeft w:val="0"/>
          <w:marRight w:val="0"/>
          <w:marTop w:val="0"/>
          <w:marBottom w:val="0"/>
          <w:divBdr>
            <w:top w:val="none" w:sz="0" w:space="0" w:color="auto"/>
            <w:left w:val="none" w:sz="0" w:space="0" w:color="auto"/>
            <w:bottom w:val="none" w:sz="0" w:space="0" w:color="auto"/>
            <w:right w:val="none" w:sz="0" w:space="0" w:color="auto"/>
          </w:divBdr>
        </w:div>
        <w:div w:id="1980959242">
          <w:marLeft w:val="0"/>
          <w:marRight w:val="0"/>
          <w:marTop w:val="0"/>
          <w:marBottom w:val="0"/>
          <w:divBdr>
            <w:top w:val="none" w:sz="0" w:space="0" w:color="auto"/>
            <w:left w:val="none" w:sz="0" w:space="0" w:color="auto"/>
            <w:bottom w:val="none" w:sz="0" w:space="0" w:color="auto"/>
            <w:right w:val="none" w:sz="0" w:space="0" w:color="auto"/>
          </w:divBdr>
        </w:div>
        <w:div w:id="1984895351">
          <w:marLeft w:val="0"/>
          <w:marRight w:val="0"/>
          <w:marTop w:val="0"/>
          <w:marBottom w:val="0"/>
          <w:divBdr>
            <w:top w:val="none" w:sz="0" w:space="0" w:color="auto"/>
            <w:left w:val="none" w:sz="0" w:space="0" w:color="auto"/>
            <w:bottom w:val="none" w:sz="0" w:space="0" w:color="auto"/>
            <w:right w:val="none" w:sz="0" w:space="0" w:color="auto"/>
          </w:divBdr>
        </w:div>
        <w:div w:id="1987658292">
          <w:marLeft w:val="0"/>
          <w:marRight w:val="0"/>
          <w:marTop w:val="0"/>
          <w:marBottom w:val="0"/>
          <w:divBdr>
            <w:top w:val="none" w:sz="0" w:space="0" w:color="auto"/>
            <w:left w:val="none" w:sz="0" w:space="0" w:color="auto"/>
            <w:bottom w:val="none" w:sz="0" w:space="0" w:color="auto"/>
            <w:right w:val="none" w:sz="0" w:space="0" w:color="auto"/>
          </w:divBdr>
        </w:div>
        <w:div w:id="2038771702">
          <w:marLeft w:val="0"/>
          <w:marRight w:val="0"/>
          <w:marTop w:val="0"/>
          <w:marBottom w:val="0"/>
          <w:divBdr>
            <w:top w:val="none" w:sz="0" w:space="0" w:color="auto"/>
            <w:left w:val="none" w:sz="0" w:space="0" w:color="auto"/>
            <w:bottom w:val="none" w:sz="0" w:space="0" w:color="auto"/>
            <w:right w:val="none" w:sz="0" w:space="0" w:color="auto"/>
          </w:divBdr>
        </w:div>
        <w:div w:id="2095012565">
          <w:marLeft w:val="0"/>
          <w:marRight w:val="0"/>
          <w:marTop w:val="0"/>
          <w:marBottom w:val="0"/>
          <w:divBdr>
            <w:top w:val="none" w:sz="0" w:space="0" w:color="auto"/>
            <w:left w:val="none" w:sz="0" w:space="0" w:color="auto"/>
            <w:bottom w:val="none" w:sz="0" w:space="0" w:color="auto"/>
            <w:right w:val="none" w:sz="0" w:space="0" w:color="auto"/>
          </w:divBdr>
        </w:div>
        <w:div w:id="2133134129">
          <w:marLeft w:val="0"/>
          <w:marRight w:val="0"/>
          <w:marTop w:val="0"/>
          <w:marBottom w:val="0"/>
          <w:divBdr>
            <w:top w:val="none" w:sz="0" w:space="0" w:color="auto"/>
            <w:left w:val="none" w:sz="0" w:space="0" w:color="auto"/>
            <w:bottom w:val="none" w:sz="0" w:space="0" w:color="auto"/>
            <w:right w:val="none" w:sz="0" w:space="0" w:color="auto"/>
          </w:divBdr>
        </w:div>
      </w:divsChild>
    </w:div>
    <w:div w:id="797334583">
      <w:bodyDiv w:val="1"/>
      <w:marLeft w:val="0"/>
      <w:marRight w:val="0"/>
      <w:marTop w:val="0"/>
      <w:marBottom w:val="0"/>
      <w:divBdr>
        <w:top w:val="none" w:sz="0" w:space="0" w:color="auto"/>
        <w:left w:val="none" w:sz="0" w:space="0" w:color="auto"/>
        <w:bottom w:val="none" w:sz="0" w:space="0" w:color="auto"/>
        <w:right w:val="none" w:sz="0" w:space="0" w:color="auto"/>
      </w:divBdr>
    </w:div>
    <w:div w:id="810053320">
      <w:bodyDiv w:val="1"/>
      <w:marLeft w:val="0"/>
      <w:marRight w:val="0"/>
      <w:marTop w:val="0"/>
      <w:marBottom w:val="0"/>
      <w:divBdr>
        <w:top w:val="none" w:sz="0" w:space="0" w:color="auto"/>
        <w:left w:val="none" w:sz="0" w:space="0" w:color="auto"/>
        <w:bottom w:val="none" w:sz="0" w:space="0" w:color="auto"/>
        <w:right w:val="none" w:sz="0" w:space="0" w:color="auto"/>
      </w:divBdr>
    </w:div>
    <w:div w:id="870264732">
      <w:bodyDiv w:val="1"/>
      <w:marLeft w:val="0"/>
      <w:marRight w:val="0"/>
      <w:marTop w:val="0"/>
      <w:marBottom w:val="0"/>
      <w:divBdr>
        <w:top w:val="none" w:sz="0" w:space="0" w:color="auto"/>
        <w:left w:val="none" w:sz="0" w:space="0" w:color="auto"/>
        <w:bottom w:val="none" w:sz="0" w:space="0" w:color="auto"/>
        <w:right w:val="none" w:sz="0" w:space="0" w:color="auto"/>
      </w:divBdr>
    </w:div>
    <w:div w:id="889458144">
      <w:bodyDiv w:val="1"/>
      <w:marLeft w:val="0"/>
      <w:marRight w:val="0"/>
      <w:marTop w:val="0"/>
      <w:marBottom w:val="0"/>
      <w:divBdr>
        <w:top w:val="none" w:sz="0" w:space="0" w:color="auto"/>
        <w:left w:val="none" w:sz="0" w:space="0" w:color="auto"/>
        <w:bottom w:val="none" w:sz="0" w:space="0" w:color="auto"/>
        <w:right w:val="none" w:sz="0" w:space="0" w:color="auto"/>
      </w:divBdr>
    </w:div>
    <w:div w:id="942111107">
      <w:bodyDiv w:val="1"/>
      <w:marLeft w:val="0"/>
      <w:marRight w:val="0"/>
      <w:marTop w:val="0"/>
      <w:marBottom w:val="0"/>
      <w:divBdr>
        <w:top w:val="none" w:sz="0" w:space="0" w:color="auto"/>
        <w:left w:val="none" w:sz="0" w:space="0" w:color="auto"/>
        <w:bottom w:val="none" w:sz="0" w:space="0" w:color="auto"/>
        <w:right w:val="none" w:sz="0" w:space="0" w:color="auto"/>
      </w:divBdr>
    </w:div>
    <w:div w:id="958678767">
      <w:bodyDiv w:val="1"/>
      <w:marLeft w:val="0"/>
      <w:marRight w:val="0"/>
      <w:marTop w:val="0"/>
      <w:marBottom w:val="0"/>
      <w:divBdr>
        <w:top w:val="none" w:sz="0" w:space="0" w:color="auto"/>
        <w:left w:val="none" w:sz="0" w:space="0" w:color="auto"/>
        <w:bottom w:val="none" w:sz="0" w:space="0" w:color="auto"/>
        <w:right w:val="none" w:sz="0" w:space="0" w:color="auto"/>
      </w:divBdr>
    </w:div>
    <w:div w:id="961424005">
      <w:bodyDiv w:val="1"/>
      <w:marLeft w:val="0"/>
      <w:marRight w:val="0"/>
      <w:marTop w:val="0"/>
      <w:marBottom w:val="0"/>
      <w:divBdr>
        <w:top w:val="none" w:sz="0" w:space="0" w:color="auto"/>
        <w:left w:val="none" w:sz="0" w:space="0" w:color="auto"/>
        <w:bottom w:val="none" w:sz="0" w:space="0" w:color="auto"/>
        <w:right w:val="none" w:sz="0" w:space="0" w:color="auto"/>
      </w:divBdr>
    </w:div>
    <w:div w:id="987704472">
      <w:bodyDiv w:val="1"/>
      <w:marLeft w:val="0"/>
      <w:marRight w:val="0"/>
      <w:marTop w:val="0"/>
      <w:marBottom w:val="0"/>
      <w:divBdr>
        <w:top w:val="none" w:sz="0" w:space="0" w:color="auto"/>
        <w:left w:val="none" w:sz="0" w:space="0" w:color="auto"/>
        <w:bottom w:val="none" w:sz="0" w:space="0" w:color="auto"/>
        <w:right w:val="none" w:sz="0" w:space="0" w:color="auto"/>
      </w:divBdr>
    </w:div>
    <w:div w:id="995764409">
      <w:bodyDiv w:val="1"/>
      <w:marLeft w:val="0"/>
      <w:marRight w:val="0"/>
      <w:marTop w:val="0"/>
      <w:marBottom w:val="0"/>
      <w:divBdr>
        <w:top w:val="none" w:sz="0" w:space="0" w:color="auto"/>
        <w:left w:val="none" w:sz="0" w:space="0" w:color="auto"/>
        <w:bottom w:val="none" w:sz="0" w:space="0" w:color="auto"/>
        <w:right w:val="none" w:sz="0" w:space="0" w:color="auto"/>
      </w:divBdr>
    </w:div>
    <w:div w:id="1039352730">
      <w:bodyDiv w:val="1"/>
      <w:marLeft w:val="0"/>
      <w:marRight w:val="0"/>
      <w:marTop w:val="0"/>
      <w:marBottom w:val="0"/>
      <w:divBdr>
        <w:top w:val="none" w:sz="0" w:space="0" w:color="auto"/>
        <w:left w:val="none" w:sz="0" w:space="0" w:color="auto"/>
        <w:bottom w:val="none" w:sz="0" w:space="0" w:color="auto"/>
        <w:right w:val="none" w:sz="0" w:space="0" w:color="auto"/>
      </w:divBdr>
      <w:divsChild>
        <w:div w:id="225846681">
          <w:marLeft w:val="0"/>
          <w:marRight w:val="0"/>
          <w:marTop w:val="0"/>
          <w:marBottom w:val="0"/>
          <w:divBdr>
            <w:top w:val="none" w:sz="0" w:space="0" w:color="auto"/>
            <w:left w:val="none" w:sz="0" w:space="0" w:color="auto"/>
            <w:bottom w:val="none" w:sz="0" w:space="0" w:color="auto"/>
            <w:right w:val="none" w:sz="0" w:space="0" w:color="auto"/>
          </w:divBdr>
        </w:div>
        <w:div w:id="722024657">
          <w:marLeft w:val="0"/>
          <w:marRight w:val="0"/>
          <w:marTop w:val="0"/>
          <w:marBottom w:val="0"/>
          <w:divBdr>
            <w:top w:val="none" w:sz="0" w:space="0" w:color="auto"/>
            <w:left w:val="none" w:sz="0" w:space="0" w:color="auto"/>
            <w:bottom w:val="none" w:sz="0" w:space="0" w:color="auto"/>
            <w:right w:val="none" w:sz="0" w:space="0" w:color="auto"/>
          </w:divBdr>
        </w:div>
        <w:div w:id="937373040">
          <w:marLeft w:val="0"/>
          <w:marRight w:val="0"/>
          <w:marTop w:val="0"/>
          <w:marBottom w:val="0"/>
          <w:divBdr>
            <w:top w:val="none" w:sz="0" w:space="0" w:color="auto"/>
            <w:left w:val="none" w:sz="0" w:space="0" w:color="auto"/>
            <w:bottom w:val="none" w:sz="0" w:space="0" w:color="auto"/>
            <w:right w:val="none" w:sz="0" w:space="0" w:color="auto"/>
          </w:divBdr>
        </w:div>
        <w:div w:id="1245145095">
          <w:marLeft w:val="0"/>
          <w:marRight w:val="0"/>
          <w:marTop w:val="0"/>
          <w:marBottom w:val="0"/>
          <w:divBdr>
            <w:top w:val="none" w:sz="0" w:space="0" w:color="auto"/>
            <w:left w:val="none" w:sz="0" w:space="0" w:color="auto"/>
            <w:bottom w:val="none" w:sz="0" w:space="0" w:color="auto"/>
            <w:right w:val="none" w:sz="0" w:space="0" w:color="auto"/>
          </w:divBdr>
        </w:div>
        <w:div w:id="1517688878">
          <w:marLeft w:val="0"/>
          <w:marRight w:val="0"/>
          <w:marTop w:val="0"/>
          <w:marBottom w:val="0"/>
          <w:divBdr>
            <w:top w:val="none" w:sz="0" w:space="0" w:color="auto"/>
            <w:left w:val="none" w:sz="0" w:space="0" w:color="auto"/>
            <w:bottom w:val="none" w:sz="0" w:space="0" w:color="auto"/>
            <w:right w:val="none" w:sz="0" w:space="0" w:color="auto"/>
          </w:divBdr>
        </w:div>
        <w:div w:id="1778327335">
          <w:marLeft w:val="0"/>
          <w:marRight w:val="0"/>
          <w:marTop w:val="0"/>
          <w:marBottom w:val="0"/>
          <w:divBdr>
            <w:top w:val="none" w:sz="0" w:space="0" w:color="auto"/>
            <w:left w:val="none" w:sz="0" w:space="0" w:color="auto"/>
            <w:bottom w:val="none" w:sz="0" w:space="0" w:color="auto"/>
            <w:right w:val="none" w:sz="0" w:space="0" w:color="auto"/>
          </w:divBdr>
        </w:div>
      </w:divsChild>
    </w:div>
    <w:div w:id="1069574731">
      <w:bodyDiv w:val="1"/>
      <w:marLeft w:val="0"/>
      <w:marRight w:val="0"/>
      <w:marTop w:val="0"/>
      <w:marBottom w:val="0"/>
      <w:divBdr>
        <w:top w:val="none" w:sz="0" w:space="0" w:color="auto"/>
        <w:left w:val="none" w:sz="0" w:space="0" w:color="auto"/>
        <w:bottom w:val="none" w:sz="0" w:space="0" w:color="auto"/>
        <w:right w:val="none" w:sz="0" w:space="0" w:color="auto"/>
      </w:divBdr>
    </w:div>
    <w:div w:id="1069693479">
      <w:bodyDiv w:val="1"/>
      <w:marLeft w:val="0"/>
      <w:marRight w:val="0"/>
      <w:marTop w:val="0"/>
      <w:marBottom w:val="0"/>
      <w:divBdr>
        <w:top w:val="none" w:sz="0" w:space="0" w:color="auto"/>
        <w:left w:val="none" w:sz="0" w:space="0" w:color="auto"/>
        <w:bottom w:val="none" w:sz="0" w:space="0" w:color="auto"/>
        <w:right w:val="none" w:sz="0" w:space="0" w:color="auto"/>
      </w:divBdr>
    </w:div>
    <w:div w:id="1070732369">
      <w:bodyDiv w:val="1"/>
      <w:marLeft w:val="0"/>
      <w:marRight w:val="0"/>
      <w:marTop w:val="0"/>
      <w:marBottom w:val="0"/>
      <w:divBdr>
        <w:top w:val="none" w:sz="0" w:space="0" w:color="auto"/>
        <w:left w:val="none" w:sz="0" w:space="0" w:color="auto"/>
        <w:bottom w:val="none" w:sz="0" w:space="0" w:color="auto"/>
        <w:right w:val="none" w:sz="0" w:space="0" w:color="auto"/>
      </w:divBdr>
    </w:div>
    <w:div w:id="1073694745">
      <w:bodyDiv w:val="1"/>
      <w:marLeft w:val="0"/>
      <w:marRight w:val="0"/>
      <w:marTop w:val="0"/>
      <w:marBottom w:val="0"/>
      <w:divBdr>
        <w:top w:val="none" w:sz="0" w:space="0" w:color="auto"/>
        <w:left w:val="none" w:sz="0" w:space="0" w:color="auto"/>
        <w:bottom w:val="none" w:sz="0" w:space="0" w:color="auto"/>
        <w:right w:val="none" w:sz="0" w:space="0" w:color="auto"/>
      </w:divBdr>
    </w:div>
    <w:div w:id="1092970681">
      <w:bodyDiv w:val="1"/>
      <w:marLeft w:val="0"/>
      <w:marRight w:val="0"/>
      <w:marTop w:val="0"/>
      <w:marBottom w:val="0"/>
      <w:divBdr>
        <w:top w:val="none" w:sz="0" w:space="0" w:color="auto"/>
        <w:left w:val="none" w:sz="0" w:space="0" w:color="auto"/>
        <w:bottom w:val="none" w:sz="0" w:space="0" w:color="auto"/>
        <w:right w:val="none" w:sz="0" w:space="0" w:color="auto"/>
      </w:divBdr>
    </w:div>
    <w:div w:id="1093282880">
      <w:bodyDiv w:val="1"/>
      <w:marLeft w:val="0"/>
      <w:marRight w:val="0"/>
      <w:marTop w:val="0"/>
      <w:marBottom w:val="0"/>
      <w:divBdr>
        <w:top w:val="none" w:sz="0" w:space="0" w:color="auto"/>
        <w:left w:val="none" w:sz="0" w:space="0" w:color="auto"/>
        <w:bottom w:val="none" w:sz="0" w:space="0" w:color="auto"/>
        <w:right w:val="none" w:sz="0" w:space="0" w:color="auto"/>
      </w:divBdr>
    </w:div>
    <w:div w:id="1095129922">
      <w:bodyDiv w:val="1"/>
      <w:marLeft w:val="0"/>
      <w:marRight w:val="0"/>
      <w:marTop w:val="0"/>
      <w:marBottom w:val="0"/>
      <w:divBdr>
        <w:top w:val="none" w:sz="0" w:space="0" w:color="auto"/>
        <w:left w:val="none" w:sz="0" w:space="0" w:color="auto"/>
        <w:bottom w:val="none" w:sz="0" w:space="0" w:color="auto"/>
        <w:right w:val="none" w:sz="0" w:space="0" w:color="auto"/>
      </w:divBdr>
    </w:div>
    <w:div w:id="1127772497">
      <w:bodyDiv w:val="1"/>
      <w:marLeft w:val="0"/>
      <w:marRight w:val="0"/>
      <w:marTop w:val="0"/>
      <w:marBottom w:val="0"/>
      <w:divBdr>
        <w:top w:val="none" w:sz="0" w:space="0" w:color="auto"/>
        <w:left w:val="none" w:sz="0" w:space="0" w:color="auto"/>
        <w:bottom w:val="none" w:sz="0" w:space="0" w:color="auto"/>
        <w:right w:val="none" w:sz="0" w:space="0" w:color="auto"/>
      </w:divBdr>
    </w:div>
    <w:div w:id="1140415458">
      <w:bodyDiv w:val="1"/>
      <w:marLeft w:val="0"/>
      <w:marRight w:val="0"/>
      <w:marTop w:val="0"/>
      <w:marBottom w:val="0"/>
      <w:divBdr>
        <w:top w:val="none" w:sz="0" w:space="0" w:color="auto"/>
        <w:left w:val="none" w:sz="0" w:space="0" w:color="auto"/>
        <w:bottom w:val="none" w:sz="0" w:space="0" w:color="auto"/>
        <w:right w:val="none" w:sz="0" w:space="0" w:color="auto"/>
      </w:divBdr>
    </w:div>
    <w:div w:id="1143808552">
      <w:bodyDiv w:val="1"/>
      <w:marLeft w:val="0"/>
      <w:marRight w:val="0"/>
      <w:marTop w:val="0"/>
      <w:marBottom w:val="0"/>
      <w:divBdr>
        <w:top w:val="none" w:sz="0" w:space="0" w:color="auto"/>
        <w:left w:val="none" w:sz="0" w:space="0" w:color="auto"/>
        <w:bottom w:val="none" w:sz="0" w:space="0" w:color="auto"/>
        <w:right w:val="none" w:sz="0" w:space="0" w:color="auto"/>
      </w:divBdr>
      <w:divsChild>
        <w:div w:id="514929509">
          <w:marLeft w:val="0"/>
          <w:marRight w:val="0"/>
          <w:marTop w:val="0"/>
          <w:marBottom w:val="0"/>
          <w:divBdr>
            <w:top w:val="none" w:sz="0" w:space="0" w:color="auto"/>
            <w:left w:val="none" w:sz="0" w:space="0" w:color="auto"/>
            <w:bottom w:val="none" w:sz="0" w:space="0" w:color="auto"/>
            <w:right w:val="none" w:sz="0" w:space="0" w:color="auto"/>
          </w:divBdr>
        </w:div>
        <w:div w:id="906649625">
          <w:marLeft w:val="0"/>
          <w:marRight w:val="0"/>
          <w:marTop w:val="0"/>
          <w:marBottom w:val="0"/>
          <w:divBdr>
            <w:top w:val="none" w:sz="0" w:space="0" w:color="auto"/>
            <w:left w:val="none" w:sz="0" w:space="0" w:color="auto"/>
            <w:bottom w:val="none" w:sz="0" w:space="0" w:color="auto"/>
            <w:right w:val="none" w:sz="0" w:space="0" w:color="auto"/>
          </w:divBdr>
        </w:div>
        <w:div w:id="1055353184">
          <w:marLeft w:val="0"/>
          <w:marRight w:val="0"/>
          <w:marTop w:val="0"/>
          <w:marBottom w:val="0"/>
          <w:divBdr>
            <w:top w:val="none" w:sz="0" w:space="0" w:color="auto"/>
            <w:left w:val="none" w:sz="0" w:space="0" w:color="auto"/>
            <w:bottom w:val="none" w:sz="0" w:space="0" w:color="auto"/>
            <w:right w:val="none" w:sz="0" w:space="0" w:color="auto"/>
          </w:divBdr>
        </w:div>
      </w:divsChild>
    </w:div>
    <w:div w:id="1146121205">
      <w:bodyDiv w:val="1"/>
      <w:marLeft w:val="0"/>
      <w:marRight w:val="0"/>
      <w:marTop w:val="0"/>
      <w:marBottom w:val="0"/>
      <w:divBdr>
        <w:top w:val="none" w:sz="0" w:space="0" w:color="auto"/>
        <w:left w:val="none" w:sz="0" w:space="0" w:color="auto"/>
        <w:bottom w:val="none" w:sz="0" w:space="0" w:color="auto"/>
        <w:right w:val="none" w:sz="0" w:space="0" w:color="auto"/>
      </w:divBdr>
      <w:divsChild>
        <w:div w:id="262298137">
          <w:marLeft w:val="0"/>
          <w:marRight w:val="0"/>
          <w:marTop w:val="0"/>
          <w:marBottom w:val="0"/>
          <w:divBdr>
            <w:top w:val="none" w:sz="0" w:space="0" w:color="auto"/>
            <w:left w:val="none" w:sz="0" w:space="0" w:color="auto"/>
            <w:bottom w:val="none" w:sz="0" w:space="0" w:color="auto"/>
            <w:right w:val="none" w:sz="0" w:space="0" w:color="auto"/>
          </w:divBdr>
        </w:div>
        <w:div w:id="290788719">
          <w:marLeft w:val="0"/>
          <w:marRight w:val="0"/>
          <w:marTop w:val="0"/>
          <w:marBottom w:val="0"/>
          <w:divBdr>
            <w:top w:val="none" w:sz="0" w:space="0" w:color="auto"/>
            <w:left w:val="none" w:sz="0" w:space="0" w:color="auto"/>
            <w:bottom w:val="none" w:sz="0" w:space="0" w:color="auto"/>
            <w:right w:val="none" w:sz="0" w:space="0" w:color="auto"/>
          </w:divBdr>
        </w:div>
        <w:div w:id="2055735070">
          <w:marLeft w:val="0"/>
          <w:marRight w:val="0"/>
          <w:marTop w:val="0"/>
          <w:marBottom w:val="0"/>
          <w:divBdr>
            <w:top w:val="none" w:sz="0" w:space="0" w:color="auto"/>
            <w:left w:val="none" w:sz="0" w:space="0" w:color="auto"/>
            <w:bottom w:val="none" w:sz="0" w:space="0" w:color="auto"/>
            <w:right w:val="none" w:sz="0" w:space="0" w:color="auto"/>
          </w:divBdr>
        </w:div>
        <w:div w:id="2082411921">
          <w:marLeft w:val="0"/>
          <w:marRight w:val="0"/>
          <w:marTop w:val="0"/>
          <w:marBottom w:val="0"/>
          <w:divBdr>
            <w:top w:val="none" w:sz="0" w:space="0" w:color="auto"/>
            <w:left w:val="none" w:sz="0" w:space="0" w:color="auto"/>
            <w:bottom w:val="none" w:sz="0" w:space="0" w:color="auto"/>
            <w:right w:val="none" w:sz="0" w:space="0" w:color="auto"/>
          </w:divBdr>
        </w:div>
      </w:divsChild>
    </w:div>
    <w:div w:id="1155994233">
      <w:bodyDiv w:val="1"/>
      <w:marLeft w:val="0"/>
      <w:marRight w:val="0"/>
      <w:marTop w:val="0"/>
      <w:marBottom w:val="0"/>
      <w:divBdr>
        <w:top w:val="none" w:sz="0" w:space="0" w:color="auto"/>
        <w:left w:val="none" w:sz="0" w:space="0" w:color="auto"/>
        <w:bottom w:val="none" w:sz="0" w:space="0" w:color="auto"/>
        <w:right w:val="none" w:sz="0" w:space="0" w:color="auto"/>
      </w:divBdr>
    </w:div>
    <w:div w:id="1176842644">
      <w:bodyDiv w:val="1"/>
      <w:marLeft w:val="0"/>
      <w:marRight w:val="0"/>
      <w:marTop w:val="0"/>
      <w:marBottom w:val="0"/>
      <w:divBdr>
        <w:top w:val="none" w:sz="0" w:space="0" w:color="auto"/>
        <w:left w:val="none" w:sz="0" w:space="0" w:color="auto"/>
        <w:bottom w:val="none" w:sz="0" w:space="0" w:color="auto"/>
        <w:right w:val="none" w:sz="0" w:space="0" w:color="auto"/>
      </w:divBdr>
    </w:div>
    <w:div w:id="1183007534">
      <w:bodyDiv w:val="1"/>
      <w:marLeft w:val="0"/>
      <w:marRight w:val="0"/>
      <w:marTop w:val="0"/>
      <w:marBottom w:val="0"/>
      <w:divBdr>
        <w:top w:val="none" w:sz="0" w:space="0" w:color="auto"/>
        <w:left w:val="none" w:sz="0" w:space="0" w:color="auto"/>
        <w:bottom w:val="none" w:sz="0" w:space="0" w:color="auto"/>
        <w:right w:val="none" w:sz="0" w:space="0" w:color="auto"/>
      </w:divBdr>
    </w:div>
    <w:div w:id="1213809706">
      <w:bodyDiv w:val="1"/>
      <w:marLeft w:val="0"/>
      <w:marRight w:val="0"/>
      <w:marTop w:val="0"/>
      <w:marBottom w:val="0"/>
      <w:divBdr>
        <w:top w:val="none" w:sz="0" w:space="0" w:color="auto"/>
        <w:left w:val="none" w:sz="0" w:space="0" w:color="auto"/>
        <w:bottom w:val="none" w:sz="0" w:space="0" w:color="auto"/>
        <w:right w:val="none" w:sz="0" w:space="0" w:color="auto"/>
      </w:divBdr>
      <w:divsChild>
        <w:div w:id="244268400">
          <w:marLeft w:val="0"/>
          <w:marRight w:val="0"/>
          <w:marTop w:val="0"/>
          <w:marBottom w:val="0"/>
          <w:divBdr>
            <w:top w:val="none" w:sz="0" w:space="0" w:color="auto"/>
            <w:left w:val="none" w:sz="0" w:space="0" w:color="auto"/>
            <w:bottom w:val="none" w:sz="0" w:space="0" w:color="auto"/>
            <w:right w:val="none" w:sz="0" w:space="0" w:color="auto"/>
          </w:divBdr>
        </w:div>
        <w:div w:id="315763900">
          <w:marLeft w:val="0"/>
          <w:marRight w:val="0"/>
          <w:marTop w:val="0"/>
          <w:marBottom w:val="0"/>
          <w:divBdr>
            <w:top w:val="none" w:sz="0" w:space="0" w:color="auto"/>
            <w:left w:val="none" w:sz="0" w:space="0" w:color="auto"/>
            <w:bottom w:val="none" w:sz="0" w:space="0" w:color="auto"/>
            <w:right w:val="none" w:sz="0" w:space="0" w:color="auto"/>
          </w:divBdr>
        </w:div>
        <w:div w:id="507906002">
          <w:marLeft w:val="0"/>
          <w:marRight w:val="0"/>
          <w:marTop w:val="0"/>
          <w:marBottom w:val="0"/>
          <w:divBdr>
            <w:top w:val="none" w:sz="0" w:space="0" w:color="auto"/>
            <w:left w:val="none" w:sz="0" w:space="0" w:color="auto"/>
            <w:bottom w:val="none" w:sz="0" w:space="0" w:color="auto"/>
            <w:right w:val="none" w:sz="0" w:space="0" w:color="auto"/>
          </w:divBdr>
        </w:div>
        <w:div w:id="521745461">
          <w:marLeft w:val="0"/>
          <w:marRight w:val="0"/>
          <w:marTop w:val="0"/>
          <w:marBottom w:val="0"/>
          <w:divBdr>
            <w:top w:val="none" w:sz="0" w:space="0" w:color="auto"/>
            <w:left w:val="none" w:sz="0" w:space="0" w:color="auto"/>
            <w:bottom w:val="none" w:sz="0" w:space="0" w:color="auto"/>
            <w:right w:val="none" w:sz="0" w:space="0" w:color="auto"/>
          </w:divBdr>
        </w:div>
        <w:div w:id="535585331">
          <w:marLeft w:val="0"/>
          <w:marRight w:val="0"/>
          <w:marTop w:val="0"/>
          <w:marBottom w:val="0"/>
          <w:divBdr>
            <w:top w:val="none" w:sz="0" w:space="0" w:color="auto"/>
            <w:left w:val="none" w:sz="0" w:space="0" w:color="auto"/>
            <w:bottom w:val="none" w:sz="0" w:space="0" w:color="auto"/>
            <w:right w:val="none" w:sz="0" w:space="0" w:color="auto"/>
          </w:divBdr>
        </w:div>
        <w:div w:id="1385834199">
          <w:marLeft w:val="0"/>
          <w:marRight w:val="0"/>
          <w:marTop w:val="0"/>
          <w:marBottom w:val="0"/>
          <w:divBdr>
            <w:top w:val="none" w:sz="0" w:space="0" w:color="auto"/>
            <w:left w:val="none" w:sz="0" w:space="0" w:color="auto"/>
            <w:bottom w:val="none" w:sz="0" w:space="0" w:color="auto"/>
            <w:right w:val="none" w:sz="0" w:space="0" w:color="auto"/>
          </w:divBdr>
        </w:div>
        <w:div w:id="1413504558">
          <w:marLeft w:val="0"/>
          <w:marRight w:val="0"/>
          <w:marTop w:val="0"/>
          <w:marBottom w:val="0"/>
          <w:divBdr>
            <w:top w:val="none" w:sz="0" w:space="0" w:color="auto"/>
            <w:left w:val="none" w:sz="0" w:space="0" w:color="auto"/>
            <w:bottom w:val="none" w:sz="0" w:space="0" w:color="auto"/>
            <w:right w:val="none" w:sz="0" w:space="0" w:color="auto"/>
          </w:divBdr>
        </w:div>
        <w:div w:id="1636254047">
          <w:marLeft w:val="0"/>
          <w:marRight w:val="0"/>
          <w:marTop w:val="0"/>
          <w:marBottom w:val="0"/>
          <w:divBdr>
            <w:top w:val="none" w:sz="0" w:space="0" w:color="auto"/>
            <w:left w:val="none" w:sz="0" w:space="0" w:color="auto"/>
            <w:bottom w:val="none" w:sz="0" w:space="0" w:color="auto"/>
            <w:right w:val="none" w:sz="0" w:space="0" w:color="auto"/>
          </w:divBdr>
        </w:div>
        <w:div w:id="1641375560">
          <w:marLeft w:val="0"/>
          <w:marRight w:val="0"/>
          <w:marTop w:val="0"/>
          <w:marBottom w:val="0"/>
          <w:divBdr>
            <w:top w:val="none" w:sz="0" w:space="0" w:color="auto"/>
            <w:left w:val="none" w:sz="0" w:space="0" w:color="auto"/>
            <w:bottom w:val="none" w:sz="0" w:space="0" w:color="auto"/>
            <w:right w:val="none" w:sz="0" w:space="0" w:color="auto"/>
          </w:divBdr>
        </w:div>
        <w:div w:id="1815487016">
          <w:marLeft w:val="0"/>
          <w:marRight w:val="0"/>
          <w:marTop w:val="0"/>
          <w:marBottom w:val="0"/>
          <w:divBdr>
            <w:top w:val="none" w:sz="0" w:space="0" w:color="auto"/>
            <w:left w:val="none" w:sz="0" w:space="0" w:color="auto"/>
            <w:bottom w:val="none" w:sz="0" w:space="0" w:color="auto"/>
            <w:right w:val="none" w:sz="0" w:space="0" w:color="auto"/>
          </w:divBdr>
        </w:div>
        <w:div w:id="1826436320">
          <w:marLeft w:val="0"/>
          <w:marRight w:val="0"/>
          <w:marTop w:val="0"/>
          <w:marBottom w:val="0"/>
          <w:divBdr>
            <w:top w:val="none" w:sz="0" w:space="0" w:color="auto"/>
            <w:left w:val="none" w:sz="0" w:space="0" w:color="auto"/>
            <w:bottom w:val="none" w:sz="0" w:space="0" w:color="auto"/>
            <w:right w:val="none" w:sz="0" w:space="0" w:color="auto"/>
          </w:divBdr>
        </w:div>
        <w:div w:id="2007780293">
          <w:marLeft w:val="0"/>
          <w:marRight w:val="0"/>
          <w:marTop w:val="0"/>
          <w:marBottom w:val="0"/>
          <w:divBdr>
            <w:top w:val="none" w:sz="0" w:space="0" w:color="auto"/>
            <w:left w:val="none" w:sz="0" w:space="0" w:color="auto"/>
            <w:bottom w:val="none" w:sz="0" w:space="0" w:color="auto"/>
            <w:right w:val="none" w:sz="0" w:space="0" w:color="auto"/>
          </w:divBdr>
        </w:div>
      </w:divsChild>
    </w:div>
    <w:div w:id="1219828582">
      <w:bodyDiv w:val="1"/>
      <w:marLeft w:val="0"/>
      <w:marRight w:val="0"/>
      <w:marTop w:val="0"/>
      <w:marBottom w:val="0"/>
      <w:divBdr>
        <w:top w:val="none" w:sz="0" w:space="0" w:color="auto"/>
        <w:left w:val="none" w:sz="0" w:space="0" w:color="auto"/>
        <w:bottom w:val="none" w:sz="0" w:space="0" w:color="auto"/>
        <w:right w:val="none" w:sz="0" w:space="0" w:color="auto"/>
      </w:divBdr>
    </w:div>
    <w:div w:id="1223519190">
      <w:bodyDiv w:val="1"/>
      <w:marLeft w:val="0"/>
      <w:marRight w:val="0"/>
      <w:marTop w:val="0"/>
      <w:marBottom w:val="0"/>
      <w:divBdr>
        <w:top w:val="none" w:sz="0" w:space="0" w:color="auto"/>
        <w:left w:val="none" w:sz="0" w:space="0" w:color="auto"/>
        <w:bottom w:val="none" w:sz="0" w:space="0" w:color="auto"/>
        <w:right w:val="none" w:sz="0" w:space="0" w:color="auto"/>
      </w:divBdr>
    </w:div>
    <w:div w:id="1303388307">
      <w:bodyDiv w:val="1"/>
      <w:marLeft w:val="0"/>
      <w:marRight w:val="0"/>
      <w:marTop w:val="0"/>
      <w:marBottom w:val="0"/>
      <w:divBdr>
        <w:top w:val="none" w:sz="0" w:space="0" w:color="auto"/>
        <w:left w:val="none" w:sz="0" w:space="0" w:color="auto"/>
        <w:bottom w:val="none" w:sz="0" w:space="0" w:color="auto"/>
        <w:right w:val="none" w:sz="0" w:space="0" w:color="auto"/>
      </w:divBdr>
    </w:div>
    <w:div w:id="1303773507">
      <w:bodyDiv w:val="1"/>
      <w:marLeft w:val="0"/>
      <w:marRight w:val="0"/>
      <w:marTop w:val="0"/>
      <w:marBottom w:val="0"/>
      <w:divBdr>
        <w:top w:val="none" w:sz="0" w:space="0" w:color="auto"/>
        <w:left w:val="none" w:sz="0" w:space="0" w:color="auto"/>
        <w:bottom w:val="none" w:sz="0" w:space="0" w:color="auto"/>
        <w:right w:val="none" w:sz="0" w:space="0" w:color="auto"/>
      </w:divBdr>
    </w:div>
    <w:div w:id="1320159469">
      <w:bodyDiv w:val="1"/>
      <w:marLeft w:val="0"/>
      <w:marRight w:val="0"/>
      <w:marTop w:val="0"/>
      <w:marBottom w:val="0"/>
      <w:divBdr>
        <w:top w:val="none" w:sz="0" w:space="0" w:color="auto"/>
        <w:left w:val="none" w:sz="0" w:space="0" w:color="auto"/>
        <w:bottom w:val="none" w:sz="0" w:space="0" w:color="auto"/>
        <w:right w:val="none" w:sz="0" w:space="0" w:color="auto"/>
      </w:divBdr>
    </w:div>
    <w:div w:id="1334798416">
      <w:bodyDiv w:val="1"/>
      <w:marLeft w:val="0"/>
      <w:marRight w:val="0"/>
      <w:marTop w:val="0"/>
      <w:marBottom w:val="0"/>
      <w:divBdr>
        <w:top w:val="none" w:sz="0" w:space="0" w:color="auto"/>
        <w:left w:val="none" w:sz="0" w:space="0" w:color="auto"/>
        <w:bottom w:val="none" w:sz="0" w:space="0" w:color="auto"/>
        <w:right w:val="none" w:sz="0" w:space="0" w:color="auto"/>
      </w:divBdr>
      <w:divsChild>
        <w:div w:id="24911585">
          <w:marLeft w:val="0"/>
          <w:marRight w:val="0"/>
          <w:marTop w:val="0"/>
          <w:marBottom w:val="0"/>
          <w:divBdr>
            <w:top w:val="none" w:sz="0" w:space="0" w:color="auto"/>
            <w:left w:val="none" w:sz="0" w:space="0" w:color="auto"/>
            <w:bottom w:val="none" w:sz="0" w:space="0" w:color="auto"/>
            <w:right w:val="none" w:sz="0" w:space="0" w:color="auto"/>
          </w:divBdr>
        </w:div>
        <w:div w:id="412167293">
          <w:marLeft w:val="0"/>
          <w:marRight w:val="0"/>
          <w:marTop w:val="0"/>
          <w:marBottom w:val="0"/>
          <w:divBdr>
            <w:top w:val="none" w:sz="0" w:space="0" w:color="auto"/>
            <w:left w:val="none" w:sz="0" w:space="0" w:color="auto"/>
            <w:bottom w:val="none" w:sz="0" w:space="0" w:color="auto"/>
            <w:right w:val="none" w:sz="0" w:space="0" w:color="auto"/>
          </w:divBdr>
        </w:div>
        <w:div w:id="619999381">
          <w:marLeft w:val="0"/>
          <w:marRight w:val="0"/>
          <w:marTop w:val="0"/>
          <w:marBottom w:val="0"/>
          <w:divBdr>
            <w:top w:val="none" w:sz="0" w:space="0" w:color="auto"/>
            <w:left w:val="none" w:sz="0" w:space="0" w:color="auto"/>
            <w:bottom w:val="none" w:sz="0" w:space="0" w:color="auto"/>
            <w:right w:val="none" w:sz="0" w:space="0" w:color="auto"/>
          </w:divBdr>
        </w:div>
        <w:div w:id="643631745">
          <w:marLeft w:val="0"/>
          <w:marRight w:val="0"/>
          <w:marTop w:val="0"/>
          <w:marBottom w:val="0"/>
          <w:divBdr>
            <w:top w:val="none" w:sz="0" w:space="0" w:color="auto"/>
            <w:left w:val="none" w:sz="0" w:space="0" w:color="auto"/>
            <w:bottom w:val="none" w:sz="0" w:space="0" w:color="auto"/>
            <w:right w:val="none" w:sz="0" w:space="0" w:color="auto"/>
          </w:divBdr>
        </w:div>
        <w:div w:id="1794012558">
          <w:marLeft w:val="0"/>
          <w:marRight w:val="0"/>
          <w:marTop w:val="0"/>
          <w:marBottom w:val="0"/>
          <w:divBdr>
            <w:top w:val="none" w:sz="0" w:space="0" w:color="auto"/>
            <w:left w:val="none" w:sz="0" w:space="0" w:color="auto"/>
            <w:bottom w:val="none" w:sz="0" w:space="0" w:color="auto"/>
            <w:right w:val="none" w:sz="0" w:space="0" w:color="auto"/>
          </w:divBdr>
        </w:div>
        <w:div w:id="1816951199">
          <w:marLeft w:val="0"/>
          <w:marRight w:val="0"/>
          <w:marTop w:val="0"/>
          <w:marBottom w:val="0"/>
          <w:divBdr>
            <w:top w:val="none" w:sz="0" w:space="0" w:color="auto"/>
            <w:left w:val="none" w:sz="0" w:space="0" w:color="auto"/>
            <w:bottom w:val="none" w:sz="0" w:space="0" w:color="auto"/>
            <w:right w:val="none" w:sz="0" w:space="0" w:color="auto"/>
          </w:divBdr>
        </w:div>
        <w:div w:id="1887526886">
          <w:marLeft w:val="0"/>
          <w:marRight w:val="0"/>
          <w:marTop w:val="0"/>
          <w:marBottom w:val="0"/>
          <w:divBdr>
            <w:top w:val="none" w:sz="0" w:space="0" w:color="auto"/>
            <w:left w:val="none" w:sz="0" w:space="0" w:color="auto"/>
            <w:bottom w:val="none" w:sz="0" w:space="0" w:color="auto"/>
            <w:right w:val="none" w:sz="0" w:space="0" w:color="auto"/>
          </w:divBdr>
        </w:div>
        <w:div w:id="1939943520">
          <w:marLeft w:val="0"/>
          <w:marRight w:val="0"/>
          <w:marTop w:val="0"/>
          <w:marBottom w:val="0"/>
          <w:divBdr>
            <w:top w:val="none" w:sz="0" w:space="0" w:color="auto"/>
            <w:left w:val="none" w:sz="0" w:space="0" w:color="auto"/>
            <w:bottom w:val="none" w:sz="0" w:space="0" w:color="auto"/>
            <w:right w:val="none" w:sz="0" w:space="0" w:color="auto"/>
          </w:divBdr>
        </w:div>
      </w:divsChild>
    </w:div>
    <w:div w:id="1341201502">
      <w:bodyDiv w:val="1"/>
      <w:marLeft w:val="0"/>
      <w:marRight w:val="0"/>
      <w:marTop w:val="0"/>
      <w:marBottom w:val="0"/>
      <w:divBdr>
        <w:top w:val="none" w:sz="0" w:space="0" w:color="auto"/>
        <w:left w:val="none" w:sz="0" w:space="0" w:color="auto"/>
        <w:bottom w:val="none" w:sz="0" w:space="0" w:color="auto"/>
        <w:right w:val="none" w:sz="0" w:space="0" w:color="auto"/>
      </w:divBdr>
    </w:div>
    <w:div w:id="1345404702">
      <w:bodyDiv w:val="1"/>
      <w:marLeft w:val="0"/>
      <w:marRight w:val="0"/>
      <w:marTop w:val="0"/>
      <w:marBottom w:val="0"/>
      <w:divBdr>
        <w:top w:val="none" w:sz="0" w:space="0" w:color="auto"/>
        <w:left w:val="none" w:sz="0" w:space="0" w:color="auto"/>
        <w:bottom w:val="none" w:sz="0" w:space="0" w:color="auto"/>
        <w:right w:val="none" w:sz="0" w:space="0" w:color="auto"/>
      </w:divBdr>
    </w:div>
    <w:div w:id="1376468651">
      <w:bodyDiv w:val="1"/>
      <w:marLeft w:val="0"/>
      <w:marRight w:val="0"/>
      <w:marTop w:val="0"/>
      <w:marBottom w:val="0"/>
      <w:divBdr>
        <w:top w:val="none" w:sz="0" w:space="0" w:color="auto"/>
        <w:left w:val="none" w:sz="0" w:space="0" w:color="auto"/>
        <w:bottom w:val="none" w:sz="0" w:space="0" w:color="auto"/>
        <w:right w:val="none" w:sz="0" w:space="0" w:color="auto"/>
      </w:divBdr>
    </w:div>
    <w:div w:id="1414861735">
      <w:bodyDiv w:val="1"/>
      <w:marLeft w:val="0"/>
      <w:marRight w:val="0"/>
      <w:marTop w:val="0"/>
      <w:marBottom w:val="0"/>
      <w:divBdr>
        <w:top w:val="none" w:sz="0" w:space="0" w:color="auto"/>
        <w:left w:val="none" w:sz="0" w:space="0" w:color="auto"/>
        <w:bottom w:val="none" w:sz="0" w:space="0" w:color="auto"/>
        <w:right w:val="none" w:sz="0" w:space="0" w:color="auto"/>
      </w:divBdr>
      <w:divsChild>
        <w:div w:id="257446797">
          <w:marLeft w:val="0"/>
          <w:marRight w:val="0"/>
          <w:marTop w:val="0"/>
          <w:marBottom w:val="0"/>
          <w:divBdr>
            <w:top w:val="none" w:sz="0" w:space="0" w:color="auto"/>
            <w:left w:val="none" w:sz="0" w:space="0" w:color="auto"/>
            <w:bottom w:val="none" w:sz="0" w:space="0" w:color="auto"/>
            <w:right w:val="none" w:sz="0" w:space="0" w:color="auto"/>
          </w:divBdr>
        </w:div>
        <w:div w:id="360516777">
          <w:marLeft w:val="0"/>
          <w:marRight w:val="0"/>
          <w:marTop w:val="0"/>
          <w:marBottom w:val="0"/>
          <w:divBdr>
            <w:top w:val="none" w:sz="0" w:space="0" w:color="auto"/>
            <w:left w:val="none" w:sz="0" w:space="0" w:color="auto"/>
            <w:bottom w:val="none" w:sz="0" w:space="0" w:color="auto"/>
            <w:right w:val="none" w:sz="0" w:space="0" w:color="auto"/>
          </w:divBdr>
        </w:div>
        <w:div w:id="432090654">
          <w:marLeft w:val="0"/>
          <w:marRight w:val="0"/>
          <w:marTop w:val="0"/>
          <w:marBottom w:val="0"/>
          <w:divBdr>
            <w:top w:val="none" w:sz="0" w:space="0" w:color="auto"/>
            <w:left w:val="none" w:sz="0" w:space="0" w:color="auto"/>
            <w:bottom w:val="none" w:sz="0" w:space="0" w:color="auto"/>
            <w:right w:val="none" w:sz="0" w:space="0" w:color="auto"/>
          </w:divBdr>
        </w:div>
        <w:div w:id="641037933">
          <w:marLeft w:val="0"/>
          <w:marRight w:val="0"/>
          <w:marTop w:val="0"/>
          <w:marBottom w:val="0"/>
          <w:divBdr>
            <w:top w:val="none" w:sz="0" w:space="0" w:color="auto"/>
            <w:left w:val="none" w:sz="0" w:space="0" w:color="auto"/>
            <w:bottom w:val="none" w:sz="0" w:space="0" w:color="auto"/>
            <w:right w:val="none" w:sz="0" w:space="0" w:color="auto"/>
          </w:divBdr>
        </w:div>
        <w:div w:id="1301961860">
          <w:marLeft w:val="0"/>
          <w:marRight w:val="0"/>
          <w:marTop w:val="0"/>
          <w:marBottom w:val="0"/>
          <w:divBdr>
            <w:top w:val="none" w:sz="0" w:space="0" w:color="auto"/>
            <w:left w:val="none" w:sz="0" w:space="0" w:color="auto"/>
            <w:bottom w:val="none" w:sz="0" w:space="0" w:color="auto"/>
            <w:right w:val="none" w:sz="0" w:space="0" w:color="auto"/>
          </w:divBdr>
        </w:div>
        <w:div w:id="1329481569">
          <w:marLeft w:val="0"/>
          <w:marRight w:val="0"/>
          <w:marTop w:val="0"/>
          <w:marBottom w:val="0"/>
          <w:divBdr>
            <w:top w:val="none" w:sz="0" w:space="0" w:color="auto"/>
            <w:left w:val="none" w:sz="0" w:space="0" w:color="auto"/>
            <w:bottom w:val="none" w:sz="0" w:space="0" w:color="auto"/>
            <w:right w:val="none" w:sz="0" w:space="0" w:color="auto"/>
          </w:divBdr>
        </w:div>
        <w:div w:id="1396927589">
          <w:marLeft w:val="0"/>
          <w:marRight w:val="0"/>
          <w:marTop w:val="0"/>
          <w:marBottom w:val="0"/>
          <w:divBdr>
            <w:top w:val="none" w:sz="0" w:space="0" w:color="auto"/>
            <w:left w:val="none" w:sz="0" w:space="0" w:color="auto"/>
            <w:bottom w:val="none" w:sz="0" w:space="0" w:color="auto"/>
            <w:right w:val="none" w:sz="0" w:space="0" w:color="auto"/>
          </w:divBdr>
        </w:div>
        <w:div w:id="1505705695">
          <w:marLeft w:val="0"/>
          <w:marRight w:val="0"/>
          <w:marTop w:val="0"/>
          <w:marBottom w:val="0"/>
          <w:divBdr>
            <w:top w:val="none" w:sz="0" w:space="0" w:color="auto"/>
            <w:left w:val="none" w:sz="0" w:space="0" w:color="auto"/>
            <w:bottom w:val="none" w:sz="0" w:space="0" w:color="auto"/>
            <w:right w:val="none" w:sz="0" w:space="0" w:color="auto"/>
          </w:divBdr>
        </w:div>
        <w:div w:id="1571427810">
          <w:marLeft w:val="0"/>
          <w:marRight w:val="0"/>
          <w:marTop w:val="0"/>
          <w:marBottom w:val="0"/>
          <w:divBdr>
            <w:top w:val="none" w:sz="0" w:space="0" w:color="auto"/>
            <w:left w:val="none" w:sz="0" w:space="0" w:color="auto"/>
            <w:bottom w:val="none" w:sz="0" w:space="0" w:color="auto"/>
            <w:right w:val="none" w:sz="0" w:space="0" w:color="auto"/>
          </w:divBdr>
        </w:div>
        <w:div w:id="1719009778">
          <w:marLeft w:val="0"/>
          <w:marRight w:val="0"/>
          <w:marTop w:val="0"/>
          <w:marBottom w:val="0"/>
          <w:divBdr>
            <w:top w:val="none" w:sz="0" w:space="0" w:color="auto"/>
            <w:left w:val="none" w:sz="0" w:space="0" w:color="auto"/>
            <w:bottom w:val="none" w:sz="0" w:space="0" w:color="auto"/>
            <w:right w:val="none" w:sz="0" w:space="0" w:color="auto"/>
          </w:divBdr>
        </w:div>
        <w:div w:id="1730182152">
          <w:marLeft w:val="0"/>
          <w:marRight w:val="0"/>
          <w:marTop w:val="0"/>
          <w:marBottom w:val="0"/>
          <w:divBdr>
            <w:top w:val="none" w:sz="0" w:space="0" w:color="auto"/>
            <w:left w:val="none" w:sz="0" w:space="0" w:color="auto"/>
            <w:bottom w:val="none" w:sz="0" w:space="0" w:color="auto"/>
            <w:right w:val="none" w:sz="0" w:space="0" w:color="auto"/>
          </w:divBdr>
        </w:div>
        <w:div w:id="1740977779">
          <w:marLeft w:val="0"/>
          <w:marRight w:val="0"/>
          <w:marTop w:val="0"/>
          <w:marBottom w:val="0"/>
          <w:divBdr>
            <w:top w:val="none" w:sz="0" w:space="0" w:color="auto"/>
            <w:left w:val="none" w:sz="0" w:space="0" w:color="auto"/>
            <w:bottom w:val="none" w:sz="0" w:space="0" w:color="auto"/>
            <w:right w:val="none" w:sz="0" w:space="0" w:color="auto"/>
          </w:divBdr>
        </w:div>
        <w:div w:id="1935475170">
          <w:marLeft w:val="0"/>
          <w:marRight w:val="0"/>
          <w:marTop w:val="0"/>
          <w:marBottom w:val="0"/>
          <w:divBdr>
            <w:top w:val="none" w:sz="0" w:space="0" w:color="auto"/>
            <w:left w:val="none" w:sz="0" w:space="0" w:color="auto"/>
            <w:bottom w:val="none" w:sz="0" w:space="0" w:color="auto"/>
            <w:right w:val="none" w:sz="0" w:space="0" w:color="auto"/>
          </w:divBdr>
        </w:div>
        <w:div w:id="1997299038">
          <w:marLeft w:val="0"/>
          <w:marRight w:val="0"/>
          <w:marTop w:val="0"/>
          <w:marBottom w:val="0"/>
          <w:divBdr>
            <w:top w:val="none" w:sz="0" w:space="0" w:color="auto"/>
            <w:left w:val="none" w:sz="0" w:space="0" w:color="auto"/>
            <w:bottom w:val="none" w:sz="0" w:space="0" w:color="auto"/>
            <w:right w:val="none" w:sz="0" w:space="0" w:color="auto"/>
          </w:divBdr>
        </w:div>
        <w:div w:id="2037384712">
          <w:marLeft w:val="0"/>
          <w:marRight w:val="0"/>
          <w:marTop w:val="0"/>
          <w:marBottom w:val="0"/>
          <w:divBdr>
            <w:top w:val="none" w:sz="0" w:space="0" w:color="auto"/>
            <w:left w:val="none" w:sz="0" w:space="0" w:color="auto"/>
            <w:bottom w:val="none" w:sz="0" w:space="0" w:color="auto"/>
            <w:right w:val="none" w:sz="0" w:space="0" w:color="auto"/>
          </w:divBdr>
        </w:div>
        <w:div w:id="2112580432">
          <w:marLeft w:val="0"/>
          <w:marRight w:val="0"/>
          <w:marTop w:val="0"/>
          <w:marBottom w:val="0"/>
          <w:divBdr>
            <w:top w:val="none" w:sz="0" w:space="0" w:color="auto"/>
            <w:left w:val="none" w:sz="0" w:space="0" w:color="auto"/>
            <w:bottom w:val="none" w:sz="0" w:space="0" w:color="auto"/>
            <w:right w:val="none" w:sz="0" w:space="0" w:color="auto"/>
          </w:divBdr>
        </w:div>
      </w:divsChild>
    </w:div>
    <w:div w:id="1424565468">
      <w:bodyDiv w:val="1"/>
      <w:marLeft w:val="0"/>
      <w:marRight w:val="0"/>
      <w:marTop w:val="0"/>
      <w:marBottom w:val="0"/>
      <w:divBdr>
        <w:top w:val="none" w:sz="0" w:space="0" w:color="auto"/>
        <w:left w:val="none" w:sz="0" w:space="0" w:color="auto"/>
        <w:bottom w:val="none" w:sz="0" w:space="0" w:color="auto"/>
        <w:right w:val="none" w:sz="0" w:space="0" w:color="auto"/>
      </w:divBdr>
    </w:div>
    <w:div w:id="1425540060">
      <w:bodyDiv w:val="1"/>
      <w:marLeft w:val="0"/>
      <w:marRight w:val="0"/>
      <w:marTop w:val="0"/>
      <w:marBottom w:val="0"/>
      <w:divBdr>
        <w:top w:val="none" w:sz="0" w:space="0" w:color="auto"/>
        <w:left w:val="none" w:sz="0" w:space="0" w:color="auto"/>
        <w:bottom w:val="none" w:sz="0" w:space="0" w:color="auto"/>
        <w:right w:val="none" w:sz="0" w:space="0" w:color="auto"/>
      </w:divBdr>
    </w:div>
    <w:div w:id="1432772463">
      <w:bodyDiv w:val="1"/>
      <w:marLeft w:val="0"/>
      <w:marRight w:val="0"/>
      <w:marTop w:val="0"/>
      <w:marBottom w:val="0"/>
      <w:divBdr>
        <w:top w:val="none" w:sz="0" w:space="0" w:color="auto"/>
        <w:left w:val="none" w:sz="0" w:space="0" w:color="auto"/>
        <w:bottom w:val="none" w:sz="0" w:space="0" w:color="auto"/>
        <w:right w:val="none" w:sz="0" w:space="0" w:color="auto"/>
      </w:divBdr>
    </w:div>
    <w:div w:id="1444811653">
      <w:bodyDiv w:val="1"/>
      <w:marLeft w:val="0"/>
      <w:marRight w:val="0"/>
      <w:marTop w:val="0"/>
      <w:marBottom w:val="0"/>
      <w:divBdr>
        <w:top w:val="none" w:sz="0" w:space="0" w:color="auto"/>
        <w:left w:val="none" w:sz="0" w:space="0" w:color="auto"/>
        <w:bottom w:val="none" w:sz="0" w:space="0" w:color="auto"/>
        <w:right w:val="none" w:sz="0" w:space="0" w:color="auto"/>
      </w:divBdr>
    </w:div>
    <w:div w:id="1446923897">
      <w:bodyDiv w:val="1"/>
      <w:marLeft w:val="0"/>
      <w:marRight w:val="0"/>
      <w:marTop w:val="0"/>
      <w:marBottom w:val="0"/>
      <w:divBdr>
        <w:top w:val="none" w:sz="0" w:space="0" w:color="auto"/>
        <w:left w:val="none" w:sz="0" w:space="0" w:color="auto"/>
        <w:bottom w:val="none" w:sz="0" w:space="0" w:color="auto"/>
        <w:right w:val="none" w:sz="0" w:space="0" w:color="auto"/>
      </w:divBdr>
    </w:div>
    <w:div w:id="1456295867">
      <w:bodyDiv w:val="1"/>
      <w:marLeft w:val="0"/>
      <w:marRight w:val="0"/>
      <w:marTop w:val="0"/>
      <w:marBottom w:val="0"/>
      <w:divBdr>
        <w:top w:val="none" w:sz="0" w:space="0" w:color="auto"/>
        <w:left w:val="none" w:sz="0" w:space="0" w:color="auto"/>
        <w:bottom w:val="none" w:sz="0" w:space="0" w:color="auto"/>
        <w:right w:val="none" w:sz="0" w:space="0" w:color="auto"/>
      </w:divBdr>
    </w:div>
    <w:div w:id="1462919162">
      <w:bodyDiv w:val="1"/>
      <w:marLeft w:val="0"/>
      <w:marRight w:val="0"/>
      <w:marTop w:val="0"/>
      <w:marBottom w:val="0"/>
      <w:divBdr>
        <w:top w:val="none" w:sz="0" w:space="0" w:color="auto"/>
        <w:left w:val="none" w:sz="0" w:space="0" w:color="auto"/>
        <w:bottom w:val="none" w:sz="0" w:space="0" w:color="auto"/>
        <w:right w:val="none" w:sz="0" w:space="0" w:color="auto"/>
      </w:divBdr>
      <w:divsChild>
        <w:div w:id="429661392">
          <w:marLeft w:val="0"/>
          <w:marRight w:val="0"/>
          <w:marTop w:val="0"/>
          <w:marBottom w:val="0"/>
          <w:divBdr>
            <w:top w:val="none" w:sz="0" w:space="0" w:color="auto"/>
            <w:left w:val="none" w:sz="0" w:space="0" w:color="auto"/>
            <w:bottom w:val="none" w:sz="0" w:space="0" w:color="auto"/>
            <w:right w:val="none" w:sz="0" w:space="0" w:color="auto"/>
          </w:divBdr>
        </w:div>
        <w:div w:id="621423152">
          <w:marLeft w:val="0"/>
          <w:marRight w:val="0"/>
          <w:marTop w:val="0"/>
          <w:marBottom w:val="0"/>
          <w:divBdr>
            <w:top w:val="none" w:sz="0" w:space="0" w:color="auto"/>
            <w:left w:val="none" w:sz="0" w:space="0" w:color="auto"/>
            <w:bottom w:val="none" w:sz="0" w:space="0" w:color="auto"/>
            <w:right w:val="none" w:sz="0" w:space="0" w:color="auto"/>
          </w:divBdr>
        </w:div>
        <w:div w:id="994407354">
          <w:marLeft w:val="0"/>
          <w:marRight w:val="0"/>
          <w:marTop w:val="0"/>
          <w:marBottom w:val="0"/>
          <w:divBdr>
            <w:top w:val="none" w:sz="0" w:space="0" w:color="auto"/>
            <w:left w:val="none" w:sz="0" w:space="0" w:color="auto"/>
            <w:bottom w:val="none" w:sz="0" w:space="0" w:color="auto"/>
            <w:right w:val="none" w:sz="0" w:space="0" w:color="auto"/>
          </w:divBdr>
        </w:div>
        <w:div w:id="1095906775">
          <w:marLeft w:val="0"/>
          <w:marRight w:val="0"/>
          <w:marTop w:val="0"/>
          <w:marBottom w:val="0"/>
          <w:divBdr>
            <w:top w:val="none" w:sz="0" w:space="0" w:color="auto"/>
            <w:left w:val="none" w:sz="0" w:space="0" w:color="auto"/>
            <w:bottom w:val="none" w:sz="0" w:space="0" w:color="auto"/>
            <w:right w:val="none" w:sz="0" w:space="0" w:color="auto"/>
          </w:divBdr>
        </w:div>
        <w:div w:id="1534491834">
          <w:marLeft w:val="0"/>
          <w:marRight w:val="0"/>
          <w:marTop w:val="0"/>
          <w:marBottom w:val="0"/>
          <w:divBdr>
            <w:top w:val="none" w:sz="0" w:space="0" w:color="auto"/>
            <w:left w:val="none" w:sz="0" w:space="0" w:color="auto"/>
            <w:bottom w:val="none" w:sz="0" w:space="0" w:color="auto"/>
            <w:right w:val="none" w:sz="0" w:space="0" w:color="auto"/>
          </w:divBdr>
        </w:div>
        <w:div w:id="2141534624">
          <w:marLeft w:val="0"/>
          <w:marRight w:val="0"/>
          <w:marTop w:val="0"/>
          <w:marBottom w:val="0"/>
          <w:divBdr>
            <w:top w:val="none" w:sz="0" w:space="0" w:color="auto"/>
            <w:left w:val="none" w:sz="0" w:space="0" w:color="auto"/>
            <w:bottom w:val="none" w:sz="0" w:space="0" w:color="auto"/>
            <w:right w:val="none" w:sz="0" w:space="0" w:color="auto"/>
          </w:divBdr>
        </w:div>
      </w:divsChild>
    </w:div>
    <w:div w:id="1468818550">
      <w:bodyDiv w:val="1"/>
      <w:marLeft w:val="0"/>
      <w:marRight w:val="0"/>
      <w:marTop w:val="0"/>
      <w:marBottom w:val="0"/>
      <w:divBdr>
        <w:top w:val="none" w:sz="0" w:space="0" w:color="auto"/>
        <w:left w:val="none" w:sz="0" w:space="0" w:color="auto"/>
        <w:bottom w:val="none" w:sz="0" w:space="0" w:color="auto"/>
        <w:right w:val="none" w:sz="0" w:space="0" w:color="auto"/>
      </w:divBdr>
      <w:divsChild>
        <w:div w:id="136382134">
          <w:marLeft w:val="0"/>
          <w:marRight w:val="0"/>
          <w:marTop w:val="0"/>
          <w:marBottom w:val="0"/>
          <w:divBdr>
            <w:top w:val="none" w:sz="0" w:space="0" w:color="auto"/>
            <w:left w:val="none" w:sz="0" w:space="0" w:color="auto"/>
            <w:bottom w:val="none" w:sz="0" w:space="0" w:color="auto"/>
            <w:right w:val="none" w:sz="0" w:space="0" w:color="auto"/>
          </w:divBdr>
        </w:div>
        <w:div w:id="228612325">
          <w:marLeft w:val="0"/>
          <w:marRight w:val="0"/>
          <w:marTop w:val="0"/>
          <w:marBottom w:val="0"/>
          <w:divBdr>
            <w:top w:val="none" w:sz="0" w:space="0" w:color="auto"/>
            <w:left w:val="none" w:sz="0" w:space="0" w:color="auto"/>
            <w:bottom w:val="none" w:sz="0" w:space="0" w:color="auto"/>
            <w:right w:val="none" w:sz="0" w:space="0" w:color="auto"/>
          </w:divBdr>
        </w:div>
        <w:div w:id="302004584">
          <w:marLeft w:val="0"/>
          <w:marRight w:val="0"/>
          <w:marTop w:val="0"/>
          <w:marBottom w:val="0"/>
          <w:divBdr>
            <w:top w:val="none" w:sz="0" w:space="0" w:color="auto"/>
            <w:left w:val="none" w:sz="0" w:space="0" w:color="auto"/>
            <w:bottom w:val="none" w:sz="0" w:space="0" w:color="auto"/>
            <w:right w:val="none" w:sz="0" w:space="0" w:color="auto"/>
          </w:divBdr>
        </w:div>
        <w:div w:id="335696912">
          <w:marLeft w:val="0"/>
          <w:marRight w:val="0"/>
          <w:marTop w:val="0"/>
          <w:marBottom w:val="0"/>
          <w:divBdr>
            <w:top w:val="none" w:sz="0" w:space="0" w:color="auto"/>
            <w:left w:val="none" w:sz="0" w:space="0" w:color="auto"/>
            <w:bottom w:val="none" w:sz="0" w:space="0" w:color="auto"/>
            <w:right w:val="none" w:sz="0" w:space="0" w:color="auto"/>
          </w:divBdr>
        </w:div>
        <w:div w:id="891190152">
          <w:marLeft w:val="0"/>
          <w:marRight w:val="0"/>
          <w:marTop w:val="0"/>
          <w:marBottom w:val="0"/>
          <w:divBdr>
            <w:top w:val="none" w:sz="0" w:space="0" w:color="auto"/>
            <w:left w:val="none" w:sz="0" w:space="0" w:color="auto"/>
            <w:bottom w:val="none" w:sz="0" w:space="0" w:color="auto"/>
            <w:right w:val="none" w:sz="0" w:space="0" w:color="auto"/>
          </w:divBdr>
        </w:div>
        <w:div w:id="1074550959">
          <w:marLeft w:val="0"/>
          <w:marRight w:val="0"/>
          <w:marTop w:val="0"/>
          <w:marBottom w:val="0"/>
          <w:divBdr>
            <w:top w:val="none" w:sz="0" w:space="0" w:color="auto"/>
            <w:left w:val="none" w:sz="0" w:space="0" w:color="auto"/>
            <w:bottom w:val="none" w:sz="0" w:space="0" w:color="auto"/>
            <w:right w:val="none" w:sz="0" w:space="0" w:color="auto"/>
          </w:divBdr>
        </w:div>
        <w:div w:id="1217006174">
          <w:marLeft w:val="0"/>
          <w:marRight w:val="0"/>
          <w:marTop w:val="0"/>
          <w:marBottom w:val="0"/>
          <w:divBdr>
            <w:top w:val="none" w:sz="0" w:space="0" w:color="auto"/>
            <w:left w:val="none" w:sz="0" w:space="0" w:color="auto"/>
            <w:bottom w:val="none" w:sz="0" w:space="0" w:color="auto"/>
            <w:right w:val="none" w:sz="0" w:space="0" w:color="auto"/>
          </w:divBdr>
        </w:div>
        <w:div w:id="1237278116">
          <w:marLeft w:val="0"/>
          <w:marRight w:val="0"/>
          <w:marTop w:val="0"/>
          <w:marBottom w:val="0"/>
          <w:divBdr>
            <w:top w:val="none" w:sz="0" w:space="0" w:color="auto"/>
            <w:left w:val="none" w:sz="0" w:space="0" w:color="auto"/>
            <w:bottom w:val="none" w:sz="0" w:space="0" w:color="auto"/>
            <w:right w:val="none" w:sz="0" w:space="0" w:color="auto"/>
          </w:divBdr>
        </w:div>
        <w:div w:id="2018802817">
          <w:marLeft w:val="0"/>
          <w:marRight w:val="0"/>
          <w:marTop w:val="0"/>
          <w:marBottom w:val="0"/>
          <w:divBdr>
            <w:top w:val="none" w:sz="0" w:space="0" w:color="auto"/>
            <w:left w:val="none" w:sz="0" w:space="0" w:color="auto"/>
            <w:bottom w:val="none" w:sz="0" w:space="0" w:color="auto"/>
            <w:right w:val="none" w:sz="0" w:space="0" w:color="auto"/>
          </w:divBdr>
        </w:div>
        <w:div w:id="2139950042">
          <w:marLeft w:val="0"/>
          <w:marRight w:val="0"/>
          <w:marTop w:val="0"/>
          <w:marBottom w:val="0"/>
          <w:divBdr>
            <w:top w:val="none" w:sz="0" w:space="0" w:color="auto"/>
            <w:left w:val="none" w:sz="0" w:space="0" w:color="auto"/>
            <w:bottom w:val="none" w:sz="0" w:space="0" w:color="auto"/>
            <w:right w:val="none" w:sz="0" w:space="0" w:color="auto"/>
          </w:divBdr>
        </w:div>
      </w:divsChild>
    </w:div>
    <w:div w:id="1502358368">
      <w:bodyDiv w:val="1"/>
      <w:marLeft w:val="0"/>
      <w:marRight w:val="0"/>
      <w:marTop w:val="0"/>
      <w:marBottom w:val="0"/>
      <w:divBdr>
        <w:top w:val="none" w:sz="0" w:space="0" w:color="auto"/>
        <w:left w:val="none" w:sz="0" w:space="0" w:color="auto"/>
        <w:bottom w:val="none" w:sz="0" w:space="0" w:color="auto"/>
        <w:right w:val="none" w:sz="0" w:space="0" w:color="auto"/>
      </w:divBdr>
    </w:div>
    <w:div w:id="1514372455">
      <w:bodyDiv w:val="1"/>
      <w:marLeft w:val="0"/>
      <w:marRight w:val="0"/>
      <w:marTop w:val="0"/>
      <w:marBottom w:val="0"/>
      <w:divBdr>
        <w:top w:val="none" w:sz="0" w:space="0" w:color="auto"/>
        <w:left w:val="none" w:sz="0" w:space="0" w:color="auto"/>
        <w:bottom w:val="none" w:sz="0" w:space="0" w:color="auto"/>
        <w:right w:val="none" w:sz="0" w:space="0" w:color="auto"/>
      </w:divBdr>
      <w:divsChild>
        <w:div w:id="243532304">
          <w:marLeft w:val="0"/>
          <w:marRight w:val="0"/>
          <w:marTop w:val="0"/>
          <w:marBottom w:val="0"/>
          <w:divBdr>
            <w:top w:val="none" w:sz="0" w:space="0" w:color="auto"/>
            <w:left w:val="none" w:sz="0" w:space="0" w:color="auto"/>
            <w:bottom w:val="none" w:sz="0" w:space="0" w:color="auto"/>
            <w:right w:val="none" w:sz="0" w:space="0" w:color="auto"/>
          </w:divBdr>
        </w:div>
        <w:div w:id="297540833">
          <w:marLeft w:val="0"/>
          <w:marRight w:val="0"/>
          <w:marTop w:val="0"/>
          <w:marBottom w:val="0"/>
          <w:divBdr>
            <w:top w:val="none" w:sz="0" w:space="0" w:color="auto"/>
            <w:left w:val="none" w:sz="0" w:space="0" w:color="auto"/>
            <w:bottom w:val="none" w:sz="0" w:space="0" w:color="auto"/>
            <w:right w:val="none" w:sz="0" w:space="0" w:color="auto"/>
          </w:divBdr>
        </w:div>
        <w:div w:id="345837466">
          <w:marLeft w:val="0"/>
          <w:marRight w:val="0"/>
          <w:marTop w:val="0"/>
          <w:marBottom w:val="0"/>
          <w:divBdr>
            <w:top w:val="none" w:sz="0" w:space="0" w:color="auto"/>
            <w:left w:val="none" w:sz="0" w:space="0" w:color="auto"/>
            <w:bottom w:val="none" w:sz="0" w:space="0" w:color="auto"/>
            <w:right w:val="none" w:sz="0" w:space="0" w:color="auto"/>
          </w:divBdr>
        </w:div>
        <w:div w:id="446121995">
          <w:marLeft w:val="0"/>
          <w:marRight w:val="0"/>
          <w:marTop w:val="0"/>
          <w:marBottom w:val="0"/>
          <w:divBdr>
            <w:top w:val="none" w:sz="0" w:space="0" w:color="auto"/>
            <w:left w:val="none" w:sz="0" w:space="0" w:color="auto"/>
            <w:bottom w:val="none" w:sz="0" w:space="0" w:color="auto"/>
            <w:right w:val="none" w:sz="0" w:space="0" w:color="auto"/>
          </w:divBdr>
        </w:div>
        <w:div w:id="541135852">
          <w:marLeft w:val="0"/>
          <w:marRight w:val="0"/>
          <w:marTop w:val="0"/>
          <w:marBottom w:val="0"/>
          <w:divBdr>
            <w:top w:val="none" w:sz="0" w:space="0" w:color="auto"/>
            <w:left w:val="none" w:sz="0" w:space="0" w:color="auto"/>
            <w:bottom w:val="none" w:sz="0" w:space="0" w:color="auto"/>
            <w:right w:val="none" w:sz="0" w:space="0" w:color="auto"/>
          </w:divBdr>
        </w:div>
        <w:div w:id="661861083">
          <w:marLeft w:val="0"/>
          <w:marRight w:val="0"/>
          <w:marTop w:val="0"/>
          <w:marBottom w:val="0"/>
          <w:divBdr>
            <w:top w:val="none" w:sz="0" w:space="0" w:color="auto"/>
            <w:left w:val="none" w:sz="0" w:space="0" w:color="auto"/>
            <w:bottom w:val="none" w:sz="0" w:space="0" w:color="auto"/>
            <w:right w:val="none" w:sz="0" w:space="0" w:color="auto"/>
          </w:divBdr>
        </w:div>
        <w:div w:id="788088093">
          <w:marLeft w:val="0"/>
          <w:marRight w:val="0"/>
          <w:marTop w:val="0"/>
          <w:marBottom w:val="0"/>
          <w:divBdr>
            <w:top w:val="none" w:sz="0" w:space="0" w:color="auto"/>
            <w:left w:val="none" w:sz="0" w:space="0" w:color="auto"/>
            <w:bottom w:val="none" w:sz="0" w:space="0" w:color="auto"/>
            <w:right w:val="none" w:sz="0" w:space="0" w:color="auto"/>
          </w:divBdr>
        </w:div>
        <w:div w:id="1801265372">
          <w:marLeft w:val="0"/>
          <w:marRight w:val="0"/>
          <w:marTop w:val="0"/>
          <w:marBottom w:val="0"/>
          <w:divBdr>
            <w:top w:val="none" w:sz="0" w:space="0" w:color="auto"/>
            <w:left w:val="none" w:sz="0" w:space="0" w:color="auto"/>
            <w:bottom w:val="none" w:sz="0" w:space="0" w:color="auto"/>
            <w:right w:val="none" w:sz="0" w:space="0" w:color="auto"/>
          </w:divBdr>
        </w:div>
        <w:div w:id="2003049127">
          <w:marLeft w:val="0"/>
          <w:marRight w:val="0"/>
          <w:marTop w:val="0"/>
          <w:marBottom w:val="0"/>
          <w:divBdr>
            <w:top w:val="none" w:sz="0" w:space="0" w:color="auto"/>
            <w:left w:val="none" w:sz="0" w:space="0" w:color="auto"/>
            <w:bottom w:val="none" w:sz="0" w:space="0" w:color="auto"/>
            <w:right w:val="none" w:sz="0" w:space="0" w:color="auto"/>
          </w:divBdr>
        </w:div>
        <w:div w:id="2098742798">
          <w:marLeft w:val="0"/>
          <w:marRight w:val="0"/>
          <w:marTop w:val="0"/>
          <w:marBottom w:val="0"/>
          <w:divBdr>
            <w:top w:val="none" w:sz="0" w:space="0" w:color="auto"/>
            <w:left w:val="none" w:sz="0" w:space="0" w:color="auto"/>
            <w:bottom w:val="none" w:sz="0" w:space="0" w:color="auto"/>
            <w:right w:val="none" w:sz="0" w:space="0" w:color="auto"/>
          </w:divBdr>
        </w:div>
      </w:divsChild>
    </w:div>
    <w:div w:id="1519270794">
      <w:bodyDiv w:val="1"/>
      <w:marLeft w:val="0"/>
      <w:marRight w:val="0"/>
      <w:marTop w:val="0"/>
      <w:marBottom w:val="0"/>
      <w:divBdr>
        <w:top w:val="none" w:sz="0" w:space="0" w:color="auto"/>
        <w:left w:val="none" w:sz="0" w:space="0" w:color="auto"/>
        <w:bottom w:val="none" w:sz="0" w:space="0" w:color="auto"/>
        <w:right w:val="none" w:sz="0" w:space="0" w:color="auto"/>
      </w:divBdr>
      <w:divsChild>
        <w:div w:id="53047178">
          <w:marLeft w:val="0"/>
          <w:marRight w:val="0"/>
          <w:marTop w:val="0"/>
          <w:marBottom w:val="0"/>
          <w:divBdr>
            <w:top w:val="none" w:sz="0" w:space="0" w:color="auto"/>
            <w:left w:val="none" w:sz="0" w:space="0" w:color="auto"/>
            <w:bottom w:val="none" w:sz="0" w:space="0" w:color="auto"/>
            <w:right w:val="none" w:sz="0" w:space="0" w:color="auto"/>
          </w:divBdr>
        </w:div>
        <w:div w:id="116729224">
          <w:marLeft w:val="0"/>
          <w:marRight w:val="0"/>
          <w:marTop w:val="0"/>
          <w:marBottom w:val="0"/>
          <w:divBdr>
            <w:top w:val="none" w:sz="0" w:space="0" w:color="auto"/>
            <w:left w:val="none" w:sz="0" w:space="0" w:color="auto"/>
            <w:bottom w:val="none" w:sz="0" w:space="0" w:color="auto"/>
            <w:right w:val="none" w:sz="0" w:space="0" w:color="auto"/>
          </w:divBdr>
        </w:div>
        <w:div w:id="397440404">
          <w:marLeft w:val="0"/>
          <w:marRight w:val="0"/>
          <w:marTop w:val="0"/>
          <w:marBottom w:val="0"/>
          <w:divBdr>
            <w:top w:val="none" w:sz="0" w:space="0" w:color="auto"/>
            <w:left w:val="none" w:sz="0" w:space="0" w:color="auto"/>
            <w:bottom w:val="none" w:sz="0" w:space="0" w:color="auto"/>
            <w:right w:val="none" w:sz="0" w:space="0" w:color="auto"/>
          </w:divBdr>
        </w:div>
        <w:div w:id="1388408099">
          <w:marLeft w:val="0"/>
          <w:marRight w:val="0"/>
          <w:marTop w:val="0"/>
          <w:marBottom w:val="0"/>
          <w:divBdr>
            <w:top w:val="none" w:sz="0" w:space="0" w:color="auto"/>
            <w:left w:val="none" w:sz="0" w:space="0" w:color="auto"/>
            <w:bottom w:val="none" w:sz="0" w:space="0" w:color="auto"/>
            <w:right w:val="none" w:sz="0" w:space="0" w:color="auto"/>
          </w:divBdr>
        </w:div>
        <w:div w:id="1818912487">
          <w:marLeft w:val="0"/>
          <w:marRight w:val="0"/>
          <w:marTop w:val="0"/>
          <w:marBottom w:val="0"/>
          <w:divBdr>
            <w:top w:val="none" w:sz="0" w:space="0" w:color="auto"/>
            <w:left w:val="none" w:sz="0" w:space="0" w:color="auto"/>
            <w:bottom w:val="none" w:sz="0" w:space="0" w:color="auto"/>
            <w:right w:val="none" w:sz="0" w:space="0" w:color="auto"/>
          </w:divBdr>
        </w:div>
        <w:div w:id="1852841986">
          <w:marLeft w:val="0"/>
          <w:marRight w:val="0"/>
          <w:marTop w:val="0"/>
          <w:marBottom w:val="0"/>
          <w:divBdr>
            <w:top w:val="none" w:sz="0" w:space="0" w:color="auto"/>
            <w:left w:val="none" w:sz="0" w:space="0" w:color="auto"/>
            <w:bottom w:val="none" w:sz="0" w:space="0" w:color="auto"/>
            <w:right w:val="none" w:sz="0" w:space="0" w:color="auto"/>
          </w:divBdr>
        </w:div>
      </w:divsChild>
    </w:div>
    <w:div w:id="1524443462">
      <w:bodyDiv w:val="1"/>
      <w:marLeft w:val="0"/>
      <w:marRight w:val="0"/>
      <w:marTop w:val="0"/>
      <w:marBottom w:val="0"/>
      <w:divBdr>
        <w:top w:val="none" w:sz="0" w:space="0" w:color="auto"/>
        <w:left w:val="none" w:sz="0" w:space="0" w:color="auto"/>
        <w:bottom w:val="none" w:sz="0" w:space="0" w:color="auto"/>
        <w:right w:val="none" w:sz="0" w:space="0" w:color="auto"/>
      </w:divBdr>
    </w:div>
    <w:div w:id="1543707734">
      <w:bodyDiv w:val="1"/>
      <w:marLeft w:val="0"/>
      <w:marRight w:val="0"/>
      <w:marTop w:val="0"/>
      <w:marBottom w:val="0"/>
      <w:divBdr>
        <w:top w:val="none" w:sz="0" w:space="0" w:color="auto"/>
        <w:left w:val="none" w:sz="0" w:space="0" w:color="auto"/>
        <w:bottom w:val="none" w:sz="0" w:space="0" w:color="auto"/>
        <w:right w:val="none" w:sz="0" w:space="0" w:color="auto"/>
      </w:divBdr>
    </w:div>
    <w:div w:id="1580753807">
      <w:bodyDiv w:val="1"/>
      <w:marLeft w:val="0"/>
      <w:marRight w:val="0"/>
      <w:marTop w:val="0"/>
      <w:marBottom w:val="0"/>
      <w:divBdr>
        <w:top w:val="none" w:sz="0" w:space="0" w:color="auto"/>
        <w:left w:val="none" w:sz="0" w:space="0" w:color="auto"/>
        <w:bottom w:val="none" w:sz="0" w:space="0" w:color="auto"/>
        <w:right w:val="none" w:sz="0" w:space="0" w:color="auto"/>
      </w:divBdr>
      <w:divsChild>
        <w:div w:id="100151112">
          <w:marLeft w:val="0"/>
          <w:marRight w:val="0"/>
          <w:marTop w:val="0"/>
          <w:marBottom w:val="0"/>
          <w:divBdr>
            <w:top w:val="none" w:sz="0" w:space="0" w:color="auto"/>
            <w:left w:val="none" w:sz="0" w:space="0" w:color="auto"/>
            <w:bottom w:val="none" w:sz="0" w:space="0" w:color="auto"/>
            <w:right w:val="none" w:sz="0" w:space="0" w:color="auto"/>
          </w:divBdr>
        </w:div>
        <w:div w:id="172451281">
          <w:marLeft w:val="0"/>
          <w:marRight w:val="0"/>
          <w:marTop w:val="0"/>
          <w:marBottom w:val="0"/>
          <w:divBdr>
            <w:top w:val="none" w:sz="0" w:space="0" w:color="auto"/>
            <w:left w:val="none" w:sz="0" w:space="0" w:color="auto"/>
            <w:bottom w:val="none" w:sz="0" w:space="0" w:color="auto"/>
            <w:right w:val="none" w:sz="0" w:space="0" w:color="auto"/>
          </w:divBdr>
        </w:div>
        <w:div w:id="173230862">
          <w:marLeft w:val="0"/>
          <w:marRight w:val="0"/>
          <w:marTop w:val="0"/>
          <w:marBottom w:val="0"/>
          <w:divBdr>
            <w:top w:val="none" w:sz="0" w:space="0" w:color="auto"/>
            <w:left w:val="none" w:sz="0" w:space="0" w:color="auto"/>
            <w:bottom w:val="none" w:sz="0" w:space="0" w:color="auto"/>
            <w:right w:val="none" w:sz="0" w:space="0" w:color="auto"/>
          </w:divBdr>
        </w:div>
        <w:div w:id="187378172">
          <w:marLeft w:val="0"/>
          <w:marRight w:val="0"/>
          <w:marTop w:val="0"/>
          <w:marBottom w:val="0"/>
          <w:divBdr>
            <w:top w:val="none" w:sz="0" w:space="0" w:color="auto"/>
            <w:left w:val="none" w:sz="0" w:space="0" w:color="auto"/>
            <w:bottom w:val="none" w:sz="0" w:space="0" w:color="auto"/>
            <w:right w:val="none" w:sz="0" w:space="0" w:color="auto"/>
          </w:divBdr>
        </w:div>
        <w:div w:id="201403597">
          <w:marLeft w:val="0"/>
          <w:marRight w:val="0"/>
          <w:marTop w:val="0"/>
          <w:marBottom w:val="0"/>
          <w:divBdr>
            <w:top w:val="none" w:sz="0" w:space="0" w:color="auto"/>
            <w:left w:val="none" w:sz="0" w:space="0" w:color="auto"/>
            <w:bottom w:val="none" w:sz="0" w:space="0" w:color="auto"/>
            <w:right w:val="none" w:sz="0" w:space="0" w:color="auto"/>
          </w:divBdr>
        </w:div>
        <w:div w:id="272326566">
          <w:marLeft w:val="0"/>
          <w:marRight w:val="0"/>
          <w:marTop w:val="0"/>
          <w:marBottom w:val="0"/>
          <w:divBdr>
            <w:top w:val="none" w:sz="0" w:space="0" w:color="auto"/>
            <w:left w:val="none" w:sz="0" w:space="0" w:color="auto"/>
            <w:bottom w:val="none" w:sz="0" w:space="0" w:color="auto"/>
            <w:right w:val="none" w:sz="0" w:space="0" w:color="auto"/>
          </w:divBdr>
        </w:div>
        <w:div w:id="340938618">
          <w:marLeft w:val="0"/>
          <w:marRight w:val="0"/>
          <w:marTop w:val="0"/>
          <w:marBottom w:val="0"/>
          <w:divBdr>
            <w:top w:val="none" w:sz="0" w:space="0" w:color="auto"/>
            <w:left w:val="none" w:sz="0" w:space="0" w:color="auto"/>
            <w:bottom w:val="none" w:sz="0" w:space="0" w:color="auto"/>
            <w:right w:val="none" w:sz="0" w:space="0" w:color="auto"/>
          </w:divBdr>
        </w:div>
        <w:div w:id="383942633">
          <w:marLeft w:val="0"/>
          <w:marRight w:val="0"/>
          <w:marTop w:val="0"/>
          <w:marBottom w:val="0"/>
          <w:divBdr>
            <w:top w:val="none" w:sz="0" w:space="0" w:color="auto"/>
            <w:left w:val="none" w:sz="0" w:space="0" w:color="auto"/>
            <w:bottom w:val="none" w:sz="0" w:space="0" w:color="auto"/>
            <w:right w:val="none" w:sz="0" w:space="0" w:color="auto"/>
          </w:divBdr>
        </w:div>
        <w:div w:id="461730187">
          <w:marLeft w:val="0"/>
          <w:marRight w:val="0"/>
          <w:marTop w:val="0"/>
          <w:marBottom w:val="0"/>
          <w:divBdr>
            <w:top w:val="none" w:sz="0" w:space="0" w:color="auto"/>
            <w:left w:val="none" w:sz="0" w:space="0" w:color="auto"/>
            <w:bottom w:val="none" w:sz="0" w:space="0" w:color="auto"/>
            <w:right w:val="none" w:sz="0" w:space="0" w:color="auto"/>
          </w:divBdr>
        </w:div>
        <w:div w:id="478965114">
          <w:marLeft w:val="0"/>
          <w:marRight w:val="0"/>
          <w:marTop w:val="0"/>
          <w:marBottom w:val="0"/>
          <w:divBdr>
            <w:top w:val="none" w:sz="0" w:space="0" w:color="auto"/>
            <w:left w:val="none" w:sz="0" w:space="0" w:color="auto"/>
            <w:bottom w:val="none" w:sz="0" w:space="0" w:color="auto"/>
            <w:right w:val="none" w:sz="0" w:space="0" w:color="auto"/>
          </w:divBdr>
        </w:div>
        <w:div w:id="524487981">
          <w:marLeft w:val="0"/>
          <w:marRight w:val="0"/>
          <w:marTop w:val="0"/>
          <w:marBottom w:val="0"/>
          <w:divBdr>
            <w:top w:val="none" w:sz="0" w:space="0" w:color="auto"/>
            <w:left w:val="none" w:sz="0" w:space="0" w:color="auto"/>
            <w:bottom w:val="none" w:sz="0" w:space="0" w:color="auto"/>
            <w:right w:val="none" w:sz="0" w:space="0" w:color="auto"/>
          </w:divBdr>
        </w:div>
        <w:div w:id="662124794">
          <w:marLeft w:val="0"/>
          <w:marRight w:val="0"/>
          <w:marTop w:val="0"/>
          <w:marBottom w:val="0"/>
          <w:divBdr>
            <w:top w:val="none" w:sz="0" w:space="0" w:color="auto"/>
            <w:left w:val="none" w:sz="0" w:space="0" w:color="auto"/>
            <w:bottom w:val="none" w:sz="0" w:space="0" w:color="auto"/>
            <w:right w:val="none" w:sz="0" w:space="0" w:color="auto"/>
          </w:divBdr>
        </w:div>
        <w:div w:id="817069307">
          <w:marLeft w:val="0"/>
          <w:marRight w:val="0"/>
          <w:marTop w:val="0"/>
          <w:marBottom w:val="0"/>
          <w:divBdr>
            <w:top w:val="none" w:sz="0" w:space="0" w:color="auto"/>
            <w:left w:val="none" w:sz="0" w:space="0" w:color="auto"/>
            <w:bottom w:val="none" w:sz="0" w:space="0" w:color="auto"/>
            <w:right w:val="none" w:sz="0" w:space="0" w:color="auto"/>
          </w:divBdr>
        </w:div>
        <w:div w:id="888152475">
          <w:marLeft w:val="0"/>
          <w:marRight w:val="0"/>
          <w:marTop w:val="0"/>
          <w:marBottom w:val="0"/>
          <w:divBdr>
            <w:top w:val="none" w:sz="0" w:space="0" w:color="auto"/>
            <w:left w:val="none" w:sz="0" w:space="0" w:color="auto"/>
            <w:bottom w:val="none" w:sz="0" w:space="0" w:color="auto"/>
            <w:right w:val="none" w:sz="0" w:space="0" w:color="auto"/>
          </w:divBdr>
        </w:div>
        <w:div w:id="920799372">
          <w:marLeft w:val="0"/>
          <w:marRight w:val="0"/>
          <w:marTop w:val="0"/>
          <w:marBottom w:val="0"/>
          <w:divBdr>
            <w:top w:val="none" w:sz="0" w:space="0" w:color="auto"/>
            <w:left w:val="none" w:sz="0" w:space="0" w:color="auto"/>
            <w:bottom w:val="none" w:sz="0" w:space="0" w:color="auto"/>
            <w:right w:val="none" w:sz="0" w:space="0" w:color="auto"/>
          </w:divBdr>
        </w:div>
        <w:div w:id="922420428">
          <w:marLeft w:val="0"/>
          <w:marRight w:val="0"/>
          <w:marTop w:val="0"/>
          <w:marBottom w:val="0"/>
          <w:divBdr>
            <w:top w:val="none" w:sz="0" w:space="0" w:color="auto"/>
            <w:left w:val="none" w:sz="0" w:space="0" w:color="auto"/>
            <w:bottom w:val="none" w:sz="0" w:space="0" w:color="auto"/>
            <w:right w:val="none" w:sz="0" w:space="0" w:color="auto"/>
          </w:divBdr>
        </w:div>
        <w:div w:id="1036850549">
          <w:marLeft w:val="0"/>
          <w:marRight w:val="0"/>
          <w:marTop w:val="0"/>
          <w:marBottom w:val="0"/>
          <w:divBdr>
            <w:top w:val="none" w:sz="0" w:space="0" w:color="auto"/>
            <w:left w:val="none" w:sz="0" w:space="0" w:color="auto"/>
            <w:bottom w:val="none" w:sz="0" w:space="0" w:color="auto"/>
            <w:right w:val="none" w:sz="0" w:space="0" w:color="auto"/>
          </w:divBdr>
        </w:div>
        <w:div w:id="1065104690">
          <w:marLeft w:val="0"/>
          <w:marRight w:val="0"/>
          <w:marTop w:val="0"/>
          <w:marBottom w:val="0"/>
          <w:divBdr>
            <w:top w:val="none" w:sz="0" w:space="0" w:color="auto"/>
            <w:left w:val="none" w:sz="0" w:space="0" w:color="auto"/>
            <w:bottom w:val="none" w:sz="0" w:space="0" w:color="auto"/>
            <w:right w:val="none" w:sz="0" w:space="0" w:color="auto"/>
          </w:divBdr>
        </w:div>
        <w:div w:id="1145701994">
          <w:marLeft w:val="0"/>
          <w:marRight w:val="0"/>
          <w:marTop w:val="0"/>
          <w:marBottom w:val="0"/>
          <w:divBdr>
            <w:top w:val="none" w:sz="0" w:space="0" w:color="auto"/>
            <w:left w:val="none" w:sz="0" w:space="0" w:color="auto"/>
            <w:bottom w:val="none" w:sz="0" w:space="0" w:color="auto"/>
            <w:right w:val="none" w:sz="0" w:space="0" w:color="auto"/>
          </w:divBdr>
        </w:div>
        <w:div w:id="1174564975">
          <w:marLeft w:val="0"/>
          <w:marRight w:val="0"/>
          <w:marTop w:val="0"/>
          <w:marBottom w:val="0"/>
          <w:divBdr>
            <w:top w:val="none" w:sz="0" w:space="0" w:color="auto"/>
            <w:left w:val="none" w:sz="0" w:space="0" w:color="auto"/>
            <w:bottom w:val="none" w:sz="0" w:space="0" w:color="auto"/>
            <w:right w:val="none" w:sz="0" w:space="0" w:color="auto"/>
          </w:divBdr>
        </w:div>
        <w:div w:id="1211456176">
          <w:marLeft w:val="0"/>
          <w:marRight w:val="0"/>
          <w:marTop w:val="0"/>
          <w:marBottom w:val="0"/>
          <w:divBdr>
            <w:top w:val="none" w:sz="0" w:space="0" w:color="auto"/>
            <w:left w:val="none" w:sz="0" w:space="0" w:color="auto"/>
            <w:bottom w:val="none" w:sz="0" w:space="0" w:color="auto"/>
            <w:right w:val="none" w:sz="0" w:space="0" w:color="auto"/>
          </w:divBdr>
        </w:div>
        <w:div w:id="1232043127">
          <w:marLeft w:val="0"/>
          <w:marRight w:val="0"/>
          <w:marTop w:val="0"/>
          <w:marBottom w:val="0"/>
          <w:divBdr>
            <w:top w:val="none" w:sz="0" w:space="0" w:color="auto"/>
            <w:left w:val="none" w:sz="0" w:space="0" w:color="auto"/>
            <w:bottom w:val="none" w:sz="0" w:space="0" w:color="auto"/>
            <w:right w:val="none" w:sz="0" w:space="0" w:color="auto"/>
          </w:divBdr>
        </w:div>
        <w:div w:id="1286236069">
          <w:marLeft w:val="0"/>
          <w:marRight w:val="0"/>
          <w:marTop w:val="0"/>
          <w:marBottom w:val="0"/>
          <w:divBdr>
            <w:top w:val="none" w:sz="0" w:space="0" w:color="auto"/>
            <w:left w:val="none" w:sz="0" w:space="0" w:color="auto"/>
            <w:bottom w:val="none" w:sz="0" w:space="0" w:color="auto"/>
            <w:right w:val="none" w:sz="0" w:space="0" w:color="auto"/>
          </w:divBdr>
        </w:div>
        <w:div w:id="1368599989">
          <w:marLeft w:val="0"/>
          <w:marRight w:val="0"/>
          <w:marTop w:val="0"/>
          <w:marBottom w:val="0"/>
          <w:divBdr>
            <w:top w:val="none" w:sz="0" w:space="0" w:color="auto"/>
            <w:left w:val="none" w:sz="0" w:space="0" w:color="auto"/>
            <w:bottom w:val="none" w:sz="0" w:space="0" w:color="auto"/>
            <w:right w:val="none" w:sz="0" w:space="0" w:color="auto"/>
          </w:divBdr>
        </w:div>
        <w:div w:id="1443039510">
          <w:marLeft w:val="0"/>
          <w:marRight w:val="0"/>
          <w:marTop w:val="0"/>
          <w:marBottom w:val="0"/>
          <w:divBdr>
            <w:top w:val="none" w:sz="0" w:space="0" w:color="auto"/>
            <w:left w:val="none" w:sz="0" w:space="0" w:color="auto"/>
            <w:bottom w:val="none" w:sz="0" w:space="0" w:color="auto"/>
            <w:right w:val="none" w:sz="0" w:space="0" w:color="auto"/>
          </w:divBdr>
        </w:div>
        <w:div w:id="1911841647">
          <w:marLeft w:val="0"/>
          <w:marRight w:val="0"/>
          <w:marTop w:val="0"/>
          <w:marBottom w:val="0"/>
          <w:divBdr>
            <w:top w:val="none" w:sz="0" w:space="0" w:color="auto"/>
            <w:left w:val="none" w:sz="0" w:space="0" w:color="auto"/>
            <w:bottom w:val="none" w:sz="0" w:space="0" w:color="auto"/>
            <w:right w:val="none" w:sz="0" w:space="0" w:color="auto"/>
          </w:divBdr>
        </w:div>
        <w:div w:id="1949047436">
          <w:marLeft w:val="0"/>
          <w:marRight w:val="0"/>
          <w:marTop w:val="0"/>
          <w:marBottom w:val="0"/>
          <w:divBdr>
            <w:top w:val="none" w:sz="0" w:space="0" w:color="auto"/>
            <w:left w:val="none" w:sz="0" w:space="0" w:color="auto"/>
            <w:bottom w:val="none" w:sz="0" w:space="0" w:color="auto"/>
            <w:right w:val="none" w:sz="0" w:space="0" w:color="auto"/>
          </w:divBdr>
        </w:div>
        <w:div w:id="1974599850">
          <w:marLeft w:val="0"/>
          <w:marRight w:val="0"/>
          <w:marTop w:val="0"/>
          <w:marBottom w:val="0"/>
          <w:divBdr>
            <w:top w:val="none" w:sz="0" w:space="0" w:color="auto"/>
            <w:left w:val="none" w:sz="0" w:space="0" w:color="auto"/>
            <w:bottom w:val="none" w:sz="0" w:space="0" w:color="auto"/>
            <w:right w:val="none" w:sz="0" w:space="0" w:color="auto"/>
          </w:divBdr>
        </w:div>
        <w:div w:id="2080011813">
          <w:marLeft w:val="0"/>
          <w:marRight w:val="0"/>
          <w:marTop w:val="0"/>
          <w:marBottom w:val="0"/>
          <w:divBdr>
            <w:top w:val="none" w:sz="0" w:space="0" w:color="auto"/>
            <w:left w:val="none" w:sz="0" w:space="0" w:color="auto"/>
            <w:bottom w:val="none" w:sz="0" w:space="0" w:color="auto"/>
            <w:right w:val="none" w:sz="0" w:space="0" w:color="auto"/>
          </w:divBdr>
        </w:div>
        <w:div w:id="2083944882">
          <w:marLeft w:val="0"/>
          <w:marRight w:val="0"/>
          <w:marTop w:val="0"/>
          <w:marBottom w:val="0"/>
          <w:divBdr>
            <w:top w:val="none" w:sz="0" w:space="0" w:color="auto"/>
            <w:left w:val="none" w:sz="0" w:space="0" w:color="auto"/>
            <w:bottom w:val="none" w:sz="0" w:space="0" w:color="auto"/>
            <w:right w:val="none" w:sz="0" w:space="0" w:color="auto"/>
          </w:divBdr>
        </w:div>
        <w:div w:id="2100251244">
          <w:marLeft w:val="0"/>
          <w:marRight w:val="0"/>
          <w:marTop w:val="0"/>
          <w:marBottom w:val="0"/>
          <w:divBdr>
            <w:top w:val="none" w:sz="0" w:space="0" w:color="auto"/>
            <w:left w:val="none" w:sz="0" w:space="0" w:color="auto"/>
            <w:bottom w:val="none" w:sz="0" w:space="0" w:color="auto"/>
            <w:right w:val="none" w:sz="0" w:space="0" w:color="auto"/>
          </w:divBdr>
        </w:div>
      </w:divsChild>
    </w:div>
    <w:div w:id="1595896009">
      <w:bodyDiv w:val="1"/>
      <w:marLeft w:val="0"/>
      <w:marRight w:val="0"/>
      <w:marTop w:val="0"/>
      <w:marBottom w:val="0"/>
      <w:divBdr>
        <w:top w:val="none" w:sz="0" w:space="0" w:color="auto"/>
        <w:left w:val="none" w:sz="0" w:space="0" w:color="auto"/>
        <w:bottom w:val="none" w:sz="0" w:space="0" w:color="auto"/>
        <w:right w:val="none" w:sz="0" w:space="0" w:color="auto"/>
      </w:divBdr>
      <w:divsChild>
        <w:div w:id="167907034">
          <w:marLeft w:val="0"/>
          <w:marRight w:val="0"/>
          <w:marTop w:val="0"/>
          <w:marBottom w:val="0"/>
          <w:divBdr>
            <w:top w:val="none" w:sz="0" w:space="0" w:color="auto"/>
            <w:left w:val="none" w:sz="0" w:space="0" w:color="auto"/>
            <w:bottom w:val="none" w:sz="0" w:space="0" w:color="auto"/>
            <w:right w:val="none" w:sz="0" w:space="0" w:color="auto"/>
          </w:divBdr>
        </w:div>
        <w:div w:id="201871141">
          <w:marLeft w:val="0"/>
          <w:marRight w:val="0"/>
          <w:marTop w:val="0"/>
          <w:marBottom w:val="0"/>
          <w:divBdr>
            <w:top w:val="none" w:sz="0" w:space="0" w:color="auto"/>
            <w:left w:val="none" w:sz="0" w:space="0" w:color="auto"/>
            <w:bottom w:val="none" w:sz="0" w:space="0" w:color="auto"/>
            <w:right w:val="none" w:sz="0" w:space="0" w:color="auto"/>
          </w:divBdr>
        </w:div>
        <w:div w:id="202864075">
          <w:marLeft w:val="0"/>
          <w:marRight w:val="0"/>
          <w:marTop w:val="0"/>
          <w:marBottom w:val="0"/>
          <w:divBdr>
            <w:top w:val="none" w:sz="0" w:space="0" w:color="auto"/>
            <w:left w:val="none" w:sz="0" w:space="0" w:color="auto"/>
            <w:bottom w:val="none" w:sz="0" w:space="0" w:color="auto"/>
            <w:right w:val="none" w:sz="0" w:space="0" w:color="auto"/>
          </w:divBdr>
        </w:div>
        <w:div w:id="209196491">
          <w:marLeft w:val="0"/>
          <w:marRight w:val="0"/>
          <w:marTop w:val="0"/>
          <w:marBottom w:val="0"/>
          <w:divBdr>
            <w:top w:val="none" w:sz="0" w:space="0" w:color="auto"/>
            <w:left w:val="none" w:sz="0" w:space="0" w:color="auto"/>
            <w:bottom w:val="none" w:sz="0" w:space="0" w:color="auto"/>
            <w:right w:val="none" w:sz="0" w:space="0" w:color="auto"/>
          </w:divBdr>
        </w:div>
        <w:div w:id="277956067">
          <w:marLeft w:val="0"/>
          <w:marRight w:val="0"/>
          <w:marTop w:val="0"/>
          <w:marBottom w:val="0"/>
          <w:divBdr>
            <w:top w:val="none" w:sz="0" w:space="0" w:color="auto"/>
            <w:left w:val="none" w:sz="0" w:space="0" w:color="auto"/>
            <w:bottom w:val="none" w:sz="0" w:space="0" w:color="auto"/>
            <w:right w:val="none" w:sz="0" w:space="0" w:color="auto"/>
          </w:divBdr>
        </w:div>
        <w:div w:id="282542207">
          <w:marLeft w:val="0"/>
          <w:marRight w:val="0"/>
          <w:marTop w:val="0"/>
          <w:marBottom w:val="0"/>
          <w:divBdr>
            <w:top w:val="none" w:sz="0" w:space="0" w:color="auto"/>
            <w:left w:val="none" w:sz="0" w:space="0" w:color="auto"/>
            <w:bottom w:val="none" w:sz="0" w:space="0" w:color="auto"/>
            <w:right w:val="none" w:sz="0" w:space="0" w:color="auto"/>
          </w:divBdr>
        </w:div>
        <w:div w:id="422648367">
          <w:marLeft w:val="0"/>
          <w:marRight w:val="0"/>
          <w:marTop w:val="0"/>
          <w:marBottom w:val="0"/>
          <w:divBdr>
            <w:top w:val="none" w:sz="0" w:space="0" w:color="auto"/>
            <w:left w:val="none" w:sz="0" w:space="0" w:color="auto"/>
            <w:bottom w:val="none" w:sz="0" w:space="0" w:color="auto"/>
            <w:right w:val="none" w:sz="0" w:space="0" w:color="auto"/>
          </w:divBdr>
        </w:div>
        <w:div w:id="482746696">
          <w:marLeft w:val="0"/>
          <w:marRight w:val="0"/>
          <w:marTop w:val="0"/>
          <w:marBottom w:val="0"/>
          <w:divBdr>
            <w:top w:val="none" w:sz="0" w:space="0" w:color="auto"/>
            <w:left w:val="none" w:sz="0" w:space="0" w:color="auto"/>
            <w:bottom w:val="none" w:sz="0" w:space="0" w:color="auto"/>
            <w:right w:val="none" w:sz="0" w:space="0" w:color="auto"/>
          </w:divBdr>
        </w:div>
        <w:div w:id="525170440">
          <w:marLeft w:val="0"/>
          <w:marRight w:val="0"/>
          <w:marTop w:val="0"/>
          <w:marBottom w:val="0"/>
          <w:divBdr>
            <w:top w:val="none" w:sz="0" w:space="0" w:color="auto"/>
            <w:left w:val="none" w:sz="0" w:space="0" w:color="auto"/>
            <w:bottom w:val="none" w:sz="0" w:space="0" w:color="auto"/>
            <w:right w:val="none" w:sz="0" w:space="0" w:color="auto"/>
          </w:divBdr>
        </w:div>
        <w:div w:id="542137181">
          <w:marLeft w:val="0"/>
          <w:marRight w:val="0"/>
          <w:marTop w:val="0"/>
          <w:marBottom w:val="0"/>
          <w:divBdr>
            <w:top w:val="none" w:sz="0" w:space="0" w:color="auto"/>
            <w:left w:val="none" w:sz="0" w:space="0" w:color="auto"/>
            <w:bottom w:val="none" w:sz="0" w:space="0" w:color="auto"/>
            <w:right w:val="none" w:sz="0" w:space="0" w:color="auto"/>
          </w:divBdr>
        </w:div>
        <w:div w:id="556088452">
          <w:marLeft w:val="0"/>
          <w:marRight w:val="0"/>
          <w:marTop w:val="0"/>
          <w:marBottom w:val="0"/>
          <w:divBdr>
            <w:top w:val="none" w:sz="0" w:space="0" w:color="auto"/>
            <w:left w:val="none" w:sz="0" w:space="0" w:color="auto"/>
            <w:bottom w:val="none" w:sz="0" w:space="0" w:color="auto"/>
            <w:right w:val="none" w:sz="0" w:space="0" w:color="auto"/>
          </w:divBdr>
        </w:div>
        <w:div w:id="605387277">
          <w:marLeft w:val="0"/>
          <w:marRight w:val="0"/>
          <w:marTop w:val="0"/>
          <w:marBottom w:val="0"/>
          <w:divBdr>
            <w:top w:val="none" w:sz="0" w:space="0" w:color="auto"/>
            <w:left w:val="none" w:sz="0" w:space="0" w:color="auto"/>
            <w:bottom w:val="none" w:sz="0" w:space="0" w:color="auto"/>
            <w:right w:val="none" w:sz="0" w:space="0" w:color="auto"/>
          </w:divBdr>
        </w:div>
        <w:div w:id="624041344">
          <w:marLeft w:val="0"/>
          <w:marRight w:val="0"/>
          <w:marTop w:val="0"/>
          <w:marBottom w:val="0"/>
          <w:divBdr>
            <w:top w:val="none" w:sz="0" w:space="0" w:color="auto"/>
            <w:left w:val="none" w:sz="0" w:space="0" w:color="auto"/>
            <w:bottom w:val="none" w:sz="0" w:space="0" w:color="auto"/>
            <w:right w:val="none" w:sz="0" w:space="0" w:color="auto"/>
          </w:divBdr>
        </w:div>
        <w:div w:id="707418400">
          <w:marLeft w:val="0"/>
          <w:marRight w:val="0"/>
          <w:marTop w:val="0"/>
          <w:marBottom w:val="0"/>
          <w:divBdr>
            <w:top w:val="none" w:sz="0" w:space="0" w:color="auto"/>
            <w:left w:val="none" w:sz="0" w:space="0" w:color="auto"/>
            <w:bottom w:val="none" w:sz="0" w:space="0" w:color="auto"/>
            <w:right w:val="none" w:sz="0" w:space="0" w:color="auto"/>
          </w:divBdr>
        </w:div>
        <w:div w:id="1001854397">
          <w:marLeft w:val="0"/>
          <w:marRight w:val="0"/>
          <w:marTop w:val="0"/>
          <w:marBottom w:val="0"/>
          <w:divBdr>
            <w:top w:val="none" w:sz="0" w:space="0" w:color="auto"/>
            <w:left w:val="none" w:sz="0" w:space="0" w:color="auto"/>
            <w:bottom w:val="none" w:sz="0" w:space="0" w:color="auto"/>
            <w:right w:val="none" w:sz="0" w:space="0" w:color="auto"/>
          </w:divBdr>
        </w:div>
        <w:div w:id="1259214850">
          <w:marLeft w:val="0"/>
          <w:marRight w:val="0"/>
          <w:marTop w:val="0"/>
          <w:marBottom w:val="0"/>
          <w:divBdr>
            <w:top w:val="none" w:sz="0" w:space="0" w:color="auto"/>
            <w:left w:val="none" w:sz="0" w:space="0" w:color="auto"/>
            <w:bottom w:val="none" w:sz="0" w:space="0" w:color="auto"/>
            <w:right w:val="none" w:sz="0" w:space="0" w:color="auto"/>
          </w:divBdr>
        </w:div>
        <w:div w:id="1415206110">
          <w:marLeft w:val="0"/>
          <w:marRight w:val="0"/>
          <w:marTop w:val="0"/>
          <w:marBottom w:val="0"/>
          <w:divBdr>
            <w:top w:val="none" w:sz="0" w:space="0" w:color="auto"/>
            <w:left w:val="none" w:sz="0" w:space="0" w:color="auto"/>
            <w:bottom w:val="none" w:sz="0" w:space="0" w:color="auto"/>
            <w:right w:val="none" w:sz="0" w:space="0" w:color="auto"/>
          </w:divBdr>
        </w:div>
        <w:div w:id="1448622921">
          <w:marLeft w:val="0"/>
          <w:marRight w:val="0"/>
          <w:marTop w:val="0"/>
          <w:marBottom w:val="0"/>
          <w:divBdr>
            <w:top w:val="none" w:sz="0" w:space="0" w:color="auto"/>
            <w:left w:val="none" w:sz="0" w:space="0" w:color="auto"/>
            <w:bottom w:val="none" w:sz="0" w:space="0" w:color="auto"/>
            <w:right w:val="none" w:sz="0" w:space="0" w:color="auto"/>
          </w:divBdr>
        </w:div>
        <w:div w:id="1482118951">
          <w:marLeft w:val="0"/>
          <w:marRight w:val="0"/>
          <w:marTop w:val="0"/>
          <w:marBottom w:val="0"/>
          <w:divBdr>
            <w:top w:val="none" w:sz="0" w:space="0" w:color="auto"/>
            <w:left w:val="none" w:sz="0" w:space="0" w:color="auto"/>
            <w:bottom w:val="none" w:sz="0" w:space="0" w:color="auto"/>
            <w:right w:val="none" w:sz="0" w:space="0" w:color="auto"/>
          </w:divBdr>
        </w:div>
        <w:div w:id="1567103663">
          <w:marLeft w:val="0"/>
          <w:marRight w:val="0"/>
          <w:marTop w:val="0"/>
          <w:marBottom w:val="0"/>
          <w:divBdr>
            <w:top w:val="none" w:sz="0" w:space="0" w:color="auto"/>
            <w:left w:val="none" w:sz="0" w:space="0" w:color="auto"/>
            <w:bottom w:val="none" w:sz="0" w:space="0" w:color="auto"/>
            <w:right w:val="none" w:sz="0" w:space="0" w:color="auto"/>
          </w:divBdr>
        </w:div>
        <w:div w:id="1752307698">
          <w:marLeft w:val="0"/>
          <w:marRight w:val="0"/>
          <w:marTop w:val="0"/>
          <w:marBottom w:val="0"/>
          <w:divBdr>
            <w:top w:val="none" w:sz="0" w:space="0" w:color="auto"/>
            <w:left w:val="none" w:sz="0" w:space="0" w:color="auto"/>
            <w:bottom w:val="none" w:sz="0" w:space="0" w:color="auto"/>
            <w:right w:val="none" w:sz="0" w:space="0" w:color="auto"/>
          </w:divBdr>
        </w:div>
        <w:div w:id="1869218966">
          <w:marLeft w:val="0"/>
          <w:marRight w:val="0"/>
          <w:marTop w:val="0"/>
          <w:marBottom w:val="0"/>
          <w:divBdr>
            <w:top w:val="none" w:sz="0" w:space="0" w:color="auto"/>
            <w:left w:val="none" w:sz="0" w:space="0" w:color="auto"/>
            <w:bottom w:val="none" w:sz="0" w:space="0" w:color="auto"/>
            <w:right w:val="none" w:sz="0" w:space="0" w:color="auto"/>
          </w:divBdr>
        </w:div>
        <w:div w:id="1897618713">
          <w:marLeft w:val="0"/>
          <w:marRight w:val="0"/>
          <w:marTop w:val="0"/>
          <w:marBottom w:val="0"/>
          <w:divBdr>
            <w:top w:val="none" w:sz="0" w:space="0" w:color="auto"/>
            <w:left w:val="none" w:sz="0" w:space="0" w:color="auto"/>
            <w:bottom w:val="none" w:sz="0" w:space="0" w:color="auto"/>
            <w:right w:val="none" w:sz="0" w:space="0" w:color="auto"/>
          </w:divBdr>
        </w:div>
        <w:div w:id="2049406506">
          <w:marLeft w:val="0"/>
          <w:marRight w:val="0"/>
          <w:marTop w:val="0"/>
          <w:marBottom w:val="0"/>
          <w:divBdr>
            <w:top w:val="none" w:sz="0" w:space="0" w:color="auto"/>
            <w:left w:val="none" w:sz="0" w:space="0" w:color="auto"/>
            <w:bottom w:val="none" w:sz="0" w:space="0" w:color="auto"/>
            <w:right w:val="none" w:sz="0" w:space="0" w:color="auto"/>
          </w:divBdr>
        </w:div>
        <w:div w:id="2112357174">
          <w:marLeft w:val="0"/>
          <w:marRight w:val="0"/>
          <w:marTop w:val="0"/>
          <w:marBottom w:val="0"/>
          <w:divBdr>
            <w:top w:val="none" w:sz="0" w:space="0" w:color="auto"/>
            <w:left w:val="none" w:sz="0" w:space="0" w:color="auto"/>
            <w:bottom w:val="none" w:sz="0" w:space="0" w:color="auto"/>
            <w:right w:val="none" w:sz="0" w:space="0" w:color="auto"/>
          </w:divBdr>
        </w:div>
      </w:divsChild>
    </w:div>
    <w:div w:id="1606958806">
      <w:bodyDiv w:val="1"/>
      <w:marLeft w:val="0"/>
      <w:marRight w:val="0"/>
      <w:marTop w:val="0"/>
      <w:marBottom w:val="0"/>
      <w:divBdr>
        <w:top w:val="none" w:sz="0" w:space="0" w:color="auto"/>
        <w:left w:val="none" w:sz="0" w:space="0" w:color="auto"/>
        <w:bottom w:val="none" w:sz="0" w:space="0" w:color="auto"/>
        <w:right w:val="none" w:sz="0" w:space="0" w:color="auto"/>
      </w:divBdr>
    </w:div>
    <w:div w:id="1615165175">
      <w:bodyDiv w:val="1"/>
      <w:marLeft w:val="0"/>
      <w:marRight w:val="0"/>
      <w:marTop w:val="0"/>
      <w:marBottom w:val="0"/>
      <w:divBdr>
        <w:top w:val="none" w:sz="0" w:space="0" w:color="auto"/>
        <w:left w:val="none" w:sz="0" w:space="0" w:color="auto"/>
        <w:bottom w:val="none" w:sz="0" w:space="0" w:color="auto"/>
        <w:right w:val="none" w:sz="0" w:space="0" w:color="auto"/>
      </w:divBdr>
    </w:div>
    <w:div w:id="1645162931">
      <w:bodyDiv w:val="1"/>
      <w:marLeft w:val="0"/>
      <w:marRight w:val="0"/>
      <w:marTop w:val="0"/>
      <w:marBottom w:val="0"/>
      <w:divBdr>
        <w:top w:val="none" w:sz="0" w:space="0" w:color="auto"/>
        <w:left w:val="none" w:sz="0" w:space="0" w:color="auto"/>
        <w:bottom w:val="none" w:sz="0" w:space="0" w:color="auto"/>
        <w:right w:val="none" w:sz="0" w:space="0" w:color="auto"/>
      </w:divBdr>
    </w:div>
    <w:div w:id="1645349630">
      <w:bodyDiv w:val="1"/>
      <w:marLeft w:val="0"/>
      <w:marRight w:val="0"/>
      <w:marTop w:val="0"/>
      <w:marBottom w:val="0"/>
      <w:divBdr>
        <w:top w:val="none" w:sz="0" w:space="0" w:color="auto"/>
        <w:left w:val="none" w:sz="0" w:space="0" w:color="auto"/>
        <w:bottom w:val="none" w:sz="0" w:space="0" w:color="auto"/>
        <w:right w:val="none" w:sz="0" w:space="0" w:color="auto"/>
      </w:divBdr>
      <w:divsChild>
        <w:div w:id="25101752">
          <w:marLeft w:val="0"/>
          <w:marRight w:val="0"/>
          <w:marTop w:val="0"/>
          <w:marBottom w:val="0"/>
          <w:divBdr>
            <w:top w:val="none" w:sz="0" w:space="0" w:color="auto"/>
            <w:left w:val="none" w:sz="0" w:space="0" w:color="auto"/>
            <w:bottom w:val="none" w:sz="0" w:space="0" w:color="auto"/>
            <w:right w:val="none" w:sz="0" w:space="0" w:color="auto"/>
          </w:divBdr>
        </w:div>
        <w:div w:id="30885617">
          <w:marLeft w:val="0"/>
          <w:marRight w:val="0"/>
          <w:marTop w:val="0"/>
          <w:marBottom w:val="0"/>
          <w:divBdr>
            <w:top w:val="none" w:sz="0" w:space="0" w:color="auto"/>
            <w:left w:val="none" w:sz="0" w:space="0" w:color="auto"/>
            <w:bottom w:val="none" w:sz="0" w:space="0" w:color="auto"/>
            <w:right w:val="none" w:sz="0" w:space="0" w:color="auto"/>
          </w:divBdr>
        </w:div>
        <w:div w:id="85686885">
          <w:marLeft w:val="0"/>
          <w:marRight w:val="0"/>
          <w:marTop w:val="0"/>
          <w:marBottom w:val="0"/>
          <w:divBdr>
            <w:top w:val="none" w:sz="0" w:space="0" w:color="auto"/>
            <w:left w:val="none" w:sz="0" w:space="0" w:color="auto"/>
            <w:bottom w:val="none" w:sz="0" w:space="0" w:color="auto"/>
            <w:right w:val="none" w:sz="0" w:space="0" w:color="auto"/>
          </w:divBdr>
        </w:div>
        <w:div w:id="150143437">
          <w:marLeft w:val="0"/>
          <w:marRight w:val="0"/>
          <w:marTop w:val="0"/>
          <w:marBottom w:val="0"/>
          <w:divBdr>
            <w:top w:val="none" w:sz="0" w:space="0" w:color="auto"/>
            <w:left w:val="none" w:sz="0" w:space="0" w:color="auto"/>
            <w:bottom w:val="none" w:sz="0" w:space="0" w:color="auto"/>
            <w:right w:val="none" w:sz="0" w:space="0" w:color="auto"/>
          </w:divBdr>
        </w:div>
        <w:div w:id="185028109">
          <w:marLeft w:val="0"/>
          <w:marRight w:val="0"/>
          <w:marTop w:val="0"/>
          <w:marBottom w:val="0"/>
          <w:divBdr>
            <w:top w:val="none" w:sz="0" w:space="0" w:color="auto"/>
            <w:left w:val="none" w:sz="0" w:space="0" w:color="auto"/>
            <w:bottom w:val="none" w:sz="0" w:space="0" w:color="auto"/>
            <w:right w:val="none" w:sz="0" w:space="0" w:color="auto"/>
          </w:divBdr>
        </w:div>
        <w:div w:id="224073729">
          <w:marLeft w:val="0"/>
          <w:marRight w:val="0"/>
          <w:marTop w:val="0"/>
          <w:marBottom w:val="0"/>
          <w:divBdr>
            <w:top w:val="none" w:sz="0" w:space="0" w:color="auto"/>
            <w:left w:val="none" w:sz="0" w:space="0" w:color="auto"/>
            <w:bottom w:val="none" w:sz="0" w:space="0" w:color="auto"/>
            <w:right w:val="none" w:sz="0" w:space="0" w:color="auto"/>
          </w:divBdr>
        </w:div>
        <w:div w:id="244849023">
          <w:marLeft w:val="0"/>
          <w:marRight w:val="0"/>
          <w:marTop w:val="0"/>
          <w:marBottom w:val="0"/>
          <w:divBdr>
            <w:top w:val="none" w:sz="0" w:space="0" w:color="auto"/>
            <w:left w:val="none" w:sz="0" w:space="0" w:color="auto"/>
            <w:bottom w:val="none" w:sz="0" w:space="0" w:color="auto"/>
            <w:right w:val="none" w:sz="0" w:space="0" w:color="auto"/>
          </w:divBdr>
        </w:div>
        <w:div w:id="245573611">
          <w:marLeft w:val="0"/>
          <w:marRight w:val="0"/>
          <w:marTop w:val="0"/>
          <w:marBottom w:val="0"/>
          <w:divBdr>
            <w:top w:val="none" w:sz="0" w:space="0" w:color="auto"/>
            <w:left w:val="none" w:sz="0" w:space="0" w:color="auto"/>
            <w:bottom w:val="none" w:sz="0" w:space="0" w:color="auto"/>
            <w:right w:val="none" w:sz="0" w:space="0" w:color="auto"/>
          </w:divBdr>
        </w:div>
        <w:div w:id="263272630">
          <w:marLeft w:val="0"/>
          <w:marRight w:val="0"/>
          <w:marTop w:val="0"/>
          <w:marBottom w:val="0"/>
          <w:divBdr>
            <w:top w:val="none" w:sz="0" w:space="0" w:color="auto"/>
            <w:left w:val="none" w:sz="0" w:space="0" w:color="auto"/>
            <w:bottom w:val="none" w:sz="0" w:space="0" w:color="auto"/>
            <w:right w:val="none" w:sz="0" w:space="0" w:color="auto"/>
          </w:divBdr>
        </w:div>
        <w:div w:id="268703109">
          <w:marLeft w:val="0"/>
          <w:marRight w:val="0"/>
          <w:marTop w:val="0"/>
          <w:marBottom w:val="0"/>
          <w:divBdr>
            <w:top w:val="none" w:sz="0" w:space="0" w:color="auto"/>
            <w:left w:val="none" w:sz="0" w:space="0" w:color="auto"/>
            <w:bottom w:val="none" w:sz="0" w:space="0" w:color="auto"/>
            <w:right w:val="none" w:sz="0" w:space="0" w:color="auto"/>
          </w:divBdr>
        </w:div>
        <w:div w:id="302350224">
          <w:marLeft w:val="0"/>
          <w:marRight w:val="0"/>
          <w:marTop w:val="0"/>
          <w:marBottom w:val="0"/>
          <w:divBdr>
            <w:top w:val="none" w:sz="0" w:space="0" w:color="auto"/>
            <w:left w:val="none" w:sz="0" w:space="0" w:color="auto"/>
            <w:bottom w:val="none" w:sz="0" w:space="0" w:color="auto"/>
            <w:right w:val="none" w:sz="0" w:space="0" w:color="auto"/>
          </w:divBdr>
        </w:div>
        <w:div w:id="313216544">
          <w:marLeft w:val="0"/>
          <w:marRight w:val="0"/>
          <w:marTop w:val="0"/>
          <w:marBottom w:val="0"/>
          <w:divBdr>
            <w:top w:val="none" w:sz="0" w:space="0" w:color="auto"/>
            <w:left w:val="none" w:sz="0" w:space="0" w:color="auto"/>
            <w:bottom w:val="none" w:sz="0" w:space="0" w:color="auto"/>
            <w:right w:val="none" w:sz="0" w:space="0" w:color="auto"/>
          </w:divBdr>
        </w:div>
        <w:div w:id="336008887">
          <w:marLeft w:val="0"/>
          <w:marRight w:val="0"/>
          <w:marTop w:val="0"/>
          <w:marBottom w:val="0"/>
          <w:divBdr>
            <w:top w:val="none" w:sz="0" w:space="0" w:color="auto"/>
            <w:left w:val="none" w:sz="0" w:space="0" w:color="auto"/>
            <w:bottom w:val="none" w:sz="0" w:space="0" w:color="auto"/>
            <w:right w:val="none" w:sz="0" w:space="0" w:color="auto"/>
          </w:divBdr>
        </w:div>
        <w:div w:id="336884970">
          <w:marLeft w:val="0"/>
          <w:marRight w:val="0"/>
          <w:marTop w:val="0"/>
          <w:marBottom w:val="0"/>
          <w:divBdr>
            <w:top w:val="none" w:sz="0" w:space="0" w:color="auto"/>
            <w:left w:val="none" w:sz="0" w:space="0" w:color="auto"/>
            <w:bottom w:val="none" w:sz="0" w:space="0" w:color="auto"/>
            <w:right w:val="none" w:sz="0" w:space="0" w:color="auto"/>
          </w:divBdr>
        </w:div>
        <w:div w:id="357245051">
          <w:marLeft w:val="0"/>
          <w:marRight w:val="0"/>
          <w:marTop w:val="0"/>
          <w:marBottom w:val="0"/>
          <w:divBdr>
            <w:top w:val="none" w:sz="0" w:space="0" w:color="auto"/>
            <w:left w:val="none" w:sz="0" w:space="0" w:color="auto"/>
            <w:bottom w:val="none" w:sz="0" w:space="0" w:color="auto"/>
            <w:right w:val="none" w:sz="0" w:space="0" w:color="auto"/>
          </w:divBdr>
        </w:div>
        <w:div w:id="458768972">
          <w:marLeft w:val="0"/>
          <w:marRight w:val="0"/>
          <w:marTop w:val="0"/>
          <w:marBottom w:val="0"/>
          <w:divBdr>
            <w:top w:val="none" w:sz="0" w:space="0" w:color="auto"/>
            <w:left w:val="none" w:sz="0" w:space="0" w:color="auto"/>
            <w:bottom w:val="none" w:sz="0" w:space="0" w:color="auto"/>
            <w:right w:val="none" w:sz="0" w:space="0" w:color="auto"/>
          </w:divBdr>
        </w:div>
        <w:div w:id="502815290">
          <w:marLeft w:val="0"/>
          <w:marRight w:val="0"/>
          <w:marTop w:val="0"/>
          <w:marBottom w:val="0"/>
          <w:divBdr>
            <w:top w:val="none" w:sz="0" w:space="0" w:color="auto"/>
            <w:left w:val="none" w:sz="0" w:space="0" w:color="auto"/>
            <w:bottom w:val="none" w:sz="0" w:space="0" w:color="auto"/>
            <w:right w:val="none" w:sz="0" w:space="0" w:color="auto"/>
          </w:divBdr>
        </w:div>
        <w:div w:id="654258424">
          <w:marLeft w:val="0"/>
          <w:marRight w:val="0"/>
          <w:marTop w:val="0"/>
          <w:marBottom w:val="0"/>
          <w:divBdr>
            <w:top w:val="none" w:sz="0" w:space="0" w:color="auto"/>
            <w:left w:val="none" w:sz="0" w:space="0" w:color="auto"/>
            <w:bottom w:val="none" w:sz="0" w:space="0" w:color="auto"/>
            <w:right w:val="none" w:sz="0" w:space="0" w:color="auto"/>
          </w:divBdr>
        </w:div>
        <w:div w:id="655183178">
          <w:marLeft w:val="0"/>
          <w:marRight w:val="0"/>
          <w:marTop w:val="0"/>
          <w:marBottom w:val="0"/>
          <w:divBdr>
            <w:top w:val="none" w:sz="0" w:space="0" w:color="auto"/>
            <w:left w:val="none" w:sz="0" w:space="0" w:color="auto"/>
            <w:bottom w:val="none" w:sz="0" w:space="0" w:color="auto"/>
            <w:right w:val="none" w:sz="0" w:space="0" w:color="auto"/>
          </w:divBdr>
        </w:div>
        <w:div w:id="667513111">
          <w:marLeft w:val="0"/>
          <w:marRight w:val="0"/>
          <w:marTop w:val="0"/>
          <w:marBottom w:val="0"/>
          <w:divBdr>
            <w:top w:val="none" w:sz="0" w:space="0" w:color="auto"/>
            <w:left w:val="none" w:sz="0" w:space="0" w:color="auto"/>
            <w:bottom w:val="none" w:sz="0" w:space="0" w:color="auto"/>
            <w:right w:val="none" w:sz="0" w:space="0" w:color="auto"/>
          </w:divBdr>
        </w:div>
        <w:div w:id="708727196">
          <w:marLeft w:val="0"/>
          <w:marRight w:val="0"/>
          <w:marTop w:val="0"/>
          <w:marBottom w:val="0"/>
          <w:divBdr>
            <w:top w:val="none" w:sz="0" w:space="0" w:color="auto"/>
            <w:left w:val="none" w:sz="0" w:space="0" w:color="auto"/>
            <w:bottom w:val="none" w:sz="0" w:space="0" w:color="auto"/>
            <w:right w:val="none" w:sz="0" w:space="0" w:color="auto"/>
          </w:divBdr>
        </w:div>
        <w:div w:id="723911804">
          <w:marLeft w:val="0"/>
          <w:marRight w:val="0"/>
          <w:marTop w:val="0"/>
          <w:marBottom w:val="0"/>
          <w:divBdr>
            <w:top w:val="none" w:sz="0" w:space="0" w:color="auto"/>
            <w:left w:val="none" w:sz="0" w:space="0" w:color="auto"/>
            <w:bottom w:val="none" w:sz="0" w:space="0" w:color="auto"/>
            <w:right w:val="none" w:sz="0" w:space="0" w:color="auto"/>
          </w:divBdr>
        </w:div>
        <w:div w:id="784077482">
          <w:marLeft w:val="0"/>
          <w:marRight w:val="0"/>
          <w:marTop w:val="0"/>
          <w:marBottom w:val="0"/>
          <w:divBdr>
            <w:top w:val="none" w:sz="0" w:space="0" w:color="auto"/>
            <w:left w:val="none" w:sz="0" w:space="0" w:color="auto"/>
            <w:bottom w:val="none" w:sz="0" w:space="0" w:color="auto"/>
            <w:right w:val="none" w:sz="0" w:space="0" w:color="auto"/>
          </w:divBdr>
        </w:div>
        <w:div w:id="824666743">
          <w:marLeft w:val="0"/>
          <w:marRight w:val="0"/>
          <w:marTop w:val="0"/>
          <w:marBottom w:val="0"/>
          <w:divBdr>
            <w:top w:val="none" w:sz="0" w:space="0" w:color="auto"/>
            <w:left w:val="none" w:sz="0" w:space="0" w:color="auto"/>
            <w:bottom w:val="none" w:sz="0" w:space="0" w:color="auto"/>
            <w:right w:val="none" w:sz="0" w:space="0" w:color="auto"/>
          </w:divBdr>
        </w:div>
        <w:div w:id="835682123">
          <w:marLeft w:val="0"/>
          <w:marRight w:val="0"/>
          <w:marTop w:val="0"/>
          <w:marBottom w:val="0"/>
          <w:divBdr>
            <w:top w:val="none" w:sz="0" w:space="0" w:color="auto"/>
            <w:left w:val="none" w:sz="0" w:space="0" w:color="auto"/>
            <w:bottom w:val="none" w:sz="0" w:space="0" w:color="auto"/>
            <w:right w:val="none" w:sz="0" w:space="0" w:color="auto"/>
          </w:divBdr>
        </w:div>
        <w:div w:id="880098449">
          <w:marLeft w:val="0"/>
          <w:marRight w:val="0"/>
          <w:marTop w:val="0"/>
          <w:marBottom w:val="0"/>
          <w:divBdr>
            <w:top w:val="none" w:sz="0" w:space="0" w:color="auto"/>
            <w:left w:val="none" w:sz="0" w:space="0" w:color="auto"/>
            <w:bottom w:val="none" w:sz="0" w:space="0" w:color="auto"/>
            <w:right w:val="none" w:sz="0" w:space="0" w:color="auto"/>
          </w:divBdr>
        </w:div>
        <w:div w:id="911503711">
          <w:marLeft w:val="0"/>
          <w:marRight w:val="0"/>
          <w:marTop w:val="0"/>
          <w:marBottom w:val="0"/>
          <w:divBdr>
            <w:top w:val="none" w:sz="0" w:space="0" w:color="auto"/>
            <w:left w:val="none" w:sz="0" w:space="0" w:color="auto"/>
            <w:bottom w:val="none" w:sz="0" w:space="0" w:color="auto"/>
            <w:right w:val="none" w:sz="0" w:space="0" w:color="auto"/>
          </w:divBdr>
        </w:div>
        <w:div w:id="926036119">
          <w:marLeft w:val="0"/>
          <w:marRight w:val="0"/>
          <w:marTop w:val="0"/>
          <w:marBottom w:val="0"/>
          <w:divBdr>
            <w:top w:val="none" w:sz="0" w:space="0" w:color="auto"/>
            <w:left w:val="none" w:sz="0" w:space="0" w:color="auto"/>
            <w:bottom w:val="none" w:sz="0" w:space="0" w:color="auto"/>
            <w:right w:val="none" w:sz="0" w:space="0" w:color="auto"/>
          </w:divBdr>
        </w:div>
        <w:div w:id="970326606">
          <w:marLeft w:val="0"/>
          <w:marRight w:val="0"/>
          <w:marTop w:val="0"/>
          <w:marBottom w:val="0"/>
          <w:divBdr>
            <w:top w:val="none" w:sz="0" w:space="0" w:color="auto"/>
            <w:left w:val="none" w:sz="0" w:space="0" w:color="auto"/>
            <w:bottom w:val="none" w:sz="0" w:space="0" w:color="auto"/>
            <w:right w:val="none" w:sz="0" w:space="0" w:color="auto"/>
          </w:divBdr>
        </w:div>
        <w:div w:id="976184556">
          <w:marLeft w:val="0"/>
          <w:marRight w:val="0"/>
          <w:marTop w:val="0"/>
          <w:marBottom w:val="0"/>
          <w:divBdr>
            <w:top w:val="none" w:sz="0" w:space="0" w:color="auto"/>
            <w:left w:val="none" w:sz="0" w:space="0" w:color="auto"/>
            <w:bottom w:val="none" w:sz="0" w:space="0" w:color="auto"/>
            <w:right w:val="none" w:sz="0" w:space="0" w:color="auto"/>
          </w:divBdr>
        </w:div>
        <w:div w:id="991910116">
          <w:marLeft w:val="0"/>
          <w:marRight w:val="0"/>
          <w:marTop w:val="0"/>
          <w:marBottom w:val="0"/>
          <w:divBdr>
            <w:top w:val="none" w:sz="0" w:space="0" w:color="auto"/>
            <w:left w:val="none" w:sz="0" w:space="0" w:color="auto"/>
            <w:bottom w:val="none" w:sz="0" w:space="0" w:color="auto"/>
            <w:right w:val="none" w:sz="0" w:space="0" w:color="auto"/>
          </w:divBdr>
        </w:div>
        <w:div w:id="995450884">
          <w:marLeft w:val="0"/>
          <w:marRight w:val="0"/>
          <w:marTop w:val="0"/>
          <w:marBottom w:val="0"/>
          <w:divBdr>
            <w:top w:val="none" w:sz="0" w:space="0" w:color="auto"/>
            <w:left w:val="none" w:sz="0" w:space="0" w:color="auto"/>
            <w:bottom w:val="none" w:sz="0" w:space="0" w:color="auto"/>
            <w:right w:val="none" w:sz="0" w:space="0" w:color="auto"/>
          </w:divBdr>
        </w:div>
        <w:div w:id="1032805012">
          <w:marLeft w:val="0"/>
          <w:marRight w:val="0"/>
          <w:marTop w:val="0"/>
          <w:marBottom w:val="0"/>
          <w:divBdr>
            <w:top w:val="none" w:sz="0" w:space="0" w:color="auto"/>
            <w:left w:val="none" w:sz="0" w:space="0" w:color="auto"/>
            <w:bottom w:val="none" w:sz="0" w:space="0" w:color="auto"/>
            <w:right w:val="none" w:sz="0" w:space="0" w:color="auto"/>
          </w:divBdr>
        </w:div>
        <w:div w:id="1135221873">
          <w:marLeft w:val="0"/>
          <w:marRight w:val="0"/>
          <w:marTop w:val="0"/>
          <w:marBottom w:val="0"/>
          <w:divBdr>
            <w:top w:val="none" w:sz="0" w:space="0" w:color="auto"/>
            <w:left w:val="none" w:sz="0" w:space="0" w:color="auto"/>
            <w:bottom w:val="none" w:sz="0" w:space="0" w:color="auto"/>
            <w:right w:val="none" w:sz="0" w:space="0" w:color="auto"/>
          </w:divBdr>
        </w:div>
        <w:div w:id="1155874256">
          <w:marLeft w:val="0"/>
          <w:marRight w:val="0"/>
          <w:marTop w:val="0"/>
          <w:marBottom w:val="0"/>
          <w:divBdr>
            <w:top w:val="none" w:sz="0" w:space="0" w:color="auto"/>
            <w:left w:val="none" w:sz="0" w:space="0" w:color="auto"/>
            <w:bottom w:val="none" w:sz="0" w:space="0" w:color="auto"/>
            <w:right w:val="none" w:sz="0" w:space="0" w:color="auto"/>
          </w:divBdr>
        </w:div>
        <w:div w:id="1215387277">
          <w:marLeft w:val="0"/>
          <w:marRight w:val="0"/>
          <w:marTop w:val="0"/>
          <w:marBottom w:val="0"/>
          <w:divBdr>
            <w:top w:val="none" w:sz="0" w:space="0" w:color="auto"/>
            <w:left w:val="none" w:sz="0" w:space="0" w:color="auto"/>
            <w:bottom w:val="none" w:sz="0" w:space="0" w:color="auto"/>
            <w:right w:val="none" w:sz="0" w:space="0" w:color="auto"/>
          </w:divBdr>
        </w:div>
        <w:div w:id="1314020494">
          <w:marLeft w:val="0"/>
          <w:marRight w:val="0"/>
          <w:marTop w:val="0"/>
          <w:marBottom w:val="0"/>
          <w:divBdr>
            <w:top w:val="none" w:sz="0" w:space="0" w:color="auto"/>
            <w:left w:val="none" w:sz="0" w:space="0" w:color="auto"/>
            <w:bottom w:val="none" w:sz="0" w:space="0" w:color="auto"/>
            <w:right w:val="none" w:sz="0" w:space="0" w:color="auto"/>
          </w:divBdr>
        </w:div>
        <w:div w:id="1372924486">
          <w:marLeft w:val="0"/>
          <w:marRight w:val="0"/>
          <w:marTop w:val="0"/>
          <w:marBottom w:val="0"/>
          <w:divBdr>
            <w:top w:val="none" w:sz="0" w:space="0" w:color="auto"/>
            <w:left w:val="none" w:sz="0" w:space="0" w:color="auto"/>
            <w:bottom w:val="none" w:sz="0" w:space="0" w:color="auto"/>
            <w:right w:val="none" w:sz="0" w:space="0" w:color="auto"/>
          </w:divBdr>
        </w:div>
        <w:div w:id="1391028639">
          <w:marLeft w:val="0"/>
          <w:marRight w:val="0"/>
          <w:marTop w:val="0"/>
          <w:marBottom w:val="0"/>
          <w:divBdr>
            <w:top w:val="none" w:sz="0" w:space="0" w:color="auto"/>
            <w:left w:val="none" w:sz="0" w:space="0" w:color="auto"/>
            <w:bottom w:val="none" w:sz="0" w:space="0" w:color="auto"/>
            <w:right w:val="none" w:sz="0" w:space="0" w:color="auto"/>
          </w:divBdr>
        </w:div>
        <w:div w:id="1421559052">
          <w:marLeft w:val="0"/>
          <w:marRight w:val="0"/>
          <w:marTop w:val="0"/>
          <w:marBottom w:val="0"/>
          <w:divBdr>
            <w:top w:val="none" w:sz="0" w:space="0" w:color="auto"/>
            <w:left w:val="none" w:sz="0" w:space="0" w:color="auto"/>
            <w:bottom w:val="none" w:sz="0" w:space="0" w:color="auto"/>
            <w:right w:val="none" w:sz="0" w:space="0" w:color="auto"/>
          </w:divBdr>
        </w:div>
        <w:div w:id="1491480424">
          <w:marLeft w:val="0"/>
          <w:marRight w:val="0"/>
          <w:marTop w:val="0"/>
          <w:marBottom w:val="0"/>
          <w:divBdr>
            <w:top w:val="none" w:sz="0" w:space="0" w:color="auto"/>
            <w:left w:val="none" w:sz="0" w:space="0" w:color="auto"/>
            <w:bottom w:val="none" w:sz="0" w:space="0" w:color="auto"/>
            <w:right w:val="none" w:sz="0" w:space="0" w:color="auto"/>
          </w:divBdr>
        </w:div>
        <w:div w:id="1532650332">
          <w:marLeft w:val="0"/>
          <w:marRight w:val="0"/>
          <w:marTop w:val="0"/>
          <w:marBottom w:val="0"/>
          <w:divBdr>
            <w:top w:val="none" w:sz="0" w:space="0" w:color="auto"/>
            <w:left w:val="none" w:sz="0" w:space="0" w:color="auto"/>
            <w:bottom w:val="none" w:sz="0" w:space="0" w:color="auto"/>
            <w:right w:val="none" w:sz="0" w:space="0" w:color="auto"/>
          </w:divBdr>
        </w:div>
        <w:div w:id="1589268939">
          <w:marLeft w:val="0"/>
          <w:marRight w:val="0"/>
          <w:marTop w:val="0"/>
          <w:marBottom w:val="0"/>
          <w:divBdr>
            <w:top w:val="none" w:sz="0" w:space="0" w:color="auto"/>
            <w:left w:val="none" w:sz="0" w:space="0" w:color="auto"/>
            <w:bottom w:val="none" w:sz="0" w:space="0" w:color="auto"/>
            <w:right w:val="none" w:sz="0" w:space="0" w:color="auto"/>
          </w:divBdr>
        </w:div>
        <w:div w:id="1692028055">
          <w:marLeft w:val="0"/>
          <w:marRight w:val="0"/>
          <w:marTop w:val="0"/>
          <w:marBottom w:val="0"/>
          <w:divBdr>
            <w:top w:val="none" w:sz="0" w:space="0" w:color="auto"/>
            <w:left w:val="none" w:sz="0" w:space="0" w:color="auto"/>
            <w:bottom w:val="none" w:sz="0" w:space="0" w:color="auto"/>
            <w:right w:val="none" w:sz="0" w:space="0" w:color="auto"/>
          </w:divBdr>
        </w:div>
        <w:div w:id="1726874365">
          <w:marLeft w:val="0"/>
          <w:marRight w:val="0"/>
          <w:marTop w:val="0"/>
          <w:marBottom w:val="0"/>
          <w:divBdr>
            <w:top w:val="none" w:sz="0" w:space="0" w:color="auto"/>
            <w:left w:val="none" w:sz="0" w:space="0" w:color="auto"/>
            <w:bottom w:val="none" w:sz="0" w:space="0" w:color="auto"/>
            <w:right w:val="none" w:sz="0" w:space="0" w:color="auto"/>
          </w:divBdr>
        </w:div>
        <w:div w:id="1735852294">
          <w:marLeft w:val="0"/>
          <w:marRight w:val="0"/>
          <w:marTop w:val="0"/>
          <w:marBottom w:val="0"/>
          <w:divBdr>
            <w:top w:val="none" w:sz="0" w:space="0" w:color="auto"/>
            <w:left w:val="none" w:sz="0" w:space="0" w:color="auto"/>
            <w:bottom w:val="none" w:sz="0" w:space="0" w:color="auto"/>
            <w:right w:val="none" w:sz="0" w:space="0" w:color="auto"/>
          </w:divBdr>
        </w:div>
        <w:div w:id="1761635214">
          <w:marLeft w:val="0"/>
          <w:marRight w:val="0"/>
          <w:marTop w:val="0"/>
          <w:marBottom w:val="0"/>
          <w:divBdr>
            <w:top w:val="none" w:sz="0" w:space="0" w:color="auto"/>
            <w:left w:val="none" w:sz="0" w:space="0" w:color="auto"/>
            <w:bottom w:val="none" w:sz="0" w:space="0" w:color="auto"/>
            <w:right w:val="none" w:sz="0" w:space="0" w:color="auto"/>
          </w:divBdr>
        </w:div>
        <w:div w:id="1779570039">
          <w:marLeft w:val="0"/>
          <w:marRight w:val="0"/>
          <w:marTop w:val="0"/>
          <w:marBottom w:val="0"/>
          <w:divBdr>
            <w:top w:val="none" w:sz="0" w:space="0" w:color="auto"/>
            <w:left w:val="none" w:sz="0" w:space="0" w:color="auto"/>
            <w:bottom w:val="none" w:sz="0" w:space="0" w:color="auto"/>
            <w:right w:val="none" w:sz="0" w:space="0" w:color="auto"/>
          </w:divBdr>
        </w:div>
        <w:div w:id="1845243051">
          <w:marLeft w:val="0"/>
          <w:marRight w:val="0"/>
          <w:marTop w:val="0"/>
          <w:marBottom w:val="0"/>
          <w:divBdr>
            <w:top w:val="none" w:sz="0" w:space="0" w:color="auto"/>
            <w:left w:val="none" w:sz="0" w:space="0" w:color="auto"/>
            <w:bottom w:val="none" w:sz="0" w:space="0" w:color="auto"/>
            <w:right w:val="none" w:sz="0" w:space="0" w:color="auto"/>
          </w:divBdr>
        </w:div>
        <w:div w:id="1848908241">
          <w:marLeft w:val="0"/>
          <w:marRight w:val="0"/>
          <w:marTop w:val="0"/>
          <w:marBottom w:val="0"/>
          <w:divBdr>
            <w:top w:val="none" w:sz="0" w:space="0" w:color="auto"/>
            <w:left w:val="none" w:sz="0" w:space="0" w:color="auto"/>
            <w:bottom w:val="none" w:sz="0" w:space="0" w:color="auto"/>
            <w:right w:val="none" w:sz="0" w:space="0" w:color="auto"/>
          </w:divBdr>
        </w:div>
        <w:div w:id="1850289202">
          <w:marLeft w:val="0"/>
          <w:marRight w:val="0"/>
          <w:marTop w:val="0"/>
          <w:marBottom w:val="0"/>
          <w:divBdr>
            <w:top w:val="none" w:sz="0" w:space="0" w:color="auto"/>
            <w:left w:val="none" w:sz="0" w:space="0" w:color="auto"/>
            <w:bottom w:val="none" w:sz="0" w:space="0" w:color="auto"/>
            <w:right w:val="none" w:sz="0" w:space="0" w:color="auto"/>
          </w:divBdr>
        </w:div>
        <w:div w:id="1881160447">
          <w:marLeft w:val="0"/>
          <w:marRight w:val="0"/>
          <w:marTop w:val="0"/>
          <w:marBottom w:val="0"/>
          <w:divBdr>
            <w:top w:val="none" w:sz="0" w:space="0" w:color="auto"/>
            <w:left w:val="none" w:sz="0" w:space="0" w:color="auto"/>
            <w:bottom w:val="none" w:sz="0" w:space="0" w:color="auto"/>
            <w:right w:val="none" w:sz="0" w:space="0" w:color="auto"/>
          </w:divBdr>
        </w:div>
        <w:div w:id="1886865471">
          <w:marLeft w:val="0"/>
          <w:marRight w:val="0"/>
          <w:marTop w:val="0"/>
          <w:marBottom w:val="0"/>
          <w:divBdr>
            <w:top w:val="none" w:sz="0" w:space="0" w:color="auto"/>
            <w:left w:val="none" w:sz="0" w:space="0" w:color="auto"/>
            <w:bottom w:val="none" w:sz="0" w:space="0" w:color="auto"/>
            <w:right w:val="none" w:sz="0" w:space="0" w:color="auto"/>
          </w:divBdr>
        </w:div>
        <w:div w:id="1922250347">
          <w:marLeft w:val="0"/>
          <w:marRight w:val="0"/>
          <w:marTop w:val="0"/>
          <w:marBottom w:val="0"/>
          <w:divBdr>
            <w:top w:val="none" w:sz="0" w:space="0" w:color="auto"/>
            <w:left w:val="none" w:sz="0" w:space="0" w:color="auto"/>
            <w:bottom w:val="none" w:sz="0" w:space="0" w:color="auto"/>
            <w:right w:val="none" w:sz="0" w:space="0" w:color="auto"/>
          </w:divBdr>
        </w:div>
        <w:div w:id="1935433438">
          <w:marLeft w:val="0"/>
          <w:marRight w:val="0"/>
          <w:marTop w:val="0"/>
          <w:marBottom w:val="0"/>
          <w:divBdr>
            <w:top w:val="none" w:sz="0" w:space="0" w:color="auto"/>
            <w:left w:val="none" w:sz="0" w:space="0" w:color="auto"/>
            <w:bottom w:val="none" w:sz="0" w:space="0" w:color="auto"/>
            <w:right w:val="none" w:sz="0" w:space="0" w:color="auto"/>
          </w:divBdr>
        </w:div>
        <w:div w:id="1939755442">
          <w:marLeft w:val="0"/>
          <w:marRight w:val="0"/>
          <w:marTop w:val="0"/>
          <w:marBottom w:val="0"/>
          <w:divBdr>
            <w:top w:val="none" w:sz="0" w:space="0" w:color="auto"/>
            <w:left w:val="none" w:sz="0" w:space="0" w:color="auto"/>
            <w:bottom w:val="none" w:sz="0" w:space="0" w:color="auto"/>
            <w:right w:val="none" w:sz="0" w:space="0" w:color="auto"/>
          </w:divBdr>
        </w:div>
        <w:div w:id="1955476589">
          <w:marLeft w:val="0"/>
          <w:marRight w:val="0"/>
          <w:marTop w:val="0"/>
          <w:marBottom w:val="0"/>
          <w:divBdr>
            <w:top w:val="none" w:sz="0" w:space="0" w:color="auto"/>
            <w:left w:val="none" w:sz="0" w:space="0" w:color="auto"/>
            <w:bottom w:val="none" w:sz="0" w:space="0" w:color="auto"/>
            <w:right w:val="none" w:sz="0" w:space="0" w:color="auto"/>
          </w:divBdr>
        </w:div>
        <w:div w:id="2069692814">
          <w:marLeft w:val="0"/>
          <w:marRight w:val="0"/>
          <w:marTop w:val="0"/>
          <w:marBottom w:val="0"/>
          <w:divBdr>
            <w:top w:val="none" w:sz="0" w:space="0" w:color="auto"/>
            <w:left w:val="none" w:sz="0" w:space="0" w:color="auto"/>
            <w:bottom w:val="none" w:sz="0" w:space="0" w:color="auto"/>
            <w:right w:val="none" w:sz="0" w:space="0" w:color="auto"/>
          </w:divBdr>
        </w:div>
        <w:div w:id="2108231554">
          <w:marLeft w:val="0"/>
          <w:marRight w:val="0"/>
          <w:marTop w:val="0"/>
          <w:marBottom w:val="0"/>
          <w:divBdr>
            <w:top w:val="none" w:sz="0" w:space="0" w:color="auto"/>
            <w:left w:val="none" w:sz="0" w:space="0" w:color="auto"/>
            <w:bottom w:val="none" w:sz="0" w:space="0" w:color="auto"/>
            <w:right w:val="none" w:sz="0" w:space="0" w:color="auto"/>
          </w:divBdr>
        </w:div>
      </w:divsChild>
    </w:div>
    <w:div w:id="1663579382">
      <w:bodyDiv w:val="1"/>
      <w:marLeft w:val="0"/>
      <w:marRight w:val="0"/>
      <w:marTop w:val="0"/>
      <w:marBottom w:val="0"/>
      <w:divBdr>
        <w:top w:val="none" w:sz="0" w:space="0" w:color="auto"/>
        <w:left w:val="none" w:sz="0" w:space="0" w:color="auto"/>
        <w:bottom w:val="none" w:sz="0" w:space="0" w:color="auto"/>
        <w:right w:val="none" w:sz="0" w:space="0" w:color="auto"/>
      </w:divBdr>
      <w:divsChild>
        <w:div w:id="19011000">
          <w:marLeft w:val="0"/>
          <w:marRight w:val="0"/>
          <w:marTop w:val="0"/>
          <w:marBottom w:val="0"/>
          <w:divBdr>
            <w:top w:val="none" w:sz="0" w:space="0" w:color="auto"/>
            <w:left w:val="none" w:sz="0" w:space="0" w:color="auto"/>
            <w:bottom w:val="none" w:sz="0" w:space="0" w:color="auto"/>
            <w:right w:val="none" w:sz="0" w:space="0" w:color="auto"/>
          </w:divBdr>
        </w:div>
        <w:div w:id="101580914">
          <w:marLeft w:val="0"/>
          <w:marRight w:val="0"/>
          <w:marTop w:val="0"/>
          <w:marBottom w:val="0"/>
          <w:divBdr>
            <w:top w:val="none" w:sz="0" w:space="0" w:color="auto"/>
            <w:left w:val="none" w:sz="0" w:space="0" w:color="auto"/>
            <w:bottom w:val="none" w:sz="0" w:space="0" w:color="auto"/>
            <w:right w:val="none" w:sz="0" w:space="0" w:color="auto"/>
          </w:divBdr>
        </w:div>
        <w:div w:id="195311632">
          <w:marLeft w:val="0"/>
          <w:marRight w:val="0"/>
          <w:marTop w:val="0"/>
          <w:marBottom w:val="0"/>
          <w:divBdr>
            <w:top w:val="none" w:sz="0" w:space="0" w:color="auto"/>
            <w:left w:val="none" w:sz="0" w:space="0" w:color="auto"/>
            <w:bottom w:val="none" w:sz="0" w:space="0" w:color="auto"/>
            <w:right w:val="none" w:sz="0" w:space="0" w:color="auto"/>
          </w:divBdr>
        </w:div>
        <w:div w:id="256451343">
          <w:marLeft w:val="0"/>
          <w:marRight w:val="0"/>
          <w:marTop w:val="0"/>
          <w:marBottom w:val="0"/>
          <w:divBdr>
            <w:top w:val="none" w:sz="0" w:space="0" w:color="auto"/>
            <w:left w:val="none" w:sz="0" w:space="0" w:color="auto"/>
            <w:bottom w:val="none" w:sz="0" w:space="0" w:color="auto"/>
            <w:right w:val="none" w:sz="0" w:space="0" w:color="auto"/>
          </w:divBdr>
        </w:div>
        <w:div w:id="280378061">
          <w:marLeft w:val="0"/>
          <w:marRight w:val="0"/>
          <w:marTop w:val="0"/>
          <w:marBottom w:val="0"/>
          <w:divBdr>
            <w:top w:val="none" w:sz="0" w:space="0" w:color="auto"/>
            <w:left w:val="none" w:sz="0" w:space="0" w:color="auto"/>
            <w:bottom w:val="none" w:sz="0" w:space="0" w:color="auto"/>
            <w:right w:val="none" w:sz="0" w:space="0" w:color="auto"/>
          </w:divBdr>
        </w:div>
        <w:div w:id="317541037">
          <w:marLeft w:val="0"/>
          <w:marRight w:val="0"/>
          <w:marTop w:val="0"/>
          <w:marBottom w:val="0"/>
          <w:divBdr>
            <w:top w:val="none" w:sz="0" w:space="0" w:color="auto"/>
            <w:left w:val="none" w:sz="0" w:space="0" w:color="auto"/>
            <w:bottom w:val="none" w:sz="0" w:space="0" w:color="auto"/>
            <w:right w:val="none" w:sz="0" w:space="0" w:color="auto"/>
          </w:divBdr>
        </w:div>
        <w:div w:id="590624328">
          <w:marLeft w:val="0"/>
          <w:marRight w:val="0"/>
          <w:marTop w:val="0"/>
          <w:marBottom w:val="0"/>
          <w:divBdr>
            <w:top w:val="none" w:sz="0" w:space="0" w:color="auto"/>
            <w:left w:val="none" w:sz="0" w:space="0" w:color="auto"/>
            <w:bottom w:val="none" w:sz="0" w:space="0" w:color="auto"/>
            <w:right w:val="none" w:sz="0" w:space="0" w:color="auto"/>
          </w:divBdr>
        </w:div>
        <w:div w:id="611204919">
          <w:marLeft w:val="0"/>
          <w:marRight w:val="0"/>
          <w:marTop w:val="0"/>
          <w:marBottom w:val="0"/>
          <w:divBdr>
            <w:top w:val="none" w:sz="0" w:space="0" w:color="auto"/>
            <w:left w:val="none" w:sz="0" w:space="0" w:color="auto"/>
            <w:bottom w:val="none" w:sz="0" w:space="0" w:color="auto"/>
            <w:right w:val="none" w:sz="0" w:space="0" w:color="auto"/>
          </w:divBdr>
        </w:div>
        <w:div w:id="684939735">
          <w:marLeft w:val="0"/>
          <w:marRight w:val="0"/>
          <w:marTop w:val="0"/>
          <w:marBottom w:val="0"/>
          <w:divBdr>
            <w:top w:val="none" w:sz="0" w:space="0" w:color="auto"/>
            <w:left w:val="none" w:sz="0" w:space="0" w:color="auto"/>
            <w:bottom w:val="none" w:sz="0" w:space="0" w:color="auto"/>
            <w:right w:val="none" w:sz="0" w:space="0" w:color="auto"/>
          </w:divBdr>
        </w:div>
        <w:div w:id="698168188">
          <w:marLeft w:val="0"/>
          <w:marRight w:val="0"/>
          <w:marTop w:val="0"/>
          <w:marBottom w:val="0"/>
          <w:divBdr>
            <w:top w:val="none" w:sz="0" w:space="0" w:color="auto"/>
            <w:left w:val="none" w:sz="0" w:space="0" w:color="auto"/>
            <w:bottom w:val="none" w:sz="0" w:space="0" w:color="auto"/>
            <w:right w:val="none" w:sz="0" w:space="0" w:color="auto"/>
          </w:divBdr>
        </w:div>
        <w:div w:id="1145702091">
          <w:marLeft w:val="0"/>
          <w:marRight w:val="0"/>
          <w:marTop w:val="0"/>
          <w:marBottom w:val="0"/>
          <w:divBdr>
            <w:top w:val="none" w:sz="0" w:space="0" w:color="auto"/>
            <w:left w:val="none" w:sz="0" w:space="0" w:color="auto"/>
            <w:bottom w:val="none" w:sz="0" w:space="0" w:color="auto"/>
            <w:right w:val="none" w:sz="0" w:space="0" w:color="auto"/>
          </w:divBdr>
        </w:div>
        <w:div w:id="1240483448">
          <w:marLeft w:val="0"/>
          <w:marRight w:val="0"/>
          <w:marTop w:val="0"/>
          <w:marBottom w:val="0"/>
          <w:divBdr>
            <w:top w:val="none" w:sz="0" w:space="0" w:color="auto"/>
            <w:left w:val="none" w:sz="0" w:space="0" w:color="auto"/>
            <w:bottom w:val="none" w:sz="0" w:space="0" w:color="auto"/>
            <w:right w:val="none" w:sz="0" w:space="0" w:color="auto"/>
          </w:divBdr>
        </w:div>
        <w:div w:id="1314749818">
          <w:marLeft w:val="0"/>
          <w:marRight w:val="0"/>
          <w:marTop w:val="0"/>
          <w:marBottom w:val="0"/>
          <w:divBdr>
            <w:top w:val="none" w:sz="0" w:space="0" w:color="auto"/>
            <w:left w:val="none" w:sz="0" w:space="0" w:color="auto"/>
            <w:bottom w:val="none" w:sz="0" w:space="0" w:color="auto"/>
            <w:right w:val="none" w:sz="0" w:space="0" w:color="auto"/>
          </w:divBdr>
        </w:div>
        <w:div w:id="1424104052">
          <w:marLeft w:val="0"/>
          <w:marRight w:val="0"/>
          <w:marTop w:val="0"/>
          <w:marBottom w:val="0"/>
          <w:divBdr>
            <w:top w:val="none" w:sz="0" w:space="0" w:color="auto"/>
            <w:left w:val="none" w:sz="0" w:space="0" w:color="auto"/>
            <w:bottom w:val="none" w:sz="0" w:space="0" w:color="auto"/>
            <w:right w:val="none" w:sz="0" w:space="0" w:color="auto"/>
          </w:divBdr>
        </w:div>
        <w:div w:id="1552499099">
          <w:marLeft w:val="0"/>
          <w:marRight w:val="0"/>
          <w:marTop w:val="0"/>
          <w:marBottom w:val="0"/>
          <w:divBdr>
            <w:top w:val="none" w:sz="0" w:space="0" w:color="auto"/>
            <w:left w:val="none" w:sz="0" w:space="0" w:color="auto"/>
            <w:bottom w:val="none" w:sz="0" w:space="0" w:color="auto"/>
            <w:right w:val="none" w:sz="0" w:space="0" w:color="auto"/>
          </w:divBdr>
        </w:div>
        <w:div w:id="1594700618">
          <w:marLeft w:val="0"/>
          <w:marRight w:val="0"/>
          <w:marTop w:val="0"/>
          <w:marBottom w:val="0"/>
          <w:divBdr>
            <w:top w:val="none" w:sz="0" w:space="0" w:color="auto"/>
            <w:left w:val="none" w:sz="0" w:space="0" w:color="auto"/>
            <w:bottom w:val="none" w:sz="0" w:space="0" w:color="auto"/>
            <w:right w:val="none" w:sz="0" w:space="0" w:color="auto"/>
          </w:divBdr>
        </w:div>
        <w:div w:id="1687436046">
          <w:marLeft w:val="0"/>
          <w:marRight w:val="0"/>
          <w:marTop w:val="0"/>
          <w:marBottom w:val="0"/>
          <w:divBdr>
            <w:top w:val="none" w:sz="0" w:space="0" w:color="auto"/>
            <w:left w:val="none" w:sz="0" w:space="0" w:color="auto"/>
            <w:bottom w:val="none" w:sz="0" w:space="0" w:color="auto"/>
            <w:right w:val="none" w:sz="0" w:space="0" w:color="auto"/>
          </w:divBdr>
        </w:div>
        <w:div w:id="1755081674">
          <w:marLeft w:val="0"/>
          <w:marRight w:val="0"/>
          <w:marTop w:val="0"/>
          <w:marBottom w:val="0"/>
          <w:divBdr>
            <w:top w:val="none" w:sz="0" w:space="0" w:color="auto"/>
            <w:left w:val="none" w:sz="0" w:space="0" w:color="auto"/>
            <w:bottom w:val="none" w:sz="0" w:space="0" w:color="auto"/>
            <w:right w:val="none" w:sz="0" w:space="0" w:color="auto"/>
          </w:divBdr>
        </w:div>
        <w:div w:id="1955016163">
          <w:marLeft w:val="0"/>
          <w:marRight w:val="0"/>
          <w:marTop w:val="0"/>
          <w:marBottom w:val="0"/>
          <w:divBdr>
            <w:top w:val="none" w:sz="0" w:space="0" w:color="auto"/>
            <w:left w:val="none" w:sz="0" w:space="0" w:color="auto"/>
            <w:bottom w:val="none" w:sz="0" w:space="0" w:color="auto"/>
            <w:right w:val="none" w:sz="0" w:space="0" w:color="auto"/>
          </w:divBdr>
        </w:div>
      </w:divsChild>
    </w:div>
    <w:div w:id="1673145475">
      <w:bodyDiv w:val="1"/>
      <w:marLeft w:val="0"/>
      <w:marRight w:val="0"/>
      <w:marTop w:val="0"/>
      <w:marBottom w:val="0"/>
      <w:divBdr>
        <w:top w:val="none" w:sz="0" w:space="0" w:color="auto"/>
        <w:left w:val="none" w:sz="0" w:space="0" w:color="auto"/>
        <w:bottom w:val="none" w:sz="0" w:space="0" w:color="auto"/>
        <w:right w:val="none" w:sz="0" w:space="0" w:color="auto"/>
      </w:divBdr>
    </w:div>
    <w:div w:id="1698382368">
      <w:bodyDiv w:val="1"/>
      <w:marLeft w:val="0"/>
      <w:marRight w:val="0"/>
      <w:marTop w:val="0"/>
      <w:marBottom w:val="0"/>
      <w:divBdr>
        <w:top w:val="none" w:sz="0" w:space="0" w:color="auto"/>
        <w:left w:val="none" w:sz="0" w:space="0" w:color="auto"/>
        <w:bottom w:val="none" w:sz="0" w:space="0" w:color="auto"/>
        <w:right w:val="none" w:sz="0" w:space="0" w:color="auto"/>
      </w:divBdr>
    </w:div>
    <w:div w:id="1720662338">
      <w:bodyDiv w:val="1"/>
      <w:marLeft w:val="0"/>
      <w:marRight w:val="0"/>
      <w:marTop w:val="0"/>
      <w:marBottom w:val="0"/>
      <w:divBdr>
        <w:top w:val="none" w:sz="0" w:space="0" w:color="auto"/>
        <w:left w:val="none" w:sz="0" w:space="0" w:color="auto"/>
        <w:bottom w:val="none" w:sz="0" w:space="0" w:color="auto"/>
        <w:right w:val="none" w:sz="0" w:space="0" w:color="auto"/>
      </w:divBdr>
    </w:div>
    <w:div w:id="1724793816">
      <w:bodyDiv w:val="1"/>
      <w:marLeft w:val="0"/>
      <w:marRight w:val="0"/>
      <w:marTop w:val="0"/>
      <w:marBottom w:val="0"/>
      <w:divBdr>
        <w:top w:val="none" w:sz="0" w:space="0" w:color="auto"/>
        <w:left w:val="none" w:sz="0" w:space="0" w:color="auto"/>
        <w:bottom w:val="none" w:sz="0" w:space="0" w:color="auto"/>
        <w:right w:val="none" w:sz="0" w:space="0" w:color="auto"/>
      </w:divBdr>
    </w:div>
    <w:div w:id="1727990803">
      <w:bodyDiv w:val="1"/>
      <w:marLeft w:val="0"/>
      <w:marRight w:val="0"/>
      <w:marTop w:val="0"/>
      <w:marBottom w:val="0"/>
      <w:divBdr>
        <w:top w:val="none" w:sz="0" w:space="0" w:color="auto"/>
        <w:left w:val="none" w:sz="0" w:space="0" w:color="auto"/>
        <w:bottom w:val="none" w:sz="0" w:space="0" w:color="auto"/>
        <w:right w:val="none" w:sz="0" w:space="0" w:color="auto"/>
      </w:divBdr>
    </w:div>
    <w:div w:id="1737557055">
      <w:bodyDiv w:val="1"/>
      <w:marLeft w:val="0"/>
      <w:marRight w:val="0"/>
      <w:marTop w:val="0"/>
      <w:marBottom w:val="0"/>
      <w:divBdr>
        <w:top w:val="none" w:sz="0" w:space="0" w:color="auto"/>
        <w:left w:val="none" w:sz="0" w:space="0" w:color="auto"/>
        <w:bottom w:val="none" w:sz="0" w:space="0" w:color="auto"/>
        <w:right w:val="none" w:sz="0" w:space="0" w:color="auto"/>
      </w:divBdr>
    </w:div>
    <w:div w:id="1769889957">
      <w:bodyDiv w:val="1"/>
      <w:marLeft w:val="0"/>
      <w:marRight w:val="0"/>
      <w:marTop w:val="0"/>
      <w:marBottom w:val="0"/>
      <w:divBdr>
        <w:top w:val="none" w:sz="0" w:space="0" w:color="auto"/>
        <w:left w:val="none" w:sz="0" w:space="0" w:color="auto"/>
        <w:bottom w:val="none" w:sz="0" w:space="0" w:color="auto"/>
        <w:right w:val="none" w:sz="0" w:space="0" w:color="auto"/>
      </w:divBdr>
    </w:div>
    <w:div w:id="1787964030">
      <w:bodyDiv w:val="1"/>
      <w:marLeft w:val="0"/>
      <w:marRight w:val="0"/>
      <w:marTop w:val="0"/>
      <w:marBottom w:val="0"/>
      <w:divBdr>
        <w:top w:val="none" w:sz="0" w:space="0" w:color="auto"/>
        <w:left w:val="none" w:sz="0" w:space="0" w:color="auto"/>
        <w:bottom w:val="none" w:sz="0" w:space="0" w:color="auto"/>
        <w:right w:val="none" w:sz="0" w:space="0" w:color="auto"/>
      </w:divBdr>
    </w:div>
    <w:div w:id="1797915006">
      <w:bodyDiv w:val="1"/>
      <w:marLeft w:val="0"/>
      <w:marRight w:val="0"/>
      <w:marTop w:val="0"/>
      <w:marBottom w:val="0"/>
      <w:divBdr>
        <w:top w:val="none" w:sz="0" w:space="0" w:color="auto"/>
        <w:left w:val="none" w:sz="0" w:space="0" w:color="auto"/>
        <w:bottom w:val="none" w:sz="0" w:space="0" w:color="auto"/>
        <w:right w:val="none" w:sz="0" w:space="0" w:color="auto"/>
      </w:divBdr>
      <w:divsChild>
        <w:div w:id="194344614">
          <w:marLeft w:val="0"/>
          <w:marRight w:val="0"/>
          <w:marTop w:val="0"/>
          <w:marBottom w:val="0"/>
          <w:divBdr>
            <w:top w:val="none" w:sz="0" w:space="0" w:color="auto"/>
            <w:left w:val="none" w:sz="0" w:space="0" w:color="auto"/>
            <w:bottom w:val="none" w:sz="0" w:space="0" w:color="auto"/>
            <w:right w:val="none" w:sz="0" w:space="0" w:color="auto"/>
          </w:divBdr>
        </w:div>
        <w:div w:id="984890027">
          <w:marLeft w:val="0"/>
          <w:marRight w:val="0"/>
          <w:marTop w:val="0"/>
          <w:marBottom w:val="0"/>
          <w:divBdr>
            <w:top w:val="none" w:sz="0" w:space="0" w:color="auto"/>
            <w:left w:val="none" w:sz="0" w:space="0" w:color="auto"/>
            <w:bottom w:val="none" w:sz="0" w:space="0" w:color="auto"/>
            <w:right w:val="none" w:sz="0" w:space="0" w:color="auto"/>
          </w:divBdr>
        </w:div>
        <w:div w:id="1012563606">
          <w:marLeft w:val="0"/>
          <w:marRight w:val="0"/>
          <w:marTop w:val="0"/>
          <w:marBottom w:val="0"/>
          <w:divBdr>
            <w:top w:val="none" w:sz="0" w:space="0" w:color="auto"/>
            <w:left w:val="none" w:sz="0" w:space="0" w:color="auto"/>
            <w:bottom w:val="none" w:sz="0" w:space="0" w:color="auto"/>
            <w:right w:val="none" w:sz="0" w:space="0" w:color="auto"/>
          </w:divBdr>
        </w:div>
        <w:div w:id="1252471943">
          <w:marLeft w:val="0"/>
          <w:marRight w:val="0"/>
          <w:marTop w:val="0"/>
          <w:marBottom w:val="0"/>
          <w:divBdr>
            <w:top w:val="none" w:sz="0" w:space="0" w:color="auto"/>
            <w:left w:val="none" w:sz="0" w:space="0" w:color="auto"/>
            <w:bottom w:val="none" w:sz="0" w:space="0" w:color="auto"/>
            <w:right w:val="none" w:sz="0" w:space="0" w:color="auto"/>
          </w:divBdr>
        </w:div>
        <w:div w:id="1431507235">
          <w:marLeft w:val="0"/>
          <w:marRight w:val="0"/>
          <w:marTop w:val="0"/>
          <w:marBottom w:val="0"/>
          <w:divBdr>
            <w:top w:val="none" w:sz="0" w:space="0" w:color="auto"/>
            <w:left w:val="none" w:sz="0" w:space="0" w:color="auto"/>
            <w:bottom w:val="none" w:sz="0" w:space="0" w:color="auto"/>
            <w:right w:val="none" w:sz="0" w:space="0" w:color="auto"/>
          </w:divBdr>
        </w:div>
        <w:div w:id="1470440459">
          <w:marLeft w:val="0"/>
          <w:marRight w:val="0"/>
          <w:marTop w:val="0"/>
          <w:marBottom w:val="0"/>
          <w:divBdr>
            <w:top w:val="none" w:sz="0" w:space="0" w:color="auto"/>
            <w:left w:val="none" w:sz="0" w:space="0" w:color="auto"/>
            <w:bottom w:val="none" w:sz="0" w:space="0" w:color="auto"/>
            <w:right w:val="none" w:sz="0" w:space="0" w:color="auto"/>
          </w:divBdr>
        </w:div>
        <w:div w:id="1836023670">
          <w:marLeft w:val="0"/>
          <w:marRight w:val="0"/>
          <w:marTop w:val="0"/>
          <w:marBottom w:val="0"/>
          <w:divBdr>
            <w:top w:val="none" w:sz="0" w:space="0" w:color="auto"/>
            <w:left w:val="none" w:sz="0" w:space="0" w:color="auto"/>
            <w:bottom w:val="none" w:sz="0" w:space="0" w:color="auto"/>
            <w:right w:val="none" w:sz="0" w:space="0" w:color="auto"/>
          </w:divBdr>
        </w:div>
        <w:div w:id="2118206602">
          <w:marLeft w:val="0"/>
          <w:marRight w:val="0"/>
          <w:marTop w:val="0"/>
          <w:marBottom w:val="0"/>
          <w:divBdr>
            <w:top w:val="none" w:sz="0" w:space="0" w:color="auto"/>
            <w:left w:val="none" w:sz="0" w:space="0" w:color="auto"/>
            <w:bottom w:val="none" w:sz="0" w:space="0" w:color="auto"/>
            <w:right w:val="none" w:sz="0" w:space="0" w:color="auto"/>
          </w:divBdr>
        </w:div>
        <w:div w:id="2134521817">
          <w:marLeft w:val="0"/>
          <w:marRight w:val="0"/>
          <w:marTop w:val="0"/>
          <w:marBottom w:val="0"/>
          <w:divBdr>
            <w:top w:val="none" w:sz="0" w:space="0" w:color="auto"/>
            <w:left w:val="none" w:sz="0" w:space="0" w:color="auto"/>
            <w:bottom w:val="none" w:sz="0" w:space="0" w:color="auto"/>
            <w:right w:val="none" w:sz="0" w:space="0" w:color="auto"/>
          </w:divBdr>
        </w:div>
      </w:divsChild>
    </w:div>
    <w:div w:id="1825049211">
      <w:bodyDiv w:val="1"/>
      <w:marLeft w:val="0"/>
      <w:marRight w:val="0"/>
      <w:marTop w:val="0"/>
      <w:marBottom w:val="0"/>
      <w:divBdr>
        <w:top w:val="none" w:sz="0" w:space="0" w:color="auto"/>
        <w:left w:val="none" w:sz="0" w:space="0" w:color="auto"/>
        <w:bottom w:val="none" w:sz="0" w:space="0" w:color="auto"/>
        <w:right w:val="none" w:sz="0" w:space="0" w:color="auto"/>
      </w:divBdr>
    </w:div>
    <w:div w:id="1840194908">
      <w:bodyDiv w:val="1"/>
      <w:marLeft w:val="0"/>
      <w:marRight w:val="0"/>
      <w:marTop w:val="0"/>
      <w:marBottom w:val="0"/>
      <w:divBdr>
        <w:top w:val="none" w:sz="0" w:space="0" w:color="auto"/>
        <w:left w:val="none" w:sz="0" w:space="0" w:color="auto"/>
        <w:bottom w:val="none" w:sz="0" w:space="0" w:color="auto"/>
        <w:right w:val="none" w:sz="0" w:space="0" w:color="auto"/>
      </w:divBdr>
    </w:div>
    <w:div w:id="1847210327">
      <w:bodyDiv w:val="1"/>
      <w:marLeft w:val="0"/>
      <w:marRight w:val="0"/>
      <w:marTop w:val="0"/>
      <w:marBottom w:val="0"/>
      <w:divBdr>
        <w:top w:val="none" w:sz="0" w:space="0" w:color="auto"/>
        <w:left w:val="none" w:sz="0" w:space="0" w:color="auto"/>
        <w:bottom w:val="none" w:sz="0" w:space="0" w:color="auto"/>
        <w:right w:val="none" w:sz="0" w:space="0" w:color="auto"/>
      </w:divBdr>
    </w:div>
    <w:div w:id="1847329462">
      <w:bodyDiv w:val="1"/>
      <w:marLeft w:val="0"/>
      <w:marRight w:val="0"/>
      <w:marTop w:val="0"/>
      <w:marBottom w:val="0"/>
      <w:divBdr>
        <w:top w:val="none" w:sz="0" w:space="0" w:color="auto"/>
        <w:left w:val="none" w:sz="0" w:space="0" w:color="auto"/>
        <w:bottom w:val="none" w:sz="0" w:space="0" w:color="auto"/>
        <w:right w:val="none" w:sz="0" w:space="0" w:color="auto"/>
      </w:divBdr>
    </w:div>
    <w:div w:id="1854806877">
      <w:bodyDiv w:val="1"/>
      <w:marLeft w:val="0"/>
      <w:marRight w:val="0"/>
      <w:marTop w:val="0"/>
      <w:marBottom w:val="0"/>
      <w:divBdr>
        <w:top w:val="none" w:sz="0" w:space="0" w:color="auto"/>
        <w:left w:val="none" w:sz="0" w:space="0" w:color="auto"/>
        <w:bottom w:val="none" w:sz="0" w:space="0" w:color="auto"/>
        <w:right w:val="none" w:sz="0" w:space="0" w:color="auto"/>
      </w:divBdr>
    </w:div>
    <w:div w:id="1856726277">
      <w:bodyDiv w:val="1"/>
      <w:marLeft w:val="0"/>
      <w:marRight w:val="0"/>
      <w:marTop w:val="0"/>
      <w:marBottom w:val="0"/>
      <w:divBdr>
        <w:top w:val="none" w:sz="0" w:space="0" w:color="auto"/>
        <w:left w:val="none" w:sz="0" w:space="0" w:color="auto"/>
        <w:bottom w:val="none" w:sz="0" w:space="0" w:color="auto"/>
        <w:right w:val="none" w:sz="0" w:space="0" w:color="auto"/>
      </w:divBdr>
      <w:divsChild>
        <w:div w:id="121966630">
          <w:marLeft w:val="0"/>
          <w:marRight w:val="0"/>
          <w:marTop w:val="0"/>
          <w:marBottom w:val="0"/>
          <w:divBdr>
            <w:top w:val="none" w:sz="0" w:space="0" w:color="auto"/>
            <w:left w:val="none" w:sz="0" w:space="0" w:color="auto"/>
            <w:bottom w:val="none" w:sz="0" w:space="0" w:color="auto"/>
            <w:right w:val="none" w:sz="0" w:space="0" w:color="auto"/>
          </w:divBdr>
        </w:div>
        <w:div w:id="182787001">
          <w:marLeft w:val="0"/>
          <w:marRight w:val="0"/>
          <w:marTop w:val="0"/>
          <w:marBottom w:val="0"/>
          <w:divBdr>
            <w:top w:val="none" w:sz="0" w:space="0" w:color="auto"/>
            <w:left w:val="none" w:sz="0" w:space="0" w:color="auto"/>
            <w:bottom w:val="none" w:sz="0" w:space="0" w:color="auto"/>
            <w:right w:val="none" w:sz="0" w:space="0" w:color="auto"/>
          </w:divBdr>
        </w:div>
        <w:div w:id="283661066">
          <w:marLeft w:val="0"/>
          <w:marRight w:val="0"/>
          <w:marTop w:val="0"/>
          <w:marBottom w:val="0"/>
          <w:divBdr>
            <w:top w:val="none" w:sz="0" w:space="0" w:color="auto"/>
            <w:left w:val="none" w:sz="0" w:space="0" w:color="auto"/>
            <w:bottom w:val="none" w:sz="0" w:space="0" w:color="auto"/>
            <w:right w:val="none" w:sz="0" w:space="0" w:color="auto"/>
          </w:divBdr>
        </w:div>
        <w:div w:id="315914801">
          <w:marLeft w:val="0"/>
          <w:marRight w:val="0"/>
          <w:marTop w:val="0"/>
          <w:marBottom w:val="0"/>
          <w:divBdr>
            <w:top w:val="none" w:sz="0" w:space="0" w:color="auto"/>
            <w:left w:val="none" w:sz="0" w:space="0" w:color="auto"/>
            <w:bottom w:val="none" w:sz="0" w:space="0" w:color="auto"/>
            <w:right w:val="none" w:sz="0" w:space="0" w:color="auto"/>
          </w:divBdr>
        </w:div>
        <w:div w:id="323362172">
          <w:marLeft w:val="0"/>
          <w:marRight w:val="0"/>
          <w:marTop w:val="0"/>
          <w:marBottom w:val="0"/>
          <w:divBdr>
            <w:top w:val="none" w:sz="0" w:space="0" w:color="auto"/>
            <w:left w:val="none" w:sz="0" w:space="0" w:color="auto"/>
            <w:bottom w:val="none" w:sz="0" w:space="0" w:color="auto"/>
            <w:right w:val="none" w:sz="0" w:space="0" w:color="auto"/>
          </w:divBdr>
        </w:div>
        <w:div w:id="393088445">
          <w:marLeft w:val="0"/>
          <w:marRight w:val="0"/>
          <w:marTop w:val="0"/>
          <w:marBottom w:val="0"/>
          <w:divBdr>
            <w:top w:val="none" w:sz="0" w:space="0" w:color="auto"/>
            <w:left w:val="none" w:sz="0" w:space="0" w:color="auto"/>
            <w:bottom w:val="none" w:sz="0" w:space="0" w:color="auto"/>
            <w:right w:val="none" w:sz="0" w:space="0" w:color="auto"/>
          </w:divBdr>
        </w:div>
        <w:div w:id="489636080">
          <w:marLeft w:val="0"/>
          <w:marRight w:val="0"/>
          <w:marTop w:val="0"/>
          <w:marBottom w:val="0"/>
          <w:divBdr>
            <w:top w:val="none" w:sz="0" w:space="0" w:color="auto"/>
            <w:left w:val="none" w:sz="0" w:space="0" w:color="auto"/>
            <w:bottom w:val="none" w:sz="0" w:space="0" w:color="auto"/>
            <w:right w:val="none" w:sz="0" w:space="0" w:color="auto"/>
          </w:divBdr>
        </w:div>
        <w:div w:id="495606965">
          <w:marLeft w:val="0"/>
          <w:marRight w:val="0"/>
          <w:marTop w:val="0"/>
          <w:marBottom w:val="0"/>
          <w:divBdr>
            <w:top w:val="none" w:sz="0" w:space="0" w:color="auto"/>
            <w:left w:val="none" w:sz="0" w:space="0" w:color="auto"/>
            <w:bottom w:val="none" w:sz="0" w:space="0" w:color="auto"/>
            <w:right w:val="none" w:sz="0" w:space="0" w:color="auto"/>
          </w:divBdr>
        </w:div>
        <w:div w:id="608465481">
          <w:marLeft w:val="0"/>
          <w:marRight w:val="0"/>
          <w:marTop w:val="0"/>
          <w:marBottom w:val="0"/>
          <w:divBdr>
            <w:top w:val="none" w:sz="0" w:space="0" w:color="auto"/>
            <w:left w:val="none" w:sz="0" w:space="0" w:color="auto"/>
            <w:bottom w:val="none" w:sz="0" w:space="0" w:color="auto"/>
            <w:right w:val="none" w:sz="0" w:space="0" w:color="auto"/>
          </w:divBdr>
        </w:div>
        <w:div w:id="689382623">
          <w:marLeft w:val="0"/>
          <w:marRight w:val="0"/>
          <w:marTop w:val="0"/>
          <w:marBottom w:val="0"/>
          <w:divBdr>
            <w:top w:val="none" w:sz="0" w:space="0" w:color="auto"/>
            <w:left w:val="none" w:sz="0" w:space="0" w:color="auto"/>
            <w:bottom w:val="none" w:sz="0" w:space="0" w:color="auto"/>
            <w:right w:val="none" w:sz="0" w:space="0" w:color="auto"/>
          </w:divBdr>
        </w:div>
        <w:div w:id="908460105">
          <w:marLeft w:val="0"/>
          <w:marRight w:val="0"/>
          <w:marTop w:val="0"/>
          <w:marBottom w:val="0"/>
          <w:divBdr>
            <w:top w:val="none" w:sz="0" w:space="0" w:color="auto"/>
            <w:left w:val="none" w:sz="0" w:space="0" w:color="auto"/>
            <w:bottom w:val="none" w:sz="0" w:space="0" w:color="auto"/>
            <w:right w:val="none" w:sz="0" w:space="0" w:color="auto"/>
          </w:divBdr>
        </w:div>
        <w:div w:id="969282180">
          <w:marLeft w:val="0"/>
          <w:marRight w:val="0"/>
          <w:marTop w:val="0"/>
          <w:marBottom w:val="0"/>
          <w:divBdr>
            <w:top w:val="none" w:sz="0" w:space="0" w:color="auto"/>
            <w:left w:val="none" w:sz="0" w:space="0" w:color="auto"/>
            <w:bottom w:val="none" w:sz="0" w:space="0" w:color="auto"/>
            <w:right w:val="none" w:sz="0" w:space="0" w:color="auto"/>
          </w:divBdr>
        </w:div>
        <w:div w:id="1196890981">
          <w:marLeft w:val="0"/>
          <w:marRight w:val="0"/>
          <w:marTop w:val="0"/>
          <w:marBottom w:val="0"/>
          <w:divBdr>
            <w:top w:val="none" w:sz="0" w:space="0" w:color="auto"/>
            <w:left w:val="none" w:sz="0" w:space="0" w:color="auto"/>
            <w:bottom w:val="none" w:sz="0" w:space="0" w:color="auto"/>
            <w:right w:val="none" w:sz="0" w:space="0" w:color="auto"/>
          </w:divBdr>
        </w:div>
        <w:div w:id="1259294488">
          <w:marLeft w:val="0"/>
          <w:marRight w:val="0"/>
          <w:marTop w:val="0"/>
          <w:marBottom w:val="0"/>
          <w:divBdr>
            <w:top w:val="none" w:sz="0" w:space="0" w:color="auto"/>
            <w:left w:val="none" w:sz="0" w:space="0" w:color="auto"/>
            <w:bottom w:val="none" w:sz="0" w:space="0" w:color="auto"/>
            <w:right w:val="none" w:sz="0" w:space="0" w:color="auto"/>
          </w:divBdr>
        </w:div>
        <w:div w:id="1508134381">
          <w:marLeft w:val="0"/>
          <w:marRight w:val="0"/>
          <w:marTop w:val="0"/>
          <w:marBottom w:val="0"/>
          <w:divBdr>
            <w:top w:val="none" w:sz="0" w:space="0" w:color="auto"/>
            <w:left w:val="none" w:sz="0" w:space="0" w:color="auto"/>
            <w:bottom w:val="none" w:sz="0" w:space="0" w:color="auto"/>
            <w:right w:val="none" w:sz="0" w:space="0" w:color="auto"/>
          </w:divBdr>
        </w:div>
        <w:div w:id="1565214557">
          <w:marLeft w:val="0"/>
          <w:marRight w:val="0"/>
          <w:marTop w:val="0"/>
          <w:marBottom w:val="0"/>
          <w:divBdr>
            <w:top w:val="none" w:sz="0" w:space="0" w:color="auto"/>
            <w:left w:val="none" w:sz="0" w:space="0" w:color="auto"/>
            <w:bottom w:val="none" w:sz="0" w:space="0" w:color="auto"/>
            <w:right w:val="none" w:sz="0" w:space="0" w:color="auto"/>
          </w:divBdr>
        </w:div>
        <w:div w:id="1601062269">
          <w:marLeft w:val="0"/>
          <w:marRight w:val="0"/>
          <w:marTop w:val="0"/>
          <w:marBottom w:val="0"/>
          <w:divBdr>
            <w:top w:val="none" w:sz="0" w:space="0" w:color="auto"/>
            <w:left w:val="none" w:sz="0" w:space="0" w:color="auto"/>
            <w:bottom w:val="none" w:sz="0" w:space="0" w:color="auto"/>
            <w:right w:val="none" w:sz="0" w:space="0" w:color="auto"/>
          </w:divBdr>
        </w:div>
        <w:div w:id="1624920737">
          <w:marLeft w:val="0"/>
          <w:marRight w:val="0"/>
          <w:marTop w:val="0"/>
          <w:marBottom w:val="0"/>
          <w:divBdr>
            <w:top w:val="none" w:sz="0" w:space="0" w:color="auto"/>
            <w:left w:val="none" w:sz="0" w:space="0" w:color="auto"/>
            <w:bottom w:val="none" w:sz="0" w:space="0" w:color="auto"/>
            <w:right w:val="none" w:sz="0" w:space="0" w:color="auto"/>
          </w:divBdr>
        </w:div>
        <w:div w:id="1731070975">
          <w:marLeft w:val="0"/>
          <w:marRight w:val="0"/>
          <w:marTop w:val="0"/>
          <w:marBottom w:val="0"/>
          <w:divBdr>
            <w:top w:val="none" w:sz="0" w:space="0" w:color="auto"/>
            <w:left w:val="none" w:sz="0" w:space="0" w:color="auto"/>
            <w:bottom w:val="none" w:sz="0" w:space="0" w:color="auto"/>
            <w:right w:val="none" w:sz="0" w:space="0" w:color="auto"/>
          </w:divBdr>
        </w:div>
        <w:div w:id="1788229718">
          <w:marLeft w:val="0"/>
          <w:marRight w:val="0"/>
          <w:marTop w:val="0"/>
          <w:marBottom w:val="0"/>
          <w:divBdr>
            <w:top w:val="none" w:sz="0" w:space="0" w:color="auto"/>
            <w:left w:val="none" w:sz="0" w:space="0" w:color="auto"/>
            <w:bottom w:val="none" w:sz="0" w:space="0" w:color="auto"/>
            <w:right w:val="none" w:sz="0" w:space="0" w:color="auto"/>
          </w:divBdr>
        </w:div>
        <w:div w:id="2118327090">
          <w:marLeft w:val="0"/>
          <w:marRight w:val="0"/>
          <w:marTop w:val="0"/>
          <w:marBottom w:val="0"/>
          <w:divBdr>
            <w:top w:val="none" w:sz="0" w:space="0" w:color="auto"/>
            <w:left w:val="none" w:sz="0" w:space="0" w:color="auto"/>
            <w:bottom w:val="none" w:sz="0" w:space="0" w:color="auto"/>
            <w:right w:val="none" w:sz="0" w:space="0" w:color="auto"/>
          </w:divBdr>
        </w:div>
        <w:div w:id="2134713010">
          <w:marLeft w:val="0"/>
          <w:marRight w:val="0"/>
          <w:marTop w:val="0"/>
          <w:marBottom w:val="0"/>
          <w:divBdr>
            <w:top w:val="none" w:sz="0" w:space="0" w:color="auto"/>
            <w:left w:val="none" w:sz="0" w:space="0" w:color="auto"/>
            <w:bottom w:val="none" w:sz="0" w:space="0" w:color="auto"/>
            <w:right w:val="none" w:sz="0" w:space="0" w:color="auto"/>
          </w:divBdr>
        </w:div>
      </w:divsChild>
    </w:div>
    <w:div w:id="1891920891">
      <w:bodyDiv w:val="1"/>
      <w:marLeft w:val="0"/>
      <w:marRight w:val="0"/>
      <w:marTop w:val="0"/>
      <w:marBottom w:val="0"/>
      <w:divBdr>
        <w:top w:val="none" w:sz="0" w:space="0" w:color="auto"/>
        <w:left w:val="none" w:sz="0" w:space="0" w:color="auto"/>
        <w:bottom w:val="none" w:sz="0" w:space="0" w:color="auto"/>
        <w:right w:val="none" w:sz="0" w:space="0" w:color="auto"/>
      </w:divBdr>
    </w:div>
    <w:div w:id="1899779942">
      <w:bodyDiv w:val="1"/>
      <w:marLeft w:val="0"/>
      <w:marRight w:val="0"/>
      <w:marTop w:val="0"/>
      <w:marBottom w:val="0"/>
      <w:divBdr>
        <w:top w:val="none" w:sz="0" w:space="0" w:color="auto"/>
        <w:left w:val="none" w:sz="0" w:space="0" w:color="auto"/>
        <w:bottom w:val="none" w:sz="0" w:space="0" w:color="auto"/>
        <w:right w:val="none" w:sz="0" w:space="0" w:color="auto"/>
      </w:divBdr>
    </w:div>
    <w:div w:id="1923294821">
      <w:bodyDiv w:val="1"/>
      <w:marLeft w:val="0"/>
      <w:marRight w:val="0"/>
      <w:marTop w:val="0"/>
      <w:marBottom w:val="0"/>
      <w:divBdr>
        <w:top w:val="none" w:sz="0" w:space="0" w:color="auto"/>
        <w:left w:val="none" w:sz="0" w:space="0" w:color="auto"/>
        <w:bottom w:val="none" w:sz="0" w:space="0" w:color="auto"/>
        <w:right w:val="none" w:sz="0" w:space="0" w:color="auto"/>
      </w:divBdr>
      <w:divsChild>
        <w:div w:id="192233548">
          <w:marLeft w:val="0"/>
          <w:marRight w:val="0"/>
          <w:marTop w:val="0"/>
          <w:marBottom w:val="0"/>
          <w:divBdr>
            <w:top w:val="none" w:sz="0" w:space="0" w:color="auto"/>
            <w:left w:val="none" w:sz="0" w:space="0" w:color="auto"/>
            <w:bottom w:val="none" w:sz="0" w:space="0" w:color="auto"/>
            <w:right w:val="none" w:sz="0" w:space="0" w:color="auto"/>
          </w:divBdr>
        </w:div>
        <w:div w:id="193426917">
          <w:marLeft w:val="0"/>
          <w:marRight w:val="0"/>
          <w:marTop w:val="0"/>
          <w:marBottom w:val="0"/>
          <w:divBdr>
            <w:top w:val="none" w:sz="0" w:space="0" w:color="auto"/>
            <w:left w:val="none" w:sz="0" w:space="0" w:color="auto"/>
            <w:bottom w:val="none" w:sz="0" w:space="0" w:color="auto"/>
            <w:right w:val="none" w:sz="0" w:space="0" w:color="auto"/>
          </w:divBdr>
        </w:div>
        <w:div w:id="241334661">
          <w:marLeft w:val="0"/>
          <w:marRight w:val="0"/>
          <w:marTop w:val="0"/>
          <w:marBottom w:val="0"/>
          <w:divBdr>
            <w:top w:val="none" w:sz="0" w:space="0" w:color="auto"/>
            <w:left w:val="none" w:sz="0" w:space="0" w:color="auto"/>
            <w:bottom w:val="none" w:sz="0" w:space="0" w:color="auto"/>
            <w:right w:val="none" w:sz="0" w:space="0" w:color="auto"/>
          </w:divBdr>
        </w:div>
        <w:div w:id="262492263">
          <w:marLeft w:val="0"/>
          <w:marRight w:val="0"/>
          <w:marTop w:val="0"/>
          <w:marBottom w:val="0"/>
          <w:divBdr>
            <w:top w:val="none" w:sz="0" w:space="0" w:color="auto"/>
            <w:left w:val="none" w:sz="0" w:space="0" w:color="auto"/>
            <w:bottom w:val="none" w:sz="0" w:space="0" w:color="auto"/>
            <w:right w:val="none" w:sz="0" w:space="0" w:color="auto"/>
          </w:divBdr>
        </w:div>
        <w:div w:id="435054273">
          <w:marLeft w:val="0"/>
          <w:marRight w:val="0"/>
          <w:marTop w:val="0"/>
          <w:marBottom w:val="0"/>
          <w:divBdr>
            <w:top w:val="none" w:sz="0" w:space="0" w:color="auto"/>
            <w:left w:val="none" w:sz="0" w:space="0" w:color="auto"/>
            <w:bottom w:val="none" w:sz="0" w:space="0" w:color="auto"/>
            <w:right w:val="none" w:sz="0" w:space="0" w:color="auto"/>
          </w:divBdr>
        </w:div>
        <w:div w:id="437256776">
          <w:marLeft w:val="0"/>
          <w:marRight w:val="0"/>
          <w:marTop w:val="0"/>
          <w:marBottom w:val="0"/>
          <w:divBdr>
            <w:top w:val="none" w:sz="0" w:space="0" w:color="auto"/>
            <w:left w:val="none" w:sz="0" w:space="0" w:color="auto"/>
            <w:bottom w:val="none" w:sz="0" w:space="0" w:color="auto"/>
            <w:right w:val="none" w:sz="0" w:space="0" w:color="auto"/>
          </w:divBdr>
        </w:div>
        <w:div w:id="444619532">
          <w:marLeft w:val="0"/>
          <w:marRight w:val="0"/>
          <w:marTop w:val="0"/>
          <w:marBottom w:val="0"/>
          <w:divBdr>
            <w:top w:val="none" w:sz="0" w:space="0" w:color="auto"/>
            <w:left w:val="none" w:sz="0" w:space="0" w:color="auto"/>
            <w:bottom w:val="none" w:sz="0" w:space="0" w:color="auto"/>
            <w:right w:val="none" w:sz="0" w:space="0" w:color="auto"/>
          </w:divBdr>
        </w:div>
        <w:div w:id="538662538">
          <w:marLeft w:val="0"/>
          <w:marRight w:val="0"/>
          <w:marTop w:val="0"/>
          <w:marBottom w:val="0"/>
          <w:divBdr>
            <w:top w:val="none" w:sz="0" w:space="0" w:color="auto"/>
            <w:left w:val="none" w:sz="0" w:space="0" w:color="auto"/>
            <w:bottom w:val="none" w:sz="0" w:space="0" w:color="auto"/>
            <w:right w:val="none" w:sz="0" w:space="0" w:color="auto"/>
          </w:divBdr>
        </w:div>
        <w:div w:id="585303555">
          <w:marLeft w:val="0"/>
          <w:marRight w:val="0"/>
          <w:marTop w:val="0"/>
          <w:marBottom w:val="0"/>
          <w:divBdr>
            <w:top w:val="none" w:sz="0" w:space="0" w:color="auto"/>
            <w:left w:val="none" w:sz="0" w:space="0" w:color="auto"/>
            <w:bottom w:val="none" w:sz="0" w:space="0" w:color="auto"/>
            <w:right w:val="none" w:sz="0" w:space="0" w:color="auto"/>
          </w:divBdr>
        </w:div>
        <w:div w:id="756902392">
          <w:marLeft w:val="0"/>
          <w:marRight w:val="0"/>
          <w:marTop w:val="0"/>
          <w:marBottom w:val="0"/>
          <w:divBdr>
            <w:top w:val="none" w:sz="0" w:space="0" w:color="auto"/>
            <w:left w:val="none" w:sz="0" w:space="0" w:color="auto"/>
            <w:bottom w:val="none" w:sz="0" w:space="0" w:color="auto"/>
            <w:right w:val="none" w:sz="0" w:space="0" w:color="auto"/>
          </w:divBdr>
        </w:div>
        <w:div w:id="1154757873">
          <w:marLeft w:val="0"/>
          <w:marRight w:val="0"/>
          <w:marTop w:val="0"/>
          <w:marBottom w:val="0"/>
          <w:divBdr>
            <w:top w:val="none" w:sz="0" w:space="0" w:color="auto"/>
            <w:left w:val="none" w:sz="0" w:space="0" w:color="auto"/>
            <w:bottom w:val="none" w:sz="0" w:space="0" w:color="auto"/>
            <w:right w:val="none" w:sz="0" w:space="0" w:color="auto"/>
          </w:divBdr>
        </w:div>
        <w:div w:id="1453208899">
          <w:marLeft w:val="0"/>
          <w:marRight w:val="0"/>
          <w:marTop w:val="0"/>
          <w:marBottom w:val="0"/>
          <w:divBdr>
            <w:top w:val="none" w:sz="0" w:space="0" w:color="auto"/>
            <w:left w:val="none" w:sz="0" w:space="0" w:color="auto"/>
            <w:bottom w:val="none" w:sz="0" w:space="0" w:color="auto"/>
            <w:right w:val="none" w:sz="0" w:space="0" w:color="auto"/>
          </w:divBdr>
        </w:div>
        <w:div w:id="1782454010">
          <w:marLeft w:val="0"/>
          <w:marRight w:val="0"/>
          <w:marTop w:val="0"/>
          <w:marBottom w:val="0"/>
          <w:divBdr>
            <w:top w:val="none" w:sz="0" w:space="0" w:color="auto"/>
            <w:left w:val="none" w:sz="0" w:space="0" w:color="auto"/>
            <w:bottom w:val="none" w:sz="0" w:space="0" w:color="auto"/>
            <w:right w:val="none" w:sz="0" w:space="0" w:color="auto"/>
          </w:divBdr>
        </w:div>
        <w:div w:id="1812595193">
          <w:marLeft w:val="0"/>
          <w:marRight w:val="0"/>
          <w:marTop w:val="0"/>
          <w:marBottom w:val="0"/>
          <w:divBdr>
            <w:top w:val="none" w:sz="0" w:space="0" w:color="auto"/>
            <w:left w:val="none" w:sz="0" w:space="0" w:color="auto"/>
            <w:bottom w:val="none" w:sz="0" w:space="0" w:color="auto"/>
            <w:right w:val="none" w:sz="0" w:space="0" w:color="auto"/>
          </w:divBdr>
        </w:div>
        <w:div w:id="1877112029">
          <w:marLeft w:val="0"/>
          <w:marRight w:val="0"/>
          <w:marTop w:val="0"/>
          <w:marBottom w:val="0"/>
          <w:divBdr>
            <w:top w:val="none" w:sz="0" w:space="0" w:color="auto"/>
            <w:left w:val="none" w:sz="0" w:space="0" w:color="auto"/>
            <w:bottom w:val="none" w:sz="0" w:space="0" w:color="auto"/>
            <w:right w:val="none" w:sz="0" w:space="0" w:color="auto"/>
          </w:divBdr>
        </w:div>
        <w:div w:id="1998683010">
          <w:marLeft w:val="0"/>
          <w:marRight w:val="0"/>
          <w:marTop w:val="0"/>
          <w:marBottom w:val="0"/>
          <w:divBdr>
            <w:top w:val="none" w:sz="0" w:space="0" w:color="auto"/>
            <w:left w:val="none" w:sz="0" w:space="0" w:color="auto"/>
            <w:bottom w:val="none" w:sz="0" w:space="0" w:color="auto"/>
            <w:right w:val="none" w:sz="0" w:space="0" w:color="auto"/>
          </w:divBdr>
        </w:div>
        <w:div w:id="2080008015">
          <w:marLeft w:val="0"/>
          <w:marRight w:val="0"/>
          <w:marTop w:val="0"/>
          <w:marBottom w:val="0"/>
          <w:divBdr>
            <w:top w:val="none" w:sz="0" w:space="0" w:color="auto"/>
            <w:left w:val="none" w:sz="0" w:space="0" w:color="auto"/>
            <w:bottom w:val="none" w:sz="0" w:space="0" w:color="auto"/>
            <w:right w:val="none" w:sz="0" w:space="0" w:color="auto"/>
          </w:divBdr>
        </w:div>
      </w:divsChild>
    </w:div>
    <w:div w:id="1963267435">
      <w:bodyDiv w:val="1"/>
      <w:marLeft w:val="0"/>
      <w:marRight w:val="0"/>
      <w:marTop w:val="0"/>
      <w:marBottom w:val="0"/>
      <w:divBdr>
        <w:top w:val="none" w:sz="0" w:space="0" w:color="auto"/>
        <w:left w:val="none" w:sz="0" w:space="0" w:color="auto"/>
        <w:bottom w:val="none" w:sz="0" w:space="0" w:color="auto"/>
        <w:right w:val="none" w:sz="0" w:space="0" w:color="auto"/>
      </w:divBdr>
    </w:div>
    <w:div w:id="1964073697">
      <w:bodyDiv w:val="1"/>
      <w:marLeft w:val="0"/>
      <w:marRight w:val="0"/>
      <w:marTop w:val="0"/>
      <w:marBottom w:val="0"/>
      <w:divBdr>
        <w:top w:val="none" w:sz="0" w:space="0" w:color="auto"/>
        <w:left w:val="none" w:sz="0" w:space="0" w:color="auto"/>
        <w:bottom w:val="none" w:sz="0" w:space="0" w:color="auto"/>
        <w:right w:val="none" w:sz="0" w:space="0" w:color="auto"/>
      </w:divBdr>
    </w:div>
    <w:div w:id="1982419100">
      <w:bodyDiv w:val="1"/>
      <w:marLeft w:val="0"/>
      <w:marRight w:val="0"/>
      <w:marTop w:val="0"/>
      <w:marBottom w:val="0"/>
      <w:divBdr>
        <w:top w:val="none" w:sz="0" w:space="0" w:color="auto"/>
        <w:left w:val="none" w:sz="0" w:space="0" w:color="auto"/>
        <w:bottom w:val="none" w:sz="0" w:space="0" w:color="auto"/>
        <w:right w:val="none" w:sz="0" w:space="0" w:color="auto"/>
      </w:divBdr>
      <w:divsChild>
        <w:div w:id="45418215">
          <w:marLeft w:val="0"/>
          <w:marRight w:val="0"/>
          <w:marTop w:val="0"/>
          <w:marBottom w:val="0"/>
          <w:divBdr>
            <w:top w:val="none" w:sz="0" w:space="0" w:color="auto"/>
            <w:left w:val="none" w:sz="0" w:space="0" w:color="auto"/>
            <w:bottom w:val="none" w:sz="0" w:space="0" w:color="auto"/>
            <w:right w:val="none" w:sz="0" w:space="0" w:color="auto"/>
          </w:divBdr>
        </w:div>
        <w:div w:id="124012079">
          <w:marLeft w:val="0"/>
          <w:marRight w:val="0"/>
          <w:marTop w:val="0"/>
          <w:marBottom w:val="0"/>
          <w:divBdr>
            <w:top w:val="none" w:sz="0" w:space="0" w:color="auto"/>
            <w:left w:val="none" w:sz="0" w:space="0" w:color="auto"/>
            <w:bottom w:val="none" w:sz="0" w:space="0" w:color="auto"/>
            <w:right w:val="none" w:sz="0" w:space="0" w:color="auto"/>
          </w:divBdr>
        </w:div>
        <w:div w:id="312880852">
          <w:marLeft w:val="0"/>
          <w:marRight w:val="0"/>
          <w:marTop w:val="0"/>
          <w:marBottom w:val="0"/>
          <w:divBdr>
            <w:top w:val="none" w:sz="0" w:space="0" w:color="auto"/>
            <w:left w:val="none" w:sz="0" w:space="0" w:color="auto"/>
            <w:bottom w:val="none" w:sz="0" w:space="0" w:color="auto"/>
            <w:right w:val="none" w:sz="0" w:space="0" w:color="auto"/>
          </w:divBdr>
        </w:div>
        <w:div w:id="481627894">
          <w:marLeft w:val="0"/>
          <w:marRight w:val="0"/>
          <w:marTop w:val="0"/>
          <w:marBottom w:val="0"/>
          <w:divBdr>
            <w:top w:val="none" w:sz="0" w:space="0" w:color="auto"/>
            <w:left w:val="none" w:sz="0" w:space="0" w:color="auto"/>
            <w:bottom w:val="none" w:sz="0" w:space="0" w:color="auto"/>
            <w:right w:val="none" w:sz="0" w:space="0" w:color="auto"/>
          </w:divBdr>
        </w:div>
        <w:div w:id="551309646">
          <w:marLeft w:val="0"/>
          <w:marRight w:val="0"/>
          <w:marTop w:val="0"/>
          <w:marBottom w:val="0"/>
          <w:divBdr>
            <w:top w:val="none" w:sz="0" w:space="0" w:color="auto"/>
            <w:left w:val="none" w:sz="0" w:space="0" w:color="auto"/>
            <w:bottom w:val="none" w:sz="0" w:space="0" w:color="auto"/>
            <w:right w:val="none" w:sz="0" w:space="0" w:color="auto"/>
          </w:divBdr>
        </w:div>
        <w:div w:id="699012471">
          <w:marLeft w:val="0"/>
          <w:marRight w:val="0"/>
          <w:marTop w:val="0"/>
          <w:marBottom w:val="0"/>
          <w:divBdr>
            <w:top w:val="none" w:sz="0" w:space="0" w:color="auto"/>
            <w:left w:val="none" w:sz="0" w:space="0" w:color="auto"/>
            <w:bottom w:val="none" w:sz="0" w:space="0" w:color="auto"/>
            <w:right w:val="none" w:sz="0" w:space="0" w:color="auto"/>
          </w:divBdr>
        </w:div>
        <w:div w:id="835924978">
          <w:marLeft w:val="0"/>
          <w:marRight w:val="0"/>
          <w:marTop w:val="0"/>
          <w:marBottom w:val="0"/>
          <w:divBdr>
            <w:top w:val="none" w:sz="0" w:space="0" w:color="auto"/>
            <w:left w:val="none" w:sz="0" w:space="0" w:color="auto"/>
            <w:bottom w:val="none" w:sz="0" w:space="0" w:color="auto"/>
            <w:right w:val="none" w:sz="0" w:space="0" w:color="auto"/>
          </w:divBdr>
        </w:div>
        <w:div w:id="1072045776">
          <w:marLeft w:val="0"/>
          <w:marRight w:val="0"/>
          <w:marTop w:val="0"/>
          <w:marBottom w:val="0"/>
          <w:divBdr>
            <w:top w:val="none" w:sz="0" w:space="0" w:color="auto"/>
            <w:left w:val="none" w:sz="0" w:space="0" w:color="auto"/>
            <w:bottom w:val="none" w:sz="0" w:space="0" w:color="auto"/>
            <w:right w:val="none" w:sz="0" w:space="0" w:color="auto"/>
          </w:divBdr>
        </w:div>
        <w:div w:id="1317031095">
          <w:marLeft w:val="0"/>
          <w:marRight w:val="0"/>
          <w:marTop w:val="0"/>
          <w:marBottom w:val="0"/>
          <w:divBdr>
            <w:top w:val="none" w:sz="0" w:space="0" w:color="auto"/>
            <w:left w:val="none" w:sz="0" w:space="0" w:color="auto"/>
            <w:bottom w:val="none" w:sz="0" w:space="0" w:color="auto"/>
            <w:right w:val="none" w:sz="0" w:space="0" w:color="auto"/>
          </w:divBdr>
        </w:div>
        <w:div w:id="1710302097">
          <w:marLeft w:val="0"/>
          <w:marRight w:val="0"/>
          <w:marTop w:val="0"/>
          <w:marBottom w:val="0"/>
          <w:divBdr>
            <w:top w:val="none" w:sz="0" w:space="0" w:color="auto"/>
            <w:left w:val="none" w:sz="0" w:space="0" w:color="auto"/>
            <w:bottom w:val="none" w:sz="0" w:space="0" w:color="auto"/>
            <w:right w:val="none" w:sz="0" w:space="0" w:color="auto"/>
          </w:divBdr>
        </w:div>
        <w:div w:id="1980114516">
          <w:marLeft w:val="0"/>
          <w:marRight w:val="0"/>
          <w:marTop w:val="0"/>
          <w:marBottom w:val="0"/>
          <w:divBdr>
            <w:top w:val="none" w:sz="0" w:space="0" w:color="auto"/>
            <w:left w:val="none" w:sz="0" w:space="0" w:color="auto"/>
            <w:bottom w:val="none" w:sz="0" w:space="0" w:color="auto"/>
            <w:right w:val="none" w:sz="0" w:space="0" w:color="auto"/>
          </w:divBdr>
        </w:div>
      </w:divsChild>
    </w:div>
    <w:div w:id="1983925537">
      <w:bodyDiv w:val="1"/>
      <w:marLeft w:val="0"/>
      <w:marRight w:val="0"/>
      <w:marTop w:val="0"/>
      <w:marBottom w:val="0"/>
      <w:divBdr>
        <w:top w:val="none" w:sz="0" w:space="0" w:color="auto"/>
        <w:left w:val="none" w:sz="0" w:space="0" w:color="auto"/>
        <w:bottom w:val="none" w:sz="0" w:space="0" w:color="auto"/>
        <w:right w:val="none" w:sz="0" w:space="0" w:color="auto"/>
      </w:divBdr>
    </w:div>
    <w:div w:id="2006280482">
      <w:bodyDiv w:val="1"/>
      <w:marLeft w:val="0"/>
      <w:marRight w:val="0"/>
      <w:marTop w:val="0"/>
      <w:marBottom w:val="0"/>
      <w:divBdr>
        <w:top w:val="none" w:sz="0" w:space="0" w:color="auto"/>
        <w:left w:val="none" w:sz="0" w:space="0" w:color="auto"/>
        <w:bottom w:val="none" w:sz="0" w:space="0" w:color="auto"/>
        <w:right w:val="none" w:sz="0" w:space="0" w:color="auto"/>
      </w:divBdr>
      <w:divsChild>
        <w:div w:id="16541911">
          <w:marLeft w:val="0"/>
          <w:marRight w:val="0"/>
          <w:marTop w:val="0"/>
          <w:marBottom w:val="0"/>
          <w:divBdr>
            <w:top w:val="none" w:sz="0" w:space="0" w:color="auto"/>
            <w:left w:val="none" w:sz="0" w:space="0" w:color="auto"/>
            <w:bottom w:val="none" w:sz="0" w:space="0" w:color="auto"/>
            <w:right w:val="none" w:sz="0" w:space="0" w:color="auto"/>
          </w:divBdr>
        </w:div>
        <w:div w:id="623731073">
          <w:marLeft w:val="0"/>
          <w:marRight w:val="0"/>
          <w:marTop w:val="0"/>
          <w:marBottom w:val="0"/>
          <w:divBdr>
            <w:top w:val="none" w:sz="0" w:space="0" w:color="auto"/>
            <w:left w:val="none" w:sz="0" w:space="0" w:color="auto"/>
            <w:bottom w:val="none" w:sz="0" w:space="0" w:color="auto"/>
            <w:right w:val="none" w:sz="0" w:space="0" w:color="auto"/>
          </w:divBdr>
        </w:div>
        <w:div w:id="795413327">
          <w:marLeft w:val="0"/>
          <w:marRight w:val="0"/>
          <w:marTop w:val="0"/>
          <w:marBottom w:val="0"/>
          <w:divBdr>
            <w:top w:val="none" w:sz="0" w:space="0" w:color="auto"/>
            <w:left w:val="none" w:sz="0" w:space="0" w:color="auto"/>
            <w:bottom w:val="none" w:sz="0" w:space="0" w:color="auto"/>
            <w:right w:val="none" w:sz="0" w:space="0" w:color="auto"/>
          </w:divBdr>
        </w:div>
        <w:div w:id="1216163613">
          <w:marLeft w:val="0"/>
          <w:marRight w:val="0"/>
          <w:marTop w:val="0"/>
          <w:marBottom w:val="0"/>
          <w:divBdr>
            <w:top w:val="none" w:sz="0" w:space="0" w:color="auto"/>
            <w:left w:val="none" w:sz="0" w:space="0" w:color="auto"/>
            <w:bottom w:val="none" w:sz="0" w:space="0" w:color="auto"/>
            <w:right w:val="none" w:sz="0" w:space="0" w:color="auto"/>
          </w:divBdr>
        </w:div>
        <w:div w:id="1677924167">
          <w:marLeft w:val="0"/>
          <w:marRight w:val="0"/>
          <w:marTop w:val="0"/>
          <w:marBottom w:val="0"/>
          <w:divBdr>
            <w:top w:val="none" w:sz="0" w:space="0" w:color="auto"/>
            <w:left w:val="none" w:sz="0" w:space="0" w:color="auto"/>
            <w:bottom w:val="none" w:sz="0" w:space="0" w:color="auto"/>
            <w:right w:val="none" w:sz="0" w:space="0" w:color="auto"/>
          </w:divBdr>
        </w:div>
        <w:div w:id="1867139492">
          <w:marLeft w:val="0"/>
          <w:marRight w:val="0"/>
          <w:marTop w:val="0"/>
          <w:marBottom w:val="0"/>
          <w:divBdr>
            <w:top w:val="none" w:sz="0" w:space="0" w:color="auto"/>
            <w:left w:val="none" w:sz="0" w:space="0" w:color="auto"/>
            <w:bottom w:val="none" w:sz="0" w:space="0" w:color="auto"/>
            <w:right w:val="none" w:sz="0" w:space="0" w:color="auto"/>
          </w:divBdr>
        </w:div>
      </w:divsChild>
    </w:div>
    <w:div w:id="2015263213">
      <w:bodyDiv w:val="1"/>
      <w:marLeft w:val="0"/>
      <w:marRight w:val="0"/>
      <w:marTop w:val="0"/>
      <w:marBottom w:val="0"/>
      <w:divBdr>
        <w:top w:val="none" w:sz="0" w:space="0" w:color="auto"/>
        <w:left w:val="none" w:sz="0" w:space="0" w:color="auto"/>
        <w:bottom w:val="none" w:sz="0" w:space="0" w:color="auto"/>
        <w:right w:val="none" w:sz="0" w:space="0" w:color="auto"/>
      </w:divBdr>
    </w:div>
    <w:div w:id="2038965119">
      <w:bodyDiv w:val="1"/>
      <w:marLeft w:val="0"/>
      <w:marRight w:val="0"/>
      <w:marTop w:val="0"/>
      <w:marBottom w:val="0"/>
      <w:divBdr>
        <w:top w:val="none" w:sz="0" w:space="0" w:color="auto"/>
        <w:left w:val="none" w:sz="0" w:space="0" w:color="auto"/>
        <w:bottom w:val="none" w:sz="0" w:space="0" w:color="auto"/>
        <w:right w:val="none" w:sz="0" w:space="0" w:color="auto"/>
      </w:divBdr>
    </w:div>
    <w:div w:id="2061702759">
      <w:bodyDiv w:val="1"/>
      <w:marLeft w:val="0"/>
      <w:marRight w:val="0"/>
      <w:marTop w:val="0"/>
      <w:marBottom w:val="0"/>
      <w:divBdr>
        <w:top w:val="none" w:sz="0" w:space="0" w:color="auto"/>
        <w:left w:val="none" w:sz="0" w:space="0" w:color="auto"/>
        <w:bottom w:val="none" w:sz="0" w:space="0" w:color="auto"/>
        <w:right w:val="none" w:sz="0" w:space="0" w:color="auto"/>
      </w:divBdr>
      <w:divsChild>
        <w:div w:id="240801137">
          <w:marLeft w:val="0"/>
          <w:marRight w:val="0"/>
          <w:marTop w:val="0"/>
          <w:marBottom w:val="0"/>
          <w:divBdr>
            <w:top w:val="none" w:sz="0" w:space="0" w:color="auto"/>
            <w:left w:val="none" w:sz="0" w:space="0" w:color="auto"/>
            <w:bottom w:val="none" w:sz="0" w:space="0" w:color="auto"/>
            <w:right w:val="none" w:sz="0" w:space="0" w:color="auto"/>
          </w:divBdr>
        </w:div>
        <w:div w:id="593125750">
          <w:marLeft w:val="0"/>
          <w:marRight w:val="0"/>
          <w:marTop w:val="0"/>
          <w:marBottom w:val="0"/>
          <w:divBdr>
            <w:top w:val="none" w:sz="0" w:space="0" w:color="auto"/>
            <w:left w:val="none" w:sz="0" w:space="0" w:color="auto"/>
            <w:bottom w:val="none" w:sz="0" w:space="0" w:color="auto"/>
            <w:right w:val="none" w:sz="0" w:space="0" w:color="auto"/>
          </w:divBdr>
        </w:div>
        <w:div w:id="706415405">
          <w:marLeft w:val="0"/>
          <w:marRight w:val="0"/>
          <w:marTop w:val="0"/>
          <w:marBottom w:val="0"/>
          <w:divBdr>
            <w:top w:val="none" w:sz="0" w:space="0" w:color="auto"/>
            <w:left w:val="none" w:sz="0" w:space="0" w:color="auto"/>
            <w:bottom w:val="none" w:sz="0" w:space="0" w:color="auto"/>
            <w:right w:val="none" w:sz="0" w:space="0" w:color="auto"/>
          </w:divBdr>
        </w:div>
        <w:div w:id="956333730">
          <w:marLeft w:val="0"/>
          <w:marRight w:val="0"/>
          <w:marTop w:val="0"/>
          <w:marBottom w:val="0"/>
          <w:divBdr>
            <w:top w:val="none" w:sz="0" w:space="0" w:color="auto"/>
            <w:left w:val="none" w:sz="0" w:space="0" w:color="auto"/>
            <w:bottom w:val="none" w:sz="0" w:space="0" w:color="auto"/>
            <w:right w:val="none" w:sz="0" w:space="0" w:color="auto"/>
          </w:divBdr>
        </w:div>
        <w:div w:id="1230726766">
          <w:marLeft w:val="0"/>
          <w:marRight w:val="0"/>
          <w:marTop w:val="0"/>
          <w:marBottom w:val="0"/>
          <w:divBdr>
            <w:top w:val="none" w:sz="0" w:space="0" w:color="auto"/>
            <w:left w:val="none" w:sz="0" w:space="0" w:color="auto"/>
            <w:bottom w:val="none" w:sz="0" w:space="0" w:color="auto"/>
            <w:right w:val="none" w:sz="0" w:space="0" w:color="auto"/>
          </w:divBdr>
        </w:div>
        <w:div w:id="1721436607">
          <w:marLeft w:val="0"/>
          <w:marRight w:val="0"/>
          <w:marTop w:val="0"/>
          <w:marBottom w:val="0"/>
          <w:divBdr>
            <w:top w:val="none" w:sz="0" w:space="0" w:color="auto"/>
            <w:left w:val="none" w:sz="0" w:space="0" w:color="auto"/>
            <w:bottom w:val="none" w:sz="0" w:space="0" w:color="auto"/>
            <w:right w:val="none" w:sz="0" w:space="0" w:color="auto"/>
          </w:divBdr>
        </w:div>
      </w:divsChild>
    </w:div>
    <w:div w:id="2079085119">
      <w:bodyDiv w:val="1"/>
      <w:marLeft w:val="0"/>
      <w:marRight w:val="0"/>
      <w:marTop w:val="0"/>
      <w:marBottom w:val="0"/>
      <w:divBdr>
        <w:top w:val="none" w:sz="0" w:space="0" w:color="auto"/>
        <w:left w:val="none" w:sz="0" w:space="0" w:color="auto"/>
        <w:bottom w:val="none" w:sz="0" w:space="0" w:color="auto"/>
        <w:right w:val="none" w:sz="0" w:space="0" w:color="auto"/>
      </w:divBdr>
    </w:div>
    <w:div w:id="2081051064">
      <w:bodyDiv w:val="1"/>
      <w:marLeft w:val="0"/>
      <w:marRight w:val="0"/>
      <w:marTop w:val="0"/>
      <w:marBottom w:val="0"/>
      <w:divBdr>
        <w:top w:val="none" w:sz="0" w:space="0" w:color="auto"/>
        <w:left w:val="none" w:sz="0" w:space="0" w:color="auto"/>
        <w:bottom w:val="none" w:sz="0" w:space="0" w:color="auto"/>
        <w:right w:val="none" w:sz="0" w:space="0" w:color="auto"/>
      </w:divBdr>
    </w:div>
    <w:div w:id="2101639919">
      <w:bodyDiv w:val="1"/>
      <w:marLeft w:val="0"/>
      <w:marRight w:val="0"/>
      <w:marTop w:val="0"/>
      <w:marBottom w:val="0"/>
      <w:divBdr>
        <w:top w:val="none" w:sz="0" w:space="0" w:color="auto"/>
        <w:left w:val="none" w:sz="0" w:space="0" w:color="auto"/>
        <w:bottom w:val="none" w:sz="0" w:space="0" w:color="auto"/>
        <w:right w:val="none" w:sz="0" w:space="0" w:color="auto"/>
      </w:divBdr>
    </w:div>
    <w:div w:id="2129540518">
      <w:bodyDiv w:val="1"/>
      <w:marLeft w:val="0"/>
      <w:marRight w:val="0"/>
      <w:marTop w:val="0"/>
      <w:marBottom w:val="0"/>
      <w:divBdr>
        <w:top w:val="none" w:sz="0" w:space="0" w:color="auto"/>
        <w:left w:val="none" w:sz="0" w:space="0" w:color="auto"/>
        <w:bottom w:val="none" w:sz="0" w:space="0" w:color="auto"/>
        <w:right w:val="none" w:sz="0" w:space="0" w:color="auto"/>
      </w:divBdr>
      <w:divsChild>
        <w:div w:id="273710000">
          <w:marLeft w:val="0"/>
          <w:marRight w:val="0"/>
          <w:marTop w:val="0"/>
          <w:marBottom w:val="0"/>
          <w:divBdr>
            <w:top w:val="none" w:sz="0" w:space="0" w:color="auto"/>
            <w:left w:val="none" w:sz="0" w:space="0" w:color="auto"/>
            <w:bottom w:val="none" w:sz="0" w:space="0" w:color="auto"/>
            <w:right w:val="none" w:sz="0" w:space="0" w:color="auto"/>
          </w:divBdr>
        </w:div>
        <w:div w:id="279143365">
          <w:marLeft w:val="0"/>
          <w:marRight w:val="0"/>
          <w:marTop w:val="0"/>
          <w:marBottom w:val="0"/>
          <w:divBdr>
            <w:top w:val="none" w:sz="0" w:space="0" w:color="auto"/>
            <w:left w:val="none" w:sz="0" w:space="0" w:color="auto"/>
            <w:bottom w:val="none" w:sz="0" w:space="0" w:color="auto"/>
            <w:right w:val="none" w:sz="0" w:space="0" w:color="auto"/>
          </w:divBdr>
        </w:div>
        <w:div w:id="415445732">
          <w:marLeft w:val="0"/>
          <w:marRight w:val="0"/>
          <w:marTop w:val="0"/>
          <w:marBottom w:val="0"/>
          <w:divBdr>
            <w:top w:val="none" w:sz="0" w:space="0" w:color="auto"/>
            <w:left w:val="none" w:sz="0" w:space="0" w:color="auto"/>
            <w:bottom w:val="none" w:sz="0" w:space="0" w:color="auto"/>
            <w:right w:val="none" w:sz="0" w:space="0" w:color="auto"/>
          </w:divBdr>
        </w:div>
        <w:div w:id="764573244">
          <w:marLeft w:val="0"/>
          <w:marRight w:val="0"/>
          <w:marTop w:val="0"/>
          <w:marBottom w:val="0"/>
          <w:divBdr>
            <w:top w:val="none" w:sz="0" w:space="0" w:color="auto"/>
            <w:left w:val="none" w:sz="0" w:space="0" w:color="auto"/>
            <w:bottom w:val="none" w:sz="0" w:space="0" w:color="auto"/>
            <w:right w:val="none" w:sz="0" w:space="0" w:color="auto"/>
          </w:divBdr>
        </w:div>
      </w:divsChild>
    </w:div>
    <w:div w:id="2130472465">
      <w:bodyDiv w:val="1"/>
      <w:marLeft w:val="0"/>
      <w:marRight w:val="0"/>
      <w:marTop w:val="0"/>
      <w:marBottom w:val="0"/>
      <w:divBdr>
        <w:top w:val="none" w:sz="0" w:space="0" w:color="auto"/>
        <w:left w:val="none" w:sz="0" w:space="0" w:color="auto"/>
        <w:bottom w:val="none" w:sz="0" w:space="0" w:color="auto"/>
        <w:right w:val="none" w:sz="0" w:space="0" w:color="auto"/>
      </w:divBdr>
    </w:div>
    <w:div w:id="2134976812">
      <w:bodyDiv w:val="1"/>
      <w:marLeft w:val="0"/>
      <w:marRight w:val="0"/>
      <w:marTop w:val="0"/>
      <w:marBottom w:val="0"/>
      <w:divBdr>
        <w:top w:val="none" w:sz="0" w:space="0" w:color="auto"/>
        <w:left w:val="none" w:sz="0" w:space="0" w:color="auto"/>
        <w:bottom w:val="none" w:sz="0" w:space="0" w:color="auto"/>
        <w:right w:val="none" w:sz="0" w:space="0" w:color="auto"/>
      </w:divBdr>
    </w:div>
    <w:div w:id="2147041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hyperlink" Target="https://finance.gov.sk/sk/financie/institut-financnej-politiky/publikacie-ifp/diskusne-studie/3-skrutkovac-hodnotu-za-peniaze-oktober-2018.html" TargetMode="External"/><Relationship Id="rId21" Type="http://schemas.openxmlformats.org/officeDocument/2006/relationships/image" Target="media/image9.png"/><Relationship Id="rId34" Type="http://schemas.openxmlformats.org/officeDocument/2006/relationships/hyperlink" Target="https://finance.gov.sk/sk/financie/statne-vykaznictvo/suhrnna-vyrocna-sprava-sr/" TargetMode="External"/><Relationship Id="rId42" Type="http://schemas.openxmlformats.org/officeDocument/2006/relationships/hyperlink" Target="https://www.rozpoctovarada.sk/download2/hodnotenie_rvs_2020_2022.pdf" TargetMode="External"/><Relationship Id="rId47" Type="http://schemas.openxmlformats.org/officeDocument/2006/relationships/hyperlink" Target="https://www.rozpoctovarada.sk/download2/sustainability_report_2020_zhrnutie.pdf" TargetMode="External"/><Relationship Id="rId50" Type="http://schemas.openxmlformats.org/officeDocument/2006/relationships/hyperlink" Target="https://www.rozpoctovarada.sk/download2/sustainability_report_2019_final.pdf" TargetMode="External"/><Relationship Id="rId55" Type="http://schemas.openxmlformats.org/officeDocument/2006/relationships/hyperlink" Target="http://www.rozpoctovarada.sk/download2/dp1_2012_final.pdf" TargetMode="External"/><Relationship Id="rId63" Type="http://schemas.openxmlformats.org/officeDocument/2006/relationships/image" Target="media/image21.png"/><Relationship Id="rId68" Type="http://schemas.openxmlformats.org/officeDocument/2006/relationships/image" Target="media/image26.pn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4.png"/><Relationship Id="rId11" Type="http://schemas.openxmlformats.org/officeDocument/2006/relationships/image" Target="media/image1.jpeg"/><Relationship Id="rId24" Type="http://schemas.openxmlformats.org/officeDocument/2006/relationships/hyperlink" Target="https://www.mfsr.sk/sk/financie/institut-financnej-politiky/publikacie-ifp/komentare/komentare-z-roku-2020/9-statna-kasa-uzde-jul-2020.html" TargetMode="External"/><Relationship Id="rId32" Type="http://schemas.openxmlformats.org/officeDocument/2006/relationships/hyperlink" Target="https://www.mfsr.sk/sk/financie/institut-financnej-politiky/strategicke-materialy/zdovodnenie-vysky-dlhu/" TargetMode="External"/><Relationship Id="rId37" Type="http://schemas.openxmlformats.org/officeDocument/2006/relationships/hyperlink" Target="https://finance.gov.sk/sk/financie/institut-financnej-politiky/publikacie-ifp/manualy/zverejnovanie-danovych-vydavkov.html" TargetMode="External"/><Relationship Id="rId40" Type="http://schemas.openxmlformats.org/officeDocument/2006/relationships/hyperlink" Target="https://www.rozpoctovarada.sk/download2/hodnotenie_pravidiel_2019.pdf" TargetMode="External"/><Relationship Id="rId45" Type="http://schemas.openxmlformats.org/officeDocument/2006/relationships/hyperlink" Target="https://www.rozpoctovarada.sk/download2/hodnotenie_nrvs_2019_2021.pdf" TargetMode="External"/><Relationship Id="rId53" Type="http://schemas.openxmlformats.org/officeDocument/2006/relationships/hyperlink" Target="https://www.rozpoctovarada.sk/download2/fiscal_compact_2018_dec_zhrnutie.pdf" TargetMode="External"/><Relationship Id="rId58" Type="http://schemas.openxmlformats.org/officeDocument/2006/relationships/hyperlink" Target="http://www.rozpoctovarada.sk/svk/rozpocet/277/zostavenie-zakladneho-scenara-vyvoja-verejnych-financii" TargetMode="External"/><Relationship Id="rId66" Type="http://schemas.openxmlformats.org/officeDocument/2006/relationships/image" Target="media/image24.png"/><Relationship Id="rId74"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www.mfsr.sk/sk/financie/institut-financnej-politiky/publikacie-ifp/diskusne-studie/3-skrutkovac-hodnotu-za-peniaze-oktober-2018.html" TargetMode="External"/><Relationship Id="rId28" Type="http://schemas.openxmlformats.org/officeDocument/2006/relationships/image" Target="media/image13.png"/><Relationship Id="rId36" Type="http://schemas.openxmlformats.org/officeDocument/2006/relationships/hyperlink" Target="https://finance.gov.sk/sk/financie/verejne-financie/rozpocet-verejnej-spravy/" TargetMode="External"/><Relationship Id="rId49" Type="http://schemas.openxmlformats.org/officeDocument/2006/relationships/hyperlink" Target="https://www.rozpoctovarada.sk/download2/sustainability_report_2019_zhrnutie_final.pdf" TargetMode="External"/><Relationship Id="rId57" Type="http://schemas.openxmlformats.org/officeDocument/2006/relationships/hyperlink" Target="http://www.rozpoctovarada.sk/download2/dp1_2012_final.pdf" TargetMode="External"/><Relationship Id="rId61" Type="http://schemas.openxmlformats.org/officeDocument/2006/relationships/image" Target="media/image19.emf"/><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hyperlink" Target="https://www.rozpoctovarada.sk/download2/hodnotenie_nrvs_2019_2021_zhrnutie.pdf" TargetMode="External"/><Relationship Id="rId52" Type="http://schemas.openxmlformats.org/officeDocument/2006/relationships/hyperlink" Target="https://www.rozpoctovarada.sk/download2/strednodobe_ciele_2019.pdf" TargetMode="External"/><Relationship Id="rId60" Type="http://schemas.openxmlformats.org/officeDocument/2006/relationships/image" Target="media/image18.png"/><Relationship Id="rId65" Type="http://schemas.openxmlformats.org/officeDocument/2006/relationships/image" Target="media/image23.png"/><Relationship Id="rId73" Type="http://schemas.openxmlformats.org/officeDocument/2006/relationships/image" Target="media/image2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hyperlink" Target="https://www.mfsr.sk/sk/financie/institut-financnej-politiky/publikacie-ifp/komentare/komentare-z-roku-2020/9-statna-kasa-uzde-jul-2020.html"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finance.gov.sk/sk/financie/verejne-financie/rozpocet-verejnej-spravy/" TargetMode="External"/><Relationship Id="rId43" Type="http://schemas.openxmlformats.org/officeDocument/2006/relationships/hyperlink" Target="https://www.rozpoctovarada.sk/download2/hodnotenie_rvs_2020_2022_addendum.pdf" TargetMode="External"/><Relationship Id="rId48" Type="http://schemas.openxmlformats.org/officeDocument/2006/relationships/hyperlink" Target="https://www.rozpoctovarada.sk/download2/sustainability_report_2020.pdf" TargetMode="External"/><Relationship Id="rId56" Type="http://schemas.openxmlformats.org/officeDocument/2006/relationships/hyperlink" Target="http://www.rozpoctovarada.sk/svk/rozpocet/277/zostavenie-zakladneho-scenara-vyvoja-verejnych-financii" TargetMode="External"/><Relationship Id="rId64" Type="http://schemas.openxmlformats.org/officeDocument/2006/relationships/image" Target="media/image22.png"/><Relationship Id="rId69" Type="http://schemas.openxmlformats.org/officeDocument/2006/relationships/header" Target="header1.xm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rozpoctovarada.sk/download2/strednodobe_ciele_2019_zhrnutie.pdf" TargetMode="External"/><Relationship Id="rId7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sekretariat@rrz.sk" TargetMode="External"/><Relationship Id="rId17" Type="http://schemas.openxmlformats.org/officeDocument/2006/relationships/image" Target="media/image6.png"/><Relationship Id="rId25" Type="http://schemas.openxmlformats.org/officeDocument/2006/relationships/image" Target="media/image10.emf"/><Relationship Id="rId33" Type="http://schemas.openxmlformats.org/officeDocument/2006/relationships/hyperlink" Target="https://finance.gov.sk/sk/financie/statne-vykaznictvo/suhrnna-vyrocna-sprava-sr/" TargetMode="External"/><Relationship Id="rId38" Type="http://schemas.openxmlformats.org/officeDocument/2006/relationships/hyperlink" Target="https://finance.gov.sk/sk/financie/institut-financnej-politiky/publikacie-ifp/manualy/jednorazove-vplyvy.html" TargetMode="External"/><Relationship Id="rId46" Type="http://schemas.openxmlformats.org/officeDocument/2006/relationships/hyperlink" Target="https://www.rozpoctovarada.sk/download2/hodnotenie_rvs_2019_2021_addendum.pdf" TargetMode="External"/><Relationship Id="rId59" Type="http://schemas.openxmlformats.org/officeDocument/2006/relationships/image" Target="media/image17.png"/><Relationship Id="rId67" Type="http://schemas.openxmlformats.org/officeDocument/2006/relationships/image" Target="media/image25.png"/><Relationship Id="rId20" Type="http://schemas.openxmlformats.org/officeDocument/2006/relationships/hyperlink" Target="https://www.rozpoctovarada.sk/svk/rozpocet/436/hodnotenie-strednodobych-rozpoctovych-cielov-na-roky-2020-az-2023" TargetMode="External"/><Relationship Id="rId41" Type="http://schemas.openxmlformats.org/officeDocument/2006/relationships/hyperlink" Target="https://www.rozpoctovarada.sk/download2/hodnotenie_rvs_2020_2022_zhrnutie.pdf" TargetMode="External"/><Relationship Id="rId54" Type="http://schemas.openxmlformats.org/officeDocument/2006/relationships/hyperlink" Target="https://www.rozpoctovarada.sk/download2/fiscal_compact_2018_dec.pdf" TargetMode="External"/><Relationship Id="rId62" Type="http://schemas.openxmlformats.org/officeDocument/2006/relationships/image" Target="media/image20.png"/><Relationship Id="rId70" Type="http://schemas.openxmlformats.org/officeDocument/2006/relationships/footer" Target="footer1.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8.png"/></Relationships>
</file>

<file path=word/_rels/footnotes.xml.rels><?xml version="1.0" encoding="UTF-8" standalone="yes"?>
<Relationships xmlns="http://schemas.openxmlformats.org/package/2006/relationships"><Relationship Id="rId8" Type="http://schemas.openxmlformats.org/officeDocument/2006/relationships/hyperlink" Target="https://rokovania.gov.sk/RVL/Resolution/18095/" TargetMode="External"/><Relationship Id="rId13" Type="http://schemas.openxmlformats.org/officeDocument/2006/relationships/hyperlink" Target="https://rokovania.gov.sk/RVL/Resolution/18014/1" TargetMode="External"/><Relationship Id="rId18" Type="http://schemas.openxmlformats.org/officeDocument/2006/relationships/hyperlink" Target="https://www.crz.gov.sk/index.php?ID=4007968&amp;l=sk" TargetMode="External"/><Relationship Id="rId26" Type="http://schemas.openxmlformats.org/officeDocument/2006/relationships/hyperlink" Target="https://www.nrsr.sk/web/Default.aspx?sid=zakony/cpt&amp;ZakZborID=13&amp;CisObdobia=7&amp;ID=751" TargetMode="External"/><Relationship Id="rId39" Type="http://schemas.openxmlformats.org/officeDocument/2006/relationships/hyperlink" Target="https://www.rozpoctovarada.sk/download2/ostatne_odpovede_nrvs20_22.pdf" TargetMode="External"/><Relationship Id="rId3" Type="http://schemas.openxmlformats.org/officeDocument/2006/relationships/hyperlink" Target="https://www.mfsr.sk/sk/financie/institut-financnej-politiky/publikacie-ifp/komentare/komentare-z-roku-2020/9-statna-kasa-uzde-jul-2020.html" TargetMode="External"/><Relationship Id="rId21" Type="http://schemas.openxmlformats.org/officeDocument/2006/relationships/hyperlink" Target="https://rokovania.gov.sk/RVL/Material/23712/1" TargetMode="External"/><Relationship Id="rId34" Type="http://schemas.openxmlformats.org/officeDocument/2006/relationships/hyperlink" Target="https://www.mfsr.sk/sk/financie/institut-financnej-politiky/strategicke-materialy/fiskalny-kompakt/fiskalny-kompakt.html" TargetMode="External"/><Relationship Id="rId42" Type="http://schemas.openxmlformats.org/officeDocument/2006/relationships/hyperlink" Target="https://ec.europa.eu/eurostat/documents/3859598/9530664/KS-GQ-18-012-EN-N.pdf" TargetMode="External"/><Relationship Id="rId7" Type="http://schemas.openxmlformats.org/officeDocument/2006/relationships/hyperlink" Target="https://www.mfsr.sk/sk/media/tlacove-spravy/informacia-predpokladanom-vyvoji-rozpoctu-verejnej-spravy-roku-2020.html" TargetMode="External"/><Relationship Id="rId12" Type="http://schemas.openxmlformats.org/officeDocument/2006/relationships/hyperlink" Target="https://www.crz.gov.sk/index.php?ID=3331588&amp;l=sk" TargetMode="External"/><Relationship Id="rId17" Type="http://schemas.openxmlformats.org/officeDocument/2006/relationships/hyperlink" Target="https://rokovania.gov.sk/RVL/Material/23712/1" TargetMode="External"/><Relationship Id="rId25" Type="http://schemas.openxmlformats.org/officeDocument/2006/relationships/hyperlink" Target="https://rokovania.gov.sk/RVL/Material/25147/1" TargetMode="External"/><Relationship Id="rId33" Type="http://schemas.openxmlformats.org/officeDocument/2006/relationships/hyperlink" Target="https://www.finance.gov.sk/sk/financie/institut-financnej-politiky/publikacie-ifp/diskusne-studie/3-skrutkovac-hodnotu-za-peniaze-oktober-2018.html" TargetMode="External"/><Relationship Id="rId38" Type="http://schemas.openxmlformats.org/officeDocument/2006/relationships/hyperlink" Target="https://www.slov-lex.sk/legislativne-procesy/SK/LP/2020/348" TargetMode="External"/><Relationship Id="rId2" Type="http://schemas.openxmlformats.org/officeDocument/2006/relationships/hyperlink" Target="https://www.mfsr.sk/sk/financie/institut-financnej-politiky/strategicke-materialy/program-stability/program-stability.html" TargetMode="External"/><Relationship Id="rId16" Type="http://schemas.openxmlformats.org/officeDocument/2006/relationships/hyperlink" Target="https://www.crz.gov.sk/index.php?ID=4007959&amp;l=sk" TargetMode="External"/><Relationship Id="rId20" Type="http://schemas.openxmlformats.org/officeDocument/2006/relationships/hyperlink" Target="https://www.crz.gov.sk/index.php?ID=4013458&amp;l=sk" TargetMode="External"/><Relationship Id="rId29" Type="http://schemas.openxmlformats.org/officeDocument/2006/relationships/hyperlink" Target="http://www.rozpoctovarada.sk/svk/rozpocet/277/zostavenie-zakladneho-scenara-vyvoja-verejnych-financii" TargetMode="External"/><Relationship Id="rId41" Type="http://schemas.openxmlformats.org/officeDocument/2006/relationships/hyperlink" Target="https://ec.europa.eu/eurostat/web/products-manuals-and-guidelines/-/KS-GQ-19-007" TargetMode="External"/><Relationship Id="rId1" Type="http://schemas.openxmlformats.org/officeDocument/2006/relationships/hyperlink" Target="https://www.rozpoctovarada.sk/download2/fiscal_compact_2019_jul_zhrnutie.pdf" TargetMode="External"/><Relationship Id="rId6" Type="http://schemas.openxmlformats.org/officeDocument/2006/relationships/hyperlink" Target="https://ec.europa.eu/eurostat/documents/2995521/10294660/2-23042020-AP-EN.pdf/82252e2f-7336-a45b-9735-5dc29176aa06" TargetMode="External"/><Relationship Id="rId11" Type="http://schemas.openxmlformats.org/officeDocument/2006/relationships/hyperlink" Target="https://rokovania.gov.sk/RVL/Material/22656/1" TargetMode="External"/><Relationship Id="rId24" Type="http://schemas.openxmlformats.org/officeDocument/2006/relationships/hyperlink" Target="https://www.crz.gov.sk/index.php?ID=4178756&amp;l=sk" TargetMode="External"/><Relationship Id="rId32" Type="http://schemas.openxmlformats.org/officeDocument/2006/relationships/hyperlink" Target="https://www.rozpoctovarada.sk/svk/rozpocet/438/hodnotenie-plnenia-pravidla-o-vyrovnanom-rozpocte-za-rok-2019" TargetMode="External"/><Relationship Id="rId37" Type="http://schemas.openxmlformats.org/officeDocument/2006/relationships/hyperlink" Target="https://www.mfsr.sk/sk/financie/institut-financnej-politiky/ekonomicke-prognozy/danove-prognozy/55-zasadnutie-vyboru-danove-prognozy-november-2019.html" TargetMode="External"/><Relationship Id="rId40" Type="http://schemas.openxmlformats.org/officeDocument/2006/relationships/hyperlink" Target="https://www.mfsr.sk/sk/financie/institut-financnej-politiky/strategicke-materialy/program-stability/program-stability.html" TargetMode="External"/><Relationship Id="rId5" Type="http://schemas.openxmlformats.org/officeDocument/2006/relationships/hyperlink" Target="https://www.mfsr.sk/sk/financie/institut-financnej-politiky/strategicke-materialy/zdovodnenie-vysky-dlhu/" TargetMode="External"/><Relationship Id="rId15" Type="http://schemas.openxmlformats.org/officeDocument/2006/relationships/hyperlink" Target="https://rokovania.gov.sk/RVL/Material/23712/1" TargetMode="External"/><Relationship Id="rId23" Type="http://schemas.openxmlformats.org/officeDocument/2006/relationships/hyperlink" Target="https://rokovania.gov.sk/RVL/Resolution/17834/1" TargetMode="External"/><Relationship Id="rId28" Type="http://schemas.openxmlformats.org/officeDocument/2006/relationships/hyperlink" Target="http://www.rozpoctovarada.sk/svk/rozpocet/161/ako-vyhodnocovat-dlhodobu-udrzatelnost-verejnych-financii-" TargetMode="External"/><Relationship Id="rId36" Type="http://schemas.openxmlformats.org/officeDocument/2006/relationships/hyperlink" Target="https://www.finance.gov.sk/sk/financie/institut-financnej-politiky/ekonomicke-prognozy/danove-prognozy/54-zasadnutie-vyboru-danove-prognozy-september-2019.html" TargetMode="External"/><Relationship Id="rId10" Type="http://schemas.openxmlformats.org/officeDocument/2006/relationships/hyperlink" Target="https://www.crz.gov.sk/index.php?ID=3976881&amp;l=sk" TargetMode="External"/><Relationship Id="rId19" Type="http://schemas.openxmlformats.org/officeDocument/2006/relationships/hyperlink" Target="https://rokovania.gov.sk/RVL/Material/23712/1" TargetMode="External"/><Relationship Id="rId31" Type="http://schemas.openxmlformats.org/officeDocument/2006/relationships/hyperlink" Target="http://www.rozpoctovarada.sk/svk/rozpocet/248/sprava-o-hodnoteni-plnenia-pravidiel-rozp-zodp-a-transp-082014" TargetMode="External"/><Relationship Id="rId4" Type="http://schemas.openxmlformats.org/officeDocument/2006/relationships/hyperlink" Target="https://www.nrsr.sk/dl/Browser/Document?documentId=273723" TargetMode="External"/><Relationship Id="rId9" Type="http://schemas.openxmlformats.org/officeDocument/2006/relationships/hyperlink" Target="https://rokovania.gov.sk/RVL/Resolution/17602/1" TargetMode="External"/><Relationship Id="rId14" Type="http://schemas.openxmlformats.org/officeDocument/2006/relationships/hyperlink" Target="https://www.crz.gov.sk/index.php?ID=4341514&amp;l=sk" TargetMode="External"/><Relationship Id="rId22" Type="http://schemas.openxmlformats.org/officeDocument/2006/relationships/hyperlink" Target="https://www.crz.gov.sk/index.php?ID=4013474&amp;l=sk" TargetMode="External"/><Relationship Id="rId27" Type="http://schemas.openxmlformats.org/officeDocument/2006/relationships/hyperlink" Target="https://www.nrsr.sk/web/Default.aspx?sid=zakony/cpt&amp;ZakZborID=13&amp;CisObdobia=7&amp;ID=1160" TargetMode="External"/><Relationship Id="rId30" Type="http://schemas.openxmlformats.org/officeDocument/2006/relationships/hyperlink" Target="http://www.rozpoctovarada.sk/svk/rozpocet/129/sprava-o-dlhodobej-udrzatelnosti-verejnych-financii" TargetMode="External"/><Relationship Id="rId35" Type="http://schemas.openxmlformats.org/officeDocument/2006/relationships/hyperlink" Target="https://rokovania.gov.sk/RVL/Material/24756/1" TargetMode="External"/><Relationship Id="rId43" Type="http://schemas.openxmlformats.org/officeDocument/2006/relationships/hyperlink" Target="https://finance.gov.sk/sk/financie/statne-vykaznictvo/suhrnna-vyrocna-sprava-s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85FC50C717C9744CA4818A20EB64BEC1" ma:contentTypeVersion="2" ma:contentTypeDescription="Umožňuje vytvoriť nový dokument." ma:contentTypeScope="" ma:versionID="0f189abf14e68f1f144a9a8f5abf6cdc">
  <xsd:schema xmlns:xsd="http://www.w3.org/2001/XMLSchema" xmlns:xs="http://www.w3.org/2001/XMLSchema" xmlns:p="http://schemas.microsoft.com/office/2006/metadata/properties" xmlns:ns2="ca4db26d-0966-4644-98fa-f613561e150e" targetNamespace="http://schemas.microsoft.com/office/2006/metadata/properties" ma:root="true" ma:fieldsID="30195abf47162746c9b6364483dfd99b" ns2:_="">
    <xsd:import namespace="ca4db26d-0966-4644-98fa-f613561e150e"/>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4db26d-0966-4644-98fa-f613561e15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920548-F94D-41E6-B7B0-0EBF7A4F2B0C}">
  <ds:schemaRef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ca4db26d-0966-4644-98fa-f613561e150e"/>
    <ds:schemaRef ds:uri="http://purl.org/dc/elements/1.1/"/>
    <ds:schemaRef ds:uri="http://schemas.microsoft.com/office/2006/metadata/properties"/>
    <ds:schemaRef ds:uri="http://www.w3.org/XML/1998/namespace"/>
    <ds:schemaRef ds:uri="http://purl.org/dc/terms/"/>
  </ds:schemaRefs>
</ds:datastoreItem>
</file>

<file path=customXml/itemProps2.xml><?xml version="1.0" encoding="utf-8"?>
<ds:datastoreItem xmlns:ds="http://schemas.openxmlformats.org/officeDocument/2006/customXml" ds:itemID="{2C7D98DA-DFE9-4AD6-9203-7109973CE6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4db26d-0966-4644-98fa-f613561e15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8F62E16-6501-4E18-9306-F03AC2B433F9}">
  <ds:schemaRefs>
    <ds:schemaRef ds:uri="http://schemas.microsoft.com/sharepoint/v3/contenttype/forms"/>
  </ds:schemaRefs>
</ds:datastoreItem>
</file>

<file path=customXml/itemProps4.xml><?xml version="1.0" encoding="utf-8"?>
<ds:datastoreItem xmlns:ds="http://schemas.openxmlformats.org/officeDocument/2006/customXml" ds:itemID="{B76A985A-3B64-448F-8DCB-9A6613526F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21229</Words>
  <Characters>135886</Characters>
  <Application>Microsoft Office Word</Application>
  <DocSecurity>4</DocSecurity>
  <Lines>1132</Lines>
  <Paragraphs>313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156802</CharactersWithSpaces>
  <SharedDoc>false</SharedDoc>
  <HLinks>
    <vt:vector size="804" baseType="variant">
      <vt:variant>
        <vt:i4>5767194</vt:i4>
      </vt:variant>
      <vt:variant>
        <vt:i4>462</vt:i4>
      </vt:variant>
      <vt:variant>
        <vt:i4>0</vt:i4>
      </vt:variant>
      <vt:variant>
        <vt:i4>5</vt:i4>
      </vt:variant>
      <vt:variant>
        <vt:lpwstr>http://www.rozpoctovarada.sk/svk/rozpocet/277/zostavenie-zakladneho-scenara-vyvoja-verejnych-financii</vt:lpwstr>
      </vt:variant>
      <vt:variant>
        <vt:lpwstr/>
      </vt:variant>
      <vt:variant>
        <vt:i4>7995490</vt:i4>
      </vt:variant>
      <vt:variant>
        <vt:i4>459</vt:i4>
      </vt:variant>
      <vt:variant>
        <vt:i4>0</vt:i4>
      </vt:variant>
      <vt:variant>
        <vt:i4>5</vt:i4>
      </vt:variant>
      <vt:variant>
        <vt:lpwstr>http://www.rozpoctovarada.sk/download2/dp1_2012_final.pdf</vt:lpwstr>
      </vt:variant>
      <vt:variant>
        <vt:lpwstr/>
      </vt:variant>
      <vt:variant>
        <vt:i4>5767194</vt:i4>
      </vt:variant>
      <vt:variant>
        <vt:i4>456</vt:i4>
      </vt:variant>
      <vt:variant>
        <vt:i4>0</vt:i4>
      </vt:variant>
      <vt:variant>
        <vt:i4>5</vt:i4>
      </vt:variant>
      <vt:variant>
        <vt:lpwstr>http://www.rozpoctovarada.sk/svk/rozpocet/277/zostavenie-zakladneho-scenara-vyvoja-verejnych-financii</vt:lpwstr>
      </vt:variant>
      <vt:variant>
        <vt:lpwstr/>
      </vt:variant>
      <vt:variant>
        <vt:i4>7995490</vt:i4>
      </vt:variant>
      <vt:variant>
        <vt:i4>453</vt:i4>
      </vt:variant>
      <vt:variant>
        <vt:i4>0</vt:i4>
      </vt:variant>
      <vt:variant>
        <vt:i4>5</vt:i4>
      </vt:variant>
      <vt:variant>
        <vt:lpwstr>http://www.rozpoctovarada.sk/download2/dp1_2012_final.pdf</vt:lpwstr>
      </vt:variant>
      <vt:variant>
        <vt:lpwstr/>
      </vt:variant>
      <vt:variant>
        <vt:i4>5046317</vt:i4>
      </vt:variant>
      <vt:variant>
        <vt:i4>450</vt:i4>
      </vt:variant>
      <vt:variant>
        <vt:i4>0</vt:i4>
      </vt:variant>
      <vt:variant>
        <vt:i4>5</vt:i4>
      </vt:variant>
      <vt:variant>
        <vt:lpwstr>https://www.rozpoctovarada.sk/download2/fiscal_compact_2018_dec.pdf</vt:lpwstr>
      </vt:variant>
      <vt:variant>
        <vt:lpwstr/>
      </vt:variant>
      <vt:variant>
        <vt:i4>5832707</vt:i4>
      </vt:variant>
      <vt:variant>
        <vt:i4>447</vt:i4>
      </vt:variant>
      <vt:variant>
        <vt:i4>0</vt:i4>
      </vt:variant>
      <vt:variant>
        <vt:i4>5</vt:i4>
      </vt:variant>
      <vt:variant>
        <vt:lpwstr>https://www.rozpoctovarada.sk/download2/fiscal_compact_2018_dec_zhrnutie.pdf</vt:lpwstr>
      </vt:variant>
      <vt:variant>
        <vt:lpwstr/>
      </vt:variant>
      <vt:variant>
        <vt:i4>2097264</vt:i4>
      </vt:variant>
      <vt:variant>
        <vt:i4>444</vt:i4>
      </vt:variant>
      <vt:variant>
        <vt:i4>0</vt:i4>
      </vt:variant>
      <vt:variant>
        <vt:i4>5</vt:i4>
      </vt:variant>
      <vt:variant>
        <vt:lpwstr>https://www.rozpoctovarada.sk/download2/strednodobe_ciele_2019.pdf</vt:lpwstr>
      </vt:variant>
      <vt:variant>
        <vt:lpwstr/>
      </vt:variant>
      <vt:variant>
        <vt:i4>6815746</vt:i4>
      </vt:variant>
      <vt:variant>
        <vt:i4>441</vt:i4>
      </vt:variant>
      <vt:variant>
        <vt:i4>0</vt:i4>
      </vt:variant>
      <vt:variant>
        <vt:i4>5</vt:i4>
      </vt:variant>
      <vt:variant>
        <vt:lpwstr>https://www.rozpoctovarada.sk/download2/strednodobe_ciele_2019_zhrnutie.pdf</vt:lpwstr>
      </vt:variant>
      <vt:variant>
        <vt:lpwstr/>
      </vt:variant>
      <vt:variant>
        <vt:i4>6750224</vt:i4>
      </vt:variant>
      <vt:variant>
        <vt:i4>438</vt:i4>
      </vt:variant>
      <vt:variant>
        <vt:i4>0</vt:i4>
      </vt:variant>
      <vt:variant>
        <vt:i4>5</vt:i4>
      </vt:variant>
      <vt:variant>
        <vt:lpwstr>https://www.rozpoctovarada.sk/download2/sustainability_report_2019_final.pdf</vt:lpwstr>
      </vt:variant>
      <vt:variant>
        <vt:lpwstr/>
      </vt:variant>
      <vt:variant>
        <vt:i4>1835089</vt:i4>
      </vt:variant>
      <vt:variant>
        <vt:i4>435</vt:i4>
      </vt:variant>
      <vt:variant>
        <vt:i4>0</vt:i4>
      </vt:variant>
      <vt:variant>
        <vt:i4>5</vt:i4>
      </vt:variant>
      <vt:variant>
        <vt:lpwstr>https://www.rozpoctovarada.sk/download2/sustainability_report_2019_zhrnutie_final.pdf</vt:lpwstr>
      </vt:variant>
      <vt:variant>
        <vt:lpwstr/>
      </vt:variant>
      <vt:variant>
        <vt:i4>655428</vt:i4>
      </vt:variant>
      <vt:variant>
        <vt:i4>432</vt:i4>
      </vt:variant>
      <vt:variant>
        <vt:i4>0</vt:i4>
      </vt:variant>
      <vt:variant>
        <vt:i4>5</vt:i4>
      </vt:variant>
      <vt:variant>
        <vt:lpwstr>https://www.rozpoctovarada.sk/download2/sustainability_report_2020.pdf</vt:lpwstr>
      </vt:variant>
      <vt:variant>
        <vt:lpwstr/>
      </vt:variant>
      <vt:variant>
        <vt:i4>4325430</vt:i4>
      </vt:variant>
      <vt:variant>
        <vt:i4>429</vt:i4>
      </vt:variant>
      <vt:variant>
        <vt:i4>0</vt:i4>
      </vt:variant>
      <vt:variant>
        <vt:i4>5</vt:i4>
      </vt:variant>
      <vt:variant>
        <vt:lpwstr>https://www.rozpoctovarada.sk/download2/sustainability_report_2020_zhrnutie.pdf</vt:lpwstr>
      </vt:variant>
      <vt:variant>
        <vt:lpwstr/>
      </vt:variant>
      <vt:variant>
        <vt:i4>3473517</vt:i4>
      </vt:variant>
      <vt:variant>
        <vt:i4>426</vt:i4>
      </vt:variant>
      <vt:variant>
        <vt:i4>0</vt:i4>
      </vt:variant>
      <vt:variant>
        <vt:i4>5</vt:i4>
      </vt:variant>
      <vt:variant>
        <vt:lpwstr>https://www.rozpoctovarada.sk/download2/hodnotenie_rvs_2019_2021_addendum.pdf</vt:lpwstr>
      </vt:variant>
      <vt:variant>
        <vt:lpwstr/>
      </vt:variant>
      <vt:variant>
        <vt:i4>3735622</vt:i4>
      </vt:variant>
      <vt:variant>
        <vt:i4>423</vt:i4>
      </vt:variant>
      <vt:variant>
        <vt:i4>0</vt:i4>
      </vt:variant>
      <vt:variant>
        <vt:i4>5</vt:i4>
      </vt:variant>
      <vt:variant>
        <vt:lpwstr>https://www.rozpoctovarada.sk/download2/hodnotenie_nrvs_2019_2021.pdf</vt:lpwstr>
      </vt:variant>
      <vt:variant>
        <vt:lpwstr/>
      </vt:variant>
      <vt:variant>
        <vt:i4>2949224</vt:i4>
      </vt:variant>
      <vt:variant>
        <vt:i4>420</vt:i4>
      </vt:variant>
      <vt:variant>
        <vt:i4>0</vt:i4>
      </vt:variant>
      <vt:variant>
        <vt:i4>5</vt:i4>
      </vt:variant>
      <vt:variant>
        <vt:lpwstr>https://www.rozpoctovarada.sk/download2/hodnotenie_nrvs_2019_2021_zhrnutie.pdf</vt:lpwstr>
      </vt:variant>
      <vt:variant>
        <vt:lpwstr/>
      </vt:variant>
      <vt:variant>
        <vt:i4>3473508</vt:i4>
      </vt:variant>
      <vt:variant>
        <vt:i4>417</vt:i4>
      </vt:variant>
      <vt:variant>
        <vt:i4>0</vt:i4>
      </vt:variant>
      <vt:variant>
        <vt:i4>5</vt:i4>
      </vt:variant>
      <vt:variant>
        <vt:lpwstr>https://www.rozpoctovarada.sk/download2/hodnotenie_rvs_2020_2022_addendum.pdf</vt:lpwstr>
      </vt:variant>
      <vt:variant>
        <vt:lpwstr/>
      </vt:variant>
      <vt:variant>
        <vt:i4>7798793</vt:i4>
      </vt:variant>
      <vt:variant>
        <vt:i4>414</vt:i4>
      </vt:variant>
      <vt:variant>
        <vt:i4>0</vt:i4>
      </vt:variant>
      <vt:variant>
        <vt:i4>5</vt:i4>
      </vt:variant>
      <vt:variant>
        <vt:lpwstr>https://www.rozpoctovarada.sk/download2/hodnotenie_rvs_2020_2022.pdf</vt:lpwstr>
      </vt:variant>
      <vt:variant>
        <vt:lpwstr/>
      </vt:variant>
      <vt:variant>
        <vt:i4>4128891</vt:i4>
      </vt:variant>
      <vt:variant>
        <vt:i4>411</vt:i4>
      </vt:variant>
      <vt:variant>
        <vt:i4>0</vt:i4>
      </vt:variant>
      <vt:variant>
        <vt:i4>5</vt:i4>
      </vt:variant>
      <vt:variant>
        <vt:lpwstr>https://www.rozpoctovarada.sk/download2/hodnotenie_rvs_2020_2022_zhrnutie.pdf</vt:lpwstr>
      </vt:variant>
      <vt:variant>
        <vt:lpwstr/>
      </vt:variant>
      <vt:variant>
        <vt:i4>589897</vt:i4>
      </vt:variant>
      <vt:variant>
        <vt:i4>408</vt:i4>
      </vt:variant>
      <vt:variant>
        <vt:i4>0</vt:i4>
      </vt:variant>
      <vt:variant>
        <vt:i4>5</vt:i4>
      </vt:variant>
      <vt:variant>
        <vt:lpwstr>https://www.rozpoctovarada.sk/download2/hodnotenie_pravidiel_2019.pdf</vt:lpwstr>
      </vt:variant>
      <vt:variant>
        <vt:lpwstr/>
      </vt:variant>
      <vt:variant>
        <vt:i4>6750268</vt:i4>
      </vt:variant>
      <vt:variant>
        <vt:i4>405</vt:i4>
      </vt:variant>
      <vt:variant>
        <vt:i4>0</vt:i4>
      </vt:variant>
      <vt:variant>
        <vt:i4>5</vt:i4>
      </vt:variant>
      <vt:variant>
        <vt:lpwstr>https://finance.gov.sk/sk/financie/institut-financnej-politiky/publikacie-ifp/diskusne-studie/3-skrutkovac-hodnotu-za-peniaze-oktober-2018.html</vt:lpwstr>
      </vt:variant>
      <vt:variant>
        <vt:lpwstr/>
      </vt:variant>
      <vt:variant>
        <vt:i4>6226011</vt:i4>
      </vt:variant>
      <vt:variant>
        <vt:i4>402</vt:i4>
      </vt:variant>
      <vt:variant>
        <vt:i4>0</vt:i4>
      </vt:variant>
      <vt:variant>
        <vt:i4>5</vt:i4>
      </vt:variant>
      <vt:variant>
        <vt:lpwstr>https://finance.gov.sk/sk/financie/institut-financnej-politiky/publikacie-ifp/manualy/jednorazove-vplyvy.html</vt:lpwstr>
      </vt:variant>
      <vt:variant>
        <vt:lpwstr/>
      </vt:variant>
      <vt:variant>
        <vt:i4>7602236</vt:i4>
      </vt:variant>
      <vt:variant>
        <vt:i4>399</vt:i4>
      </vt:variant>
      <vt:variant>
        <vt:i4>0</vt:i4>
      </vt:variant>
      <vt:variant>
        <vt:i4>5</vt:i4>
      </vt:variant>
      <vt:variant>
        <vt:lpwstr>https://finance.gov.sk/sk/financie/institut-financnej-politiky/publikacie-ifp/manualy/zverejnovanie-danovych-vydavkov.html</vt:lpwstr>
      </vt:variant>
      <vt:variant>
        <vt:lpwstr/>
      </vt:variant>
      <vt:variant>
        <vt:i4>4259924</vt:i4>
      </vt:variant>
      <vt:variant>
        <vt:i4>396</vt:i4>
      </vt:variant>
      <vt:variant>
        <vt:i4>0</vt:i4>
      </vt:variant>
      <vt:variant>
        <vt:i4>5</vt:i4>
      </vt:variant>
      <vt:variant>
        <vt:lpwstr>https://finance.gov.sk/sk/financie/verejne-financie/rozpocet-verejnej-spravy/</vt:lpwstr>
      </vt:variant>
      <vt:variant>
        <vt:lpwstr/>
      </vt:variant>
      <vt:variant>
        <vt:i4>4259924</vt:i4>
      </vt:variant>
      <vt:variant>
        <vt:i4>393</vt:i4>
      </vt:variant>
      <vt:variant>
        <vt:i4>0</vt:i4>
      </vt:variant>
      <vt:variant>
        <vt:i4>5</vt:i4>
      </vt:variant>
      <vt:variant>
        <vt:lpwstr>https://finance.gov.sk/sk/financie/verejne-financie/rozpocet-verejnej-spravy/</vt:lpwstr>
      </vt:variant>
      <vt:variant>
        <vt:lpwstr/>
      </vt:variant>
      <vt:variant>
        <vt:i4>786447</vt:i4>
      </vt:variant>
      <vt:variant>
        <vt:i4>390</vt:i4>
      </vt:variant>
      <vt:variant>
        <vt:i4>0</vt:i4>
      </vt:variant>
      <vt:variant>
        <vt:i4>5</vt:i4>
      </vt:variant>
      <vt:variant>
        <vt:lpwstr>https://finance.gov.sk/sk/financie/statne-vykaznictvo/suhrnna-vyrocna-sprava-sr/</vt:lpwstr>
      </vt:variant>
      <vt:variant>
        <vt:lpwstr/>
      </vt:variant>
      <vt:variant>
        <vt:i4>786447</vt:i4>
      </vt:variant>
      <vt:variant>
        <vt:i4>387</vt:i4>
      </vt:variant>
      <vt:variant>
        <vt:i4>0</vt:i4>
      </vt:variant>
      <vt:variant>
        <vt:i4>5</vt:i4>
      </vt:variant>
      <vt:variant>
        <vt:lpwstr>https://finance.gov.sk/sk/financie/statne-vykaznictvo/suhrnna-vyrocna-sprava-sr/</vt:lpwstr>
      </vt:variant>
      <vt:variant>
        <vt:lpwstr/>
      </vt:variant>
      <vt:variant>
        <vt:i4>2031711</vt:i4>
      </vt:variant>
      <vt:variant>
        <vt:i4>384</vt:i4>
      </vt:variant>
      <vt:variant>
        <vt:i4>0</vt:i4>
      </vt:variant>
      <vt:variant>
        <vt:i4>5</vt:i4>
      </vt:variant>
      <vt:variant>
        <vt:lpwstr>https://www.mfsr.sk/sk/financie/institut-financnej-politiky/strategicke-materialy/zdovodnenie-vysky-dlhu/</vt:lpwstr>
      </vt:variant>
      <vt:variant>
        <vt:lpwstr/>
      </vt:variant>
      <vt:variant>
        <vt:i4>3473504</vt:i4>
      </vt:variant>
      <vt:variant>
        <vt:i4>381</vt:i4>
      </vt:variant>
      <vt:variant>
        <vt:i4>0</vt:i4>
      </vt:variant>
      <vt:variant>
        <vt:i4>5</vt:i4>
      </vt:variant>
      <vt:variant>
        <vt:lpwstr>https://www.mfsr.sk/sk/financie/institut-financnej-politiky/publikacie-ifp/komentare/komentare-z-roku-2020/9-statna-kasa-uzde-jul-2020.html</vt:lpwstr>
      </vt:variant>
      <vt:variant>
        <vt:lpwstr/>
      </vt:variant>
      <vt:variant>
        <vt:i4>6160386</vt:i4>
      </vt:variant>
      <vt:variant>
        <vt:i4>378</vt:i4>
      </vt:variant>
      <vt:variant>
        <vt:i4>0</vt:i4>
      </vt:variant>
      <vt:variant>
        <vt:i4>5</vt:i4>
      </vt:variant>
      <vt:variant>
        <vt:lpwstr>https://www.mfsr.sk/sk/financie/institut-financnej-politiky/publikacie-ifp/diskusne-studie/3-skrutkovac-hodnotu-za-peniaze-oktober-2018.html</vt:lpwstr>
      </vt:variant>
      <vt:variant>
        <vt:lpwstr/>
      </vt:variant>
      <vt:variant>
        <vt:i4>3473504</vt:i4>
      </vt:variant>
      <vt:variant>
        <vt:i4>375</vt:i4>
      </vt:variant>
      <vt:variant>
        <vt:i4>0</vt:i4>
      </vt:variant>
      <vt:variant>
        <vt:i4>5</vt:i4>
      </vt:variant>
      <vt:variant>
        <vt:lpwstr>https://www.mfsr.sk/sk/financie/institut-financnej-politiky/publikacie-ifp/komentare/komentare-z-roku-2020/9-statna-kasa-uzde-jul-2020.html</vt:lpwstr>
      </vt:variant>
      <vt:variant>
        <vt:lpwstr/>
      </vt:variant>
      <vt:variant>
        <vt:i4>1835023</vt:i4>
      </vt:variant>
      <vt:variant>
        <vt:i4>372</vt:i4>
      </vt:variant>
      <vt:variant>
        <vt:i4>0</vt:i4>
      </vt:variant>
      <vt:variant>
        <vt:i4>5</vt:i4>
      </vt:variant>
      <vt:variant>
        <vt:lpwstr>https://www.rozpoctovarada.sk/svk/rozpocet/436/hodnotenie-strednodobych-rozpoctovych-cielov-na-roky-2020-az-2023</vt:lpwstr>
      </vt:variant>
      <vt:variant>
        <vt:lpwstr/>
      </vt:variant>
      <vt:variant>
        <vt:i4>1441844</vt:i4>
      </vt:variant>
      <vt:variant>
        <vt:i4>365</vt:i4>
      </vt:variant>
      <vt:variant>
        <vt:i4>0</vt:i4>
      </vt:variant>
      <vt:variant>
        <vt:i4>5</vt:i4>
      </vt:variant>
      <vt:variant>
        <vt:lpwstr/>
      </vt:variant>
      <vt:variant>
        <vt:lpwstr>_Toc49506931</vt:lpwstr>
      </vt:variant>
      <vt:variant>
        <vt:i4>1507380</vt:i4>
      </vt:variant>
      <vt:variant>
        <vt:i4>359</vt:i4>
      </vt:variant>
      <vt:variant>
        <vt:i4>0</vt:i4>
      </vt:variant>
      <vt:variant>
        <vt:i4>5</vt:i4>
      </vt:variant>
      <vt:variant>
        <vt:lpwstr/>
      </vt:variant>
      <vt:variant>
        <vt:lpwstr>_Toc49506930</vt:lpwstr>
      </vt:variant>
      <vt:variant>
        <vt:i4>1966133</vt:i4>
      </vt:variant>
      <vt:variant>
        <vt:i4>353</vt:i4>
      </vt:variant>
      <vt:variant>
        <vt:i4>0</vt:i4>
      </vt:variant>
      <vt:variant>
        <vt:i4>5</vt:i4>
      </vt:variant>
      <vt:variant>
        <vt:lpwstr/>
      </vt:variant>
      <vt:variant>
        <vt:lpwstr>_Toc49506929</vt:lpwstr>
      </vt:variant>
      <vt:variant>
        <vt:i4>2031669</vt:i4>
      </vt:variant>
      <vt:variant>
        <vt:i4>347</vt:i4>
      </vt:variant>
      <vt:variant>
        <vt:i4>0</vt:i4>
      </vt:variant>
      <vt:variant>
        <vt:i4>5</vt:i4>
      </vt:variant>
      <vt:variant>
        <vt:lpwstr/>
      </vt:variant>
      <vt:variant>
        <vt:lpwstr>_Toc49506928</vt:lpwstr>
      </vt:variant>
      <vt:variant>
        <vt:i4>1048629</vt:i4>
      </vt:variant>
      <vt:variant>
        <vt:i4>341</vt:i4>
      </vt:variant>
      <vt:variant>
        <vt:i4>0</vt:i4>
      </vt:variant>
      <vt:variant>
        <vt:i4>5</vt:i4>
      </vt:variant>
      <vt:variant>
        <vt:lpwstr/>
      </vt:variant>
      <vt:variant>
        <vt:lpwstr>_Toc49506927</vt:lpwstr>
      </vt:variant>
      <vt:variant>
        <vt:i4>1114165</vt:i4>
      </vt:variant>
      <vt:variant>
        <vt:i4>335</vt:i4>
      </vt:variant>
      <vt:variant>
        <vt:i4>0</vt:i4>
      </vt:variant>
      <vt:variant>
        <vt:i4>5</vt:i4>
      </vt:variant>
      <vt:variant>
        <vt:lpwstr/>
      </vt:variant>
      <vt:variant>
        <vt:lpwstr>_Toc49506926</vt:lpwstr>
      </vt:variant>
      <vt:variant>
        <vt:i4>1179701</vt:i4>
      </vt:variant>
      <vt:variant>
        <vt:i4>329</vt:i4>
      </vt:variant>
      <vt:variant>
        <vt:i4>0</vt:i4>
      </vt:variant>
      <vt:variant>
        <vt:i4>5</vt:i4>
      </vt:variant>
      <vt:variant>
        <vt:lpwstr/>
      </vt:variant>
      <vt:variant>
        <vt:lpwstr>_Toc49506925</vt:lpwstr>
      </vt:variant>
      <vt:variant>
        <vt:i4>1245237</vt:i4>
      </vt:variant>
      <vt:variant>
        <vt:i4>323</vt:i4>
      </vt:variant>
      <vt:variant>
        <vt:i4>0</vt:i4>
      </vt:variant>
      <vt:variant>
        <vt:i4>5</vt:i4>
      </vt:variant>
      <vt:variant>
        <vt:lpwstr/>
      </vt:variant>
      <vt:variant>
        <vt:lpwstr>_Toc49506924</vt:lpwstr>
      </vt:variant>
      <vt:variant>
        <vt:i4>1310773</vt:i4>
      </vt:variant>
      <vt:variant>
        <vt:i4>317</vt:i4>
      </vt:variant>
      <vt:variant>
        <vt:i4>0</vt:i4>
      </vt:variant>
      <vt:variant>
        <vt:i4>5</vt:i4>
      </vt:variant>
      <vt:variant>
        <vt:lpwstr/>
      </vt:variant>
      <vt:variant>
        <vt:lpwstr>_Toc49506923</vt:lpwstr>
      </vt:variant>
      <vt:variant>
        <vt:i4>1376309</vt:i4>
      </vt:variant>
      <vt:variant>
        <vt:i4>311</vt:i4>
      </vt:variant>
      <vt:variant>
        <vt:i4>0</vt:i4>
      </vt:variant>
      <vt:variant>
        <vt:i4>5</vt:i4>
      </vt:variant>
      <vt:variant>
        <vt:lpwstr/>
      </vt:variant>
      <vt:variant>
        <vt:lpwstr>_Toc49506922</vt:lpwstr>
      </vt:variant>
      <vt:variant>
        <vt:i4>1441845</vt:i4>
      </vt:variant>
      <vt:variant>
        <vt:i4>305</vt:i4>
      </vt:variant>
      <vt:variant>
        <vt:i4>0</vt:i4>
      </vt:variant>
      <vt:variant>
        <vt:i4>5</vt:i4>
      </vt:variant>
      <vt:variant>
        <vt:lpwstr/>
      </vt:variant>
      <vt:variant>
        <vt:lpwstr>_Toc49506921</vt:lpwstr>
      </vt:variant>
      <vt:variant>
        <vt:i4>1507381</vt:i4>
      </vt:variant>
      <vt:variant>
        <vt:i4>299</vt:i4>
      </vt:variant>
      <vt:variant>
        <vt:i4>0</vt:i4>
      </vt:variant>
      <vt:variant>
        <vt:i4>5</vt:i4>
      </vt:variant>
      <vt:variant>
        <vt:lpwstr/>
      </vt:variant>
      <vt:variant>
        <vt:lpwstr>_Toc49506920</vt:lpwstr>
      </vt:variant>
      <vt:variant>
        <vt:i4>1966134</vt:i4>
      </vt:variant>
      <vt:variant>
        <vt:i4>293</vt:i4>
      </vt:variant>
      <vt:variant>
        <vt:i4>0</vt:i4>
      </vt:variant>
      <vt:variant>
        <vt:i4>5</vt:i4>
      </vt:variant>
      <vt:variant>
        <vt:lpwstr/>
      </vt:variant>
      <vt:variant>
        <vt:lpwstr>_Toc49506919</vt:lpwstr>
      </vt:variant>
      <vt:variant>
        <vt:i4>2031670</vt:i4>
      </vt:variant>
      <vt:variant>
        <vt:i4>287</vt:i4>
      </vt:variant>
      <vt:variant>
        <vt:i4>0</vt:i4>
      </vt:variant>
      <vt:variant>
        <vt:i4>5</vt:i4>
      </vt:variant>
      <vt:variant>
        <vt:lpwstr/>
      </vt:variant>
      <vt:variant>
        <vt:lpwstr>_Toc49506918</vt:lpwstr>
      </vt:variant>
      <vt:variant>
        <vt:i4>1048630</vt:i4>
      </vt:variant>
      <vt:variant>
        <vt:i4>281</vt:i4>
      </vt:variant>
      <vt:variant>
        <vt:i4>0</vt:i4>
      </vt:variant>
      <vt:variant>
        <vt:i4>5</vt:i4>
      </vt:variant>
      <vt:variant>
        <vt:lpwstr/>
      </vt:variant>
      <vt:variant>
        <vt:lpwstr>_Toc49506917</vt:lpwstr>
      </vt:variant>
      <vt:variant>
        <vt:i4>1114166</vt:i4>
      </vt:variant>
      <vt:variant>
        <vt:i4>275</vt:i4>
      </vt:variant>
      <vt:variant>
        <vt:i4>0</vt:i4>
      </vt:variant>
      <vt:variant>
        <vt:i4>5</vt:i4>
      </vt:variant>
      <vt:variant>
        <vt:lpwstr/>
      </vt:variant>
      <vt:variant>
        <vt:lpwstr>_Toc49506916</vt:lpwstr>
      </vt:variant>
      <vt:variant>
        <vt:i4>1179702</vt:i4>
      </vt:variant>
      <vt:variant>
        <vt:i4>269</vt:i4>
      </vt:variant>
      <vt:variant>
        <vt:i4>0</vt:i4>
      </vt:variant>
      <vt:variant>
        <vt:i4>5</vt:i4>
      </vt:variant>
      <vt:variant>
        <vt:lpwstr/>
      </vt:variant>
      <vt:variant>
        <vt:lpwstr>_Toc49506915</vt:lpwstr>
      </vt:variant>
      <vt:variant>
        <vt:i4>1245238</vt:i4>
      </vt:variant>
      <vt:variant>
        <vt:i4>263</vt:i4>
      </vt:variant>
      <vt:variant>
        <vt:i4>0</vt:i4>
      </vt:variant>
      <vt:variant>
        <vt:i4>5</vt:i4>
      </vt:variant>
      <vt:variant>
        <vt:lpwstr/>
      </vt:variant>
      <vt:variant>
        <vt:lpwstr>_Toc49506914</vt:lpwstr>
      </vt:variant>
      <vt:variant>
        <vt:i4>1310774</vt:i4>
      </vt:variant>
      <vt:variant>
        <vt:i4>257</vt:i4>
      </vt:variant>
      <vt:variant>
        <vt:i4>0</vt:i4>
      </vt:variant>
      <vt:variant>
        <vt:i4>5</vt:i4>
      </vt:variant>
      <vt:variant>
        <vt:lpwstr/>
      </vt:variant>
      <vt:variant>
        <vt:lpwstr>_Toc49506913</vt:lpwstr>
      </vt:variant>
      <vt:variant>
        <vt:i4>1376310</vt:i4>
      </vt:variant>
      <vt:variant>
        <vt:i4>248</vt:i4>
      </vt:variant>
      <vt:variant>
        <vt:i4>0</vt:i4>
      </vt:variant>
      <vt:variant>
        <vt:i4>5</vt:i4>
      </vt:variant>
      <vt:variant>
        <vt:lpwstr/>
      </vt:variant>
      <vt:variant>
        <vt:lpwstr>_Toc49506912</vt:lpwstr>
      </vt:variant>
      <vt:variant>
        <vt:i4>1441846</vt:i4>
      </vt:variant>
      <vt:variant>
        <vt:i4>242</vt:i4>
      </vt:variant>
      <vt:variant>
        <vt:i4>0</vt:i4>
      </vt:variant>
      <vt:variant>
        <vt:i4>5</vt:i4>
      </vt:variant>
      <vt:variant>
        <vt:lpwstr/>
      </vt:variant>
      <vt:variant>
        <vt:lpwstr>_Toc49506911</vt:lpwstr>
      </vt:variant>
      <vt:variant>
        <vt:i4>1507382</vt:i4>
      </vt:variant>
      <vt:variant>
        <vt:i4>236</vt:i4>
      </vt:variant>
      <vt:variant>
        <vt:i4>0</vt:i4>
      </vt:variant>
      <vt:variant>
        <vt:i4>5</vt:i4>
      </vt:variant>
      <vt:variant>
        <vt:lpwstr/>
      </vt:variant>
      <vt:variant>
        <vt:lpwstr>_Toc49506910</vt:lpwstr>
      </vt:variant>
      <vt:variant>
        <vt:i4>1966135</vt:i4>
      </vt:variant>
      <vt:variant>
        <vt:i4>227</vt:i4>
      </vt:variant>
      <vt:variant>
        <vt:i4>0</vt:i4>
      </vt:variant>
      <vt:variant>
        <vt:i4>5</vt:i4>
      </vt:variant>
      <vt:variant>
        <vt:lpwstr/>
      </vt:variant>
      <vt:variant>
        <vt:lpwstr>_Toc49506909</vt:lpwstr>
      </vt:variant>
      <vt:variant>
        <vt:i4>2031671</vt:i4>
      </vt:variant>
      <vt:variant>
        <vt:i4>221</vt:i4>
      </vt:variant>
      <vt:variant>
        <vt:i4>0</vt:i4>
      </vt:variant>
      <vt:variant>
        <vt:i4>5</vt:i4>
      </vt:variant>
      <vt:variant>
        <vt:lpwstr/>
      </vt:variant>
      <vt:variant>
        <vt:lpwstr>_Toc49506908</vt:lpwstr>
      </vt:variant>
      <vt:variant>
        <vt:i4>1048631</vt:i4>
      </vt:variant>
      <vt:variant>
        <vt:i4>215</vt:i4>
      </vt:variant>
      <vt:variant>
        <vt:i4>0</vt:i4>
      </vt:variant>
      <vt:variant>
        <vt:i4>5</vt:i4>
      </vt:variant>
      <vt:variant>
        <vt:lpwstr/>
      </vt:variant>
      <vt:variant>
        <vt:lpwstr>_Toc49506907</vt:lpwstr>
      </vt:variant>
      <vt:variant>
        <vt:i4>1114167</vt:i4>
      </vt:variant>
      <vt:variant>
        <vt:i4>209</vt:i4>
      </vt:variant>
      <vt:variant>
        <vt:i4>0</vt:i4>
      </vt:variant>
      <vt:variant>
        <vt:i4>5</vt:i4>
      </vt:variant>
      <vt:variant>
        <vt:lpwstr/>
      </vt:variant>
      <vt:variant>
        <vt:lpwstr>_Toc49506906</vt:lpwstr>
      </vt:variant>
      <vt:variant>
        <vt:i4>1179703</vt:i4>
      </vt:variant>
      <vt:variant>
        <vt:i4>203</vt:i4>
      </vt:variant>
      <vt:variant>
        <vt:i4>0</vt:i4>
      </vt:variant>
      <vt:variant>
        <vt:i4>5</vt:i4>
      </vt:variant>
      <vt:variant>
        <vt:lpwstr/>
      </vt:variant>
      <vt:variant>
        <vt:lpwstr>_Toc49506905</vt:lpwstr>
      </vt:variant>
      <vt:variant>
        <vt:i4>1245239</vt:i4>
      </vt:variant>
      <vt:variant>
        <vt:i4>197</vt:i4>
      </vt:variant>
      <vt:variant>
        <vt:i4>0</vt:i4>
      </vt:variant>
      <vt:variant>
        <vt:i4>5</vt:i4>
      </vt:variant>
      <vt:variant>
        <vt:lpwstr/>
      </vt:variant>
      <vt:variant>
        <vt:lpwstr>_Toc49506904</vt:lpwstr>
      </vt:variant>
      <vt:variant>
        <vt:i4>1310775</vt:i4>
      </vt:variant>
      <vt:variant>
        <vt:i4>191</vt:i4>
      </vt:variant>
      <vt:variant>
        <vt:i4>0</vt:i4>
      </vt:variant>
      <vt:variant>
        <vt:i4>5</vt:i4>
      </vt:variant>
      <vt:variant>
        <vt:lpwstr/>
      </vt:variant>
      <vt:variant>
        <vt:lpwstr>_Toc49506903</vt:lpwstr>
      </vt:variant>
      <vt:variant>
        <vt:i4>1376311</vt:i4>
      </vt:variant>
      <vt:variant>
        <vt:i4>185</vt:i4>
      </vt:variant>
      <vt:variant>
        <vt:i4>0</vt:i4>
      </vt:variant>
      <vt:variant>
        <vt:i4>5</vt:i4>
      </vt:variant>
      <vt:variant>
        <vt:lpwstr/>
      </vt:variant>
      <vt:variant>
        <vt:lpwstr>_Toc49506902</vt:lpwstr>
      </vt:variant>
      <vt:variant>
        <vt:i4>1441847</vt:i4>
      </vt:variant>
      <vt:variant>
        <vt:i4>179</vt:i4>
      </vt:variant>
      <vt:variant>
        <vt:i4>0</vt:i4>
      </vt:variant>
      <vt:variant>
        <vt:i4>5</vt:i4>
      </vt:variant>
      <vt:variant>
        <vt:lpwstr/>
      </vt:variant>
      <vt:variant>
        <vt:lpwstr>_Toc49506901</vt:lpwstr>
      </vt:variant>
      <vt:variant>
        <vt:i4>1507383</vt:i4>
      </vt:variant>
      <vt:variant>
        <vt:i4>173</vt:i4>
      </vt:variant>
      <vt:variant>
        <vt:i4>0</vt:i4>
      </vt:variant>
      <vt:variant>
        <vt:i4>5</vt:i4>
      </vt:variant>
      <vt:variant>
        <vt:lpwstr/>
      </vt:variant>
      <vt:variant>
        <vt:lpwstr>_Toc49506900</vt:lpwstr>
      </vt:variant>
      <vt:variant>
        <vt:i4>2031678</vt:i4>
      </vt:variant>
      <vt:variant>
        <vt:i4>164</vt:i4>
      </vt:variant>
      <vt:variant>
        <vt:i4>0</vt:i4>
      </vt:variant>
      <vt:variant>
        <vt:i4>5</vt:i4>
      </vt:variant>
      <vt:variant>
        <vt:lpwstr/>
      </vt:variant>
      <vt:variant>
        <vt:lpwstr>_Toc49506899</vt:lpwstr>
      </vt:variant>
      <vt:variant>
        <vt:i4>1966142</vt:i4>
      </vt:variant>
      <vt:variant>
        <vt:i4>158</vt:i4>
      </vt:variant>
      <vt:variant>
        <vt:i4>0</vt:i4>
      </vt:variant>
      <vt:variant>
        <vt:i4>5</vt:i4>
      </vt:variant>
      <vt:variant>
        <vt:lpwstr/>
      </vt:variant>
      <vt:variant>
        <vt:lpwstr>_Toc49506898</vt:lpwstr>
      </vt:variant>
      <vt:variant>
        <vt:i4>1114174</vt:i4>
      </vt:variant>
      <vt:variant>
        <vt:i4>152</vt:i4>
      </vt:variant>
      <vt:variant>
        <vt:i4>0</vt:i4>
      </vt:variant>
      <vt:variant>
        <vt:i4>5</vt:i4>
      </vt:variant>
      <vt:variant>
        <vt:lpwstr/>
      </vt:variant>
      <vt:variant>
        <vt:lpwstr>_Toc49506897</vt:lpwstr>
      </vt:variant>
      <vt:variant>
        <vt:i4>1048638</vt:i4>
      </vt:variant>
      <vt:variant>
        <vt:i4>146</vt:i4>
      </vt:variant>
      <vt:variant>
        <vt:i4>0</vt:i4>
      </vt:variant>
      <vt:variant>
        <vt:i4>5</vt:i4>
      </vt:variant>
      <vt:variant>
        <vt:lpwstr/>
      </vt:variant>
      <vt:variant>
        <vt:lpwstr>_Toc49506896</vt:lpwstr>
      </vt:variant>
      <vt:variant>
        <vt:i4>1245246</vt:i4>
      </vt:variant>
      <vt:variant>
        <vt:i4>140</vt:i4>
      </vt:variant>
      <vt:variant>
        <vt:i4>0</vt:i4>
      </vt:variant>
      <vt:variant>
        <vt:i4>5</vt:i4>
      </vt:variant>
      <vt:variant>
        <vt:lpwstr/>
      </vt:variant>
      <vt:variant>
        <vt:lpwstr>_Toc49506895</vt:lpwstr>
      </vt:variant>
      <vt:variant>
        <vt:i4>1179710</vt:i4>
      </vt:variant>
      <vt:variant>
        <vt:i4>134</vt:i4>
      </vt:variant>
      <vt:variant>
        <vt:i4>0</vt:i4>
      </vt:variant>
      <vt:variant>
        <vt:i4>5</vt:i4>
      </vt:variant>
      <vt:variant>
        <vt:lpwstr/>
      </vt:variant>
      <vt:variant>
        <vt:lpwstr>_Toc49506894</vt:lpwstr>
      </vt:variant>
      <vt:variant>
        <vt:i4>1376318</vt:i4>
      </vt:variant>
      <vt:variant>
        <vt:i4>128</vt:i4>
      </vt:variant>
      <vt:variant>
        <vt:i4>0</vt:i4>
      </vt:variant>
      <vt:variant>
        <vt:i4>5</vt:i4>
      </vt:variant>
      <vt:variant>
        <vt:lpwstr/>
      </vt:variant>
      <vt:variant>
        <vt:lpwstr>_Toc49506893</vt:lpwstr>
      </vt:variant>
      <vt:variant>
        <vt:i4>1310782</vt:i4>
      </vt:variant>
      <vt:variant>
        <vt:i4>122</vt:i4>
      </vt:variant>
      <vt:variant>
        <vt:i4>0</vt:i4>
      </vt:variant>
      <vt:variant>
        <vt:i4>5</vt:i4>
      </vt:variant>
      <vt:variant>
        <vt:lpwstr/>
      </vt:variant>
      <vt:variant>
        <vt:lpwstr>_Toc49506892</vt:lpwstr>
      </vt:variant>
      <vt:variant>
        <vt:i4>1507390</vt:i4>
      </vt:variant>
      <vt:variant>
        <vt:i4>116</vt:i4>
      </vt:variant>
      <vt:variant>
        <vt:i4>0</vt:i4>
      </vt:variant>
      <vt:variant>
        <vt:i4>5</vt:i4>
      </vt:variant>
      <vt:variant>
        <vt:lpwstr/>
      </vt:variant>
      <vt:variant>
        <vt:lpwstr>_Toc49506891</vt:lpwstr>
      </vt:variant>
      <vt:variant>
        <vt:i4>1441854</vt:i4>
      </vt:variant>
      <vt:variant>
        <vt:i4>107</vt:i4>
      </vt:variant>
      <vt:variant>
        <vt:i4>0</vt:i4>
      </vt:variant>
      <vt:variant>
        <vt:i4>5</vt:i4>
      </vt:variant>
      <vt:variant>
        <vt:lpwstr/>
      </vt:variant>
      <vt:variant>
        <vt:lpwstr>_Toc49506890</vt:lpwstr>
      </vt:variant>
      <vt:variant>
        <vt:i4>2031679</vt:i4>
      </vt:variant>
      <vt:variant>
        <vt:i4>101</vt:i4>
      </vt:variant>
      <vt:variant>
        <vt:i4>0</vt:i4>
      </vt:variant>
      <vt:variant>
        <vt:i4>5</vt:i4>
      </vt:variant>
      <vt:variant>
        <vt:lpwstr/>
      </vt:variant>
      <vt:variant>
        <vt:lpwstr>_Toc49506889</vt:lpwstr>
      </vt:variant>
      <vt:variant>
        <vt:i4>1966143</vt:i4>
      </vt:variant>
      <vt:variant>
        <vt:i4>95</vt:i4>
      </vt:variant>
      <vt:variant>
        <vt:i4>0</vt:i4>
      </vt:variant>
      <vt:variant>
        <vt:i4>5</vt:i4>
      </vt:variant>
      <vt:variant>
        <vt:lpwstr/>
      </vt:variant>
      <vt:variant>
        <vt:lpwstr>_Toc49506888</vt:lpwstr>
      </vt:variant>
      <vt:variant>
        <vt:i4>1114175</vt:i4>
      </vt:variant>
      <vt:variant>
        <vt:i4>89</vt:i4>
      </vt:variant>
      <vt:variant>
        <vt:i4>0</vt:i4>
      </vt:variant>
      <vt:variant>
        <vt:i4>5</vt:i4>
      </vt:variant>
      <vt:variant>
        <vt:lpwstr/>
      </vt:variant>
      <vt:variant>
        <vt:lpwstr>_Toc49506887</vt:lpwstr>
      </vt:variant>
      <vt:variant>
        <vt:i4>1048639</vt:i4>
      </vt:variant>
      <vt:variant>
        <vt:i4>83</vt:i4>
      </vt:variant>
      <vt:variant>
        <vt:i4>0</vt:i4>
      </vt:variant>
      <vt:variant>
        <vt:i4>5</vt:i4>
      </vt:variant>
      <vt:variant>
        <vt:lpwstr/>
      </vt:variant>
      <vt:variant>
        <vt:lpwstr>_Toc49506886</vt:lpwstr>
      </vt:variant>
      <vt:variant>
        <vt:i4>1245247</vt:i4>
      </vt:variant>
      <vt:variant>
        <vt:i4>77</vt:i4>
      </vt:variant>
      <vt:variant>
        <vt:i4>0</vt:i4>
      </vt:variant>
      <vt:variant>
        <vt:i4>5</vt:i4>
      </vt:variant>
      <vt:variant>
        <vt:lpwstr/>
      </vt:variant>
      <vt:variant>
        <vt:lpwstr>_Toc49506885</vt:lpwstr>
      </vt:variant>
      <vt:variant>
        <vt:i4>1179711</vt:i4>
      </vt:variant>
      <vt:variant>
        <vt:i4>71</vt:i4>
      </vt:variant>
      <vt:variant>
        <vt:i4>0</vt:i4>
      </vt:variant>
      <vt:variant>
        <vt:i4>5</vt:i4>
      </vt:variant>
      <vt:variant>
        <vt:lpwstr/>
      </vt:variant>
      <vt:variant>
        <vt:lpwstr>_Toc49506884</vt:lpwstr>
      </vt:variant>
      <vt:variant>
        <vt:i4>1376319</vt:i4>
      </vt:variant>
      <vt:variant>
        <vt:i4>65</vt:i4>
      </vt:variant>
      <vt:variant>
        <vt:i4>0</vt:i4>
      </vt:variant>
      <vt:variant>
        <vt:i4>5</vt:i4>
      </vt:variant>
      <vt:variant>
        <vt:lpwstr/>
      </vt:variant>
      <vt:variant>
        <vt:lpwstr>_Toc49506883</vt:lpwstr>
      </vt:variant>
      <vt:variant>
        <vt:i4>1310783</vt:i4>
      </vt:variant>
      <vt:variant>
        <vt:i4>59</vt:i4>
      </vt:variant>
      <vt:variant>
        <vt:i4>0</vt:i4>
      </vt:variant>
      <vt:variant>
        <vt:i4>5</vt:i4>
      </vt:variant>
      <vt:variant>
        <vt:lpwstr/>
      </vt:variant>
      <vt:variant>
        <vt:lpwstr>_Toc49506882</vt:lpwstr>
      </vt:variant>
      <vt:variant>
        <vt:i4>1507391</vt:i4>
      </vt:variant>
      <vt:variant>
        <vt:i4>53</vt:i4>
      </vt:variant>
      <vt:variant>
        <vt:i4>0</vt:i4>
      </vt:variant>
      <vt:variant>
        <vt:i4>5</vt:i4>
      </vt:variant>
      <vt:variant>
        <vt:lpwstr/>
      </vt:variant>
      <vt:variant>
        <vt:lpwstr>_Toc49506881</vt:lpwstr>
      </vt:variant>
      <vt:variant>
        <vt:i4>1441855</vt:i4>
      </vt:variant>
      <vt:variant>
        <vt:i4>47</vt:i4>
      </vt:variant>
      <vt:variant>
        <vt:i4>0</vt:i4>
      </vt:variant>
      <vt:variant>
        <vt:i4>5</vt:i4>
      </vt:variant>
      <vt:variant>
        <vt:lpwstr/>
      </vt:variant>
      <vt:variant>
        <vt:lpwstr>_Toc49506880</vt:lpwstr>
      </vt:variant>
      <vt:variant>
        <vt:i4>2031664</vt:i4>
      </vt:variant>
      <vt:variant>
        <vt:i4>41</vt:i4>
      </vt:variant>
      <vt:variant>
        <vt:i4>0</vt:i4>
      </vt:variant>
      <vt:variant>
        <vt:i4>5</vt:i4>
      </vt:variant>
      <vt:variant>
        <vt:lpwstr/>
      </vt:variant>
      <vt:variant>
        <vt:lpwstr>_Toc49506879</vt:lpwstr>
      </vt:variant>
      <vt:variant>
        <vt:i4>1966128</vt:i4>
      </vt:variant>
      <vt:variant>
        <vt:i4>35</vt:i4>
      </vt:variant>
      <vt:variant>
        <vt:i4>0</vt:i4>
      </vt:variant>
      <vt:variant>
        <vt:i4>5</vt:i4>
      </vt:variant>
      <vt:variant>
        <vt:lpwstr/>
      </vt:variant>
      <vt:variant>
        <vt:lpwstr>_Toc49506878</vt:lpwstr>
      </vt:variant>
      <vt:variant>
        <vt:i4>1114160</vt:i4>
      </vt:variant>
      <vt:variant>
        <vt:i4>29</vt:i4>
      </vt:variant>
      <vt:variant>
        <vt:i4>0</vt:i4>
      </vt:variant>
      <vt:variant>
        <vt:i4>5</vt:i4>
      </vt:variant>
      <vt:variant>
        <vt:lpwstr/>
      </vt:variant>
      <vt:variant>
        <vt:lpwstr>_Toc49506877</vt:lpwstr>
      </vt:variant>
      <vt:variant>
        <vt:i4>1048624</vt:i4>
      </vt:variant>
      <vt:variant>
        <vt:i4>23</vt:i4>
      </vt:variant>
      <vt:variant>
        <vt:i4>0</vt:i4>
      </vt:variant>
      <vt:variant>
        <vt:i4>5</vt:i4>
      </vt:variant>
      <vt:variant>
        <vt:lpwstr/>
      </vt:variant>
      <vt:variant>
        <vt:lpwstr>_Toc49506876</vt:lpwstr>
      </vt:variant>
      <vt:variant>
        <vt:i4>1245232</vt:i4>
      </vt:variant>
      <vt:variant>
        <vt:i4>17</vt:i4>
      </vt:variant>
      <vt:variant>
        <vt:i4>0</vt:i4>
      </vt:variant>
      <vt:variant>
        <vt:i4>5</vt:i4>
      </vt:variant>
      <vt:variant>
        <vt:lpwstr/>
      </vt:variant>
      <vt:variant>
        <vt:lpwstr>_Toc49506875</vt:lpwstr>
      </vt:variant>
      <vt:variant>
        <vt:i4>1179696</vt:i4>
      </vt:variant>
      <vt:variant>
        <vt:i4>11</vt:i4>
      </vt:variant>
      <vt:variant>
        <vt:i4>0</vt:i4>
      </vt:variant>
      <vt:variant>
        <vt:i4>5</vt:i4>
      </vt:variant>
      <vt:variant>
        <vt:lpwstr/>
      </vt:variant>
      <vt:variant>
        <vt:lpwstr>_Toc49506874</vt:lpwstr>
      </vt:variant>
      <vt:variant>
        <vt:i4>1376304</vt:i4>
      </vt:variant>
      <vt:variant>
        <vt:i4>5</vt:i4>
      </vt:variant>
      <vt:variant>
        <vt:i4>0</vt:i4>
      </vt:variant>
      <vt:variant>
        <vt:i4>5</vt:i4>
      </vt:variant>
      <vt:variant>
        <vt:lpwstr/>
      </vt:variant>
      <vt:variant>
        <vt:lpwstr>_Toc49506873</vt:lpwstr>
      </vt:variant>
      <vt:variant>
        <vt:i4>1572902</vt:i4>
      </vt:variant>
      <vt:variant>
        <vt:i4>0</vt:i4>
      </vt:variant>
      <vt:variant>
        <vt:i4>0</vt:i4>
      </vt:variant>
      <vt:variant>
        <vt:i4>5</vt:i4>
      </vt:variant>
      <vt:variant>
        <vt:lpwstr>mailto:sekretariat@rrz.sk</vt:lpwstr>
      </vt:variant>
      <vt:variant>
        <vt:lpwstr/>
      </vt:variant>
      <vt:variant>
        <vt:i4>786447</vt:i4>
      </vt:variant>
      <vt:variant>
        <vt:i4>126</vt:i4>
      </vt:variant>
      <vt:variant>
        <vt:i4>0</vt:i4>
      </vt:variant>
      <vt:variant>
        <vt:i4>5</vt:i4>
      </vt:variant>
      <vt:variant>
        <vt:lpwstr>https://finance.gov.sk/sk/financie/statne-vykaznictvo/suhrnna-vyrocna-sprava-sr/</vt:lpwstr>
      </vt:variant>
      <vt:variant>
        <vt:lpwstr/>
      </vt:variant>
      <vt:variant>
        <vt:i4>4849683</vt:i4>
      </vt:variant>
      <vt:variant>
        <vt:i4>123</vt:i4>
      </vt:variant>
      <vt:variant>
        <vt:i4>0</vt:i4>
      </vt:variant>
      <vt:variant>
        <vt:i4>5</vt:i4>
      </vt:variant>
      <vt:variant>
        <vt:lpwstr>https://ec.europa.eu/eurostat/documents/3859598/9530664/KS-GQ-18-012-EN-N.pdf</vt:lpwstr>
      </vt:variant>
      <vt:variant>
        <vt:lpwstr/>
      </vt:variant>
      <vt:variant>
        <vt:i4>6029382</vt:i4>
      </vt:variant>
      <vt:variant>
        <vt:i4>120</vt:i4>
      </vt:variant>
      <vt:variant>
        <vt:i4>0</vt:i4>
      </vt:variant>
      <vt:variant>
        <vt:i4>5</vt:i4>
      </vt:variant>
      <vt:variant>
        <vt:lpwstr>https://ec.europa.eu/eurostat/web/products-manuals-and-guidelines/-/KS-GQ-19-007</vt:lpwstr>
      </vt:variant>
      <vt:variant>
        <vt:lpwstr/>
      </vt:variant>
      <vt:variant>
        <vt:i4>7798837</vt:i4>
      </vt:variant>
      <vt:variant>
        <vt:i4>117</vt:i4>
      </vt:variant>
      <vt:variant>
        <vt:i4>0</vt:i4>
      </vt:variant>
      <vt:variant>
        <vt:i4>5</vt:i4>
      </vt:variant>
      <vt:variant>
        <vt:lpwstr>https://www.mfsr.sk/sk/financie/institut-financnej-politiky/strategicke-materialy/program-stability/program-stability.html</vt:lpwstr>
      </vt:variant>
      <vt:variant>
        <vt:lpwstr/>
      </vt:variant>
      <vt:variant>
        <vt:i4>3801163</vt:i4>
      </vt:variant>
      <vt:variant>
        <vt:i4>114</vt:i4>
      </vt:variant>
      <vt:variant>
        <vt:i4>0</vt:i4>
      </vt:variant>
      <vt:variant>
        <vt:i4>5</vt:i4>
      </vt:variant>
      <vt:variant>
        <vt:lpwstr>https://www.rozpoctovarada.sk/download2/ostatne_odpovede_nrvs20_22.pdf</vt:lpwstr>
      </vt:variant>
      <vt:variant>
        <vt:lpwstr/>
      </vt:variant>
      <vt:variant>
        <vt:i4>2687028</vt:i4>
      </vt:variant>
      <vt:variant>
        <vt:i4>111</vt:i4>
      </vt:variant>
      <vt:variant>
        <vt:i4>0</vt:i4>
      </vt:variant>
      <vt:variant>
        <vt:i4>5</vt:i4>
      </vt:variant>
      <vt:variant>
        <vt:lpwstr>https://www.slov-lex.sk/legislativne-procesy/SK/LP/2020/348</vt:lpwstr>
      </vt:variant>
      <vt:variant>
        <vt:lpwstr/>
      </vt:variant>
      <vt:variant>
        <vt:i4>7536750</vt:i4>
      </vt:variant>
      <vt:variant>
        <vt:i4>108</vt:i4>
      </vt:variant>
      <vt:variant>
        <vt:i4>0</vt:i4>
      </vt:variant>
      <vt:variant>
        <vt:i4>5</vt:i4>
      </vt:variant>
      <vt:variant>
        <vt:lpwstr>https://www.mfsr.sk/sk/financie/institut-financnej-politiky/ekonomicke-prognozy/danove-prognozy/55-zasadnutie-vyboru-danove-prognozy-november-2019.html</vt:lpwstr>
      </vt:variant>
      <vt:variant>
        <vt:lpwstr/>
      </vt:variant>
      <vt:variant>
        <vt:i4>2687074</vt:i4>
      </vt:variant>
      <vt:variant>
        <vt:i4>105</vt:i4>
      </vt:variant>
      <vt:variant>
        <vt:i4>0</vt:i4>
      </vt:variant>
      <vt:variant>
        <vt:i4>5</vt:i4>
      </vt:variant>
      <vt:variant>
        <vt:lpwstr>https://www.finance.gov.sk/sk/financie/institut-financnej-politiky/ekonomicke-prognozy/danove-prognozy/54-zasadnutie-vyboru-danove-prognozy-september-2019.html</vt:lpwstr>
      </vt:variant>
      <vt:variant>
        <vt:lpwstr/>
      </vt:variant>
      <vt:variant>
        <vt:i4>524294</vt:i4>
      </vt:variant>
      <vt:variant>
        <vt:i4>102</vt:i4>
      </vt:variant>
      <vt:variant>
        <vt:i4>0</vt:i4>
      </vt:variant>
      <vt:variant>
        <vt:i4>5</vt:i4>
      </vt:variant>
      <vt:variant>
        <vt:lpwstr>https://rokovania.gov.sk/RVL/Material/24756/1</vt:lpwstr>
      </vt:variant>
      <vt:variant>
        <vt:lpwstr/>
      </vt:variant>
      <vt:variant>
        <vt:i4>2031709</vt:i4>
      </vt:variant>
      <vt:variant>
        <vt:i4>99</vt:i4>
      </vt:variant>
      <vt:variant>
        <vt:i4>0</vt:i4>
      </vt:variant>
      <vt:variant>
        <vt:i4>5</vt:i4>
      </vt:variant>
      <vt:variant>
        <vt:lpwstr>https://www.mfsr.sk/sk/financie/institut-financnej-politiky/strategicke-materialy/fiskalny-kompakt/fiskalny-kompakt.html</vt:lpwstr>
      </vt:variant>
      <vt:variant>
        <vt:lpwstr/>
      </vt:variant>
      <vt:variant>
        <vt:i4>4063292</vt:i4>
      </vt:variant>
      <vt:variant>
        <vt:i4>96</vt:i4>
      </vt:variant>
      <vt:variant>
        <vt:i4>0</vt:i4>
      </vt:variant>
      <vt:variant>
        <vt:i4>5</vt:i4>
      </vt:variant>
      <vt:variant>
        <vt:lpwstr>https://www.finance.gov.sk/sk/financie/institut-financnej-politiky/publikacie-ifp/diskusne-studie/3-skrutkovac-hodnotu-za-peniaze-oktober-2018.html</vt:lpwstr>
      </vt:variant>
      <vt:variant>
        <vt:lpwstr/>
      </vt:variant>
      <vt:variant>
        <vt:i4>917530</vt:i4>
      </vt:variant>
      <vt:variant>
        <vt:i4>93</vt:i4>
      </vt:variant>
      <vt:variant>
        <vt:i4>0</vt:i4>
      </vt:variant>
      <vt:variant>
        <vt:i4>5</vt:i4>
      </vt:variant>
      <vt:variant>
        <vt:lpwstr>https://www.rozpoctovarada.sk/svk/rozpocet/438/hodnotenie-plnenia-pravidla-o-vyrovnanom-rozpocte-za-rok-2019</vt:lpwstr>
      </vt:variant>
      <vt:variant>
        <vt:lpwstr/>
      </vt:variant>
      <vt:variant>
        <vt:i4>196703</vt:i4>
      </vt:variant>
      <vt:variant>
        <vt:i4>90</vt:i4>
      </vt:variant>
      <vt:variant>
        <vt:i4>0</vt:i4>
      </vt:variant>
      <vt:variant>
        <vt:i4>5</vt:i4>
      </vt:variant>
      <vt:variant>
        <vt:lpwstr>http://www.rozpoctovarada.sk/svk/rozpocet/248/sprava-o-hodnoteni-plnenia-pravidiel-rozp-zodp-a-transp-082014</vt:lpwstr>
      </vt:variant>
      <vt:variant>
        <vt:lpwstr/>
      </vt:variant>
      <vt:variant>
        <vt:i4>5046287</vt:i4>
      </vt:variant>
      <vt:variant>
        <vt:i4>87</vt:i4>
      </vt:variant>
      <vt:variant>
        <vt:i4>0</vt:i4>
      </vt:variant>
      <vt:variant>
        <vt:i4>5</vt:i4>
      </vt:variant>
      <vt:variant>
        <vt:lpwstr>http://www.rozpoctovarada.sk/svk/rozpocet/129/sprava-o-dlhodobej-udrzatelnosti-verejnych-financii</vt:lpwstr>
      </vt:variant>
      <vt:variant>
        <vt:lpwstr/>
      </vt:variant>
      <vt:variant>
        <vt:i4>5767194</vt:i4>
      </vt:variant>
      <vt:variant>
        <vt:i4>84</vt:i4>
      </vt:variant>
      <vt:variant>
        <vt:i4>0</vt:i4>
      </vt:variant>
      <vt:variant>
        <vt:i4>5</vt:i4>
      </vt:variant>
      <vt:variant>
        <vt:lpwstr>http://www.rozpoctovarada.sk/svk/rozpocet/277/zostavenie-zakladneho-scenara-vyvoja-verejnych-financii</vt:lpwstr>
      </vt:variant>
      <vt:variant>
        <vt:lpwstr/>
      </vt:variant>
      <vt:variant>
        <vt:i4>589855</vt:i4>
      </vt:variant>
      <vt:variant>
        <vt:i4>81</vt:i4>
      </vt:variant>
      <vt:variant>
        <vt:i4>0</vt:i4>
      </vt:variant>
      <vt:variant>
        <vt:i4>5</vt:i4>
      </vt:variant>
      <vt:variant>
        <vt:lpwstr>http://www.rozpoctovarada.sk/svk/rozpocet/161/ako-vyhodnocovat-dlhodobu-udrzatelnost-verejnych-financii-</vt:lpwstr>
      </vt:variant>
      <vt:variant>
        <vt:lpwstr/>
      </vt:variant>
      <vt:variant>
        <vt:i4>1900629</vt:i4>
      </vt:variant>
      <vt:variant>
        <vt:i4>78</vt:i4>
      </vt:variant>
      <vt:variant>
        <vt:i4>0</vt:i4>
      </vt:variant>
      <vt:variant>
        <vt:i4>5</vt:i4>
      </vt:variant>
      <vt:variant>
        <vt:lpwstr>https://www.nrsr.sk/web/Default.aspx?sid=zakony/cpt&amp;ZakZborID=13&amp;CisObdobia=7&amp;ID=1160</vt:lpwstr>
      </vt:variant>
      <vt:variant>
        <vt:lpwstr/>
      </vt:variant>
      <vt:variant>
        <vt:i4>1835089</vt:i4>
      </vt:variant>
      <vt:variant>
        <vt:i4>75</vt:i4>
      </vt:variant>
      <vt:variant>
        <vt:i4>0</vt:i4>
      </vt:variant>
      <vt:variant>
        <vt:i4>5</vt:i4>
      </vt:variant>
      <vt:variant>
        <vt:lpwstr>https://www.nrsr.sk/web/Default.aspx?sid=zakony/cpt&amp;ZakZborID=13&amp;CisObdobia=7&amp;ID=751</vt:lpwstr>
      </vt:variant>
      <vt:variant>
        <vt:lpwstr/>
      </vt:variant>
      <vt:variant>
        <vt:i4>524289</vt:i4>
      </vt:variant>
      <vt:variant>
        <vt:i4>72</vt:i4>
      </vt:variant>
      <vt:variant>
        <vt:i4>0</vt:i4>
      </vt:variant>
      <vt:variant>
        <vt:i4>5</vt:i4>
      </vt:variant>
      <vt:variant>
        <vt:lpwstr>https://rokovania.gov.sk/RVL/Material/25147/1</vt:lpwstr>
      </vt:variant>
      <vt:variant>
        <vt:lpwstr/>
      </vt:variant>
      <vt:variant>
        <vt:i4>5439519</vt:i4>
      </vt:variant>
      <vt:variant>
        <vt:i4>69</vt:i4>
      </vt:variant>
      <vt:variant>
        <vt:i4>0</vt:i4>
      </vt:variant>
      <vt:variant>
        <vt:i4>5</vt:i4>
      </vt:variant>
      <vt:variant>
        <vt:lpwstr>https://www.crz.gov.sk/index.php?ID=4178756&amp;l=sk</vt:lpwstr>
      </vt:variant>
      <vt:variant>
        <vt:lpwstr/>
      </vt:variant>
      <vt:variant>
        <vt:i4>7405681</vt:i4>
      </vt:variant>
      <vt:variant>
        <vt:i4>66</vt:i4>
      </vt:variant>
      <vt:variant>
        <vt:i4>0</vt:i4>
      </vt:variant>
      <vt:variant>
        <vt:i4>5</vt:i4>
      </vt:variant>
      <vt:variant>
        <vt:lpwstr>https://rokovania.gov.sk/RVL/Resolution/17834/1</vt:lpwstr>
      </vt:variant>
      <vt:variant>
        <vt:lpwstr/>
      </vt:variant>
      <vt:variant>
        <vt:i4>5963800</vt:i4>
      </vt:variant>
      <vt:variant>
        <vt:i4>63</vt:i4>
      </vt:variant>
      <vt:variant>
        <vt:i4>0</vt:i4>
      </vt:variant>
      <vt:variant>
        <vt:i4>5</vt:i4>
      </vt:variant>
      <vt:variant>
        <vt:lpwstr>https://www.crz.gov.sk/index.php?ID=4013474&amp;l=sk</vt:lpwstr>
      </vt:variant>
      <vt:variant>
        <vt:lpwstr/>
      </vt:variant>
      <vt:variant>
        <vt:i4>720898</vt:i4>
      </vt:variant>
      <vt:variant>
        <vt:i4>60</vt:i4>
      </vt:variant>
      <vt:variant>
        <vt:i4>0</vt:i4>
      </vt:variant>
      <vt:variant>
        <vt:i4>5</vt:i4>
      </vt:variant>
      <vt:variant>
        <vt:lpwstr>https://rokovania.gov.sk/RVL/Material/23712/1</vt:lpwstr>
      </vt:variant>
      <vt:variant>
        <vt:lpwstr/>
      </vt:variant>
      <vt:variant>
        <vt:i4>5832724</vt:i4>
      </vt:variant>
      <vt:variant>
        <vt:i4>57</vt:i4>
      </vt:variant>
      <vt:variant>
        <vt:i4>0</vt:i4>
      </vt:variant>
      <vt:variant>
        <vt:i4>5</vt:i4>
      </vt:variant>
      <vt:variant>
        <vt:lpwstr>https://www.crz.gov.sk/index.php?ID=4013458&amp;l=sk</vt:lpwstr>
      </vt:variant>
      <vt:variant>
        <vt:lpwstr/>
      </vt:variant>
      <vt:variant>
        <vt:i4>720898</vt:i4>
      </vt:variant>
      <vt:variant>
        <vt:i4>54</vt:i4>
      </vt:variant>
      <vt:variant>
        <vt:i4>0</vt:i4>
      </vt:variant>
      <vt:variant>
        <vt:i4>5</vt:i4>
      </vt:variant>
      <vt:variant>
        <vt:lpwstr>https://rokovania.gov.sk/RVL/Material/23712/1</vt:lpwstr>
      </vt:variant>
      <vt:variant>
        <vt:lpwstr/>
      </vt:variant>
      <vt:variant>
        <vt:i4>6160408</vt:i4>
      </vt:variant>
      <vt:variant>
        <vt:i4>51</vt:i4>
      </vt:variant>
      <vt:variant>
        <vt:i4>0</vt:i4>
      </vt:variant>
      <vt:variant>
        <vt:i4>5</vt:i4>
      </vt:variant>
      <vt:variant>
        <vt:lpwstr>https://www.crz.gov.sk/index.php?ID=4007968&amp;l=sk</vt:lpwstr>
      </vt:variant>
      <vt:variant>
        <vt:lpwstr/>
      </vt:variant>
      <vt:variant>
        <vt:i4>720898</vt:i4>
      </vt:variant>
      <vt:variant>
        <vt:i4>48</vt:i4>
      </vt:variant>
      <vt:variant>
        <vt:i4>0</vt:i4>
      </vt:variant>
      <vt:variant>
        <vt:i4>5</vt:i4>
      </vt:variant>
      <vt:variant>
        <vt:lpwstr>https://rokovania.gov.sk/RVL/Material/23712/1</vt:lpwstr>
      </vt:variant>
      <vt:variant>
        <vt:lpwstr/>
      </vt:variant>
      <vt:variant>
        <vt:i4>6094873</vt:i4>
      </vt:variant>
      <vt:variant>
        <vt:i4>45</vt:i4>
      </vt:variant>
      <vt:variant>
        <vt:i4>0</vt:i4>
      </vt:variant>
      <vt:variant>
        <vt:i4>5</vt:i4>
      </vt:variant>
      <vt:variant>
        <vt:lpwstr>https://www.crz.gov.sk/index.php?ID=4007959&amp;l=sk</vt:lpwstr>
      </vt:variant>
      <vt:variant>
        <vt:lpwstr/>
      </vt:variant>
      <vt:variant>
        <vt:i4>720898</vt:i4>
      </vt:variant>
      <vt:variant>
        <vt:i4>42</vt:i4>
      </vt:variant>
      <vt:variant>
        <vt:i4>0</vt:i4>
      </vt:variant>
      <vt:variant>
        <vt:i4>5</vt:i4>
      </vt:variant>
      <vt:variant>
        <vt:lpwstr>https://rokovania.gov.sk/RVL/Material/23712/1</vt:lpwstr>
      </vt:variant>
      <vt:variant>
        <vt:lpwstr/>
      </vt:variant>
      <vt:variant>
        <vt:i4>6029340</vt:i4>
      </vt:variant>
      <vt:variant>
        <vt:i4>39</vt:i4>
      </vt:variant>
      <vt:variant>
        <vt:i4>0</vt:i4>
      </vt:variant>
      <vt:variant>
        <vt:i4>5</vt:i4>
      </vt:variant>
      <vt:variant>
        <vt:lpwstr>https://www.crz.gov.sk/index.php?ID=4341514&amp;l=sk</vt:lpwstr>
      </vt:variant>
      <vt:variant>
        <vt:lpwstr/>
      </vt:variant>
      <vt:variant>
        <vt:i4>8126585</vt:i4>
      </vt:variant>
      <vt:variant>
        <vt:i4>36</vt:i4>
      </vt:variant>
      <vt:variant>
        <vt:i4>0</vt:i4>
      </vt:variant>
      <vt:variant>
        <vt:i4>5</vt:i4>
      </vt:variant>
      <vt:variant>
        <vt:lpwstr>https://rokovania.gov.sk/RVL/Resolution/18014/1</vt:lpwstr>
      </vt:variant>
      <vt:variant>
        <vt:lpwstr/>
      </vt:variant>
      <vt:variant>
        <vt:i4>5570576</vt:i4>
      </vt:variant>
      <vt:variant>
        <vt:i4>33</vt:i4>
      </vt:variant>
      <vt:variant>
        <vt:i4>0</vt:i4>
      </vt:variant>
      <vt:variant>
        <vt:i4>5</vt:i4>
      </vt:variant>
      <vt:variant>
        <vt:lpwstr>https://www.crz.gov.sk/index.php?ID=3331588&amp;l=sk</vt:lpwstr>
      </vt:variant>
      <vt:variant>
        <vt:lpwstr/>
      </vt:variant>
      <vt:variant>
        <vt:i4>917511</vt:i4>
      </vt:variant>
      <vt:variant>
        <vt:i4>30</vt:i4>
      </vt:variant>
      <vt:variant>
        <vt:i4>0</vt:i4>
      </vt:variant>
      <vt:variant>
        <vt:i4>5</vt:i4>
      </vt:variant>
      <vt:variant>
        <vt:lpwstr>https://rokovania.gov.sk/RVL/Material/22656/1</vt:lpwstr>
      </vt:variant>
      <vt:variant>
        <vt:lpwstr/>
      </vt:variant>
      <vt:variant>
        <vt:i4>5767184</vt:i4>
      </vt:variant>
      <vt:variant>
        <vt:i4>27</vt:i4>
      </vt:variant>
      <vt:variant>
        <vt:i4>0</vt:i4>
      </vt:variant>
      <vt:variant>
        <vt:i4>5</vt:i4>
      </vt:variant>
      <vt:variant>
        <vt:lpwstr>https://www.crz.gov.sk/index.php?ID=3976881&amp;l=sk</vt:lpwstr>
      </vt:variant>
      <vt:variant>
        <vt:lpwstr/>
      </vt:variant>
      <vt:variant>
        <vt:i4>7471225</vt:i4>
      </vt:variant>
      <vt:variant>
        <vt:i4>24</vt:i4>
      </vt:variant>
      <vt:variant>
        <vt:i4>0</vt:i4>
      </vt:variant>
      <vt:variant>
        <vt:i4>5</vt:i4>
      </vt:variant>
      <vt:variant>
        <vt:lpwstr>https://rokovania.gov.sk/RVL/Resolution/17602/1</vt:lpwstr>
      </vt:variant>
      <vt:variant>
        <vt:lpwstr/>
      </vt:variant>
      <vt:variant>
        <vt:i4>7602296</vt:i4>
      </vt:variant>
      <vt:variant>
        <vt:i4>21</vt:i4>
      </vt:variant>
      <vt:variant>
        <vt:i4>0</vt:i4>
      </vt:variant>
      <vt:variant>
        <vt:i4>5</vt:i4>
      </vt:variant>
      <vt:variant>
        <vt:lpwstr>https://rokovania.gov.sk/RVL/Resolution/18095/</vt:lpwstr>
      </vt:variant>
      <vt:variant>
        <vt:lpwstr/>
      </vt:variant>
      <vt:variant>
        <vt:i4>5570627</vt:i4>
      </vt:variant>
      <vt:variant>
        <vt:i4>18</vt:i4>
      </vt:variant>
      <vt:variant>
        <vt:i4>0</vt:i4>
      </vt:variant>
      <vt:variant>
        <vt:i4>5</vt:i4>
      </vt:variant>
      <vt:variant>
        <vt:lpwstr>https://www.mfsr.sk/sk/media/tlacove-spravy/informacia-predpokladanom-vyvoji-rozpoctu-verejnej-spravy-roku-2020.html</vt:lpwstr>
      </vt:variant>
      <vt:variant>
        <vt:lpwstr/>
      </vt:variant>
      <vt:variant>
        <vt:i4>6881336</vt:i4>
      </vt:variant>
      <vt:variant>
        <vt:i4>15</vt:i4>
      </vt:variant>
      <vt:variant>
        <vt:i4>0</vt:i4>
      </vt:variant>
      <vt:variant>
        <vt:i4>5</vt:i4>
      </vt:variant>
      <vt:variant>
        <vt:lpwstr>https://ec.europa.eu/eurostat/documents/2995521/10294660/2-23042020-AP-EN.pdf/82252e2f-7336-a45b-9735-5dc29176aa06</vt:lpwstr>
      </vt:variant>
      <vt:variant>
        <vt:lpwstr/>
      </vt:variant>
      <vt:variant>
        <vt:i4>2031711</vt:i4>
      </vt:variant>
      <vt:variant>
        <vt:i4>12</vt:i4>
      </vt:variant>
      <vt:variant>
        <vt:i4>0</vt:i4>
      </vt:variant>
      <vt:variant>
        <vt:i4>5</vt:i4>
      </vt:variant>
      <vt:variant>
        <vt:lpwstr>https://www.mfsr.sk/sk/financie/institut-financnej-politiky/strategicke-materialy/zdovodnenie-vysky-dlhu/</vt:lpwstr>
      </vt:variant>
      <vt:variant>
        <vt:lpwstr/>
      </vt:variant>
      <vt:variant>
        <vt:i4>1245255</vt:i4>
      </vt:variant>
      <vt:variant>
        <vt:i4>9</vt:i4>
      </vt:variant>
      <vt:variant>
        <vt:i4>0</vt:i4>
      </vt:variant>
      <vt:variant>
        <vt:i4>5</vt:i4>
      </vt:variant>
      <vt:variant>
        <vt:lpwstr>https://www.nrsr.sk/dl/Browser/Document?documentId=273723</vt:lpwstr>
      </vt:variant>
      <vt:variant>
        <vt:lpwstr/>
      </vt:variant>
      <vt:variant>
        <vt:i4>3473504</vt:i4>
      </vt:variant>
      <vt:variant>
        <vt:i4>6</vt:i4>
      </vt:variant>
      <vt:variant>
        <vt:i4>0</vt:i4>
      </vt:variant>
      <vt:variant>
        <vt:i4>5</vt:i4>
      </vt:variant>
      <vt:variant>
        <vt:lpwstr>https://www.mfsr.sk/sk/financie/institut-financnej-politiky/publikacie-ifp/komentare/komentare-z-roku-2020/9-statna-kasa-uzde-jul-2020.html</vt:lpwstr>
      </vt:variant>
      <vt:variant>
        <vt:lpwstr/>
      </vt:variant>
      <vt:variant>
        <vt:i4>7798837</vt:i4>
      </vt:variant>
      <vt:variant>
        <vt:i4>3</vt:i4>
      </vt:variant>
      <vt:variant>
        <vt:i4>0</vt:i4>
      </vt:variant>
      <vt:variant>
        <vt:i4>5</vt:i4>
      </vt:variant>
      <vt:variant>
        <vt:lpwstr>https://www.mfsr.sk/sk/financie/institut-financnej-politiky/strategicke-materialy/program-stability/program-stability.html</vt:lpwstr>
      </vt:variant>
      <vt:variant>
        <vt:lpwstr/>
      </vt:variant>
      <vt:variant>
        <vt:i4>4784131</vt:i4>
      </vt:variant>
      <vt:variant>
        <vt:i4>0</vt:i4>
      </vt:variant>
      <vt:variant>
        <vt:i4>0</vt:i4>
      </vt:variant>
      <vt:variant>
        <vt:i4>5</vt:i4>
      </vt:variant>
      <vt:variant>
        <vt:lpwstr>https://www.rozpoctovarada.sk/download2/fiscal_compact_2019_jul_zhrnutie.pdf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RRZ</dc:creator>
  <cp:keywords/>
  <dc:description/>
  <cp:lastModifiedBy>Zofia Majdekova</cp:lastModifiedBy>
  <cp:revision>2</cp:revision>
  <cp:lastPrinted>2020-08-18T16:07:00Z</cp:lastPrinted>
  <dcterms:created xsi:type="dcterms:W3CDTF">2020-08-31T09:13:00Z</dcterms:created>
  <dcterms:modified xsi:type="dcterms:W3CDTF">2020-08-31T09:13:00Z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0x01010085FC50C717C9744CA4818A20EB64BEC1</vt:lpwstr>
  </property>
</Properties>
</file>