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0B1DD1">
        <w:rPr>
          <w:sz w:val="22"/>
          <w:szCs w:val="22"/>
        </w:rPr>
        <w:t>32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20</w:t>
      </w:r>
      <w:r w:rsidR="000B1DD1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12B41">
        <w:rPr>
          <w:rFonts w:cs="Arial"/>
          <w:sz w:val="22"/>
          <w:szCs w:val="22"/>
          <w:lang w:val="sk-SK"/>
        </w:rPr>
        <w:t>o</w:t>
      </w:r>
      <w:r w:rsidR="000B1DD1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B1DD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Milana VETRÁKA</w:t>
      </w:r>
      <w:r w:rsidRPr="00E66789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12B41">
        <w:rPr>
          <w:rFonts w:cs="Arial"/>
          <w:szCs w:val="22"/>
        </w:rPr>
        <w:t xml:space="preserve">zákon č. </w:t>
      </w:r>
      <w:r w:rsidR="000B1DD1">
        <w:rPr>
          <w:rFonts w:cs="Arial"/>
          <w:szCs w:val="22"/>
        </w:rPr>
        <w:t>85/2005 Z. z. o politických straných a politických hnutiach v znení neskorších predpisov a ktorým sa mení zákon č. 291/2002 Z. z. o Štátnej pokladnici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21</w:t>
      </w:r>
      <w:r w:rsidR="000B1DD1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817F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817F0">
        <w:rPr>
          <w:rFonts w:ascii="Arial" w:hAnsi="Arial" w:cs="Arial"/>
          <w:sz w:val="22"/>
          <w:szCs w:val="22"/>
        </w:rPr>
        <w:t>financie a rozpočet a</w:t>
      </w:r>
    </w:p>
    <w:p w:rsidR="00B817F0" w:rsidRDefault="00B817F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B817F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817F0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80E19"/>
    <w:rsid w:val="007B2F24"/>
    <w:rsid w:val="008A0C9B"/>
    <w:rsid w:val="008B1A45"/>
    <w:rsid w:val="00912B41"/>
    <w:rsid w:val="00992885"/>
    <w:rsid w:val="00AA3DED"/>
    <w:rsid w:val="00AB4082"/>
    <w:rsid w:val="00B07FCF"/>
    <w:rsid w:val="00B1506F"/>
    <w:rsid w:val="00B20ACA"/>
    <w:rsid w:val="00B817F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8F03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2020-08-31T04:32:00Z</cp:lastPrinted>
  <dcterms:created xsi:type="dcterms:W3CDTF">2020-08-28T12:44:00Z</dcterms:created>
  <dcterms:modified xsi:type="dcterms:W3CDTF">2020-08-31T04:32:00Z</dcterms:modified>
</cp:coreProperties>
</file>