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711505">
        <w:rPr>
          <w:sz w:val="22"/>
          <w:szCs w:val="22"/>
        </w:rPr>
        <w:t>1616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20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0A13C2">
      <w:pPr>
        <w:pStyle w:val="rozhodnutia"/>
      </w:pPr>
      <w:r>
        <w:t>196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711505">
        <w:rPr>
          <w:rFonts w:ascii="Arial" w:hAnsi="Arial" w:cs="Arial"/>
          <w:sz w:val="22"/>
          <w:szCs w:val="22"/>
        </w:rPr>
        <w:t> 31.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20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711505">
        <w:rPr>
          <w:rFonts w:cs="Arial"/>
          <w:szCs w:val="22"/>
        </w:rPr>
        <w:t>Martina BELUSKÉHO, Rastislava SCHLOSÁRA, Miroslava SUJU a Miroslava URBANA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711505">
        <w:rPr>
          <w:rFonts w:cs="Arial"/>
          <w:szCs w:val="22"/>
        </w:rPr>
        <w:t>zákon č. 583/2004 Z. z. o rozpočtových pravidlách územnej samosprávy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711505">
        <w:rPr>
          <w:rFonts w:cs="Arial"/>
          <w:szCs w:val="22"/>
        </w:rPr>
        <w:t>205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711505">
        <w:rPr>
          <w:rFonts w:cs="Arial"/>
          <w:szCs w:val="22"/>
        </w:rPr>
        <w:t>27.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20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0A13C2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0A13C2">
        <w:rPr>
          <w:rFonts w:ascii="Arial" w:hAnsi="Arial" w:cs="Arial"/>
          <w:sz w:val="22"/>
          <w:szCs w:val="22"/>
        </w:rPr>
        <w:t>financie a rozpočet a</w:t>
      </w:r>
    </w:p>
    <w:p w:rsidR="000A13C2" w:rsidRDefault="000A13C2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RDefault="000A13C2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0A13C2">
        <w:rPr>
          <w:rFonts w:ascii="Arial" w:hAnsi="Arial" w:cs="Arial"/>
          <w:sz w:val="22"/>
          <w:szCs w:val="22"/>
        </w:rPr>
        <w:t>financie a rozpočet</w:t>
      </w:r>
      <w:bookmarkStart w:id="0" w:name="_GoBack"/>
      <w:bookmarkEnd w:id="0"/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A13C2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11505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93847"/>
    <w:rsid w:val="00EF4E86"/>
    <w:rsid w:val="00F12AD1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FDE83F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2020-08-28T05:55:00Z</cp:lastPrinted>
  <dcterms:created xsi:type="dcterms:W3CDTF">2020-08-27T10:30:00Z</dcterms:created>
  <dcterms:modified xsi:type="dcterms:W3CDTF">2020-08-28T05:55:00Z</dcterms:modified>
</cp:coreProperties>
</file>