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7B8" w:rsidRDefault="00301E8B">
      <w:pPr>
        <w:pStyle w:val="Normlnywebov"/>
        <w:spacing w:before="120" w:line="276" w:lineRule="auto"/>
        <w:jc w:val="center"/>
      </w:pPr>
      <w:r>
        <w:rPr>
          <w:rFonts w:ascii="Book Antiqua" w:hAnsi="Book Antiqua"/>
          <w:b/>
          <w:bCs/>
          <w:caps/>
          <w:spacing w:val="30"/>
          <w:sz w:val="22"/>
          <w:szCs w:val="22"/>
        </w:rPr>
        <w:t>Dôvodová správa</w:t>
      </w:r>
    </w:p>
    <w:p w:rsidR="007177B8" w:rsidRDefault="00301E8B">
      <w:pPr>
        <w:pStyle w:val="Nadpis1"/>
        <w:spacing w:before="120" w:line="276" w:lineRule="auto"/>
        <w:jc w:val="both"/>
      </w:pPr>
      <w:r>
        <w:rPr>
          <w:rFonts w:ascii="Book Antiqua" w:hAnsi="Book Antiqua"/>
          <w:b w:val="0"/>
          <w:bCs/>
          <w:sz w:val="22"/>
          <w:szCs w:val="22"/>
        </w:rPr>
        <w:t> </w:t>
      </w:r>
    </w:p>
    <w:p w:rsidR="007177B8" w:rsidRDefault="00301E8B">
      <w:pPr>
        <w:pStyle w:val="Nadpis1"/>
        <w:spacing w:before="120" w:line="276" w:lineRule="auto"/>
        <w:jc w:val="both"/>
      </w:pPr>
      <w:r>
        <w:rPr>
          <w:rFonts w:ascii="Book Antiqua" w:hAnsi="Book Antiqua"/>
          <w:sz w:val="22"/>
          <w:szCs w:val="22"/>
        </w:rPr>
        <w:t>A. Všeobecná časť</w:t>
      </w:r>
    </w:p>
    <w:p w:rsidR="007177B8" w:rsidRDefault="00301E8B">
      <w:pPr>
        <w:pStyle w:val="Standard"/>
        <w:spacing w:before="120" w:line="276" w:lineRule="auto"/>
        <w:ind w:firstLine="708"/>
        <w:jc w:val="both"/>
      </w:pPr>
      <w:r>
        <w:rPr>
          <w:rFonts w:ascii="Book Antiqua" w:hAnsi="Book Antiqua"/>
          <w:sz w:val="22"/>
          <w:szCs w:val="22"/>
        </w:rPr>
        <w:t xml:space="preserve">Návrh </w:t>
      </w:r>
      <w:r>
        <w:rPr>
          <w:rFonts w:ascii="Book Antiqua" w:hAnsi="Book Antiqua" w:cs="Book Antiqua"/>
          <w:bCs/>
          <w:sz w:val="22"/>
          <w:szCs w:val="22"/>
        </w:rPr>
        <w:t xml:space="preserve">zákona, ktorým sa mení a dopĺňa </w:t>
      </w:r>
      <w:r>
        <w:rPr>
          <w:rFonts w:ascii="Book Antiqua" w:hAnsi="Book Antiqua"/>
          <w:bCs/>
          <w:sz w:val="22"/>
          <w:szCs w:val="22"/>
        </w:rPr>
        <w:t>zákon Národnej rady Slovenskej republiky č. 125/1996 Z. z. o nemorálnosti a protiprávnosti komunistického systému a ktorým sa menia a dopĺňajú niektoré zákony</w:t>
      </w:r>
      <w:r>
        <w:rPr>
          <w:rFonts w:ascii="Book Antiqua" w:hAnsi="Book Antiqua"/>
          <w:sz w:val="22"/>
          <w:szCs w:val="22"/>
        </w:rPr>
        <w:t xml:space="preserve"> (ďalej len „návrh zákona“) predkladá skupina poslancov Národnej rady Slovenskej republiky.</w:t>
      </w:r>
    </w:p>
    <w:p w:rsidR="007177B8" w:rsidRDefault="00301E8B">
      <w:pPr>
        <w:pStyle w:val="Standard"/>
        <w:spacing w:before="120" w:line="276" w:lineRule="auto"/>
        <w:ind w:firstLine="708"/>
        <w:jc w:val="both"/>
      </w:pPr>
      <w:r>
        <w:rPr>
          <w:rFonts w:ascii="Book Antiqua" w:hAnsi="Book Antiqua"/>
          <w:b/>
          <w:sz w:val="22"/>
          <w:szCs w:val="22"/>
        </w:rPr>
        <w:t>V programovom vyhlásení vlády SR sa vláda Slovenskej republiky zaviazala podporovať zvyšovanie povedomia o totalitných obdobiach slovenskej histórie.</w:t>
      </w:r>
      <w:r>
        <w:rPr>
          <w:rFonts w:ascii="Book Antiqua" w:hAnsi="Book Antiqua"/>
          <w:bCs/>
          <w:sz w:val="22"/>
          <w:szCs w:val="22"/>
        </w:rPr>
        <w:t xml:space="preserve"> Predložený návrh zákona reaguje na tento záväzok a jasne pomenúva komunistický režim ako odsúdeniahodný, zločinný a nelegitímny, ktorý porušoval ľudské práva a slobody.</w:t>
      </w:r>
    </w:p>
    <w:p w:rsidR="007177B8" w:rsidRDefault="00301E8B">
      <w:pPr>
        <w:pStyle w:val="Standard"/>
        <w:spacing w:before="120" w:line="276" w:lineRule="auto"/>
        <w:ind w:firstLine="708"/>
        <w:jc w:val="both"/>
      </w:pPr>
      <w:r>
        <w:rPr>
          <w:rFonts w:ascii="Book Antiqua" w:hAnsi="Book Antiqua"/>
          <w:b/>
          <w:sz w:val="22"/>
          <w:szCs w:val="22"/>
        </w:rPr>
        <w:t>Okrem symbolického zadosťučinenia pre obete komunistického režimu a zvýšenia povedomia verejnosti o podstate komunistického režimu môže takáto právna úprava napomôcť pri stíhaní trestných činov extrémizmu</w:t>
      </w:r>
      <w:r>
        <w:rPr>
          <w:rFonts w:ascii="Book Antiqua" w:hAnsi="Book Antiqua"/>
          <w:bCs/>
          <w:sz w:val="22"/>
          <w:szCs w:val="22"/>
        </w:rPr>
        <w:t>. V aplikovanej praxi sa totiž stáva, že v rámci vyšetrovania trestných činov extrémizmu býva často potrebné za účelom objasnenia skutočností dôležitých pre trestné konanie vypracovanie znaleckého posudku, resp. odborného vyjadrenia. Znalcov, ktorí by sa venovali tejto problematike nie je veľa a vzhľadom na ich pracovné vyťaženie, ako aj vzhľadom k objemu posudzovaných extrémistických symbolov trvá vypracovanie znaleckých posudkov neprimerane dlhú dobu, čo má za následok predlžovanie trestného konania. Problém spôsobuje aj skutočnosť, že súčasné znenie zákona č. 125/1996 Z. z. o nemorálnosti a protiprávnosti komunistického systému (</w:t>
      </w:r>
      <w:r>
        <w:rPr>
          <w:rFonts w:ascii="Book Antiqua" w:hAnsi="Book Antiqua"/>
          <w:sz w:val="22"/>
          <w:szCs w:val="22"/>
        </w:rPr>
        <w:t>ďalej len „zákon“) je v niektorých častiach nepresné.</w:t>
      </w:r>
    </w:p>
    <w:p w:rsidR="007177B8" w:rsidRDefault="00301E8B">
      <w:pPr>
        <w:pStyle w:val="Standard"/>
        <w:spacing w:before="120" w:line="276" w:lineRule="auto"/>
        <w:ind w:firstLine="708"/>
        <w:jc w:val="both"/>
      </w:pPr>
      <w:r>
        <w:rPr>
          <w:rFonts w:ascii="Book Antiqua" w:hAnsi="Book Antiqua"/>
          <w:bCs/>
          <w:sz w:val="22"/>
          <w:szCs w:val="22"/>
        </w:rPr>
        <w:t xml:space="preserve">Nielen za účelom eliminovať potrebu vypracovania znaleckých posudkov, ktoré by preukazovali, že komunistický režim bol založený na ideológii, ktorá smerovala k potlačeniu základných práv a slobôd, ale aj z dôvodu jasného pomenovania, spresnenia a tvrdenia, že komunistický režim je nielen odsúdeniahodný, ale aj zločinný a nelegitímny, sa predkladá predmetný návrh zákona. Explicitne sa uvádza, že Komunistická strana Československa, ako aj Komunistická strana Slovenska, bola zločinnou a zavrhnutiahodnou organizáciou, ktorá vo svojej činnosti smerovala k potlačovaniu ľudských práv a demokratického systému. Deklaruje sa, že komunistický režim a tí, ktorí ho aktívne presadzovali, systematicky a trvalo porušoval ľudské práva a slobody, pričom obzvlášť závažným spôsobom utlačoval niektoré politické, sociálne a náboženské skupiny občanov. Ďalšou zmenou je, že časť preambuly zákona sa presúva do paragrafovej časti, čím sa stáva normatívnou súčasťou právneho predpisu. Vzorom pre vykonanie vyššie uvedených zmien je české znenie </w:t>
      </w:r>
      <w:r>
        <w:rPr>
          <w:rFonts w:ascii="Book Antiqua" w:hAnsi="Book Antiqua"/>
          <w:sz w:val="22"/>
          <w:szCs w:val="22"/>
        </w:rPr>
        <w:t xml:space="preserve">zákona </w:t>
      </w:r>
      <w:r>
        <w:rPr>
          <w:rFonts w:ascii="Book Antiqua" w:hAnsi="Book Antiqua"/>
          <w:bCs/>
          <w:sz w:val="22"/>
          <w:szCs w:val="22"/>
        </w:rPr>
        <w:t>č. 198/1993 Sb. o protiprávnosti komunistického režimu a o odporu proti n</w:t>
      </w:r>
      <w:r w:rsidR="00155057">
        <w:rPr>
          <w:rFonts w:ascii="Book Antiqua" w:hAnsi="Book Antiqua"/>
          <w:bCs/>
          <w:sz w:val="22"/>
          <w:szCs w:val="22"/>
        </w:rPr>
        <w:t>ě</w:t>
      </w:r>
      <w:r>
        <w:rPr>
          <w:rFonts w:ascii="Book Antiqua" w:hAnsi="Book Antiqua"/>
          <w:bCs/>
          <w:sz w:val="22"/>
          <w:szCs w:val="22"/>
        </w:rPr>
        <w:t>mu.</w:t>
      </w:r>
    </w:p>
    <w:p w:rsidR="007177B8" w:rsidRDefault="00301E8B">
      <w:pPr>
        <w:pStyle w:val="Standard"/>
        <w:spacing w:before="120" w:line="276" w:lineRule="auto"/>
        <w:ind w:firstLine="708"/>
        <w:jc w:val="both"/>
      </w:pPr>
      <w:r>
        <w:rPr>
          <w:rFonts w:ascii="Book Antiqua" w:hAnsi="Book Antiqua"/>
          <w:sz w:val="22"/>
          <w:szCs w:val="22"/>
        </w:rPr>
        <w:t>Súčasťou predkladaného návrhu zákona je aj zákaz umiestňovania pamätníkov, pomníkov a pamätných tabúľ oslavujúcich komunistický, fašistický alebo nacistický režim vrátane sankcionovania týchto úkonov a zákaz pomenovávania ulíc a verejných priestranstiev po predstaviteľoch týchto zločineckých režimov.</w:t>
      </w:r>
    </w:p>
    <w:p w:rsidR="007177B8" w:rsidRDefault="00301E8B">
      <w:pPr>
        <w:pStyle w:val="Standard"/>
        <w:spacing w:before="120" w:line="276" w:lineRule="auto"/>
        <w:ind w:firstLine="708"/>
        <w:jc w:val="both"/>
      </w:pPr>
      <w:r>
        <w:rPr>
          <w:rFonts w:ascii="Book Antiqua" w:hAnsi="Book Antiqua"/>
          <w:sz w:val="22"/>
          <w:szCs w:val="22"/>
        </w:rPr>
        <w:lastRenderedPageBreak/>
        <w:t>Predkladaný návrh zákona nemá vplyv na rozpočet verejnej správy, nevyvoláva sociálne vplyvy, vplyvy na podnikateľské prostredie, na životné prostredie, ani na informatizáciu spoločnosti.</w:t>
      </w:r>
    </w:p>
    <w:p w:rsidR="007177B8" w:rsidRDefault="00301E8B">
      <w:pPr>
        <w:pStyle w:val="Standard"/>
        <w:spacing w:before="120" w:line="276" w:lineRule="auto"/>
        <w:ind w:firstLine="708"/>
        <w:jc w:val="both"/>
      </w:pPr>
      <w:r>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rsidR="007177B8" w:rsidRDefault="00301E8B">
      <w:pPr>
        <w:pStyle w:val="Normlnywebov"/>
        <w:pageBreakBefore/>
        <w:spacing w:before="120" w:line="276" w:lineRule="auto"/>
        <w:jc w:val="both"/>
      </w:pPr>
      <w:r>
        <w:rPr>
          <w:rFonts w:ascii="Book Antiqua" w:hAnsi="Book Antiqua"/>
          <w:b/>
          <w:bCs/>
          <w:sz w:val="22"/>
          <w:szCs w:val="22"/>
        </w:rPr>
        <w:lastRenderedPageBreak/>
        <w:t>B. Osobitná časť</w:t>
      </w:r>
    </w:p>
    <w:p w:rsidR="007177B8" w:rsidRDefault="007177B8">
      <w:pPr>
        <w:pStyle w:val="Normlnywebov"/>
        <w:spacing w:before="120" w:line="276" w:lineRule="auto"/>
        <w:jc w:val="both"/>
        <w:rPr>
          <w:rFonts w:ascii="Book Antiqua" w:hAnsi="Book Antiqua"/>
          <w:sz w:val="22"/>
          <w:szCs w:val="22"/>
        </w:rPr>
      </w:pPr>
    </w:p>
    <w:p w:rsidR="007177B8" w:rsidRDefault="00301E8B">
      <w:pPr>
        <w:pStyle w:val="Normlnywebov"/>
        <w:spacing w:before="120" w:line="276" w:lineRule="auto"/>
        <w:jc w:val="both"/>
      </w:pPr>
      <w:r>
        <w:rPr>
          <w:rFonts w:ascii="Book Antiqua" w:hAnsi="Book Antiqua"/>
          <w:b/>
          <w:bCs/>
          <w:sz w:val="22"/>
          <w:szCs w:val="22"/>
        </w:rPr>
        <w:t>K Čl. I</w:t>
      </w:r>
    </w:p>
    <w:p w:rsidR="007177B8" w:rsidRDefault="00301E8B">
      <w:pPr>
        <w:pStyle w:val="l4"/>
        <w:shd w:val="clear" w:color="auto" w:fill="FFFFFF"/>
        <w:spacing w:before="120" w:line="276" w:lineRule="auto"/>
        <w:jc w:val="both"/>
      </w:pPr>
      <w:r>
        <w:rPr>
          <w:rFonts w:ascii="Book Antiqua" w:hAnsi="Book Antiqua"/>
          <w:sz w:val="22"/>
          <w:szCs w:val="22"/>
          <w:u w:val="single"/>
        </w:rPr>
        <w:t>K bod</w:t>
      </w:r>
      <w:r w:rsidR="00155057">
        <w:rPr>
          <w:rFonts w:ascii="Book Antiqua" w:hAnsi="Book Antiqua"/>
          <w:sz w:val="22"/>
          <w:szCs w:val="22"/>
          <w:u w:val="single"/>
        </w:rPr>
        <w:t>om</w:t>
      </w:r>
      <w:r>
        <w:rPr>
          <w:rFonts w:ascii="Book Antiqua" w:hAnsi="Book Antiqua"/>
          <w:sz w:val="22"/>
          <w:szCs w:val="22"/>
          <w:u w:val="single"/>
        </w:rPr>
        <w:t xml:space="preserve"> 1 a 2</w:t>
      </w:r>
    </w:p>
    <w:p w:rsidR="007177B8" w:rsidRDefault="00301E8B">
      <w:pPr>
        <w:pStyle w:val="Standard"/>
        <w:spacing w:before="120" w:line="276" w:lineRule="auto"/>
        <w:ind w:firstLine="708"/>
        <w:jc w:val="both"/>
      </w:pPr>
      <w:r>
        <w:rPr>
          <w:rFonts w:ascii="Book Antiqua" w:hAnsi="Book Antiqua"/>
          <w:sz w:val="22"/>
          <w:szCs w:val="22"/>
        </w:rPr>
        <w:t>Z hľa</w:t>
      </w:r>
      <w:r w:rsidR="00155057">
        <w:rPr>
          <w:rFonts w:ascii="Book Antiqua" w:hAnsi="Book Antiqua"/>
          <w:sz w:val="22"/>
          <w:szCs w:val="22"/>
        </w:rPr>
        <w:t xml:space="preserve">diska právnej teórie preambula </w:t>
      </w:r>
      <w:r>
        <w:rPr>
          <w:rFonts w:ascii="Book Antiqua" w:hAnsi="Book Antiqua"/>
          <w:sz w:val="22"/>
          <w:szCs w:val="22"/>
        </w:rPr>
        <w:t>právneho predpisu</w:t>
      </w:r>
      <w:r w:rsidR="00155057">
        <w:rPr>
          <w:rFonts w:ascii="Book Antiqua" w:hAnsi="Book Antiqua"/>
          <w:sz w:val="22"/>
          <w:szCs w:val="22"/>
        </w:rPr>
        <w:t>,</w:t>
      </w:r>
      <w:r>
        <w:rPr>
          <w:rFonts w:ascii="Book Antiqua" w:hAnsi="Book Antiqua"/>
          <w:sz w:val="22"/>
          <w:szCs w:val="22"/>
        </w:rPr>
        <w:t xml:space="preserve"> nachádzajúc</w:t>
      </w:r>
      <w:r w:rsidR="00155057">
        <w:rPr>
          <w:rFonts w:ascii="Book Antiqua" w:hAnsi="Book Antiqua"/>
          <w:sz w:val="22"/>
          <w:szCs w:val="22"/>
        </w:rPr>
        <w:t>a</w:t>
      </w:r>
      <w:r>
        <w:rPr>
          <w:rFonts w:ascii="Book Antiqua" w:hAnsi="Book Antiqua"/>
          <w:sz w:val="22"/>
          <w:szCs w:val="22"/>
        </w:rPr>
        <w:t xml:space="preserve"> sa pred jeho záväznými článkami, nie </w:t>
      </w:r>
      <w:r w:rsidR="00155057">
        <w:rPr>
          <w:rFonts w:ascii="Book Antiqua" w:hAnsi="Book Antiqua"/>
          <w:sz w:val="22"/>
          <w:szCs w:val="22"/>
        </w:rPr>
        <w:t>je</w:t>
      </w:r>
      <w:r>
        <w:rPr>
          <w:rFonts w:ascii="Book Antiqua" w:hAnsi="Book Antiqua"/>
          <w:sz w:val="22"/>
          <w:szCs w:val="22"/>
        </w:rPr>
        <w:t xml:space="preserve"> právne záväzn</w:t>
      </w:r>
      <w:r w:rsidR="00155057">
        <w:rPr>
          <w:rFonts w:ascii="Book Antiqua" w:hAnsi="Book Antiqua"/>
          <w:sz w:val="22"/>
          <w:szCs w:val="22"/>
        </w:rPr>
        <w:t>á</w:t>
      </w:r>
      <w:r>
        <w:rPr>
          <w:rFonts w:ascii="Book Antiqua" w:hAnsi="Book Antiqua"/>
          <w:sz w:val="22"/>
          <w:szCs w:val="22"/>
        </w:rPr>
        <w:t>, ale vyjadruj</w:t>
      </w:r>
      <w:r w:rsidR="00155057">
        <w:rPr>
          <w:rFonts w:ascii="Book Antiqua" w:hAnsi="Book Antiqua"/>
          <w:sz w:val="22"/>
          <w:szCs w:val="22"/>
        </w:rPr>
        <w:t>e</w:t>
      </w:r>
      <w:r>
        <w:rPr>
          <w:rFonts w:ascii="Book Antiqua" w:hAnsi="Book Antiqua"/>
          <w:sz w:val="22"/>
          <w:szCs w:val="22"/>
        </w:rPr>
        <w:t xml:space="preserve"> hodnotovú orientáciu, základné princípy a môž</w:t>
      </w:r>
      <w:r w:rsidR="00155057">
        <w:rPr>
          <w:rFonts w:ascii="Book Antiqua" w:hAnsi="Book Antiqua"/>
          <w:sz w:val="22"/>
          <w:szCs w:val="22"/>
        </w:rPr>
        <w:t>e</w:t>
      </w:r>
      <w:r>
        <w:rPr>
          <w:rFonts w:ascii="Book Antiqua" w:hAnsi="Book Antiqua"/>
          <w:sz w:val="22"/>
          <w:szCs w:val="22"/>
        </w:rPr>
        <w:t xml:space="preserve"> slúžiť ako východisko pri interpretácii záväzného textu právneho predpisu. Túto teóriu uplatnil aj Ústavný súd vo svojom rozhodnutí, keď kvalifikoval preambulu k zákonu ako uvádzaciu vetu, ktorá má len interpretačný význam, ale nie je samotným textom zákona. Ústavný súd sa týmto záverom necítil byť kompetentný posudzovať súlad preambuly k zákonu s Ústavou SR (PL. ÚS 8/96).</w:t>
      </w:r>
    </w:p>
    <w:p w:rsidR="007177B8" w:rsidRDefault="00301E8B">
      <w:pPr>
        <w:pStyle w:val="Normlnywebov"/>
        <w:spacing w:before="120" w:line="276" w:lineRule="auto"/>
        <w:jc w:val="both"/>
      </w:pPr>
      <w:r>
        <w:rPr>
          <w:rFonts w:ascii="Book Antiqua" w:hAnsi="Book Antiqua"/>
          <w:sz w:val="22"/>
          <w:szCs w:val="22"/>
        </w:rPr>
        <w:tab/>
        <w:t xml:space="preserve">Vzhľadom na vyššie uvedené sa súčasné znenie preambuly k zákonu </w:t>
      </w:r>
      <w:r>
        <w:rPr>
          <w:rFonts w:ascii="Book Antiqua" w:hAnsi="Book Antiqua"/>
          <w:bCs/>
          <w:sz w:val="22"/>
          <w:szCs w:val="22"/>
        </w:rPr>
        <w:t xml:space="preserve">č. 125/1996 Z. z. o nemorálnosti a protiprávnosti komunistického systému (ďalej len „zákon“) rozdeľuje </w:t>
      </w:r>
      <w:r>
        <w:rPr>
          <w:rFonts w:ascii="Book Antiqua" w:hAnsi="Book Antiqua"/>
          <w:sz w:val="22"/>
          <w:szCs w:val="22"/>
        </w:rPr>
        <w:t xml:space="preserve">v predkladanom návrhu zákona </w:t>
      </w:r>
      <w:r>
        <w:rPr>
          <w:rFonts w:ascii="Book Antiqua" w:hAnsi="Book Antiqua"/>
          <w:bCs/>
          <w:sz w:val="22"/>
          <w:szCs w:val="22"/>
        </w:rPr>
        <w:t xml:space="preserve">na preambulu a § 1, a to z dôvodu, aby ustanovenia obsiahnuté v § 1 návrhu zákona nemali len interpretačný význam, ktorý môže slúžiť pre neskorší výklad samotného zákona, ale aby sa stali </w:t>
      </w:r>
      <w:r>
        <w:rPr>
          <w:rFonts w:ascii="Book Antiqua" w:hAnsi="Book Antiqua"/>
          <w:sz w:val="22"/>
          <w:szCs w:val="22"/>
        </w:rPr>
        <w:t xml:space="preserve">normatívnou súčasťou zákona. Vzorom pre túto právnu úpravu, ako aj ďalšie právne úpravy, je znenie českého zákona </w:t>
      </w:r>
      <w:r>
        <w:rPr>
          <w:rFonts w:ascii="Book Antiqua" w:hAnsi="Book Antiqua"/>
          <w:bCs/>
          <w:sz w:val="22"/>
          <w:szCs w:val="22"/>
        </w:rPr>
        <w:t>č. 198/1993 Sb. o protiprávnosti komunistického režimu a o odporu proti n</w:t>
      </w:r>
      <w:r w:rsidR="00155057">
        <w:rPr>
          <w:rFonts w:ascii="Book Antiqua" w:hAnsi="Book Antiqua"/>
          <w:bCs/>
          <w:sz w:val="22"/>
          <w:szCs w:val="22"/>
        </w:rPr>
        <w:t>ě</w:t>
      </w:r>
      <w:r>
        <w:rPr>
          <w:rFonts w:ascii="Book Antiqua" w:hAnsi="Book Antiqua"/>
          <w:bCs/>
          <w:sz w:val="22"/>
          <w:szCs w:val="22"/>
        </w:rPr>
        <w:t>mu.</w:t>
      </w:r>
    </w:p>
    <w:p w:rsidR="007177B8" w:rsidRDefault="00301E8B">
      <w:pPr>
        <w:pStyle w:val="Normlnywebov"/>
        <w:spacing w:before="120" w:line="276" w:lineRule="auto"/>
        <w:ind w:firstLine="708"/>
        <w:jc w:val="both"/>
      </w:pPr>
      <w:r>
        <w:rPr>
          <w:rFonts w:ascii="Book Antiqua" w:hAnsi="Book Antiqua"/>
          <w:bCs/>
          <w:sz w:val="22"/>
          <w:szCs w:val="22"/>
        </w:rPr>
        <w:t>Znenie preambuly (bod 1 návrhu zákona) je obsahovo totožné so súčasným znením časti preambuly v zákone, pričom v kontexte dodržiavania legislatívnych pravidiel pri tvorbe právnych predpisov sa na koniec preambuly pripojili slová „sa uzniesla na tomto zákone“.</w:t>
      </w:r>
    </w:p>
    <w:p w:rsidR="007177B8" w:rsidRDefault="00301E8B">
      <w:pPr>
        <w:pStyle w:val="Normlnywebov"/>
        <w:spacing w:before="120" w:line="276" w:lineRule="auto"/>
        <w:ind w:firstLine="708"/>
        <w:jc w:val="both"/>
      </w:pPr>
      <w:r>
        <w:rPr>
          <w:rFonts w:ascii="Book Antiqua" w:hAnsi="Book Antiqua"/>
          <w:sz w:val="22"/>
          <w:szCs w:val="22"/>
        </w:rPr>
        <w:t>Znenie § 1 (bod 2 návrhu zákona) vychádza zo súčasného znenia druhej časti preambuly v zákone a súčasného znenia § 1</w:t>
      </w:r>
      <w:r w:rsidR="00155057">
        <w:rPr>
          <w:rFonts w:ascii="Book Antiqua" w:hAnsi="Book Antiqua"/>
          <w:sz w:val="22"/>
          <w:szCs w:val="22"/>
        </w:rPr>
        <w:t xml:space="preserve"> zákona</w:t>
      </w:r>
      <w:r>
        <w:rPr>
          <w:rFonts w:ascii="Book Antiqua" w:hAnsi="Book Antiqua"/>
          <w:sz w:val="22"/>
          <w:szCs w:val="22"/>
        </w:rPr>
        <w:t xml:space="preserve">, pričom je doplnené o niektoré spresnenia najmä </w:t>
      </w:r>
      <w:r>
        <w:rPr>
          <w:rFonts w:ascii="Book Antiqua" w:hAnsi="Book Antiqua"/>
          <w:bCs/>
          <w:sz w:val="22"/>
          <w:szCs w:val="22"/>
        </w:rPr>
        <w:t>podľa vzoru českej právnej úpravy (už spomínaný zákon č. 198/1993 Sb. o protiprávnosti komunistického režimu a o odporu proti n</w:t>
      </w:r>
      <w:r w:rsidR="00155057">
        <w:rPr>
          <w:rFonts w:ascii="Book Antiqua" w:hAnsi="Book Antiqua"/>
          <w:bCs/>
          <w:sz w:val="22"/>
          <w:szCs w:val="22"/>
        </w:rPr>
        <w:t>ě</w:t>
      </w:r>
      <w:r>
        <w:rPr>
          <w:rFonts w:ascii="Book Antiqua" w:hAnsi="Book Antiqua"/>
          <w:bCs/>
          <w:sz w:val="22"/>
          <w:szCs w:val="22"/>
        </w:rPr>
        <w:t>mu). Ďalšia zmena je legislatívno-technickej povahy, keď odkazy na konkrétne zákony boli z textu právneho predpisu presunuté do poznámok pod čiarou.</w:t>
      </w:r>
    </w:p>
    <w:p w:rsidR="007177B8" w:rsidRDefault="00301E8B">
      <w:pPr>
        <w:pStyle w:val="l4"/>
        <w:shd w:val="clear" w:color="auto" w:fill="FFFFFF"/>
        <w:spacing w:before="120" w:line="276" w:lineRule="auto"/>
        <w:jc w:val="both"/>
      </w:pPr>
      <w:r>
        <w:rPr>
          <w:rFonts w:ascii="Book Antiqua" w:hAnsi="Book Antiqua"/>
          <w:sz w:val="22"/>
          <w:szCs w:val="22"/>
          <w:u w:val="single"/>
        </w:rPr>
        <w:t>K bodu 3</w:t>
      </w:r>
    </w:p>
    <w:p w:rsidR="007177B8" w:rsidRDefault="00301E8B">
      <w:pPr>
        <w:pStyle w:val="l4"/>
        <w:shd w:val="clear" w:color="auto" w:fill="FFFFFF"/>
        <w:spacing w:before="120" w:line="276" w:lineRule="auto"/>
        <w:ind w:firstLine="708"/>
        <w:jc w:val="both"/>
      </w:pPr>
      <w:r>
        <w:rPr>
          <w:rFonts w:ascii="Book Antiqua" w:hAnsi="Book Antiqua"/>
          <w:sz w:val="22"/>
          <w:szCs w:val="22"/>
        </w:rPr>
        <w:t>Napriek tomu, že používanie symboliky a oslavovanie či obhajovanie komunistického režimu ako režimu, ktorý potlačoval základné práva a slobody, je postihnuteľné aj prostriedkami trestného práva, pretrvávajú ešte z čias komunistického režimu na území Slovenskej republiky pamätníky, pomníky a pamätné tabule pripomínajúce predstaviteľov komunistického režimu, dôležité udalosti komunistického hnutia či obsahujúce komunistickú symboliku. Dokonca aj v období demokratického politického systému po páde komunistického režimu dochádza k umiestňovaniu rôznych pamätníkov, pomníkov</w:t>
      </w:r>
      <w:r w:rsidR="00743D4F">
        <w:rPr>
          <w:rFonts w:ascii="Book Antiqua" w:hAnsi="Book Antiqua"/>
          <w:sz w:val="22"/>
          <w:szCs w:val="22"/>
        </w:rPr>
        <w:t>,</w:t>
      </w:r>
      <w:r>
        <w:rPr>
          <w:rFonts w:ascii="Book Antiqua" w:hAnsi="Book Antiqua"/>
          <w:sz w:val="22"/>
          <w:szCs w:val="22"/>
        </w:rPr>
        <w:t xml:space="preserve"> či pamätných tabúľ venovaných predstaviteľom komunistického režimu v Československu z obdobia rokov 1948 až 1989. Orgány činné v trestnom konaní takéto konanie nepovažujú za dostatočné na naplnenie skutkovej podstaty trestných činov (napr. trestné činy podľa § 422 až 422d Trestného zákona) a v súčasnosti neexistuje žiadny iný </w:t>
      </w:r>
      <w:r>
        <w:rPr>
          <w:rFonts w:ascii="Book Antiqua" w:hAnsi="Book Antiqua"/>
          <w:sz w:val="22"/>
          <w:szCs w:val="22"/>
        </w:rPr>
        <w:lastRenderedPageBreak/>
        <w:t xml:space="preserve">právny predpis, ktorý by v demokratickej Slovenskej republike zabraňoval umiestňovaniu pamätníkov, pomníkov a pamätných tabúľ </w:t>
      </w:r>
      <w:r w:rsidRPr="00155057">
        <w:rPr>
          <w:rFonts w:ascii="Book Antiqua" w:hAnsi="Book Antiqua"/>
          <w:i/>
          <w:sz w:val="22"/>
          <w:szCs w:val="22"/>
        </w:rPr>
        <w:t>de facto</w:t>
      </w:r>
      <w:r>
        <w:rPr>
          <w:rFonts w:ascii="Book Antiqua" w:hAnsi="Book Antiqua"/>
          <w:sz w:val="22"/>
          <w:szCs w:val="22"/>
        </w:rPr>
        <w:t xml:space="preserve"> oslavujúcich totalitné režimy.</w:t>
      </w:r>
    </w:p>
    <w:p w:rsidR="007177B8" w:rsidRDefault="00301E8B">
      <w:pPr>
        <w:pStyle w:val="l4"/>
        <w:shd w:val="clear" w:color="auto" w:fill="FFFFFF"/>
        <w:spacing w:before="120" w:line="276" w:lineRule="auto"/>
        <w:ind w:firstLine="708"/>
        <w:jc w:val="both"/>
      </w:pPr>
      <w:r>
        <w:rPr>
          <w:rFonts w:ascii="Book Antiqua" w:hAnsi="Book Antiqua"/>
          <w:sz w:val="22"/>
          <w:szCs w:val="22"/>
        </w:rPr>
        <w:t>Na základe vyššie uvedených argumentov sa navrhuje stanoviť zákaz umiestňovať na pamätníkoch, pomníkoch a pamätných tabulia</w:t>
      </w:r>
      <w:r w:rsidR="00743D4F">
        <w:rPr>
          <w:rFonts w:ascii="Book Antiqua" w:hAnsi="Book Antiqua"/>
          <w:sz w:val="22"/>
          <w:szCs w:val="22"/>
        </w:rPr>
        <w:t xml:space="preserve">ch texty, vyobrazenia a symboly </w:t>
      </w:r>
      <w:r>
        <w:rPr>
          <w:rFonts w:ascii="Book Antiqua" w:hAnsi="Book Antiqua"/>
          <w:sz w:val="22"/>
          <w:szCs w:val="22"/>
        </w:rPr>
        <w:t>oslavujúce, propagujúce alebo obhajujúce režim založený na komunistickej ideológii. Výnimkou je situácia, ak by išlo o predstaviteľov režimu, ktorí sa aktívne zapojili do odporu proti komunistickému režimu</w:t>
      </w:r>
      <w:r w:rsidR="00A735EC">
        <w:rPr>
          <w:rFonts w:ascii="Book Antiqua" w:hAnsi="Book Antiqua"/>
          <w:sz w:val="22"/>
          <w:szCs w:val="22"/>
        </w:rPr>
        <w:t xml:space="preserve">. </w:t>
      </w:r>
      <w:r>
        <w:rPr>
          <w:rFonts w:ascii="Book Antiqua" w:hAnsi="Book Antiqua"/>
          <w:sz w:val="22"/>
          <w:szCs w:val="22"/>
        </w:rPr>
        <w:t>Porušovanie uvedeného zákazu bude sankcionované prostredníctvom novely zákona Slovenskej národnej rady č. 372/1990 Zb. o priestupkoch v znení neskorších predpisov obsiahnutej v Čl. III.</w:t>
      </w:r>
    </w:p>
    <w:p w:rsidR="007177B8" w:rsidRDefault="00301E8B">
      <w:pPr>
        <w:pStyle w:val="l4"/>
        <w:shd w:val="clear" w:color="auto" w:fill="FFFFFF"/>
        <w:spacing w:before="120" w:line="276" w:lineRule="auto"/>
        <w:ind w:firstLine="708"/>
        <w:jc w:val="both"/>
      </w:pPr>
      <w:r>
        <w:rPr>
          <w:rFonts w:ascii="Book Antiqua" w:hAnsi="Book Antiqua"/>
          <w:sz w:val="22"/>
          <w:szCs w:val="22"/>
        </w:rPr>
        <w:t xml:space="preserve">Je dôležité uviesť, že v prípade prijatia navrhovanej právnej úpravy nedôjde v zmysle </w:t>
      </w:r>
      <w:r w:rsidR="00416CEB">
        <w:rPr>
          <w:rFonts w:ascii="Book Antiqua" w:hAnsi="Book Antiqua"/>
          <w:sz w:val="22"/>
          <w:szCs w:val="22"/>
        </w:rPr>
        <w:t xml:space="preserve">prechodného ustanovenia </w:t>
      </w:r>
      <w:r>
        <w:rPr>
          <w:rFonts w:ascii="Book Antiqua" w:hAnsi="Book Antiqua"/>
          <w:sz w:val="22"/>
          <w:szCs w:val="22"/>
        </w:rPr>
        <w:t>k </w:t>
      </w:r>
      <w:r w:rsidR="00416CEB">
        <w:rPr>
          <w:rFonts w:ascii="Book Antiqua" w:hAnsi="Book Antiqua"/>
          <w:sz w:val="22"/>
          <w:szCs w:val="22"/>
        </w:rPr>
        <w:t xml:space="preserve">odstraňovaniu, resp. zásahom do </w:t>
      </w:r>
      <w:r>
        <w:rPr>
          <w:rFonts w:ascii="Book Antiqua" w:hAnsi="Book Antiqua"/>
          <w:sz w:val="22"/>
          <w:szCs w:val="22"/>
        </w:rPr>
        <w:t>už existujúcich pamätníkov, pomníkov či pamätných tabúľ (§ 7b).</w:t>
      </w:r>
    </w:p>
    <w:p w:rsidR="007177B8" w:rsidRDefault="007177B8">
      <w:pPr>
        <w:pStyle w:val="Standard"/>
        <w:spacing w:before="120"/>
        <w:jc w:val="both"/>
        <w:rPr>
          <w:rFonts w:ascii="Book Antiqua" w:hAnsi="Book Antiqua"/>
        </w:rPr>
      </w:pPr>
    </w:p>
    <w:p w:rsidR="007177B8" w:rsidRDefault="00301E8B">
      <w:pPr>
        <w:pStyle w:val="Standard"/>
        <w:spacing w:before="120" w:line="276" w:lineRule="auto"/>
        <w:jc w:val="both"/>
      </w:pPr>
      <w:r>
        <w:rPr>
          <w:rFonts w:ascii="Book Antiqua" w:hAnsi="Book Antiqua"/>
          <w:b/>
          <w:sz w:val="22"/>
          <w:szCs w:val="22"/>
        </w:rPr>
        <w:t>K Čl. II</w:t>
      </w:r>
    </w:p>
    <w:p w:rsidR="00743D4F" w:rsidRDefault="00743D4F" w:rsidP="00743D4F">
      <w:pPr>
        <w:pStyle w:val="l4"/>
        <w:shd w:val="clear" w:color="auto" w:fill="FFFFFF"/>
        <w:spacing w:before="120" w:line="276" w:lineRule="auto"/>
        <w:jc w:val="both"/>
      </w:pPr>
      <w:r>
        <w:rPr>
          <w:rFonts w:ascii="Book Antiqua" w:hAnsi="Book Antiqua"/>
          <w:sz w:val="22"/>
          <w:szCs w:val="22"/>
          <w:u w:val="single"/>
        </w:rPr>
        <w:t>K bodu 1</w:t>
      </w:r>
    </w:p>
    <w:p w:rsidR="007177B8" w:rsidRDefault="00301E8B">
      <w:pPr>
        <w:pStyle w:val="l4"/>
        <w:shd w:val="clear" w:color="auto" w:fill="FFFFFF"/>
        <w:spacing w:before="120" w:line="276" w:lineRule="auto"/>
        <w:ind w:firstLine="708"/>
        <w:jc w:val="both"/>
        <w:rPr>
          <w:rFonts w:ascii="Book Antiqua" w:hAnsi="Book Antiqua"/>
          <w:sz w:val="22"/>
          <w:szCs w:val="22"/>
        </w:rPr>
      </w:pPr>
      <w:r>
        <w:rPr>
          <w:rFonts w:ascii="Book Antiqua" w:hAnsi="Book Antiqua"/>
          <w:sz w:val="22"/>
          <w:szCs w:val="22"/>
        </w:rPr>
        <w:t xml:space="preserve">Podľa § 2b ods. 1 zákona Slovenskej národnej rady č. 369/1990 Zb. o obecnom zriadení v znení neskorších predpisov názvy ulíc a iných verejných priestranstiev určuje a mení obec všeobecne záväzným nariadením. V predkladanom návrhu zákona sa stanovuje zákaz určovať názov ulice alebo iného verejného priestranstva po predstaviteľoch fašistického, nacistického alebo komunistického režimu. Rovnako ako v Čl. I bode 3 </w:t>
      </w:r>
      <w:r w:rsidR="00416CEB">
        <w:rPr>
          <w:rFonts w:ascii="Book Antiqua" w:hAnsi="Book Antiqua"/>
          <w:sz w:val="22"/>
          <w:szCs w:val="22"/>
        </w:rPr>
        <w:t xml:space="preserve">návrhu zákona </w:t>
      </w:r>
      <w:r>
        <w:rPr>
          <w:rFonts w:ascii="Book Antiqua" w:hAnsi="Book Antiqua"/>
          <w:sz w:val="22"/>
          <w:szCs w:val="22"/>
        </w:rPr>
        <w:t>je výnimkou situácia, ak by išlo o predstaviteľov režimu, ktorí sa aktívne zapojili do odporu proti komunistickému režimu.</w:t>
      </w:r>
    </w:p>
    <w:p w:rsidR="00743D4F" w:rsidRDefault="00743D4F" w:rsidP="00743D4F">
      <w:pPr>
        <w:pStyle w:val="l4"/>
        <w:shd w:val="clear" w:color="auto" w:fill="FFFFFF"/>
        <w:spacing w:before="120" w:line="276" w:lineRule="auto"/>
        <w:jc w:val="both"/>
      </w:pPr>
      <w:r>
        <w:rPr>
          <w:rFonts w:ascii="Book Antiqua" w:hAnsi="Book Antiqua"/>
          <w:sz w:val="22"/>
          <w:szCs w:val="22"/>
          <w:u w:val="single"/>
        </w:rPr>
        <w:t>K bodu 2</w:t>
      </w:r>
    </w:p>
    <w:p w:rsidR="00416CEB" w:rsidRDefault="00416CEB">
      <w:pPr>
        <w:pStyle w:val="l4"/>
        <w:shd w:val="clear" w:color="auto" w:fill="FFFFFF"/>
        <w:spacing w:before="120" w:line="276" w:lineRule="auto"/>
        <w:ind w:firstLine="708"/>
        <w:jc w:val="both"/>
      </w:pPr>
      <w:r>
        <w:rPr>
          <w:rFonts w:ascii="Book Antiqua" w:hAnsi="Book Antiqua"/>
          <w:sz w:val="22"/>
          <w:szCs w:val="22"/>
        </w:rPr>
        <w:t>V prípade prijatia navrhovanej právnej úpravy nedôjde v zmysle prechodného ustanovenia k premenovávaniu už existujúcich názvov ulíc a iných verejných priestranstiev (§ 30g).</w:t>
      </w:r>
    </w:p>
    <w:p w:rsidR="007177B8" w:rsidRDefault="007177B8">
      <w:pPr>
        <w:pStyle w:val="Standard"/>
        <w:spacing w:before="120" w:after="120" w:line="276" w:lineRule="auto"/>
        <w:jc w:val="both"/>
        <w:rPr>
          <w:rFonts w:ascii="Book Antiqua" w:hAnsi="Book Antiqua"/>
          <w:b/>
          <w:sz w:val="22"/>
          <w:szCs w:val="22"/>
        </w:rPr>
      </w:pPr>
    </w:p>
    <w:p w:rsidR="007177B8" w:rsidRDefault="00301E8B">
      <w:pPr>
        <w:pStyle w:val="Standard"/>
        <w:spacing w:before="120" w:after="120" w:line="276" w:lineRule="auto"/>
        <w:jc w:val="both"/>
      </w:pPr>
      <w:r>
        <w:rPr>
          <w:rFonts w:ascii="Book Antiqua" w:hAnsi="Book Antiqua"/>
          <w:b/>
          <w:sz w:val="22"/>
          <w:szCs w:val="22"/>
        </w:rPr>
        <w:t>K Čl. III</w:t>
      </w:r>
    </w:p>
    <w:p w:rsidR="00743D4F" w:rsidRDefault="00743D4F" w:rsidP="00743D4F">
      <w:pPr>
        <w:pStyle w:val="l4"/>
        <w:shd w:val="clear" w:color="auto" w:fill="FFFFFF"/>
        <w:spacing w:before="120" w:line="276" w:lineRule="auto"/>
        <w:jc w:val="both"/>
      </w:pPr>
      <w:r>
        <w:rPr>
          <w:rFonts w:ascii="Book Antiqua" w:hAnsi="Book Antiqua"/>
          <w:sz w:val="22"/>
          <w:szCs w:val="22"/>
          <w:u w:val="single"/>
        </w:rPr>
        <w:t>K bodu 1</w:t>
      </w:r>
    </w:p>
    <w:p w:rsidR="00743D4F" w:rsidRDefault="00301E8B">
      <w:pPr>
        <w:pStyle w:val="Standard"/>
        <w:spacing w:before="120" w:after="120" w:line="276" w:lineRule="auto"/>
        <w:ind w:firstLine="708"/>
        <w:jc w:val="both"/>
        <w:rPr>
          <w:rFonts w:ascii="Book Antiqua" w:hAnsi="Book Antiqua"/>
          <w:color w:val="000000"/>
          <w:sz w:val="22"/>
          <w:szCs w:val="22"/>
        </w:rPr>
      </w:pPr>
      <w:r>
        <w:rPr>
          <w:rFonts w:ascii="Book Antiqua" w:hAnsi="Book Antiqua"/>
          <w:bCs/>
          <w:sz w:val="22"/>
          <w:szCs w:val="22"/>
        </w:rPr>
        <w:t xml:space="preserve">Súčasťou predkladaného návrhu zákona je aj novelizácia zákona Slovenskej národnej rady č. 372/1990 Zb. o priestupkoch v znení neskorších predpisov (ďalej len „zákon o priestupkoch“). Rozširuje sa skutková podstata priestupku extrémizmu podľa § 47a zákona o priestupkoch tak, že tohto priestupku sa dopustí aj ten, kto </w:t>
      </w:r>
      <w:r>
        <w:rPr>
          <w:rFonts w:ascii="Book Antiqua" w:hAnsi="Book Antiqua"/>
          <w:color w:val="000000"/>
          <w:sz w:val="22"/>
          <w:szCs w:val="22"/>
        </w:rPr>
        <w:t>umiestni na pamätníku, pomníku alebo pamätnej tabuli text, vyobrazenie alebo symbol oslavujúci, propagujúci alebo obhajujúci režim založený na komunistickej, fašistickej alebo nacistickej ide</w:t>
      </w:r>
      <w:r w:rsidR="00743D4F">
        <w:rPr>
          <w:rFonts w:ascii="Book Antiqua" w:hAnsi="Book Antiqua"/>
          <w:color w:val="000000"/>
          <w:sz w:val="22"/>
          <w:szCs w:val="22"/>
        </w:rPr>
        <w:t>ológii alebo jeho predstaviteľa, alebo kto takéto uzmiestnenie iniciuje, rozhodne o ňom, umožní ho alebo sa na ňom inak podieľa.</w:t>
      </w:r>
      <w:r w:rsidR="00962F54">
        <w:rPr>
          <w:rFonts w:ascii="Book Antiqua" w:hAnsi="Book Antiqua"/>
          <w:color w:val="000000"/>
          <w:sz w:val="22"/>
          <w:szCs w:val="22"/>
        </w:rPr>
        <w:t xml:space="preserve"> Za priestupok sa bude považovať aj také konanie, keď osoba napriek predchádzajúcej výzve obsiahnutej v rozhodnutí o spáchaní priestupku neodstráni protiprávny stav.</w:t>
      </w:r>
    </w:p>
    <w:p w:rsidR="00743D4F" w:rsidRDefault="00743D4F" w:rsidP="00743D4F">
      <w:pPr>
        <w:pStyle w:val="l4"/>
        <w:shd w:val="clear" w:color="auto" w:fill="FFFFFF"/>
        <w:spacing w:before="120" w:line="276" w:lineRule="auto"/>
        <w:jc w:val="both"/>
      </w:pPr>
      <w:r>
        <w:rPr>
          <w:rFonts w:ascii="Book Antiqua" w:hAnsi="Book Antiqua"/>
          <w:sz w:val="22"/>
          <w:szCs w:val="22"/>
          <w:u w:val="single"/>
        </w:rPr>
        <w:lastRenderedPageBreak/>
        <w:t>K bodu 2</w:t>
      </w:r>
    </w:p>
    <w:p w:rsidR="00962F54" w:rsidRDefault="00743D4F">
      <w:pPr>
        <w:pStyle w:val="Standard"/>
        <w:spacing w:before="120" w:after="120" w:line="276" w:lineRule="auto"/>
        <w:ind w:firstLine="708"/>
        <w:jc w:val="both"/>
        <w:rPr>
          <w:rFonts w:ascii="Book Antiqua" w:hAnsi="Book Antiqua"/>
          <w:color w:val="000000"/>
          <w:sz w:val="22"/>
          <w:szCs w:val="22"/>
        </w:rPr>
      </w:pPr>
      <w:r>
        <w:rPr>
          <w:rFonts w:ascii="Book Antiqua" w:hAnsi="Book Antiqua"/>
          <w:color w:val="000000"/>
          <w:sz w:val="22"/>
          <w:szCs w:val="22"/>
        </w:rPr>
        <w:t xml:space="preserve">Dopĺňa sa nový odsek 2, v ktorom sa ustanovuje, že </w:t>
      </w:r>
      <w:r w:rsidR="00962F54">
        <w:rPr>
          <w:rFonts w:ascii="Book Antiqua" w:hAnsi="Book Antiqua"/>
          <w:color w:val="000000"/>
          <w:sz w:val="22"/>
          <w:szCs w:val="22"/>
        </w:rPr>
        <w:t>rozhodnutie o spáchaní priestupku podľa odseku 1 písm. d) alebo e) (konkrétne výrok rozhodnutia) musí obsahovať aj výzvu na odstránenie protiprávneho stavu, a to najneskôr v lehote do 60 dní. Za priestupok sa bude považovať aj situácia, ked páchateľ priestupku podľa odseku 1 písm. d) neodstránil protiprávny stav, ktorý spôsobil, a preto môže byť rozhodnuté o spá</w:t>
      </w:r>
      <w:r w:rsidR="000A2C85">
        <w:rPr>
          <w:rFonts w:ascii="Book Antiqua" w:hAnsi="Book Antiqua"/>
          <w:color w:val="000000"/>
          <w:sz w:val="22"/>
          <w:szCs w:val="22"/>
        </w:rPr>
        <w:t>c</w:t>
      </w:r>
      <w:r w:rsidR="00962F54">
        <w:rPr>
          <w:rFonts w:ascii="Book Antiqua" w:hAnsi="Book Antiqua"/>
          <w:color w:val="000000"/>
          <w:sz w:val="22"/>
          <w:szCs w:val="22"/>
        </w:rPr>
        <w:t>haní priestupku podľa ustanovenia odseku 1 písm. e), v korom bude určená nová lehota na odstránenie protiprávneho stavu, a to aj opakovane, až kým nedôjde k náprave.</w:t>
      </w:r>
    </w:p>
    <w:p w:rsidR="00962F54" w:rsidRDefault="00962F54" w:rsidP="00962F54">
      <w:pPr>
        <w:pStyle w:val="l4"/>
        <w:shd w:val="clear" w:color="auto" w:fill="FFFFFF"/>
        <w:spacing w:before="120" w:line="276" w:lineRule="auto"/>
        <w:jc w:val="both"/>
      </w:pPr>
      <w:r>
        <w:rPr>
          <w:rFonts w:ascii="Book Antiqua" w:hAnsi="Book Antiqua"/>
          <w:sz w:val="22"/>
          <w:szCs w:val="22"/>
          <w:u w:val="single"/>
        </w:rPr>
        <w:t>K bodu 3</w:t>
      </w:r>
    </w:p>
    <w:p w:rsidR="007177B8" w:rsidRDefault="00962F54">
      <w:pPr>
        <w:pStyle w:val="Standard"/>
        <w:spacing w:before="120" w:after="120" w:line="276" w:lineRule="auto"/>
        <w:ind w:firstLine="708"/>
        <w:jc w:val="both"/>
      </w:pPr>
      <w:r>
        <w:rPr>
          <w:rFonts w:ascii="Book Antiqua" w:hAnsi="Book Antiqua"/>
          <w:color w:val="000000"/>
          <w:sz w:val="22"/>
          <w:szCs w:val="22"/>
        </w:rPr>
        <w:t>V tomto bode návrhu zákona sa upravuje znenie doterajšieho ustanovenia § 47a ods. 2</w:t>
      </w:r>
      <w:r w:rsidR="00D45549">
        <w:rPr>
          <w:rFonts w:ascii="Book Antiqua" w:hAnsi="Book Antiqua"/>
          <w:color w:val="000000"/>
          <w:sz w:val="22"/>
          <w:szCs w:val="22"/>
        </w:rPr>
        <w:t xml:space="preserve"> (po novom odsek 3), podľa ktorého bola stanovená pokuta za spáchanie priestupkov podľa odseku 1 pre všetky rovnako, vo výške 500 EUR. Navrhovanou právnou úpravou dôjde k odstupňovaniu udeľovaných pokút, a to vo výške</w:t>
      </w:r>
      <w:r w:rsidR="00C6372A">
        <w:rPr>
          <w:rFonts w:ascii="Book Antiqua" w:hAnsi="Book Antiqua"/>
          <w:color w:val="000000"/>
          <w:sz w:val="22"/>
          <w:szCs w:val="22"/>
        </w:rPr>
        <w:t xml:space="preserve"> do</w:t>
      </w:r>
      <w:r w:rsidR="00D45549">
        <w:rPr>
          <w:rFonts w:ascii="Book Antiqua" w:hAnsi="Book Antiqua"/>
          <w:color w:val="000000"/>
          <w:sz w:val="22"/>
          <w:szCs w:val="22"/>
        </w:rPr>
        <w:t xml:space="preserve"> 500 EUR za priestupky podľa odseku 1 písm. a) až c), vo výške </w:t>
      </w:r>
      <w:r w:rsidR="00C6372A">
        <w:rPr>
          <w:rFonts w:ascii="Book Antiqua" w:hAnsi="Book Antiqua"/>
          <w:color w:val="000000"/>
          <w:sz w:val="22"/>
          <w:szCs w:val="22"/>
        </w:rPr>
        <w:t xml:space="preserve">do </w:t>
      </w:r>
      <w:r w:rsidR="00D45549">
        <w:rPr>
          <w:rFonts w:ascii="Book Antiqua" w:hAnsi="Book Antiqua"/>
          <w:color w:val="000000"/>
          <w:sz w:val="22"/>
          <w:szCs w:val="22"/>
        </w:rPr>
        <w:t>1000 EUR za priestupok podľa odseku 1 písm. d) a</w:t>
      </w:r>
      <w:r w:rsidR="00C6372A">
        <w:rPr>
          <w:rFonts w:ascii="Book Antiqua" w:hAnsi="Book Antiqua"/>
          <w:color w:val="000000"/>
          <w:sz w:val="22"/>
          <w:szCs w:val="22"/>
        </w:rPr>
        <w:t> vo výške do 2000 EUR za priestupok podľa odseku 1 písm. e), t.j. v prípade, a</w:t>
      </w:r>
      <w:r w:rsidR="00301E8B">
        <w:rPr>
          <w:rFonts w:ascii="Book Antiqua" w:hAnsi="Book Antiqua"/>
          <w:color w:val="000000"/>
          <w:sz w:val="22"/>
          <w:szCs w:val="22"/>
        </w:rPr>
        <w:t>k napriek výzve nedôjde k odstráneniu proti</w:t>
      </w:r>
      <w:r w:rsidR="00C6372A">
        <w:rPr>
          <w:rFonts w:ascii="Book Antiqua" w:hAnsi="Book Antiqua"/>
          <w:color w:val="000000"/>
          <w:sz w:val="22"/>
          <w:szCs w:val="22"/>
        </w:rPr>
        <w:t>právneho stavu v určenej lehote, a to aj opakovane</w:t>
      </w:r>
      <w:r w:rsidR="00301E8B">
        <w:rPr>
          <w:rFonts w:ascii="Book Antiqua" w:hAnsi="Book Antiqua"/>
          <w:color w:val="000000"/>
          <w:sz w:val="22"/>
          <w:szCs w:val="22"/>
        </w:rPr>
        <w:t>.</w:t>
      </w:r>
    </w:p>
    <w:p w:rsidR="007177B8" w:rsidRDefault="007177B8">
      <w:pPr>
        <w:pStyle w:val="Standard"/>
        <w:spacing w:before="120" w:after="120" w:line="276" w:lineRule="auto"/>
        <w:ind w:firstLine="708"/>
        <w:jc w:val="both"/>
        <w:rPr>
          <w:rFonts w:ascii="Book Antiqua" w:hAnsi="Book Antiqua"/>
          <w:bCs/>
          <w:sz w:val="22"/>
          <w:szCs w:val="22"/>
        </w:rPr>
      </w:pPr>
    </w:p>
    <w:p w:rsidR="007177B8" w:rsidRDefault="00301E8B">
      <w:pPr>
        <w:pStyle w:val="Standard"/>
        <w:spacing w:before="120" w:after="120" w:line="276" w:lineRule="auto"/>
        <w:jc w:val="both"/>
      </w:pPr>
      <w:r>
        <w:rPr>
          <w:rFonts w:ascii="Book Antiqua" w:hAnsi="Book Antiqua"/>
          <w:b/>
          <w:sz w:val="22"/>
          <w:szCs w:val="22"/>
        </w:rPr>
        <w:t>K Čl. IV</w:t>
      </w:r>
    </w:p>
    <w:p w:rsidR="007177B8" w:rsidRDefault="00301E8B">
      <w:pPr>
        <w:pStyle w:val="Standard"/>
        <w:spacing w:before="120" w:after="120" w:line="276" w:lineRule="auto"/>
        <w:ind w:firstLine="708"/>
        <w:jc w:val="both"/>
      </w:pPr>
      <w:r>
        <w:rPr>
          <w:rFonts w:ascii="Book Antiqua" w:hAnsi="Book Antiqua"/>
          <w:sz w:val="22"/>
          <w:szCs w:val="22"/>
        </w:rPr>
        <w:t>Navrhuje sa stanoviť zákaz umiestňovať na pamätníkoch, pomníkoch a pamätných tabuliach texty, vyobrazenia a symboly oslavujúce, propagujúce alebo obhajujúce režim vojnovej Slovenskej republiky alebo iný režim založený na fašistickej alebo nacistickej ideológii a ich predstaviteľov; to sa nevzťahuje na predstaviteľov režimu, ktorí sa aktívne zapoj</w:t>
      </w:r>
      <w:r w:rsidR="00C6372A">
        <w:rPr>
          <w:rFonts w:ascii="Book Antiqua" w:hAnsi="Book Antiqua"/>
          <w:sz w:val="22"/>
          <w:szCs w:val="22"/>
        </w:rPr>
        <w:t xml:space="preserve">ili do protifašistického odboja. </w:t>
      </w:r>
      <w:r>
        <w:rPr>
          <w:rFonts w:ascii="Book Antiqua" w:hAnsi="Book Antiqua"/>
          <w:sz w:val="22"/>
          <w:szCs w:val="22"/>
        </w:rPr>
        <w:t>Toto ustanovenie je analogické k zákazu komunistických pamätníkov, pomníkov a pamätných tabúľ navrhovaných v Čl. I bod</w:t>
      </w:r>
      <w:r w:rsidR="00C6372A">
        <w:rPr>
          <w:rFonts w:ascii="Book Antiqua" w:hAnsi="Book Antiqua"/>
          <w:sz w:val="22"/>
          <w:szCs w:val="22"/>
        </w:rPr>
        <w:t>e</w:t>
      </w:r>
      <w:r>
        <w:rPr>
          <w:rFonts w:ascii="Book Antiqua" w:hAnsi="Book Antiqua"/>
          <w:sz w:val="22"/>
          <w:szCs w:val="22"/>
        </w:rPr>
        <w:t xml:space="preserve"> 3. Porušovanie uvedeného zákazu bude sankcionované prostredníctvom novely zákona Slovenskej národnej rady č. 372/1990 Zb. o priestupkoch v znení neskorších predpisov obsiahnutej v Čl. III</w:t>
      </w:r>
      <w:r w:rsidR="00C6372A">
        <w:rPr>
          <w:rFonts w:ascii="Book Antiqua" w:hAnsi="Book Antiqua"/>
          <w:sz w:val="22"/>
          <w:szCs w:val="22"/>
        </w:rPr>
        <w:t xml:space="preserve"> tohto návrhu zákona</w:t>
      </w:r>
      <w:r>
        <w:rPr>
          <w:rFonts w:ascii="Book Antiqua" w:hAnsi="Book Antiqua"/>
          <w:sz w:val="22"/>
          <w:szCs w:val="22"/>
        </w:rPr>
        <w:t>.</w:t>
      </w:r>
    </w:p>
    <w:p w:rsidR="007177B8" w:rsidRDefault="00301E8B">
      <w:pPr>
        <w:pStyle w:val="l4"/>
        <w:shd w:val="clear" w:color="auto" w:fill="FFFFFF"/>
        <w:spacing w:before="120" w:line="276" w:lineRule="auto"/>
        <w:ind w:firstLine="708"/>
        <w:jc w:val="both"/>
      </w:pPr>
      <w:r>
        <w:rPr>
          <w:rFonts w:ascii="Book Antiqua" w:hAnsi="Book Antiqua"/>
          <w:sz w:val="22"/>
          <w:szCs w:val="22"/>
        </w:rPr>
        <w:t>Je dôležité uviesť, že v prípade prijatia navrhovanej právnej úpravy nedôjde v zmysle prechodn</w:t>
      </w:r>
      <w:r w:rsidR="00C6372A">
        <w:rPr>
          <w:rFonts w:ascii="Book Antiqua" w:hAnsi="Book Antiqua"/>
          <w:sz w:val="22"/>
          <w:szCs w:val="22"/>
        </w:rPr>
        <w:t>ého</w:t>
      </w:r>
      <w:r>
        <w:rPr>
          <w:rFonts w:ascii="Book Antiqua" w:hAnsi="Book Antiqua"/>
          <w:sz w:val="22"/>
          <w:szCs w:val="22"/>
        </w:rPr>
        <w:t xml:space="preserve"> ustanoven</w:t>
      </w:r>
      <w:r w:rsidR="00C6372A">
        <w:rPr>
          <w:rFonts w:ascii="Book Antiqua" w:hAnsi="Book Antiqua"/>
          <w:sz w:val="22"/>
          <w:szCs w:val="22"/>
        </w:rPr>
        <w:t>ia</w:t>
      </w:r>
      <w:r>
        <w:rPr>
          <w:rFonts w:ascii="Book Antiqua" w:hAnsi="Book Antiqua"/>
          <w:sz w:val="22"/>
          <w:szCs w:val="22"/>
        </w:rPr>
        <w:t xml:space="preserve"> k premenovávaniu už existujúcich pamätníkov, pomníkov či pamätných tabúľ (§ 6b).</w:t>
      </w:r>
    </w:p>
    <w:p w:rsidR="007177B8" w:rsidRDefault="007177B8">
      <w:pPr>
        <w:pStyle w:val="Standard"/>
        <w:spacing w:before="120" w:line="276" w:lineRule="auto"/>
        <w:jc w:val="both"/>
        <w:rPr>
          <w:rFonts w:ascii="Book Antiqua" w:hAnsi="Book Antiqua"/>
          <w:b/>
          <w:bCs/>
          <w:sz w:val="22"/>
          <w:szCs w:val="22"/>
        </w:rPr>
      </w:pPr>
    </w:p>
    <w:p w:rsidR="007177B8" w:rsidRDefault="00301E8B">
      <w:pPr>
        <w:pStyle w:val="Standard"/>
        <w:spacing w:before="120" w:line="276" w:lineRule="auto"/>
        <w:jc w:val="both"/>
      </w:pPr>
      <w:r>
        <w:rPr>
          <w:rFonts w:ascii="Book Antiqua" w:hAnsi="Book Antiqua"/>
          <w:b/>
          <w:bCs/>
          <w:sz w:val="22"/>
          <w:szCs w:val="22"/>
        </w:rPr>
        <w:t>K Čl. V</w:t>
      </w:r>
    </w:p>
    <w:p w:rsidR="007177B8" w:rsidRDefault="00301E8B">
      <w:pPr>
        <w:pStyle w:val="Normlnywebov"/>
        <w:spacing w:before="120" w:line="276" w:lineRule="auto"/>
        <w:ind w:firstLine="708"/>
        <w:jc w:val="both"/>
      </w:pPr>
      <w:r>
        <w:rPr>
          <w:rFonts w:ascii="Book Antiqua" w:hAnsi="Book Antiqua"/>
          <w:bCs/>
          <w:sz w:val="22"/>
          <w:szCs w:val="22"/>
        </w:rPr>
        <w:t>Navrhuje sa účinnosť predkladaného návrhu zákona so zohľadnením potrebnej dĺžky legisvakančnej lehoty na</w:t>
      </w:r>
      <w:r>
        <w:rPr>
          <w:rFonts w:ascii="Book Antiqua" w:hAnsi="Book Antiqua"/>
          <w:sz w:val="22"/>
          <w:szCs w:val="22"/>
        </w:rPr>
        <w:t xml:space="preserve"> 16. novembra 2020. Dátum účinnosti návrhu zákona je symbolicky stanovený na deň </w:t>
      </w:r>
      <w:r w:rsidR="000A2C85">
        <w:rPr>
          <w:rFonts w:ascii="Book Antiqua" w:hAnsi="Book Antiqua"/>
          <w:sz w:val="22"/>
          <w:szCs w:val="22"/>
        </w:rPr>
        <w:t>prvej protirežimovej študentskej demonštrácie</w:t>
      </w:r>
      <w:bookmarkStart w:id="0" w:name="_GoBack"/>
      <w:bookmarkEnd w:id="0"/>
      <w:r w:rsidR="000A2C85">
        <w:rPr>
          <w:rFonts w:ascii="Book Antiqua" w:hAnsi="Book Antiqua"/>
          <w:sz w:val="22"/>
          <w:szCs w:val="22"/>
        </w:rPr>
        <w:t xml:space="preserve"> v Bratislave a zároveň v predvečer štátneho sviatku – Dňa</w:t>
      </w:r>
      <w:r>
        <w:rPr>
          <w:rFonts w:ascii="Book Antiqua" w:hAnsi="Book Antiqua"/>
          <w:sz w:val="22"/>
          <w:szCs w:val="22"/>
        </w:rPr>
        <w:t xml:space="preserve"> boja za slobodu a demokraciu, ktorý je spomienkou na udalosti 17. novembra 1989.</w:t>
      </w:r>
    </w:p>
    <w:p w:rsidR="007177B8" w:rsidRDefault="007177B8">
      <w:pPr>
        <w:pStyle w:val="Normlnywebov"/>
        <w:spacing w:before="120" w:line="276" w:lineRule="auto"/>
        <w:ind w:firstLine="708"/>
        <w:jc w:val="both"/>
        <w:rPr>
          <w:rFonts w:ascii="Book Antiqua" w:hAnsi="Book Antiqua"/>
          <w:b/>
          <w:bCs/>
          <w:caps/>
          <w:spacing w:val="30"/>
          <w:sz w:val="22"/>
          <w:szCs w:val="22"/>
        </w:rPr>
      </w:pPr>
    </w:p>
    <w:p w:rsidR="007177B8" w:rsidRDefault="00301E8B">
      <w:pPr>
        <w:pStyle w:val="Normlnywebov"/>
        <w:pageBreakBefore/>
        <w:spacing w:before="120" w:line="276" w:lineRule="auto"/>
        <w:jc w:val="center"/>
      </w:pPr>
      <w:r>
        <w:rPr>
          <w:rFonts w:ascii="Book Antiqua" w:hAnsi="Book Antiqua"/>
          <w:b/>
          <w:bCs/>
          <w:caps/>
          <w:spacing w:val="30"/>
          <w:sz w:val="22"/>
          <w:szCs w:val="22"/>
        </w:rPr>
        <w:lastRenderedPageBreak/>
        <w:t>DOLOŽKA ZLUČITEĽNOSTI</w:t>
      </w:r>
    </w:p>
    <w:p w:rsidR="007177B8" w:rsidRDefault="00301E8B">
      <w:pPr>
        <w:pStyle w:val="Normlnywebov"/>
        <w:spacing w:before="120" w:line="276" w:lineRule="auto"/>
        <w:jc w:val="center"/>
      </w:pPr>
      <w:r>
        <w:rPr>
          <w:rFonts w:ascii="Book Antiqua" w:hAnsi="Book Antiqua"/>
          <w:b/>
          <w:bCs/>
          <w:sz w:val="22"/>
          <w:szCs w:val="22"/>
        </w:rPr>
        <w:t>návrhu zákona</w:t>
      </w:r>
      <w:r>
        <w:rPr>
          <w:rFonts w:ascii="Book Antiqua" w:hAnsi="Book Antiqua"/>
          <w:sz w:val="22"/>
          <w:szCs w:val="22"/>
        </w:rPr>
        <w:t xml:space="preserve"> </w:t>
      </w:r>
      <w:r>
        <w:rPr>
          <w:rFonts w:ascii="Book Antiqua" w:hAnsi="Book Antiqua"/>
          <w:b/>
          <w:bCs/>
          <w:sz w:val="22"/>
          <w:szCs w:val="22"/>
        </w:rPr>
        <w:t>s právom Európskej únie</w:t>
      </w:r>
    </w:p>
    <w:p w:rsidR="007177B8" w:rsidRDefault="00301E8B">
      <w:pPr>
        <w:pStyle w:val="Normlnywebov"/>
        <w:spacing w:before="120" w:line="276" w:lineRule="auto"/>
        <w:jc w:val="both"/>
      </w:pPr>
      <w:r>
        <w:rPr>
          <w:rFonts w:ascii="Book Antiqua" w:hAnsi="Book Antiqua"/>
          <w:sz w:val="22"/>
          <w:szCs w:val="22"/>
        </w:rPr>
        <w:t> </w:t>
      </w:r>
    </w:p>
    <w:p w:rsidR="007177B8" w:rsidRDefault="00301E8B">
      <w:pPr>
        <w:pStyle w:val="Normlnywebov"/>
        <w:spacing w:before="120" w:line="276" w:lineRule="auto"/>
        <w:jc w:val="both"/>
      </w:pPr>
      <w:r>
        <w:rPr>
          <w:rFonts w:ascii="Book Antiqua" w:hAnsi="Book Antiqua"/>
          <w:b/>
          <w:bCs/>
          <w:sz w:val="22"/>
          <w:szCs w:val="22"/>
        </w:rPr>
        <w:t>1. Navrhovateľ zákona:</w:t>
      </w:r>
      <w:r>
        <w:rPr>
          <w:rFonts w:ascii="Book Antiqua" w:hAnsi="Book Antiqua"/>
          <w:sz w:val="22"/>
          <w:szCs w:val="22"/>
        </w:rPr>
        <w:t xml:space="preserve"> skupina poslancov Národnej rady Slovenskej republiky</w:t>
      </w:r>
      <w:r w:rsidR="00C6372A">
        <w:rPr>
          <w:rFonts w:ascii="Book Antiqua" w:hAnsi="Book Antiqua"/>
          <w:sz w:val="22"/>
          <w:szCs w:val="22"/>
        </w:rPr>
        <w:t>.</w:t>
      </w:r>
    </w:p>
    <w:p w:rsidR="007177B8" w:rsidRDefault="00301E8B">
      <w:pPr>
        <w:pStyle w:val="Standard"/>
        <w:spacing w:before="120" w:line="276" w:lineRule="auto"/>
        <w:jc w:val="both"/>
      </w:pPr>
      <w:r>
        <w:rPr>
          <w:rFonts w:ascii="Book Antiqua" w:hAnsi="Book Antiqua"/>
          <w:b/>
          <w:bCs/>
          <w:sz w:val="22"/>
          <w:szCs w:val="22"/>
        </w:rPr>
        <w:t>2. Názov návrhu zákona:</w:t>
      </w:r>
      <w:r>
        <w:rPr>
          <w:rFonts w:ascii="Book Antiqua" w:hAnsi="Book Antiqua"/>
          <w:sz w:val="22"/>
          <w:szCs w:val="22"/>
        </w:rPr>
        <w:t xml:space="preserve">  návrh </w:t>
      </w:r>
      <w:r>
        <w:rPr>
          <w:rFonts w:ascii="Book Antiqua" w:hAnsi="Book Antiqua" w:cs="Book Antiqua"/>
          <w:bCs/>
          <w:sz w:val="22"/>
          <w:szCs w:val="22"/>
        </w:rPr>
        <w:t xml:space="preserve">zákona, ktorým sa mení a dopĺňa </w:t>
      </w:r>
      <w:r>
        <w:rPr>
          <w:rFonts w:ascii="Book Antiqua" w:hAnsi="Book Antiqua"/>
          <w:bCs/>
          <w:sz w:val="22"/>
          <w:szCs w:val="22"/>
        </w:rPr>
        <w:t>zákon Národnej rady Slovenskej republiky č. 125/1996 Z. z. o nemorálnosti a protiprávnosti komunistického systému a ktorým sa menia a dopĺňajú niektoré zákony</w:t>
      </w:r>
      <w:r w:rsidR="00C6372A">
        <w:rPr>
          <w:rFonts w:ascii="Book Antiqua" w:hAnsi="Book Antiqua"/>
          <w:bCs/>
          <w:sz w:val="22"/>
          <w:szCs w:val="22"/>
        </w:rPr>
        <w:t>.</w:t>
      </w:r>
    </w:p>
    <w:p w:rsidR="007177B8" w:rsidRDefault="007177B8">
      <w:pPr>
        <w:pStyle w:val="Standard"/>
        <w:spacing w:before="120" w:line="276" w:lineRule="auto"/>
        <w:jc w:val="both"/>
        <w:rPr>
          <w:rFonts w:ascii="Book Antiqua" w:hAnsi="Book Antiqua"/>
          <w:bCs/>
          <w:sz w:val="22"/>
          <w:szCs w:val="22"/>
        </w:rPr>
      </w:pPr>
    </w:p>
    <w:p w:rsidR="007177B8" w:rsidRDefault="00301E8B">
      <w:pPr>
        <w:pStyle w:val="Normlnywebov"/>
        <w:spacing w:before="120" w:line="276" w:lineRule="auto"/>
        <w:jc w:val="both"/>
      </w:pPr>
      <w:r>
        <w:rPr>
          <w:rFonts w:ascii="Book Antiqua" w:hAnsi="Book Antiqua"/>
          <w:b/>
          <w:bCs/>
          <w:sz w:val="22"/>
          <w:szCs w:val="22"/>
        </w:rPr>
        <w:t>3. Predmet návrhu zákona:</w:t>
      </w:r>
    </w:p>
    <w:p w:rsidR="007177B8" w:rsidRDefault="00301E8B">
      <w:pPr>
        <w:pStyle w:val="Normlnywebov"/>
        <w:numPr>
          <w:ilvl w:val="0"/>
          <w:numId w:val="9"/>
        </w:numPr>
        <w:tabs>
          <w:tab w:val="left" w:pos="1702"/>
        </w:tabs>
        <w:spacing w:before="120" w:line="276" w:lineRule="auto"/>
        <w:ind w:left="851" w:hanging="425"/>
        <w:jc w:val="both"/>
      </w:pPr>
      <w:r>
        <w:rPr>
          <w:rFonts w:ascii="Book Antiqua" w:hAnsi="Book Antiqua"/>
          <w:bCs/>
          <w:sz w:val="22"/>
          <w:szCs w:val="22"/>
        </w:rPr>
        <w:t>nie je upravený v primárnom práve Európskej únie,</w:t>
      </w:r>
    </w:p>
    <w:p w:rsidR="007177B8" w:rsidRDefault="00301E8B">
      <w:pPr>
        <w:pStyle w:val="Normlnywebov"/>
        <w:numPr>
          <w:ilvl w:val="0"/>
          <w:numId w:val="1"/>
        </w:numPr>
        <w:tabs>
          <w:tab w:val="left" w:pos="993"/>
          <w:tab w:val="left" w:pos="1702"/>
        </w:tabs>
        <w:spacing w:before="120" w:line="276" w:lineRule="auto"/>
        <w:ind w:left="851" w:hanging="425"/>
        <w:jc w:val="both"/>
      </w:pPr>
      <w:r>
        <w:rPr>
          <w:rFonts w:ascii="Book Antiqua" w:hAnsi="Book Antiqua"/>
          <w:bCs/>
          <w:sz w:val="22"/>
          <w:szCs w:val="22"/>
        </w:rPr>
        <w:t>nie je upravený v sekundárnom práve Európskej únie,</w:t>
      </w:r>
    </w:p>
    <w:p w:rsidR="007177B8" w:rsidRDefault="00301E8B">
      <w:pPr>
        <w:pStyle w:val="Normlnywebov"/>
        <w:numPr>
          <w:ilvl w:val="0"/>
          <w:numId w:val="1"/>
        </w:numPr>
        <w:tabs>
          <w:tab w:val="left" w:pos="1702"/>
        </w:tabs>
        <w:spacing w:before="120" w:line="276" w:lineRule="auto"/>
        <w:ind w:left="851" w:hanging="425"/>
        <w:jc w:val="both"/>
      </w:pPr>
      <w:r>
        <w:rPr>
          <w:rFonts w:ascii="Book Antiqua" w:hAnsi="Book Antiqua"/>
          <w:bCs/>
          <w:sz w:val="22"/>
          <w:szCs w:val="22"/>
        </w:rPr>
        <w:t>nie je obsiahnutý v judikatúre Súdneho dvora Európskej únie.</w:t>
      </w:r>
    </w:p>
    <w:p w:rsidR="007177B8" w:rsidRDefault="007177B8">
      <w:pPr>
        <w:pStyle w:val="Normlnywebov"/>
        <w:spacing w:before="120" w:line="276" w:lineRule="auto"/>
        <w:jc w:val="both"/>
        <w:rPr>
          <w:rFonts w:ascii="Book Antiqua" w:hAnsi="Book Antiqua"/>
          <w:b/>
          <w:bCs/>
          <w:sz w:val="22"/>
          <w:szCs w:val="22"/>
        </w:rPr>
      </w:pPr>
    </w:p>
    <w:p w:rsidR="007177B8" w:rsidRDefault="00301E8B">
      <w:pPr>
        <w:pStyle w:val="Normlnywebov"/>
        <w:spacing w:before="120" w:line="276" w:lineRule="auto"/>
        <w:jc w:val="both"/>
      </w:pPr>
      <w:r>
        <w:rPr>
          <w:rFonts w:ascii="Book Antiqua" w:hAnsi="Book Antiqua"/>
          <w:b/>
          <w:sz w:val="22"/>
          <w:szCs w:val="22"/>
        </w:rPr>
        <w:t>Vzhľadom na to, že predmet návrhu ústavného zákona nie je upravený v práve Európskej únie, je bezpredmetné vyjadrovať sa k bodom 4. a 5.</w:t>
      </w:r>
    </w:p>
    <w:p w:rsidR="007177B8" w:rsidRDefault="007177B8">
      <w:pPr>
        <w:pStyle w:val="Normlnywebov"/>
        <w:spacing w:before="120" w:line="276" w:lineRule="auto"/>
        <w:ind w:firstLine="284"/>
        <w:jc w:val="both"/>
        <w:rPr>
          <w:rFonts w:ascii="Book Antiqua" w:hAnsi="Book Antiqua"/>
          <w:sz w:val="22"/>
          <w:szCs w:val="22"/>
        </w:rPr>
      </w:pPr>
    </w:p>
    <w:p w:rsidR="007177B8" w:rsidRDefault="00301E8B">
      <w:pPr>
        <w:pStyle w:val="Normlnywebov"/>
        <w:pageBreakBefore/>
        <w:spacing w:before="120" w:line="276" w:lineRule="auto"/>
        <w:jc w:val="center"/>
      </w:pPr>
      <w:r>
        <w:rPr>
          <w:rFonts w:ascii="Book Antiqua" w:hAnsi="Book Antiqua"/>
          <w:b/>
          <w:bCs/>
          <w:caps/>
          <w:spacing w:val="30"/>
          <w:sz w:val="22"/>
          <w:szCs w:val="22"/>
        </w:rPr>
        <w:lastRenderedPageBreak/>
        <w:t>Doložka</w:t>
      </w:r>
    </w:p>
    <w:p w:rsidR="007177B8" w:rsidRDefault="00301E8B">
      <w:pPr>
        <w:pStyle w:val="Normlnywebov"/>
        <w:spacing w:before="120" w:line="276" w:lineRule="auto"/>
        <w:jc w:val="center"/>
      </w:pPr>
      <w:r>
        <w:rPr>
          <w:rFonts w:ascii="Book Antiqua" w:hAnsi="Book Antiqua"/>
          <w:b/>
          <w:bCs/>
          <w:sz w:val="22"/>
          <w:szCs w:val="22"/>
        </w:rPr>
        <w:t>vybraných vplyvov</w:t>
      </w:r>
    </w:p>
    <w:p w:rsidR="007177B8" w:rsidRDefault="007177B8">
      <w:pPr>
        <w:pStyle w:val="Normlnywebov"/>
        <w:spacing w:before="120" w:line="276" w:lineRule="auto"/>
        <w:jc w:val="center"/>
        <w:rPr>
          <w:rFonts w:ascii="Book Antiqua" w:hAnsi="Book Antiqua"/>
          <w:sz w:val="22"/>
          <w:szCs w:val="22"/>
        </w:rPr>
      </w:pPr>
    </w:p>
    <w:p w:rsidR="007177B8" w:rsidRDefault="00301E8B">
      <w:pPr>
        <w:pStyle w:val="Standard"/>
        <w:spacing w:before="120" w:line="276" w:lineRule="auto"/>
        <w:jc w:val="both"/>
      </w:pPr>
      <w:r>
        <w:rPr>
          <w:rFonts w:ascii="Book Antiqua" w:hAnsi="Book Antiqua"/>
          <w:b/>
          <w:bCs/>
          <w:sz w:val="22"/>
          <w:szCs w:val="22"/>
        </w:rPr>
        <w:t xml:space="preserve">A.1. Názov materiálu: </w:t>
      </w:r>
      <w:r>
        <w:rPr>
          <w:rFonts w:ascii="Book Antiqua" w:hAnsi="Book Antiqua"/>
          <w:sz w:val="22"/>
          <w:szCs w:val="22"/>
        </w:rPr>
        <w:t xml:space="preserve">návrh </w:t>
      </w:r>
      <w:r>
        <w:rPr>
          <w:rFonts w:ascii="Book Antiqua" w:hAnsi="Book Antiqua" w:cs="Book Antiqua"/>
          <w:bCs/>
          <w:sz w:val="22"/>
          <w:szCs w:val="22"/>
        </w:rPr>
        <w:t xml:space="preserve">zákona, ktorým sa mení a dopĺňa </w:t>
      </w:r>
      <w:r>
        <w:rPr>
          <w:rFonts w:ascii="Book Antiqua" w:hAnsi="Book Antiqua"/>
          <w:bCs/>
          <w:sz w:val="22"/>
          <w:szCs w:val="22"/>
        </w:rPr>
        <w:t>zákon Národnej rady Slovenskej republiky č. 125/1996 Z. z. o nemorálnosti a protiprávnosti komunistického systému  a ktorým sa menia a dopĺňajú niektoré zákony</w:t>
      </w:r>
      <w:r w:rsidR="00C6372A">
        <w:rPr>
          <w:rFonts w:ascii="Book Antiqua" w:hAnsi="Book Antiqua"/>
          <w:bCs/>
          <w:sz w:val="22"/>
          <w:szCs w:val="22"/>
        </w:rPr>
        <w:t>.</w:t>
      </w:r>
    </w:p>
    <w:p w:rsidR="007177B8" w:rsidRDefault="007177B8">
      <w:pPr>
        <w:pStyle w:val="Standard"/>
        <w:spacing w:before="120" w:line="276" w:lineRule="auto"/>
        <w:jc w:val="both"/>
        <w:rPr>
          <w:rFonts w:ascii="Book Antiqua" w:hAnsi="Book Antiqua"/>
          <w:b/>
          <w:bCs/>
          <w:sz w:val="22"/>
          <w:szCs w:val="22"/>
        </w:rPr>
      </w:pPr>
    </w:p>
    <w:p w:rsidR="007177B8" w:rsidRDefault="00301E8B">
      <w:pPr>
        <w:pStyle w:val="Standard"/>
        <w:spacing w:before="120" w:line="276" w:lineRule="auto"/>
        <w:jc w:val="both"/>
      </w:pPr>
      <w:r>
        <w:rPr>
          <w:rFonts w:ascii="Book Antiqua" w:hAnsi="Book Antiqua"/>
          <w:b/>
          <w:bCs/>
          <w:sz w:val="22"/>
          <w:szCs w:val="22"/>
        </w:rPr>
        <w:t>Termín začatia a ukončenia PPK:</w:t>
      </w:r>
      <w:r>
        <w:rPr>
          <w:rFonts w:ascii="Book Antiqua" w:hAnsi="Book Antiqua"/>
          <w:sz w:val="22"/>
          <w:szCs w:val="22"/>
        </w:rPr>
        <w:t xml:space="preserve"> </w:t>
      </w:r>
      <w:r>
        <w:rPr>
          <w:rFonts w:ascii="Book Antiqua" w:hAnsi="Book Antiqua"/>
          <w:i/>
          <w:iCs/>
          <w:sz w:val="22"/>
          <w:szCs w:val="22"/>
        </w:rPr>
        <w:t>bezpredmetné</w:t>
      </w:r>
    </w:p>
    <w:p w:rsidR="007177B8" w:rsidRDefault="007177B8">
      <w:pPr>
        <w:pStyle w:val="Standard"/>
        <w:spacing w:before="120" w:line="276" w:lineRule="auto"/>
        <w:jc w:val="both"/>
        <w:rPr>
          <w:rFonts w:ascii="Book Antiqua" w:hAnsi="Book Antiqua"/>
          <w:bCs/>
          <w:sz w:val="22"/>
          <w:szCs w:val="22"/>
        </w:rPr>
      </w:pPr>
    </w:p>
    <w:p w:rsidR="007177B8" w:rsidRDefault="00301E8B">
      <w:pPr>
        <w:pStyle w:val="Normlnywebov"/>
        <w:spacing w:before="120" w:line="276" w:lineRule="auto"/>
        <w:jc w:val="both"/>
      </w:pPr>
      <w:r>
        <w:rPr>
          <w:rFonts w:ascii="Book Antiqua" w:hAnsi="Book Antiqua"/>
          <w:b/>
          <w:bCs/>
          <w:sz w:val="22"/>
          <w:szCs w:val="22"/>
        </w:rPr>
        <w:t>A.2. Vplyvy:</w:t>
      </w:r>
    </w:p>
    <w:tbl>
      <w:tblPr>
        <w:tblW w:w="9056" w:type="dxa"/>
        <w:tblInd w:w="-7" w:type="dxa"/>
        <w:tblLayout w:type="fixed"/>
        <w:tblCellMar>
          <w:left w:w="10" w:type="dxa"/>
          <w:right w:w="10" w:type="dxa"/>
        </w:tblCellMar>
        <w:tblLook w:val="0000" w:firstRow="0" w:lastRow="0" w:firstColumn="0" w:lastColumn="0" w:noHBand="0" w:noVBand="0"/>
      </w:tblPr>
      <w:tblGrid>
        <w:gridCol w:w="5494"/>
        <w:gridCol w:w="1188"/>
        <w:gridCol w:w="1177"/>
        <w:gridCol w:w="1197"/>
      </w:tblGrid>
      <w:tr w:rsidR="007177B8">
        <w:tc>
          <w:tcPr>
            <w:tcW w:w="5494" w:type="dxa"/>
            <w:tcBorders>
              <w:top w:val="single" w:sz="6" w:space="0" w:color="000001"/>
              <w:left w:val="single" w:sz="6" w:space="0" w:color="000001"/>
              <w:bottom w:val="single" w:sz="6" w:space="0" w:color="000001"/>
              <w:right w:val="single" w:sz="6" w:space="0" w:color="000001"/>
            </w:tcBorders>
            <w:shd w:val="clear" w:color="auto" w:fill="FFFFFF"/>
            <w:tcMar>
              <w:top w:w="0" w:type="dxa"/>
              <w:left w:w="7" w:type="dxa"/>
              <w:bottom w:w="0" w:type="dxa"/>
              <w:right w:w="7" w:type="dxa"/>
            </w:tcMar>
            <w:vAlign w:val="center"/>
          </w:tcPr>
          <w:p w:rsidR="007177B8" w:rsidRDefault="00301E8B">
            <w:pPr>
              <w:pStyle w:val="Normlnywebov"/>
              <w:spacing w:before="120" w:line="276" w:lineRule="auto"/>
              <w:jc w:val="both"/>
            </w:pPr>
            <w:r>
              <w:rPr>
                <w:rFonts w:ascii="Book Antiqua" w:hAnsi="Book Antiqua"/>
                <w:sz w:val="22"/>
                <w:szCs w:val="22"/>
              </w:rPr>
              <w:t> </w:t>
            </w:r>
          </w:p>
        </w:tc>
        <w:tc>
          <w:tcPr>
            <w:tcW w:w="1188" w:type="dxa"/>
            <w:tcBorders>
              <w:top w:val="single" w:sz="6" w:space="0" w:color="000001"/>
              <w:left w:val="single" w:sz="6" w:space="0" w:color="000001"/>
              <w:bottom w:val="single" w:sz="6" w:space="0" w:color="000001"/>
              <w:right w:val="single" w:sz="6" w:space="0" w:color="000001"/>
            </w:tcBorders>
            <w:shd w:val="clear" w:color="auto" w:fill="FFFFFF"/>
            <w:tcMar>
              <w:top w:w="0" w:type="dxa"/>
              <w:left w:w="7" w:type="dxa"/>
              <w:bottom w:w="0" w:type="dxa"/>
              <w:right w:w="7" w:type="dxa"/>
            </w:tcMar>
            <w:vAlign w:val="center"/>
          </w:tcPr>
          <w:p w:rsidR="007177B8" w:rsidRDefault="00301E8B">
            <w:pPr>
              <w:pStyle w:val="Normlnywebov"/>
              <w:spacing w:before="120" w:line="276" w:lineRule="auto"/>
              <w:jc w:val="both"/>
            </w:pPr>
            <w:r>
              <w:rPr>
                <w:rFonts w:ascii="Book Antiqua" w:hAnsi="Book Antiqua"/>
                <w:sz w:val="22"/>
                <w:szCs w:val="22"/>
              </w:rPr>
              <w:t> Pozitívne </w:t>
            </w:r>
          </w:p>
        </w:tc>
        <w:tc>
          <w:tcPr>
            <w:tcW w:w="1177" w:type="dxa"/>
            <w:tcBorders>
              <w:top w:val="single" w:sz="6" w:space="0" w:color="000001"/>
              <w:left w:val="single" w:sz="6" w:space="0" w:color="000001"/>
              <w:bottom w:val="single" w:sz="6" w:space="0" w:color="000001"/>
              <w:right w:val="single" w:sz="6" w:space="0" w:color="000001"/>
            </w:tcBorders>
            <w:shd w:val="clear" w:color="auto" w:fill="FFFFFF"/>
            <w:tcMar>
              <w:top w:w="0" w:type="dxa"/>
              <w:left w:w="7" w:type="dxa"/>
              <w:bottom w:w="0" w:type="dxa"/>
              <w:right w:w="7" w:type="dxa"/>
            </w:tcMar>
            <w:vAlign w:val="center"/>
          </w:tcPr>
          <w:p w:rsidR="007177B8" w:rsidRDefault="00301E8B">
            <w:pPr>
              <w:pStyle w:val="Normlnywebov"/>
              <w:spacing w:before="120" w:line="276" w:lineRule="auto"/>
              <w:jc w:val="both"/>
            </w:pPr>
            <w:r>
              <w:rPr>
                <w:rFonts w:ascii="Book Antiqua" w:hAnsi="Book Antiqua"/>
                <w:sz w:val="22"/>
                <w:szCs w:val="22"/>
              </w:rPr>
              <w:t> Žiadne </w:t>
            </w:r>
          </w:p>
        </w:tc>
        <w:tc>
          <w:tcPr>
            <w:tcW w:w="1197" w:type="dxa"/>
            <w:tcBorders>
              <w:top w:val="single" w:sz="6" w:space="0" w:color="000001"/>
              <w:left w:val="single" w:sz="6" w:space="0" w:color="000001"/>
              <w:bottom w:val="single" w:sz="6" w:space="0" w:color="000001"/>
              <w:right w:val="single" w:sz="6" w:space="0" w:color="000001"/>
            </w:tcBorders>
            <w:shd w:val="clear" w:color="auto" w:fill="FFFFFF"/>
            <w:tcMar>
              <w:top w:w="0" w:type="dxa"/>
              <w:left w:w="7" w:type="dxa"/>
              <w:bottom w:w="0" w:type="dxa"/>
              <w:right w:w="7" w:type="dxa"/>
            </w:tcMar>
            <w:vAlign w:val="center"/>
          </w:tcPr>
          <w:p w:rsidR="007177B8" w:rsidRDefault="00301E8B">
            <w:pPr>
              <w:pStyle w:val="Normlnywebov"/>
              <w:spacing w:before="120" w:line="276" w:lineRule="auto"/>
              <w:jc w:val="both"/>
            </w:pPr>
            <w:r>
              <w:rPr>
                <w:rFonts w:ascii="Book Antiqua" w:hAnsi="Book Antiqua"/>
                <w:sz w:val="22"/>
                <w:szCs w:val="22"/>
              </w:rPr>
              <w:t> Negatívne </w:t>
            </w:r>
          </w:p>
        </w:tc>
      </w:tr>
      <w:tr w:rsidR="007177B8">
        <w:tc>
          <w:tcPr>
            <w:tcW w:w="5494" w:type="dxa"/>
            <w:tcBorders>
              <w:top w:val="single" w:sz="6" w:space="0" w:color="000001"/>
              <w:left w:val="single" w:sz="6" w:space="0" w:color="000001"/>
              <w:bottom w:val="single" w:sz="6" w:space="0" w:color="000001"/>
              <w:right w:val="single" w:sz="6" w:space="0" w:color="000001"/>
            </w:tcBorders>
            <w:shd w:val="clear" w:color="auto" w:fill="FFFFFF"/>
            <w:tcMar>
              <w:top w:w="0" w:type="dxa"/>
              <w:left w:w="7" w:type="dxa"/>
              <w:bottom w:w="0" w:type="dxa"/>
              <w:right w:w="7" w:type="dxa"/>
            </w:tcMar>
            <w:vAlign w:val="center"/>
          </w:tcPr>
          <w:p w:rsidR="007177B8" w:rsidRDefault="00301E8B">
            <w:pPr>
              <w:pStyle w:val="Normlnywebov"/>
              <w:spacing w:before="120" w:line="276" w:lineRule="auto"/>
              <w:jc w:val="both"/>
            </w:pPr>
            <w:r>
              <w:rPr>
                <w:rFonts w:ascii="Book Antiqua" w:hAnsi="Book Antiqua"/>
                <w:sz w:val="22"/>
                <w:szCs w:val="22"/>
              </w:rPr>
              <w:t>1. Vplyvy na rozpočet verejnej správy</w:t>
            </w:r>
          </w:p>
        </w:tc>
        <w:tc>
          <w:tcPr>
            <w:tcW w:w="1188" w:type="dxa"/>
            <w:tcBorders>
              <w:top w:val="single" w:sz="6" w:space="0" w:color="000001"/>
              <w:left w:val="single" w:sz="6" w:space="0" w:color="000001"/>
              <w:bottom w:val="single" w:sz="6" w:space="0" w:color="000001"/>
              <w:right w:val="single" w:sz="6" w:space="0" w:color="000001"/>
            </w:tcBorders>
            <w:shd w:val="clear" w:color="auto" w:fill="FFFFFF"/>
            <w:tcMar>
              <w:top w:w="0" w:type="dxa"/>
              <w:left w:w="7" w:type="dxa"/>
              <w:bottom w:w="0" w:type="dxa"/>
              <w:right w:w="7" w:type="dxa"/>
            </w:tcMar>
            <w:vAlign w:val="center"/>
          </w:tcPr>
          <w:p w:rsidR="007177B8" w:rsidRDefault="007177B8">
            <w:pPr>
              <w:pStyle w:val="Normlnywebov"/>
              <w:spacing w:before="120" w:line="276" w:lineRule="auto"/>
              <w:jc w:val="center"/>
              <w:rPr>
                <w:rFonts w:ascii="Book Antiqua" w:hAnsi="Book Antiqua"/>
                <w:sz w:val="22"/>
                <w:szCs w:val="22"/>
              </w:rPr>
            </w:pPr>
          </w:p>
        </w:tc>
        <w:tc>
          <w:tcPr>
            <w:tcW w:w="1177" w:type="dxa"/>
            <w:tcBorders>
              <w:top w:val="single" w:sz="6" w:space="0" w:color="000001"/>
              <w:left w:val="single" w:sz="6" w:space="0" w:color="000001"/>
              <w:bottom w:val="single" w:sz="6" w:space="0" w:color="000001"/>
              <w:right w:val="single" w:sz="6" w:space="0" w:color="000001"/>
            </w:tcBorders>
            <w:shd w:val="clear" w:color="auto" w:fill="FFFFFF"/>
            <w:tcMar>
              <w:top w:w="0" w:type="dxa"/>
              <w:left w:w="7" w:type="dxa"/>
              <w:bottom w:w="0" w:type="dxa"/>
              <w:right w:w="7" w:type="dxa"/>
            </w:tcMar>
            <w:vAlign w:val="center"/>
          </w:tcPr>
          <w:p w:rsidR="007177B8" w:rsidRDefault="00301E8B">
            <w:pPr>
              <w:pStyle w:val="Normlnywebov"/>
              <w:spacing w:before="120" w:line="276" w:lineRule="auto"/>
              <w:jc w:val="center"/>
            </w:pPr>
            <w:r>
              <w:rPr>
                <w:rFonts w:ascii="Book Antiqua" w:hAnsi="Book Antiqua"/>
                <w:sz w:val="22"/>
                <w:szCs w:val="22"/>
              </w:rPr>
              <w:t>x</w:t>
            </w:r>
          </w:p>
        </w:tc>
        <w:tc>
          <w:tcPr>
            <w:tcW w:w="1197" w:type="dxa"/>
            <w:tcBorders>
              <w:top w:val="single" w:sz="6" w:space="0" w:color="000001"/>
              <w:left w:val="single" w:sz="6" w:space="0" w:color="000001"/>
              <w:bottom w:val="single" w:sz="6" w:space="0" w:color="000001"/>
              <w:right w:val="single" w:sz="6" w:space="0" w:color="000001"/>
            </w:tcBorders>
            <w:shd w:val="clear" w:color="auto" w:fill="FFFFFF"/>
            <w:tcMar>
              <w:top w:w="0" w:type="dxa"/>
              <w:left w:w="7" w:type="dxa"/>
              <w:bottom w:w="0" w:type="dxa"/>
              <w:right w:w="7" w:type="dxa"/>
            </w:tcMar>
            <w:vAlign w:val="center"/>
          </w:tcPr>
          <w:p w:rsidR="007177B8" w:rsidRDefault="007177B8">
            <w:pPr>
              <w:pStyle w:val="Normlnywebov"/>
              <w:spacing w:before="120" w:line="276" w:lineRule="auto"/>
              <w:rPr>
                <w:rFonts w:ascii="Book Antiqua" w:hAnsi="Book Antiqua"/>
                <w:sz w:val="22"/>
                <w:szCs w:val="22"/>
              </w:rPr>
            </w:pPr>
          </w:p>
        </w:tc>
      </w:tr>
      <w:tr w:rsidR="007177B8">
        <w:tc>
          <w:tcPr>
            <w:tcW w:w="5494" w:type="dxa"/>
            <w:tcBorders>
              <w:top w:val="single" w:sz="6" w:space="0" w:color="000001"/>
              <w:left w:val="single" w:sz="6" w:space="0" w:color="000001"/>
              <w:bottom w:val="single" w:sz="6" w:space="0" w:color="000001"/>
              <w:right w:val="single" w:sz="6" w:space="0" w:color="000001"/>
            </w:tcBorders>
            <w:shd w:val="clear" w:color="auto" w:fill="FFFFFF"/>
            <w:tcMar>
              <w:top w:w="0" w:type="dxa"/>
              <w:left w:w="7" w:type="dxa"/>
              <w:bottom w:w="0" w:type="dxa"/>
              <w:right w:w="7" w:type="dxa"/>
            </w:tcMar>
            <w:vAlign w:val="center"/>
          </w:tcPr>
          <w:p w:rsidR="007177B8" w:rsidRDefault="00301E8B">
            <w:pPr>
              <w:pStyle w:val="Normlnywebov"/>
              <w:spacing w:before="120" w:line="276" w:lineRule="auto"/>
              <w:jc w:val="both"/>
            </w:pPr>
            <w:r>
              <w:rPr>
                <w:rFonts w:ascii="Book Antiqua" w:hAnsi="Book Antiqua"/>
                <w:sz w:val="22"/>
                <w:szCs w:val="22"/>
              </w:rPr>
              <w:t>2. Vplyvy na podnikateľské prostredie – dochádza k zvýšeniu regulačného zaťaženia?</w:t>
            </w:r>
          </w:p>
        </w:tc>
        <w:tc>
          <w:tcPr>
            <w:tcW w:w="1188" w:type="dxa"/>
            <w:tcBorders>
              <w:top w:val="single" w:sz="6" w:space="0" w:color="000001"/>
              <w:left w:val="single" w:sz="6" w:space="0" w:color="000001"/>
              <w:bottom w:val="single" w:sz="6" w:space="0" w:color="000001"/>
              <w:right w:val="single" w:sz="6" w:space="0" w:color="000001"/>
            </w:tcBorders>
            <w:shd w:val="clear" w:color="auto" w:fill="FFFFFF"/>
            <w:tcMar>
              <w:top w:w="0" w:type="dxa"/>
              <w:left w:w="7" w:type="dxa"/>
              <w:bottom w:w="0" w:type="dxa"/>
              <w:right w:w="7" w:type="dxa"/>
            </w:tcMar>
            <w:vAlign w:val="center"/>
          </w:tcPr>
          <w:p w:rsidR="007177B8" w:rsidRDefault="007177B8">
            <w:pPr>
              <w:pStyle w:val="Normlnywebov"/>
              <w:spacing w:before="120" w:line="276" w:lineRule="auto"/>
              <w:jc w:val="center"/>
              <w:rPr>
                <w:rFonts w:ascii="Book Antiqua" w:hAnsi="Book Antiqua"/>
                <w:sz w:val="22"/>
                <w:szCs w:val="22"/>
              </w:rPr>
            </w:pPr>
          </w:p>
        </w:tc>
        <w:tc>
          <w:tcPr>
            <w:tcW w:w="1177" w:type="dxa"/>
            <w:tcBorders>
              <w:top w:val="single" w:sz="6" w:space="0" w:color="000001"/>
              <w:left w:val="single" w:sz="6" w:space="0" w:color="000001"/>
              <w:bottom w:val="single" w:sz="6" w:space="0" w:color="000001"/>
              <w:right w:val="single" w:sz="6" w:space="0" w:color="000001"/>
            </w:tcBorders>
            <w:shd w:val="clear" w:color="auto" w:fill="FFFFFF"/>
            <w:tcMar>
              <w:top w:w="0" w:type="dxa"/>
              <w:left w:w="7" w:type="dxa"/>
              <w:bottom w:w="0" w:type="dxa"/>
              <w:right w:w="7" w:type="dxa"/>
            </w:tcMar>
            <w:vAlign w:val="center"/>
          </w:tcPr>
          <w:p w:rsidR="007177B8" w:rsidRDefault="00301E8B">
            <w:pPr>
              <w:pStyle w:val="Normlnywebov"/>
              <w:spacing w:before="120" w:line="276" w:lineRule="auto"/>
              <w:jc w:val="center"/>
            </w:pPr>
            <w:r>
              <w:rPr>
                <w:rFonts w:ascii="Book Antiqua" w:hAnsi="Book Antiqua"/>
                <w:sz w:val="22"/>
                <w:szCs w:val="22"/>
              </w:rPr>
              <w:t>x</w:t>
            </w:r>
          </w:p>
        </w:tc>
        <w:tc>
          <w:tcPr>
            <w:tcW w:w="1197" w:type="dxa"/>
            <w:tcBorders>
              <w:top w:val="single" w:sz="6" w:space="0" w:color="000001"/>
              <w:left w:val="single" w:sz="6" w:space="0" w:color="000001"/>
              <w:bottom w:val="single" w:sz="6" w:space="0" w:color="000001"/>
              <w:right w:val="single" w:sz="6" w:space="0" w:color="000001"/>
            </w:tcBorders>
            <w:shd w:val="clear" w:color="auto" w:fill="FFFFFF"/>
            <w:tcMar>
              <w:top w:w="0" w:type="dxa"/>
              <w:left w:w="7" w:type="dxa"/>
              <w:bottom w:w="0" w:type="dxa"/>
              <w:right w:w="7" w:type="dxa"/>
            </w:tcMar>
            <w:vAlign w:val="center"/>
          </w:tcPr>
          <w:p w:rsidR="007177B8" w:rsidRDefault="007177B8">
            <w:pPr>
              <w:pStyle w:val="Normlnywebov"/>
              <w:spacing w:before="120" w:line="276" w:lineRule="auto"/>
              <w:jc w:val="center"/>
              <w:rPr>
                <w:rFonts w:ascii="Book Antiqua" w:hAnsi="Book Antiqua"/>
                <w:sz w:val="22"/>
                <w:szCs w:val="22"/>
              </w:rPr>
            </w:pPr>
          </w:p>
        </w:tc>
      </w:tr>
      <w:tr w:rsidR="007177B8">
        <w:tc>
          <w:tcPr>
            <w:tcW w:w="5494" w:type="dxa"/>
            <w:tcBorders>
              <w:top w:val="single" w:sz="6" w:space="0" w:color="000001"/>
              <w:left w:val="single" w:sz="6" w:space="0" w:color="000001"/>
              <w:bottom w:val="single" w:sz="6" w:space="0" w:color="000001"/>
              <w:right w:val="single" w:sz="6" w:space="0" w:color="000001"/>
            </w:tcBorders>
            <w:shd w:val="clear" w:color="auto" w:fill="FFFFFF"/>
            <w:tcMar>
              <w:top w:w="0" w:type="dxa"/>
              <w:left w:w="7" w:type="dxa"/>
              <w:bottom w:w="0" w:type="dxa"/>
              <w:right w:w="7" w:type="dxa"/>
            </w:tcMar>
            <w:vAlign w:val="center"/>
          </w:tcPr>
          <w:p w:rsidR="007177B8" w:rsidRDefault="00301E8B">
            <w:pPr>
              <w:pStyle w:val="Normlnywebov"/>
              <w:spacing w:before="120" w:line="276" w:lineRule="auto"/>
              <w:jc w:val="both"/>
            </w:pPr>
            <w:r>
              <w:rPr>
                <w:rFonts w:ascii="Book Antiqua" w:hAnsi="Book Antiqua"/>
                <w:sz w:val="22"/>
                <w:szCs w:val="22"/>
              </w:rPr>
              <w:t>3. Sociálne vplyvy</w:t>
            </w:r>
          </w:p>
        </w:tc>
        <w:tc>
          <w:tcPr>
            <w:tcW w:w="1188" w:type="dxa"/>
            <w:tcBorders>
              <w:top w:val="single" w:sz="6" w:space="0" w:color="000001"/>
              <w:left w:val="single" w:sz="6" w:space="0" w:color="000001"/>
              <w:bottom w:val="single" w:sz="6" w:space="0" w:color="000001"/>
              <w:right w:val="single" w:sz="6" w:space="0" w:color="000001"/>
            </w:tcBorders>
            <w:shd w:val="clear" w:color="auto" w:fill="FFFFFF"/>
            <w:tcMar>
              <w:top w:w="0" w:type="dxa"/>
              <w:left w:w="7" w:type="dxa"/>
              <w:bottom w:w="0" w:type="dxa"/>
              <w:right w:w="7" w:type="dxa"/>
            </w:tcMar>
            <w:vAlign w:val="center"/>
          </w:tcPr>
          <w:p w:rsidR="007177B8" w:rsidRDefault="007177B8">
            <w:pPr>
              <w:pStyle w:val="Normlnywebov"/>
              <w:spacing w:before="120" w:line="276" w:lineRule="auto"/>
              <w:jc w:val="center"/>
              <w:rPr>
                <w:rFonts w:ascii="Book Antiqua" w:hAnsi="Book Antiqua"/>
                <w:sz w:val="22"/>
                <w:szCs w:val="22"/>
              </w:rPr>
            </w:pPr>
          </w:p>
        </w:tc>
        <w:tc>
          <w:tcPr>
            <w:tcW w:w="1177" w:type="dxa"/>
            <w:tcBorders>
              <w:top w:val="single" w:sz="6" w:space="0" w:color="000001"/>
              <w:left w:val="single" w:sz="6" w:space="0" w:color="000001"/>
              <w:bottom w:val="single" w:sz="6" w:space="0" w:color="000001"/>
              <w:right w:val="single" w:sz="6" w:space="0" w:color="000001"/>
            </w:tcBorders>
            <w:shd w:val="clear" w:color="auto" w:fill="FFFFFF"/>
            <w:tcMar>
              <w:top w:w="0" w:type="dxa"/>
              <w:left w:w="7" w:type="dxa"/>
              <w:bottom w:w="0" w:type="dxa"/>
              <w:right w:w="7" w:type="dxa"/>
            </w:tcMar>
            <w:vAlign w:val="center"/>
          </w:tcPr>
          <w:p w:rsidR="007177B8" w:rsidRDefault="00301E8B">
            <w:pPr>
              <w:pStyle w:val="Normlnywebov"/>
              <w:spacing w:before="120" w:line="276" w:lineRule="auto"/>
              <w:jc w:val="center"/>
            </w:pPr>
            <w:r>
              <w:rPr>
                <w:rFonts w:ascii="Book Antiqua" w:hAnsi="Book Antiqua"/>
                <w:sz w:val="22"/>
                <w:szCs w:val="22"/>
              </w:rPr>
              <w:t>x</w:t>
            </w:r>
          </w:p>
        </w:tc>
        <w:tc>
          <w:tcPr>
            <w:tcW w:w="1197" w:type="dxa"/>
            <w:tcBorders>
              <w:top w:val="single" w:sz="6" w:space="0" w:color="000001"/>
              <w:left w:val="single" w:sz="6" w:space="0" w:color="000001"/>
              <w:bottom w:val="single" w:sz="6" w:space="0" w:color="000001"/>
              <w:right w:val="single" w:sz="6" w:space="0" w:color="000001"/>
            </w:tcBorders>
            <w:shd w:val="clear" w:color="auto" w:fill="FFFFFF"/>
            <w:tcMar>
              <w:top w:w="0" w:type="dxa"/>
              <w:left w:w="7" w:type="dxa"/>
              <w:bottom w:w="0" w:type="dxa"/>
              <w:right w:w="7" w:type="dxa"/>
            </w:tcMar>
            <w:vAlign w:val="center"/>
          </w:tcPr>
          <w:p w:rsidR="007177B8" w:rsidRDefault="007177B8">
            <w:pPr>
              <w:pStyle w:val="Normlnywebov"/>
              <w:spacing w:before="120" w:line="276" w:lineRule="auto"/>
              <w:jc w:val="center"/>
              <w:rPr>
                <w:rFonts w:ascii="Book Antiqua" w:hAnsi="Book Antiqua"/>
                <w:sz w:val="22"/>
                <w:szCs w:val="22"/>
              </w:rPr>
            </w:pPr>
          </w:p>
        </w:tc>
      </w:tr>
      <w:tr w:rsidR="007177B8">
        <w:tc>
          <w:tcPr>
            <w:tcW w:w="5494" w:type="dxa"/>
            <w:tcBorders>
              <w:top w:val="single" w:sz="6" w:space="0" w:color="000001"/>
              <w:left w:val="single" w:sz="6" w:space="0" w:color="000001"/>
              <w:bottom w:val="single" w:sz="6" w:space="0" w:color="000001"/>
              <w:right w:val="single" w:sz="6" w:space="0" w:color="000001"/>
            </w:tcBorders>
            <w:shd w:val="clear" w:color="auto" w:fill="FFFFFF"/>
            <w:tcMar>
              <w:top w:w="0" w:type="dxa"/>
              <w:left w:w="7" w:type="dxa"/>
              <w:bottom w:w="0" w:type="dxa"/>
              <w:right w:w="7" w:type="dxa"/>
            </w:tcMar>
            <w:vAlign w:val="center"/>
          </w:tcPr>
          <w:p w:rsidR="007177B8" w:rsidRDefault="00301E8B">
            <w:pPr>
              <w:pStyle w:val="Normlnywebov"/>
              <w:spacing w:before="120" w:line="276" w:lineRule="auto"/>
              <w:jc w:val="both"/>
            </w:pPr>
            <w:r>
              <w:rPr>
                <w:rFonts w:ascii="Book Antiqua" w:hAnsi="Book Antiqua"/>
                <w:sz w:val="22"/>
                <w:szCs w:val="22"/>
              </w:rPr>
              <w:t>– vplyvy na hospodárenie obyvateľstva,</w:t>
            </w:r>
          </w:p>
        </w:tc>
        <w:tc>
          <w:tcPr>
            <w:tcW w:w="1188" w:type="dxa"/>
            <w:tcBorders>
              <w:top w:val="single" w:sz="6" w:space="0" w:color="000001"/>
              <w:left w:val="single" w:sz="6" w:space="0" w:color="000001"/>
              <w:bottom w:val="single" w:sz="6" w:space="0" w:color="000001"/>
              <w:right w:val="single" w:sz="6" w:space="0" w:color="000001"/>
            </w:tcBorders>
            <w:shd w:val="clear" w:color="auto" w:fill="FFFFFF"/>
            <w:tcMar>
              <w:top w:w="0" w:type="dxa"/>
              <w:left w:w="7" w:type="dxa"/>
              <w:bottom w:w="0" w:type="dxa"/>
              <w:right w:w="7" w:type="dxa"/>
            </w:tcMar>
            <w:vAlign w:val="center"/>
          </w:tcPr>
          <w:p w:rsidR="007177B8" w:rsidRDefault="007177B8">
            <w:pPr>
              <w:pStyle w:val="Normlnywebov"/>
              <w:spacing w:before="120" w:line="276" w:lineRule="auto"/>
              <w:jc w:val="center"/>
              <w:rPr>
                <w:rFonts w:ascii="Book Antiqua" w:hAnsi="Book Antiqua"/>
                <w:sz w:val="22"/>
                <w:szCs w:val="22"/>
              </w:rPr>
            </w:pPr>
          </w:p>
        </w:tc>
        <w:tc>
          <w:tcPr>
            <w:tcW w:w="1177" w:type="dxa"/>
            <w:tcBorders>
              <w:top w:val="single" w:sz="6" w:space="0" w:color="000001"/>
              <w:left w:val="single" w:sz="6" w:space="0" w:color="000001"/>
              <w:bottom w:val="single" w:sz="6" w:space="0" w:color="000001"/>
              <w:right w:val="single" w:sz="6" w:space="0" w:color="000001"/>
            </w:tcBorders>
            <w:shd w:val="clear" w:color="auto" w:fill="FFFFFF"/>
            <w:tcMar>
              <w:top w:w="0" w:type="dxa"/>
              <w:left w:w="7" w:type="dxa"/>
              <w:bottom w:w="0" w:type="dxa"/>
              <w:right w:w="7" w:type="dxa"/>
            </w:tcMar>
            <w:vAlign w:val="center"/>
          </w:tcPr>
          <w:p w:rsidR="007177B8" w:rsidRDefault="00301E8B">
            <w:pPr>
              <w:pStyle w:val="Normlnywebov"/>
              <w:spacing w:before="120" w:line="276" w:lineRule="auto"/>
              <w:jc w:val="center"/>
            </w:pPr>
            <w:r>
              <w:rPr>
                <w:rFonts w:ascii="Book Antiqua" w:hAnsi="Book Antiqua"/>
                <w:sz w:val="22"/>
                <w:szCs w:val="22"/>
              </w:rPr>
              <w:t>x</w:t>
            </w:r>
          </w:p>
        </w:tc>
        <w:tc>
          <w:tcPr>
            <w:tcW w:w="1197" w:type="dxa"/>
            <w:tcBorders>
              <w:top w:val="single" w:sz="6" w:space="0" w:color="000001"/>
              <w:left w:val="single" w:sz="6" w:space="0" w:color="000001"/>
              <w:bottom w:val="single" w:sz="6" w:space="0" w:color="000001"/>
              <w:right w:val="single" w:sz="6" w:space="0" w:color="000001"/>
            </w:tcBorders>
            <w:shd w:val="clear" w:color="auto" w:fill="FFFFFF"/>
            <w:tcMar>
              <w:top w:w="0" w:type="dxa"/>
              <w:left w:w="7" w:type="dxa"/>
              <w:bottom w:w="0" w:type="dxa"/>
              <w:right w:w="7" w:type="dxa"/>
            </w:tcMar>
            <w:vAlign w:val="center"/>
          </w:tcPr>
          <w:p w:rsidR="007177B8" w:rsidRDefault="007177B8">
            <w:pPr>
              <w:pStyle w:val="Normlnywebov"/>
              <w:spacing w:before="120" w:line="276" w:lineRule="auto"/>
              <w:jc w:val="center"/>
              <w:rPr>
                <w:rFonts w:ascii="Book Antiqua" w:hAnsi="Book Antiqua"/>
                <w:sz w:val="22"/>
                <w:szCs w:val="22"/>
              </w:rPr>
            </w:pPr>
          </w:p>
        </w:tc>
      </w:tr>
      <w:tr w:rsidR="007177B8">
        <w:tc>
          <w:tcPr>
            <w:tcW w:w="5494" w:type="dxa"/>
            <w:tcBorders>
              <w:top w:val="single" w:sz="6" w:space="0" w:color="000001"/>
              <w:left w:val="single" w:sz="6" w:space="0" w:color="000001"/>
              <w:bottom w:val="single" w:sz="6" w:space="0" w:color="000001"/>
              <w:right w:val="single" w:sz="6" w:space="0" w:color="000001"/>
            </w:tcBorders>
            <w:shd w:val="clear" w:color="auto" w:fill="FFFFFF"/>
            <w:tcMar>
              <w:top w:w="0" w:type="dxa"/>
              <w:left w:w="7" w:type="dxa"/>
              <w:bottom w:w="0" w:type="dxa"/>
              <w:right w:w="7" w:type="dxa"/>
            </w:tcMar>
            <w:vAlign w:val="center"/>
          </w:tcPr>
          <w:p w:rsidR="007177B8" w:rsidRDefault="00301E8B">
            <w:pPr>
              <w:pStyle w:val="Normlnywebov"/>
              <w:spacing w:before="120" w:line="276" w:lineRule="auto"/>
              <w:jc w:val="both"/>
            </w:pPr>
            <w:r>
              <w:rPr>
                <w:rFonts w:ascii="Book Antiqua" w:hAnsi="Book Antiqua"/>
                <w:sz w:val="22"/>
                <w:szCs w:val="22"/>
              </w:rPr>
              <w:t>– sociálnu exklúziu,</w:t>
            </w:r>
          </w:p>
        </w:tc>
        <w:tc>
          <w:tcPr>
            <w:tcW w:w="1188" w:type="dxa"/>
            <w:tcBorders>
              <w:top w:val="single" w:sz="6" w:space="0" w:color="000001"/>
              <w:left w:val="single" w:sz="6" w:space="0" w:color="000001"/>
              <w:bottom w:val="single" w:sz="6" w:space="0" w:color="000001"/>
              <w:right w:val="single" w:sz="6" w:space="0" w:color="000001"/>
            </w:tcBorders>
            <w:shd w:val="clear" w:color="auto" w:fill="FFFFFF"/>
            <w:tcMar>
              <w:top w:w="0" w:type="dxa"/>
              <w:left w:w="7" w:type="dxa"/>
              <w:bottom w:w="0" w:type="dxa"/>
              <w:right w:w="7" w:type="dxa"/>
            </w:tcMar>
            <w:vAlign w:val="center"/>
          </w:tcPr>
          <w:p w:rsidR="007177B8" w:rsidRDefault="007177B8">
            <w:pPr>
              <w:pStyle w:val="Normlnywebov"/>
              <w:spacing w:before="120" w:line="276" w:lineRule="auto"/>
              <w:jc w:val="center"/>
              <w:rPr>
                <w:rFonts w:ascii="Book Antiqua" w:hAnsi="Book Antiqua"/>
                <w:sz w:val="22"/>
                <w:szCs w:val="22"/>
              </w:rPr>
            </w:pPr>
          </w:p>
        </w:tc>
        <w:tc>
          <w:tcPr>
            <w:tcW w:w="1177" w:type="dxa"/>
            <w:tcBorders>
              <w:top w:val="single" w:sz="6" w:space="0" w:color="000001"/>
              <w:left w:val="single" w:sz="6" w:space="0" w:color="000001"/>
              <w:bottom w:val="single" w:sz="6" w:space="0" w:color="000001"/>
              <w:right w:val="single" w:sz="6" w:space="0" w:color="000001"/>
            </w:tcBorders>
            <w:shd w:val="clear" w:color="auto" w:fill="FFFFFF"/>
            <w:tcMar>
              <w:top w:w="0" w:type="dxa"/>
              <w:left w:w="7" w:type="dxa"/>
              <w:bottom w:w="0" w:type="dxa"/>
              <w:right w:w="7" w:type="dxa"/>
            </w:tcMar>
            <w:vAlign w:val="center"/>
          </w:tcPr>
          <w:p w:rsidR="007177B8" w:rsidRDefault="00301E8B">
            <w:pPr>
              <w:pStyle w:val="Normlnywebov"/>
              <w:spacing w:before="120" w:line="276" w:lineRule="auto"/>
              <w:jc w:val="center"/>
            </w:pPr>
            <w:r>
              <w:rPr>
                <w:rFonts w:ascii="Book Antiqua" w:hAnsi="Book Antiqua"/>
                <w:sz w:val="22"/>
                <w:szCs w:val="22"/>
              </w:rPr>
              <w:t>x</w:t>
            </w:r>
          </w:p>
        </w:tc>
        <w:tc>
          <w:tcPr>
            <w:tcW w:w="1197" w:type="dxa"/>
            <w:tcBorders>
              <w:top w:val="single" w:sz="6" w:space="0" w:color="000001"/>
              <w:left w:val="single" w:sz="6" w:space="0" w:color="000001"/>
              <w:bottom w:val="single" w:sz="6" w:space="0" w:color="000001"/>
              <w:right w:val="single" w:sz="6" w:space="0" w:color="000001"/>
            </w:tcBorders>
            <w:shd w:val="clear" w:color="auto" w:fill="FFFFFF"/>
            <w:tcMar>
              <w:top w:w="0" w:type="dxa"/>
              <w:left w:w="7" w:type="dxa"/>
              <w:bottom w:w="0" w:type="dxa"/>
              <w:right w:w="7" w:type="dxa"/>
            </w:tcMar>
            <w:vAlign w:val="center"/>
          </w:tcPr>
          <w:p w:rsidR="007177B8" w:rsidRDefault="007177B8">
            <w:pPr>
              <w:pStyle w:val="Normlnywebov"/>
              <w:spacing w:before="120" w:line="276" w:lineRule="auto"/>
              <w:jc w:val="center"/>
              <w:rPr>
                <w:rFonts w:ascii="Book Antiqua" w:hAnsi="Book Antiqua"/>
                <w:sz w:val="22"/>
                <w:szCs w:val="22"/>
              </w:rPr>
            </w:pPr>
          </w:p>
        </w:tc>
      </w:tr>
      <w:tr w:rsidR="007177B8">
        <w:tc>
          <w:tcPr>
            <w:tcW w:w="5494" w:type="dxa"/>
            <w:tcBorders>
              <w:top w:val="single" w:sz="6" w:space="0" w:color="000001"/>
              <w:left w:val="single" w:sz="6" w:space="0" w:color="000001"/>
              <w:bottom w:val="single" w:sz="6" w:space="0" w:color="000001"/>
              <w:right w:val="single" w:sz="6" w:space="0" w:color="000001"/>
            </w:tcBorders>
            <w:shd w:val="clear" w:color="auto" w:fill="FFFFFF"/>
            <w:tcMar>
              <w:top w:w="0" w:type="dxa"/>
              <w:left w:w="7" w:type="dxa"/>
              <w:bottom w:w="0" w:type="dxa"/>
              <w:right w:w="7" w:type="dxa"/>
            </w:tcMar>
            <w:vAlign w:val="center"/>
          </w:tcPr>
          <w:p w:rsidR="007177B8" w:rsidRDefault="00301E8B">
            <w:pPr>
              <w:pStyle w:val="Normlnywebov"/>
              <w:spacing w:before="120" w:line="276" w:lineRule="auto"/>
              <w:jc w:val="both"/>
            </w:pPr>
            <w:r>
              <w:rPr>
                <w:rFonts w:ascii="Book Antiqua" w:hAnsi="Book Antiqua"/>
                <w:sz w:val="22"/>
                <w:szCs w:val="22"/>
              </w:rPr>
              <w:t>– rovnosť príležitostí a rodovú rovnosť a vplyvy na zamestnanosť</w:t>
            </w:r>
          </w:p>
        </w:tc>
        <w:tc>
          <w:tcPr>
            <w:tcW w:w="1188" w:type="dxa"/>
            <w:tcBorders>
              <w:top w:val="single" w:sz="6" w:space="0" w:color="000001"/>
              <w:left w:val="single" w:sz="6" w:space="0" w:color="000001"/>
              <w:bottom w:val="single" w:sz="6" w:space="0" w:color="000001"/>
              <w:right w:val="single" w:sz="6" w:space="0" w:color="000001"/>
            </w:tcBorders>
            <w:shd w:val="clear" w:color="auto" w:fill="FFFFFF"/>
            <w:tcMar>
              <w:top w:w="0" w:type="dxa"/>
              <w:left w:w="7" w:type="dxa"/>
              <w:bottom w:w="0" w:type="dxa"/>
              <w:right w:w="7" w:type="dxa"/>
            </w:tcMar>
            <w:vAlign w:val="center"/>
          </w:tcPr>
          <w:p w:rsidR="007177B8" w:rsidRDefault="007177B8">
            <w:pPr>
              <w:pStyle w:val="Normlnywebov"/>
              <w:spacing w:before="120" w:line="276" w:lineRule="auto"/>
              <w:jc w:val="center"/>
              <w:rPr>
                <w:rFonts w:ascii="Book Antiqua" w:hAnsi="Book Antiqua"/>
                <w:sz w:val="22"/>
                <w:szCs w:val="22"/>
              </w:rPr>
            </w:pPr>
          </w:p>
        </w:tc>
        <w:tc>
          <w:tcPr>
            <w:tcW w:w="1177" w:type="dxa"/>
            <w:tcBorders>
              <w:top w:val="single" w:sz="6" w:space="0" w:color="000001"/>
              <w:left w:val="single" w:sz="6" w:space="0" w:color="000001"/>
              <w:bottom w:val="single" w:sz="6" w:space="0" w:color="000001"/>
              <w:right w:val="single" w:sz="6" w:space="0" w:color="000001"/>
            </w:tcBorders>
            <w:shd w:val="clear" w:color="auto" w:fill="FFFFFF"/>
            <w:tcMar>
              <w:top w:w="0" w:type="dxa"/>
              <w:left w:w="7" w:type="dxa"/>
              <w:bottom w:w="0" w:type="dxa"/>
              <w:right w:w="7" w:type="dxa"/>
            </w:tcMar>
            <w:vAlign w:val="center"/>
          </w:tcPr>
          <w:p w:rsidR="007177B8" w:rsidRDefault="00301E8B">
            <w:pPr>
              <w:pStyle w:val="Normlnywebov"/>
              <w:spacing w:before="120" w:line="276" w:lineRule="auto"/>
              <w:jc w:val="center"/>
            </w:pPr>
            <w:r>
              <w:rPr>
                <w:rFonts w:ascii="Book Antiqua" w:hAnsi="Book Antiqua"/>
                <w:sz w:val="22"/>
                <w:szCs w:val="22"/>
              </w:rPr>
              <w:t>x</w:t>
            </w:r>
          </w:p>
        </w:tc>
        <w:tc>
          <w:tcPr>
            <w:tcW w:w="1197" w:type="dxa"/>
            <w:tcBorders>
              <w:top w:val="single" w:sz="6" w:space="0" w:color="000001"/>
              <w:left w:val="single" w:sz="6" w:space="0" w:color="000001"/>
              <w:bottom w:val="single" w:sz="6" w:space="0" w:color="000001"/>
              <w:right w:val="single" w:sz="6" w:space="0" w:color="000001"/>
            </w:tcBorders>
            <w:shd w:val="clear" w:color="auto" w:fill="FFFFFF"/>
            <w:tcMar>
              <w:top w:w="0" w:type="dxa"/>
              <w:left w:w="7" w:type="dxa"/>
              <w:bottom w:w="0" w:type="dxa"/>
              <w:right w:w="7" w:type="dxa"/>
            </w:tcMar>
            <w:vAlign w:val="center"/>
          </w:tcPr>
          <w:p w:rsidR="007177B8" w:rsidRDefault="007177B8">
            <w:pPr>
              <w:pStyle w:val="Normlnywebov"/>
              <w:spacing w:before="120" w:line="276" w:lineRule="auto"/>
              <w:jc w:val="center"/>
              <w:rPr>
                <w:rFonts w:ascii="Book Antiqua" w:hAnsi="Book Antiqua"/>
                <w:sz w:val="22"/>
                <w:szCs w:val="22"/>
              </w:rPr>
            </w:pPr>
          </w:p>
        </w:tc>
      </w:tr>
      <w:tr w:rsidR="007177B8">
        <w:tc>
          <w:tcPr>
            <w:tcW w:w="5494" w:type="dxa"/>
            <w:tcBorders>
              <w:top w:val="single" w:sz="6" w:space="0" w:color="000001"/>
              <w:left w:val="single" w:sz="6" w:space="0" w:color="000001"/>
              <w:bottom w:val="single" w:sz="6" w:space="0" w:color="000001"/>
              <w:right w:val="single" w:sz="6" w:space="0" w:color="000001"/>
            </w:tcBorders>
            <w:shd w:val="clear" w:color="auto" w:fill="FFFFFF"/>
            <w:tcMar>
              <w:top w:w="0" w:type="dxa"/>
              <w:left w:w="7" w:type="dxa"/>
              <w:bottom w:w="0" w:type="dxa"/>
              <w:right w:w="7" w:type="dxa"/>
            </w:tcMar>
            <w:vAlign w:val="center"/>
          </w:tcPr>
          <w:p w:rsidR="007177B8" w:rsidRDefault="00301E8B">
            <w:pPr>
              <w:pStyle w:val="Normlnywebov"/>
              <w:spacing w:before="120" w:line="276" w:lineRule="auto"/>
              <w:jc w:val="both"/>
            </w:pPr>
            <w:r>
              <w:rPr>
                <w:rFonts w:ascii="Book Antiqua" w:hAnsi="Book Antiqua"/>
                <w:sz w:val="22"/>
                <w:szCs w:val="22"/>
              </w:rPr>
              <w:t>4. Vplyvy na životné prostredie</w:t>
            </w:r>
          </w:p>
        </w:tc>
        <w:tc>
          <w:tcPr>
            <w:tcW w:w="1188" w:type="dxa"/>
            <w:tcBorders>
              <w:top w:val="single" w:sz="6" w:space="0" w:color="000001"/>
              <w:left w:val="single" w:sz="6" w:space="0" w:color="000001"/>
              <w:bottom w:val="single" w:sz="6" w:space="0" w:color="000001"/>
              <w:right w:val="single" w:sz="6" w:space="0" w:color="000001"/>
            </w:tcBorders>
            <w:shd w:val="clear" w:color="auto" w:fill="FFFFFF"/>
            <w:tcMar>
              <w:top w:w="0" w:type="dxa"/>
              <w:left w:w="7" w:type="dxa"/>
              <w:bottom w:w="0" w:type="dxa"/>
              <w:right w:w="7" w:type="dxa"/>
            </w:tcMar>
            <w:vAlign w:val="center"/>
          </w:tcPr>
          <w:p w:rsidR="007177B8" w:rsidRDefault="007177B8">
            <w:pPr>
              <w:pStyle w:val="Normlnywebov"/>
              <w:spacing w:before="120" w:line="276" w:lineRule="auto"/>
              <w:jc w:val="center"/>
              <w:rPr>
                <w:rFonts w:ascii="Book Antiqua" w:hAnsi="Book Antiqua"/>
                <w:sz w:val="22"/>
                <w:szCs w:val="22"/>
              </w:rPr>
            </w:pPr>
          </w:p>
        </w:tc>
        <w:tc>
          <w:tcPr>
            <w:tcW w:w="1177" w:type="dxa"/>
            <w:tcBorders>
              <w:top w:val="single" w:sz="6" w:space="0" w:color="000001"/>
              <w:left w:val="single" w:sz="6" w:space="0" w:color="000001"/>
              <w:bottom w:val="single" w:sz="6" w:space="0" w:color="000001"/>
              <w:right w:val="single" w:sz="6" w:space="0" w:color="000001"/>
            </w:tcBorders>
            <w:shd w:val="clear" w:color="auto" w:fill="FFFFFF"/>
            <w:tcMar>
              <w:top w:w="0" w:type="dxa"/>
              <w:left w:w="7" w:type="dxa"/>
              <w:bottom w:w="0" w:type="dxa"/>
              <w:right w:w="7" w:type="dxa"/>
            </w:tcMar>
            <w:vAlign w:val="center"/>
          </w:tcPr>
          <w:p w:rsidR="007177B8" w:rsidRDefault="00301E8B">
            <w:pPr>
              <w:pStyle w:val="Normlnywebov"/>
              <w:spacing w:before="120" w:line="276" w:lineRule="auto"/>
              <w:jc w:val="center"/>
            </w:pPr>
            <w:r>
              <w:rPr>
                <w:rFonts w:ascii="Book Antiqua" w:hAnsi="Book Antiqua"/>
                <w:sz w:val="22"/>
                <w:szCs w:val="22"/>
              </w:rPr>
              <w:t>x</w:t>
            </w:r>
          </w:p>
        </w:tc>
        <w:tc>
          <w:tcPr>
            <w:tcW w:w="1197" w:type="dxa"/>
            <w:tcBorders>
              <w:top w:val="single" w:sz="6" w:space="0" w:color="000001"/>
              <w:left w:val="single" w:sz="6" w:space="0" w:color="000001"/>
              <w:bottom w:val="single" w:sz="6" w:space="0" w:color="000001"/>
              <w:right w:val="single" w:sz="6" w:space="0" w:color="000001"/>
            </w:tcBorders>
            <w:shd w:val="clear" w:color="auto" w:fill="FFFFFF"/>
            <w:tcMar>
              <w:top w:w="0" w:type="dxa"/>
              <w:left w:w="7" w:type="dxa"/>
              <w:bottom w:w="0" w:type="dxa"/>
              <w:right w:w="7" w:type="dxa"/>
            </w:tcMar>
            <w:vAlign w:val="center"/>
          </w:tcPr>
          <w:p w:rsidR="007177B8" w:rsidRDefault="007177B8">
            <w:pPr>
              <w:pStyle w:val="Normlnywebov"/>
              <w:spacing w:before="120" w:line="276" w:lineRule="auto"/>
              <w:jc w:val="center"/>
              <w:rPr>
                <w:rFonts w:ascii="Book Antiqua" w:hAnsi="Book Antiqua"/>
                <w:sz w:val="22"/>
                <w:szCs w:val="22"/>
              </w:rPr>
            </w:pPr>
          </w:p>
        </w:tc>
      </w:tr>
      <w:tr w:rsidR="007177B8">
        <w:tc>
          <w:tcPr>
            <w:tcW w:w="5494" w:type="dxa"/>
            <w:tcBorders>
              <w:top w:val="single" w:sz="6" w:space="0" w:color="000001"/>
              <w:left w:val="single" w:sz="6" w:space="0" w:color="000001"/>
              <w:bottom w:val="single" w:sz="6" w:space="0" w:color="000001"/>
              <w:right w:val="single" w:sz="6" w:space="0" w:color="000001"/>
            </w:tcBorders>
            <w:shd w:val="clear" w:color="auto" w:fill="FFFFFF"/>
            <w:tcMar>
              <w:top w:w="0" w:type="dxa"/>
              <w:left w:w="7" w:type="dxa"/>
              <w:bottom w:w="0" w:type="dxa"/>
              <w:right w:w="7" w:type="dxa"/>
            </w:tcMar>
            <w:vAlign w:val="center"/>
          </w:tcPr>
          <w:p w:rsidR="007177B8" w:rsidRDefault="00301E8B">
            <w:pPr>
              <w:pStyle w:val="Normlnywebov"/>
              <w:spacing w:before="120" w:line="276" w:lineRule="auto"/>
              <w:jc w:val="both"/>
            </w:pPr>
            <w:r>
              <w:rPr>
                <w:rFonts w:ascii="Book Antiqua" w:hAnsi="Book Antiqua"/>
                <w:sz w:val="22"/>
                <w:szCs w:val="22"/>
              </w:rPr>
              <w:t>5. Vplyvy na informatizáciu spoločnosti</w:t>
            </w:r>
          </w:p>
        </w:tc>
        <w:tc>
          <w:tcPr>
            <w:tcW w:w="1188" w:type="dxa"/>
            <w:tcBorders>
              <w:top w:val="single" w:sz="6" w:space="0" w:color="000001"/>
              <w:left w:val="single" w:sz="6" w:space="0" w:color="000001"/>
              <w:bottom w:val="single" w:sz="6" w:space="0" w:color="000001"/>
              <w:right w:val="single" w:sz="6" w:space="0" w:color="000001"/>
            </w:tcBorders>
            <w:shd w:val="clear" w:color="auto" w:fill="FFFFFF"/>
            <w:tcMar>
              <w:top w:w="0" w:type="dxa"/>
              <w:left w:w="7" w:type="dxa"/>
              <w:bottom w:w="0" w:type="dxa"/>
              <w:right w:w="7" w:type="dxa"/>
            </w:tcMar>
            <w:vAlign w:val="center"/>
          </w:tcPr>
          <w:p w:rsidR="007177B8" w:rsidRDefault="007177B8">
            <w:pPr>
              <w:pStyle w:val="Normlnywebov"/>
              <w:spacing w:before="120" w:line="276" w:lineRule="auto"/>
              <w:jc w:val="center"/>
              <w:rPr>
                <w:rFonts w:ascii="Book Antiqua" w:hAnsi="Book Antiqua"/>
                <w:sz w:val="22"/>
                <w:szCs w:val="22"/>
              </w:rPr>
            </w:pPr>
          </w:p>
        </w:tc>
        <w:tc>
          <w:tcPr>
            <w:tcW w:w="1177" w:type="dxa"/>
            <w:tcBorders>
              <w:top w:val="single" w:sz="6" w:space="0" w:color="000001"/>
              <w:left w:val="single" w:sz="6" w:space="0" w:color="000001"/>
              <w:bottom w:val="single" w:sz="6" w:space="0" w:color="000001"/>
              <w:right w:val="single" w:sz="6" w:space="0" w:color="000001"/>
            </w:tcBorders>
            <w:shd w:val="clear" w:color="auto" w:fill="FFFFFF"/>
            <w:tcMar>
              <w:top w:w="0" w:type="dxa"/>
              <w:left w:w="7" w:type="dxa"/>
              <w:bottom w:w="0" w:type="dxa"/>
              <w:right w:w="7" w:type="dxa"/>
            </w:tcMar>
            <w:vAlign w:val="center"/>
          </w:tcPr>
          <w:p w:rsidR="007177B8" w:rsidRDefault="00301E8B">
            <w:pPr>
              <w:pStyle w:val="Normlnywebov"/>
              <w:spacing w:before="120" w:line="276" w:lineRule="auto"/>
              <w:jc w:val="center"/>
            </w:pPr>
            <w:r>
              <w:rPr>
                <w:rFonts w:ascii="Book Antiqua" w:hAnsi="Book Antiqua"/>
                <w:sz w:val="22"/>
                <w:szCs w:val="22"/>
              </w:rPr>
              <w:t>x</w:t>
            </w:r>
          </w:p>
        </w:tc>
        <w:tc>
          <w:tcPr>
            <w:tcW w:w="1197" w:type="dxa"/>
            <w:tcBorders>
              <w:top w:val="single" w:sz="6" w:space="0" w:color="000001"/>
              <w:left w:val="single" w:sz="6" w:space="0" w:color="000001"/>
              <w:bottom w:val="single" w:sz="6" w:space="0" w:color="000001"/>
              <w:right w:val="single" w:sz="6" w:space="0" w:color="000001"/>
            </w:tcBorders>
            <w:shd w:val="clear" w:color="auto" w:fill="FFFFFF"/>
            <w:tcMar>
              <w:top w:w="0" w:type="dxa"/>
              <w:left w:w="7" w:type="dxa"/>
              <w:bottom w:w="0" w:type="dxa"/>
              <w:right w:w="7" w:type="dxa"/>
            </w:tcMar>
            <w:vAlign w:val="center"/>
          </w:tcPr>
          <w:p w:rsidR="007177B8" w:rsidRDefault="007177B8">
            <w:pPr>
              <w:pStyle w:val="Normlnywebov"/>
              <w:spacing w:before="120" w:line="276" w:lineRule="auto"/>
              <w:jc w:val="center"/>
              <w:rPr>
                <w:rFonts w:ascii="Book Antiqua" w:hAnsi="Book Antiqua"/>
                <w:sz w:val="22"/>
                <w:szCs w:val="22"/>
              </w:rPr>
            </w:pPr>
          </w:p>
        </w:tc>
      </w:tr>
    </w:tbl>
    <w:p w:rsidR="007177B8" w:rsidRDefault="00301E8B">
      <w:pPr>
        <w:pStyle w:val="Normlnywebov"/>
        <w:spacing w:before="120" w:line="276" w:lineRule="auto"/>
        <w:jc w:val="both"/>
      </w:pPr>
      <w:r>
        <w:rPr>
          <w:rFonts w:ascii="Book Antiqua" w:hAnsi="Book Antiqua"/>
          <w:sz w:val="22"/>
          <w:szCs w:val="22"/>
        </w:rPr>
        <w:t> </w:t>
      </w:r>
    </w:p>
    <w:p w:rsidR="007177B8" w:rsidRDefault="00301E8B">
      <w:pPr>
        <w:pStyle w:val="Normlnywebov"/>
        <w:spacing w:before="120" w:line="276" w:lineRule="auto"/>
        <w:jc w:val="both"/>
      </w:pPr>
      <w:r>
        <w:rPr>
          <w:rFonts w:ascii="Book Antiqua" w:hAnsi="Book Antiqua"/>
          <w:b/>
          <w:bCs/>
          <w:sz w:val="22"/>
          <w:szCs w:val="22"/>
        </w:rPr>
        <w:t>A.3. Poznámky</w:t>
      </w:r>
    </w:p>
    <w:p w:rsidR="007177B8" w:rsidRDefault="00301E8B">
      <w:pPr>
        <w:pStyle w:val="Normlnywebov"/>
        <w:spacing w:before="120" w:line="276" w:lineRule="auto"/>
        <w:jc w:val="both"/>
      </w:pPr>
      <w:r>
        <w:rPr>
          <w:rFonts w:ascii="Book Antiqua" w:hAnsi="Book Antiqua"/>
          <w:i/>
          <w:iCs/>
          <w:sz w:val="22"/>
          <w:szCs w:val="22"/>
        </w:rPr>
        <w:t>bezpredmetné</w:t>
      </w:r>
    </w:p>
    <w:p w:rsidR="007177B8" w:rsidRDefault="007177B8">
      <w:pPr>
        <w:pStyle w:val="Normlnywebov"/>
        <w:spacing w:before="120" w:line="276" w:lineRule="auto"/>
        <w:jc w:val="both"/>
        <w:rPr>
          <w:rFonts w:ascii="Book Antiqua" w:hAnsi="Book Antiqua"/>
          <w:sz w:val="22"/>
          <w:szCs w:val="22"/>
        </w:rPr>
      </w:pPr>
    </w:p>
    <w:p w:rsidR="007177B8" w:rsidRDefault="00301E8B">
      <w:pPr>
        <w:pStyle w:val="Normlnywebov"/>
        <w:spacing w:before="120" w:line="276" w:lineRule="auto"/>
        <w:jc w:val="both"/>
      </w:pPr>
      <w:r>
        <w:rPr>
          <w:rFonts w:ascii="Book Antiqua" w:hAnsi="Book Antiqua"/>
          <w:b/>
          <w:bCs/>
          <w:sz w:val="22"/>
          <w:szCs w:val="22"/>
        </w:rPr>
        <w:t>A.4. Alternatívne riešenia</w:t>
      </w:r>
    </w:p>
    <w:p w:rsidR="007177B8" w:rsidRDefault="00301E8B">
      <w:pPr>
        <w:pStyle w:val="Normlnywebov"/>
        <w:spacing w:before="120" w:line="276" w:lineRule="auto"/>
        <w:jc w:val="both"/>
      </w:pPr>
      <w:r>
        <w:rPr>
          <w:rFonts w:ascii="Book Antiqua" w:hAnsi="Book Antiqua"/>
          <w:i/>
          <w:iCs/>
          <w:sz w:val="22"/>
          <w:szCs w:val="22"/>
        </w:rPr>
        <w:t>bezpredmetné</w:t>
      </w:r>
    </w:p>
    <w:p w:rsidR="007177B8" w:rsidRDefault="00301E8B">
      <w:pPr>
        <w:pStyle w:val="Normlnywebov"/>
        <w:spacing w:before="120" w:line="276" w:lineRule="auto"/>
        <w:jc w:val="both"/>
      </w:pPr>
      <w:r>
        <w:rPr>
          <w:rFonts w:ascii="Book Antiqua" w:hAnsi="Book Antiqua"/>
          <w:b/>
          <w:bCs/>
          <w:sz w:val="22"/>
          <w:szCs w:val="22"/>
        </w:rPr>
        <w:t> </w:t>
      </w:r>
    </w:p>
    <w:p w:rsidR="007177B8" w:rsidRDefault="00301E8B">
      <w:pPr>
        <w:pStyle w:val="Normlnywebov"/>
        <w:spacing w:before="120" w:line="276" w:lineRule="auto"/>
        <w:jc w:val="both"/>
      </w:pPr>
      <w:r>
        <w:rPr>
          <w:rFonts w:ascii="Book Antiqua" w:hAnsi="Book Antiqua"/>
          <w:b/>
          <w:bCs/>
          <w:sz w:val="22"/>
          <w:szCs w:val="22"/>
        </w:rPr>
        <w:t>A.5. Stanovisko gestorov</w:t>
      </w:r>
    </w:p>
    <w:p w:rsidR="007177B8" w:rsidRDefault="00301E8B">
      <w:pPr>
        <w:pStyle w:val="Normlnywebov"/>
        <w:spacing w:before="120" w:line="276" w:lineRule="auto"/>
        <w:jc w:val="both"/>
      </w:pPr>
      <w:r>
        <w:rPr>
          <w:rFonts w:ascii="Book Antiqua" w:hAnsi="Book Antiqua"/>
          <w:i/>
          <w:iCs/>
          <w:sz w:val="22"/>
          <w:szCs w:val="22"/>
        </w:rPr>
        <w:t>Návrh zákona bol zaslaný na vyjadrenie Ministerstvu financií SR a stanovisko tohto ministerstva tvorí súčasť predkladaného materiálu.</w:t>
      </w:r>
    </w:p>
    <w:sectPr w:rsidR="007177B8">
      <w:footerReference w:type="default" r:id="rId7"/>
      <w:pgSz w:w="11906" w:h="16838"/>
      <w:pgMar w:top="1417" w:right="1417" w:bottom="1417" w:left="1417" w:header="72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E8B" w:rsidRDefault="00301E8B">
      <w:r>
        <w:separator/>
      </w:r>
    </w:p>
  </w:endnote>
  <w:endnote w:type="continuationSeparator" w:id="0">
    <w:p w:rsidR="00301E8B" w:rsidRDefault="00301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T*Toronto">
    <w:charset w:val="00"/>
    <w:family w:val="roman"/>
    <w:pitch w:val="variable"/>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9A7" w:rsidRDefault="000A2C85">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E8B" w:rsidRDefault="00301E8B">
      <w:r>
        <w:rPr>
          <w:color w:val="000000"/>
        </w:rPr>
        <w:separator/>
      </w:r>
    </w:p>
  </w:footnote>
  <w:footnote w:type="continuationSeparator" w:id="0">
    <w:p w:rsidR="00301E8B" w:rsidRDefault="00301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26C56"/>
    <w:multiLevelType w:val="multilevel"/>
    <w:tmpl w:val="E6062938"/>
    <w:styleLink w:val="WWNum1"/>
    <w:lvl w:ilvl="0">
      <w:start w:val="1"/>
      <w:numFmt w:val="lowerLetter"/>
      <w:lvlText w:val="%1)"/>
      <w:lvlJc w:val="left"/>
      <w:pPr>
        <w:ind w:left="1629" w:hanging="705"/>
      </w:pPr>
      <w:rPr>
        <w:rFonts w:cs="Times New Roman"/>
        <w:b/>
        <w:sz w:val="22"/>
      </w:rPr>
    </w:lvl>
    <w:lvl w:ilvl="1">
      <w:start w:val="1"/>
      <w:numFmt w:val="lowerLetter"/>
      <w:lvlText w:val="%2."/>
      <w:lvlJc w:val="left"/>
      <w:pPr>
        <w:ind w:left="2004" w:hanging="360"/>
      </w:pPr>
      <w:rPr>
        <w:rFonts w:cs="Times New Roman"/>
      </w:rPr>
    </w:lvl>
    <w:lvl w:ilvl="2">
      <w:start w:val="1"/>
      <w:numFmt w:val="lowerRoman"/>
      <w:lvlText w:val="%1.%2.%3."/>
      <w:lvlJc w:val="right"/>
      <w:pPr>
        <w:ind w:left="2724" w:hanging="180"/>
      </w:pPr>
      <w:rPr>
        <w:rFonts w:cs="Times New Roman"/>
      </w:rPr>
    </w:lvl>
    <w:lvl w:ilvl="3">
      <w:start w:val="1"/>
      <w:numFmt w:val="decimal"/>
      <w:lvlText w:val="%1.%2.%3.%4."/>
      <w:lvlJc w:val="left"/>
      <w:pPr>
        <w:ind w:left="3444" w:hanging="360"/>
      </w:pPr>
      <w:rPr>
        <w:rFonts w:cs="Times New Roman"/>
      </w:rPr>
    </w:lvl>
    <w:lvl w:ilvl="4">
      <w:start w:val="1"/>
      <w:numFmt w:val="lowerLetter"/>
      <w:lvlText w:val="%1.%2.%3.%4.%5."/>
      <w:lvlJc w:val="left"/>
      <w:pPr>
        <w:ind w:left="4164" w:hanging="360"/>
      </w:pPr>
      <w:rPr>
        <w:rFonts w:cs="Times New Roman"/>
      </w:rPr>
    </w:lvl>
    <w:lvl w:ilvl="5">
      <w:start w:val="1"/>
      <w:numFmt w:val="lowerRoman"/>
      <w:lvlText w:val="%1.%2.%3.%4.%5.%6."/>
      <w:lvlJc w:val="right"/>
      <w:pPr>
        <w:ind w:left="4884" w:hanging="180"/>
      </w:pPr>
      <w:rPr>
        <w:rFonts w:cs="Times New Roman"/>
      </w:rPr>
    </w:lvl>
    <w:lvl w:ilvl="6">
      <w:start w:val="1"/>
      <w:numFmt w:val="decimal"/>
      <w:lvlText w:val="%1.%2.%3.%4.%5.%6.%7."/>
      <w:lvlJc w:val="left"/>
      <w:pPr>
        <w:ind w:left="5604" w:hanging="360"/>
      </w:pPr>
      <w:rPr>
        <w:rFonts w:cs="Times New Roman"/>
      </w:rPr>
    </w:lvl>
    <w:lvl w:ilvl="7">
      <w:start w:val="1"/>
      <w:numFmt w:val="lowerLetter"/>
      <w:lvlText w:val="%1.%2.%3.%4.%5.%6.%7.%8."/>
      <w:lvlJc w:val="left"/>
      <w:pPr>
        <w:ind w:left="6324" w:hanging="360"/>
      </w:pPr>
      <w:rPr>
        <w:rFonts w:cs="Times New Roman"/>
      </w:rPr>
    </w:lvl>
    <w:lvl w:ilvl="8">
      <w:start w:val="1"/>
      <w:numFmt w:val="lowerRoman"/>
      <w:lvlText w:val="%1.%2.%3.%4.%5.%6.%7.%8.%9."/>
      <w:lvlJc w:val="right"/>
      <w:pPr>
        <w:ind w:left="7044" w:hanging="180"/>
      </w:pPr>
      <w:rPr>
        <w:rFonts w:cs="Times New Roman"/>
      </w:rPr>
    </w:lvl>
  </w:abstractNum>
  <w:abstractNum w:abstractNumId="1" w15:restartNumberingAfterBreak="0">
    <w:nsid w:val="08A31073"/>
    <w:multiLevelType w:val="multilevel"/>
    <w:tmpl w:val="9F1C72A0"/>
    <w:styleLink w:val="WWNum3"/>
    <w:lvl w:ilvl="0">
      <w:numFmt w:val="bullet"/>
      <w:lvlText w:val=""/>
      <w:lvlJc w:val="left"/>
      <w:pPr>
        <w:ind w:left="567" w:hanging="397"/>
      </w:pPr>
      <w:rPr>
        <w:rFonts w:ascii="Times New Roman" w:hAnsi="Times New Roman" w:cs="Symbol"/>
      </w:rPr>
    </w:lvl>
    <w:lvl w:ilvl="1">
      <w:numFmt w:val="bullet"/>
      <w:lvlText w:val="o"/>
      <w:lvlJc w:val="left"/>
      <w:pPr>
        <w:ind w:left="1440" w:hanging="360"/>
      </w:pPr>
      <w:rPr>
        <w:rFonts w:ascii="Times New Roman" w:hAnsi="Times New Roman" w:cs="Courier New"/>
      </w:rPr>
    </w:lvl>
    <w:lvl w:ilvl="2">
      <w:start w:val="2"/>
      <w:numFmt w:val="lowerLetter"/>
      <w:lvlText w:val="%1.%2.%3)"/>
      <w:lvlJc w:val="left"/>
      <w:pPr>
        <w:ind w:left="567" w:hanging="510"/>
      </w:pPr>
      <w:rPr>
        <w:rFonts w:cs="Times New Roman"/>
        <w:b w:val="0"/>
        <w:i w:val="0"/>
      </w:rPr>
    </w:lvl>
    <w:lvl w:ilvl="3">
      <w:start w:val="4"/>
      <w:numFmt w:val="decimal"/>
      <w:lvlText w:val="%1.%2.%3.%4."/>
      <w:lvlJc w:val="left"/>
      <w:pPr>
        <w:ind w:left="284" w:hanging="284"/>
      </w:pPr>
      <w:rPr>
        <w:rFonts w:cs="Times New Roman"/>
        <w:b/>
        <w:i w:val="0"/>
        <w:sz w:val="22"/>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rPr>
        <w:rFonts w:ascii="Times New Roman" w:hAnsi="Times New Roman" w:cs="Wingdings"/>
      </w:rPr>
    </w:lvl>
    <w:lvl w:ilvl="6">
      <w:numFmt w:val="bullet"/>
      <w:lvlText w:val=""/>
      <w:lvlJc w:val="left"/>
      <w:pPr>
        <w:ind w:left="5040" w:hanging="360"/>
      </w:pPr>
      <w:rPr>
        <w:rFonts w:ascii="Times New Roman" w:hAnsi="Times New Roman" w:cs="Symbol"/>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rPr>
        <w:rFonts w:ascii="Times New Roman" w:hAnsi="Times New Roman" w:cs="Wingdings"/>
      </w:rPr>
    </w:lvl>
  </w:abstractNum>
  <w:abstractNum w:abstractNumId="2" w15:restartNumberingAfterBreak="0">
    <w:nsid w:val="1C8A1653"/>
    <w:multiLevelType w:val="multilevel"/>
    <w:tmpl w:val="579218C2"/>
    <w:styleLink w:val="WWNum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1D8A60DB"/>
    <w:multiLevelType w:val="multilevel"/>
    <w:tmpl w:val="1AA6CA98"/>
    <w:styleLink w:val="WWNum8"/>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4" w15:restartNumberingAfterBreak="0">
    <w:nsid w:val="1FA94987"/>
    <w:multiLevelType w:val="multilevel"/>
    <w:tmpl w:val="2DF09BFC"/>
    <w:styleLink w:val="WWNum6"/>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5" w15:restartNumberingAfterBreak="0">
    <w:nsid w:val="504064BB"/>
    <w:multiLevelType w:val="multilevel"/>
    <w:tmpl w:val="2D4C09C4"/>
    <w:styleLink w:val="WWNum2"/>
    <w:lvl w:ilvl="0">
      <w:numFmt w:val="bullet"/>
      <w:lvlText w:val="-"/>
      <w:lvlJc w:val="left"/>
      <w:pPr>
        <w:ind w:left="720" w:hanging="360"/>
      </w:pPr>
      <w:rPr>
        <w:rFonts w:ascii="Times New Roman" w:hAnsi="Times New Roman" w:cs="Arial"/>
        <w:b/>
        <w:color w:val="303030"/>
        <w:sz w:val="22"/>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rPr>
        <w:rFonts w:ascii="Times New Roman" w:hAnsi="Times New Roman" w:cs="Wingdings"/>
      </w:rPr>
    </w:lvl>
    <w:lvl w:ilvl="3">
      <w:numFmt w:val="bullet"/>
      <w:lvlText w:val=""/>
      <w:lvlJc w:val="left"/>
      <w:pPr>
        <w:ind w:left="2880" w:hanging="360"/>
      </w:pPr>
      <w:rPr>
        <w:rFonts w:ascii="Times New Roman" w:hAnsi="Times New Roman" w:cs="Symbol"/>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rPr>
        <w:rFonts w:ascii="Times New Roman" w:hAnsi="Times New Roman" w:cs="Wingdings"/>
      </w:rPr>
    </w:lvl>
    <w:lvl w:ilvl="6">
      <w:numFmt w:val="bullet"/>
      <w:lvlText w:val=""/>
      <w:lvlJc w:val="left"/>
      <w:pPr>
        <w:ind w:left="5040" w:hanging="360"/>
      </w:pPr>
      <w:rPr>
        <w:rFonts w:ascii="Times New Roman" w:hAnsi="Times New Roman" w:cs="Symbol"/>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rPr>
        <w:rFonts w:ascii="Times New Roman" w:hAnsi="Times New Roman" w:cs="Wingdings"/>
      </w:rPr>
    </w:lvl>
  </w:abstractNum>
  <w:abstractNum w:abstractNumId="6" w15:restartNumberingAfterBreak="0">
    <w:nsid w:val="56E67BB2"/>
    <w:multiLevelType w:val="multilevel"/>
    <w:tmpl w:val="4A7848AC"/>
    <w:styleLink w:val="WWNum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7" w15:restartNumberingAfterBreak="0">
    <w:nsid w:val="617642A5"/>
    <w:multiLevelType w:val="multilevel"/>
    <w:tmpl w:val="D4EA9A6A"/>
    <w:styleLink w:val="WWNum4"/>
    <w:lvl w:ilvl="0">
      <w:start w:val="1"/>
      <w:numFmt w:val="lowerLetter"/>
      <w:lvlText w:val="%1)"/>
      <w:lvlJc w:val="left"/>
      <w:pPr>
        <w:ind w:left="720" w:hanging="360"/>
      </w:pPr>
      <w:rPr>
        <w:rFonts w:cs="Times New Roman"/>
        <w:b/>
        <w:sz w:val="22"/>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num w:numId="1">
    <w:abstractNumId w:val="0"/>
  </w:num>
  <w:num w:numId="2">
    <w:abstractNumId w:val="5"/>
  </w:num>
  <w:num w:numId="3">
    <w:abstractNumId w:val="1"/>
  </w:num>
  <w:num w:numId="4">
    <w:abstractNumId w:val="7"/>
  </w:num>
  <w:num w:numId="5">
    <w:abstractNumId w:val="2"/>
  </w:num>
  <w:num w:numId="6">
    <w:abstractNumId w:val="4"/>
  </w:num>
  <w:num w:numId="7">
    <w:abstractNumId w:val="6"/>
  </w:num>
  <w:num w:numId="8">
    <w:abstractNumId w:val="3"/>
  </w:num>
  <w:num w:numId="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7177B8"/>
    <w:rsid w:val="000A2C85"/>
    <w:rsid w:val="00155057"/>
    <w:rsid w:val="00301E8B"/>
    <w:rsid w:val="00416CEB"/>
    <w:rsid w:val="007177B8"/>
    <w:rsid w:val="00743D4F"/>
    <w:rsid w:val="0087310A"/>
    <w:rsid w:val="00962F54"/>
    <w:rsid w:val="00A735EC"/>
    <w:rsid w:val="00C6372A"/>
    <w:rsid w:val="00D455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C0D04"/>
  <w15:docId w15:val="{9CCA1227-ECCF-41FB-AA49-112D579C5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kern w:val="3"/>
        <w:lang w:val="sk-SK" w:eastAsia="sk-SK"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pPr>
      <w:suppressAutoHyphens/>
    </w:pPr>
  </w:style>
  <w:style w:type="paragraph" w:styleId="Nadpis1">
    <w:name w:val="heading 1"/>
    <w:basedOn w:val="Standard"/>
    <w:next w:val="Textbody"/>
    <w:pPr>
      <w:keepNext/>
      <w:jc w:val="center"/>
      <w:outlineLvl w:val="0"/>
    </w:pPr>
    <w:rPr>
      <w:rFonts w:ascii="Cambria" w:hAnsi="Cambria"/>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pPr>
      <w:widowControl/>
      <w:suppressAutoHyphens/>
    </w:pPr>
    <w:rPr>
      <w:rFonts w:ascii="Times New Roman" w:hAnsi="Times New Roman" w:cs="Times New Roman"/>
      <w:sz w:val="24"/>
      <w:szCs w:val="24"/>
    </w:rPr>
  </w:style>
  <w:style w:type="paragraph" w:styleId="Nzov">
    <w:name w:val="Title"/>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20"/>
    </w:pPr>
  </w:style>
  <w:style w:type="paragraph" w:styleId="Zoznam">
    <w:name w:val="List"/>
    <w:basedOn w:val="Standard"/>
    <w:pPr>
      <w:ind w:left="283" w:hanging="283"/>
    </w:pPr>
    <w:rPr>
      <w:rFonts w:cs="Arial"/>
    </w:rPr>
  </w:style>
  <w:style w:type="paragraph" w:styleId="Popis">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Pta">
    <w:name w:val="footer"/>
    <w:basedOn w:val="Standard"/>
    <w:pPr>
      <w:suppressLineNumbers/>
      <w:tabs>
        <w:tab w:val="center" w:pos="4536"/>
        <w:tab w:val="right" w:pos="9072"/>
      </w:tabs>
    </w:pPr>
    <w:rPr>
      <w:sz w:val="20"/>
      <w:szCs w:val="20"/>
    </w:rPr>
  </w:style>
  <w:style w:type="paragraph" w:styleId="Normlnywebov">
    <w:name w:val="Normal (Web)"/>
    <w:basedOn w:val="Standard"/>
    <w:pPr>
      <w:spacing w:before="28" w:after="28"/>
    </w:pPr>
  </w:style>
  <w:style w:type="paragraph" w:styleId="Zoznamsodrkami3">
    <w:name w:val="List Bullet 3"/>
    <w:basedOn w:val="Standard"/>
    <w:pPr>
      <w:ind w:left="566" w:hanging="283"/>
    </w:pPr>
  </w:style>
  <w:style w:type="paragraph" w:styleId="Bezriadkovania">
    <w:name w:val="No Spacing"/>
    <w:pPr>
      <w:widowControl/>
      <w:suppressAutoHyphens/>
    </w:pPr>
    <w:rPr>
      <w:rFonts w:ascii="AT*Toronto" w:hAnsi="AT*Toronto" w:cs="Times New Roman"/>
      <w:sz w:val="24"/>
      <w:lang w:val="cs-CZ"/>
    </w:rPr>
  </w:style>
  <w:style w:type="paragraph" w:styleId="Textpoznmkypodiarou">
    <w:name w:val="footnote text"/>
    <w:basedOn w:val="Standard"/>
    <w:pPr>
      <w:widowControl w:val="0"/>
    </w:pPr>
    <w:rPr>
      <w:sz w:val="20"/>
      <w:szCs w:val="20"/>
      <w:lang w:eastAsia="ar-SA"/>
    </w:rPr>
  </w:style>
  <w:style w:type="paragraph" w:customStyle="1" w:styleId="l4">
    <w:name w:val="l4"/>
    <w:basedOn w:val="Standard"/>
    <w:pPr>
      <w:spacing w:before="28" w:after="28"/>
    </w:pPr>
  </w:style>
  <w:style w:type="paragraph" w:styleId="Textbubliny">
    <w:name w:val="Balloon Text"/>
    <w:basedOn w:val="Standard"/>
    <w:rPr>
      <w:rFonts w:ascii="Tahoma" w:hAnsi="Tahoma"/>
      <w:sz w:val="16"/>
      <w:szCs w:val="16"/>
    </w:rPr>
  </w:style>
  <w:style w:type="paragraph" w:styleId="Odsekzoznamu">
    <w:name w:val="List Paragraph"/>
    <w:basedOn w:val="Standard"/>
    <w:pPr>
      <w:spacing w:after="200" w:line="276" w:lineRule="auto"/>
      <w:ind w:left="708"/>
    </w:pPr>
    <w:rPr>
      <w:rFonts w:ascii="Calibri" w:hAnsi="Calibri" w:cs="Calibri"/>
      <w:sz w:val="22"/>
      <w:szCs w:val="22"/>
      <w:lang w:eastAsia="ar-SA"/>
    </w:rPr>
  </w:style>
  <w:style w:type="paragraph" w:customStyle="1" w:styleId="Framecontents">
    <w:name w:val="Frame contents"/>
    <w:basedOn w:val="Standard"/>
  </w:style>
  <w:style w:type="character" w:customStyle="1" w:styleId="Heading1Char">
    <w:name w:val="Heading 1 Char"/>
    <w:basedOn w:val="Predvolenpsmoodseku"/>
    <w:rPr>
      <w:rFonts w:ascii="Cambria" w:hAnsi="Cambria" w:cs="Times New Roman"/>
      <w:b/>
      <w:kern w:val="3"/>
      <w:sz w:val="20"/>
    </w:rPr>
  </w:style>
  <w:style w:type="character" w:customStyle="1" w:styleId="FooterChar">
    <w:name w:val="Footer Char"/>
    <w:basedOn w:val="Predvolenpsmoodseku"/>
    <w:rPr>
      <w:rFonts w:ascii="Times New Roman" w:hAnsi="Times New Roman" w:cs="Times New Roman"/>
      <w:sz w:val="20"/>
    </w:rPr>
  </w:style>
  <w:style w:type="character" w:styleId="slostrany">
    <w:name w:val="page number"/>
    <w:basedOn w:val="Predvolenpsmoodseku"/>
    <w:rPr>
      <w:rFonts w:cs="Times New Roman"/>
    </w:rPr>
  </w:style>
  <w:style w:type="character" w:customStyle="1" w:styleId="BodyTextChar">
    <w:name w:val="Body Text Char"/>
    <w:basedOn w:val="Predvolenpsmoodseku"/>
    <w:rPr>
      <w:rFonts w:ascii="Times New Roman" w:hAnsi="Times New Roman" w:cs="Times New Roman"/>
      <w:sz w:val="24"/>
      <w:lang w:val="en-US" w:eastAsia="sk-SK"/>
    </w:rPr>
  </w:style>
  <w:style w:type="character" w:customStyle="1" w:styleId="apple-converted-space">
    <w:name w:val="apple-converted-space"/>
  </w:style>
  <w:style w:type="character" w:customStyle="1" w:styleId="Internetlink">
    <w:name w:val="Internet link"/>
    <w:basedOn w:val="Predvolenpsmoodseku"/>
    <w:rPr>
      <w:rFonts w:cs="Times New Roman"/>
      <w:color w:val="0000FF"/>
      <w:u w:val="single"/>
    </w:rPr>
  </w:style>
  <w:style w:type="character" w:customStyle="1" w:styleId="FootnoteTextChar">
    <w:name w:val="Footnote Text Char"/>
    <w:basedOn w:val="Predvolenpsmoodseku"/>
    <w:rPr>
      <w:rFonts w:ascii="Times New Roman" w:hAnsi="Times New Roman" w:cs="Times New Roman"/>
      <w:sz w:val="20"/>
      <w:lang w:val="en-US" w:eastAsia="ar-SA" w:bidi="ar-SA"/>
    </w:rPr>
  </w:style>
  <w:style w:type="character" w:customStyle="1" w:styleId="Footnoteanchor">
    <w:name w:val="Footnote anchor"/>
    <w:rPr>
      <w:rFonts w:cs="Times New Roman"/>
      <w:position w:val="0"/>
      <w:vertAlign w:val="superscript"/>
    </w:rPr>
  </w:style>
  <w:style w:type="character" w:customStyle="1" w:styleId="FootnoteCharacters">
    <w:name w:val="Footnote Characters"/>
    <w:basedOn w:val="Predvolenpsmoodseku"/>
    <w:rPr>
      <w:rFonts w:cs="Times New Roman"/>
      <w:position w:val="0"/>
      <w:vertAlign w:val="superscript"/>
    </w:rPr>
  </w:style>
  <w:style w:type="character" w:customStyle="1" w:styleId="num">
    <w:name w:val="num"/>
  </w:style>
  <w:style w:type="character" w:customStyle="1" w:styleId="BalloonTextChar">
    <w:name w:val="Balloon Text Char"/>
    <w:basedOn w:val="Predvolenpsmoodseku"/>
    <w:rPr>
      <w:rFonts w:ascii="Tahoma" w:hAnsi="Tahoma" w:cs="Times New Roman"/>
      <w:sz w:val="16"/>
      <w:lang w:val="en-US" w:eastAsia="sk-SK"/>
    </w:rPr>
  </w:style>
  <w:style w:type="character" w:customStyle="1" w:styleId="ListLabel1">
    <w:name w:val="ListLabel 1"/>
    <w:rPr>
      <w:rFonts w:ascii="Book Antiqua" w:hAnsi="Book Antiqua" w:cs="Times New Roman"/>
      <w:b/>
      <w:sz w:val="22"/>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ascii="Book Antiqua" w:eastAsia="Times New Roman" w:hAnsi="Book Antiqua"/>
      <w:b/>
      <w:color w:val="303030"/>
      <w:sz w:val="22"/>
    </w:rPr>
  </w:style>
  <w:style w:type="character" w:customStyle="1" w:styleId="ListLabel11">
    <w:name w:val="ListLabel 11"/>
    <w:rPr>
      <w:rFonts w:cs="Times New Roman"/>
      <w:b w:val="0"/>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Times New Roman"/>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cs="Times New Roman"/>
    </w:rPr>
  </w:style>
  <w:style w:type="character" w:customStyle="1" w:styleId="ListLabel29">
    <w:name w:val="ListLabel 29"/>
    <w:rPr>
      <w:rFonts w:cs="Times New Roman"/>
      <w:b w:val="0"/>
      <w:i w:val="0"/>
    </w:rPr>
  </w:style>
  <w:style w:type="character" w:customStyle="1" w:styleId="ListLabel30">
    <w:name w:val="ListLabel 30"/>
    <w:rPr>
      <w:rFonts w:ascii="Book Antiqua" w:hAnsi="Book Antiqua" w:cs="Times New Roman"/>
      <w:b/>
      <w:i w:val="0"/>
      <w:sz w:val="22"/>
    </w:rPr>
  </w:style>
  <w:style w:type="character" w:customStyle="1" w:styleId="ListLabel31">
    <w:name w:val="ListLabel 31"/>
    <w:rPr>
      <w:rFonts w:ascii="Book Antiqua" w:hAnsi="Book Antiqua" w:cs="Times New Roman"/>
      <w:b/>
      <w:sz w:val="22"/>
    </w:rPr>
  </w:style>
  <w:style w:type="character" w:customStyle="1" w:styleId="ListLabel32">
    <w:name w:val="ListLabel 32"/>
    <w:rPr>
      <w:rFonts w:cs="Times New Roman"/>
    </w:rPr>
  </w:style>
  <w:style w:type="character" w:customStyle="1" w:styleId="ListLabel33">
    <w:name w:val="ListLabel 33"/>
    <w:rPr>
      <w:rFonts w:cs="Times New Roman"/>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ListLabel37">
    <w:name w:val="ListLabel 37"/>
    <w:rPr>
      <w:rFonts w:cs="Times New Roman"/>
    </w:rPr>
  </w:style>
  <w:style w:type="character" w:customStyle="1" w:styleId="ListLabel38">
    <w:name w:val="ListLabel 38"/>
    <w:rPr>
      <w:rFonts w:cs="Times New Roman"/>
    </w:rPr>
  </w:style>
  <w:style w:type="character" w:customStyle="1" w:styleId="ListLabel39">
    <w:name w:val="ListLabel 39"/>
    <w:rPr>
      <w:rFonts w:cs="Times New Roman"/>
    </w:rPr>
  </w:style>
  <w:style w:type="character" w:customStyle="1" w:styleId="ListLabel40">
    <w:name w:val="ListLabel 40"/>
    <w:rPr>
      <w:rFonts w:cs="Times New Roman"/>
      <w:b/>
      <w:sz w:val="22"/>
    </w:rPr>
  </w:style>
  <w:style w:type="character" w:customStyle="1" w:styleId="ListLabel41">
    <w:name w:val="ListLabel 41"/>
    <w:rPr>
      <w:rFonts w:cs="Times New Roman"/>
    </w:rPr>
  </w:style>
  <w:style w:type="character" w:customStyle="1" w:styleId="ListLabel42">
    <w:name w:val="ListLabel 42"/>
    <w:rPr>
      <w:rFonts w:cs="Arial"/>
      <w:b/>
      <w:color w:val="303030"/>
      <w:sz w:val="22"/>
    </w:rPr>
  </w:style>
  <w:style w:type="character" w:customStyle="1" w:styleId="ListLabel43">
    <w:name w:val="ListLabel 43"/>
    <w:rPr>
      <w:rFonts w:cs="Courier New"/>
    </w:rPr>
  </w:style>
  <w:style w:type="character" w:customStyle="1" w:styleId="ListLabel44">
    <w:name w:val="ListLabel 44"/>
    <w:rPr>
      <w:rFonts w:cs="Wingdings"/>
    </w:rPr>
  </w:style>
  <w:style w:type="character" w:customStyle="1" w:styleId="ListLabel45">
    <w:name w:val="ListLabel 45"/>
    <w:rPr>
      <w:rFonts w:cs="Symbol"/>
    </w:rPr>
  </w:style>
  <w:style w:type="character" w:customStyle="1" w:styleId="ListLabel46">
    <w:name w:val="ListLabel 46"/>
    <w:rPr>
      <w:rFonts w:cs="Times New Roman"/>
      <w:b w:val="0"/>
      <w:i w:val="0"/>
    </w:rPr>
  </w:style>
  <w:style w:type="character" w:customStyle="1" w:styleId="ListLabel47">
    <w:name w:val="ListLabel 47"/>
    <w:rPr>
      <w:rFonts w:cs="Times New Roman"/>
      <w:b/>
      <w:i w:val="0"/>
      <w:sz w:val="22"/>
    </w:rPr>
  </w:style>
  <w:style w:type="character" w:customStyle="1" w:styleId="ListLabel48">
    <w:name w:val="ListLabel 48"/>
    <w:rPr>
      <w:rFonts w:eastAsia="Times New Roman" w:cs="Times New Roman"/>
    </w:rPr>
  </w:style>
  <w:style w:type="numbering" w:customStyle="1" w:styleId="WWNum1">
    <w:name w:val="WWNum1"/>
    <w:basedOn w:val="Bezzoznamu"/>
    <w:pPr>
      <w:numPr>
        <w:numId w:val="1"/>
      </w:numPr>
    </w:pPr>
  </w:style>
  <w:style w:type="numbering" w:customStyle="1" w:styleId="WWNum2">
    <w:name w:val="WWNum2"/>
    <w:basedOn w:val="Bezzoznamu"/>
    <w:pPr>
      <w:numPr>
        <w:numId w:val="2"/>
      </w:numPr>
    </w:pPr>
  </w:style>
  <w:style w:type="numbering" w:customStyle="1" w:styleId="WWNum3">
    <w:name w:val="WWNum3"/>
    <w:basedOn w:val="Bezzoznamu"/>
    <w:pPr>
      <w:numPr>
        <w:numId w:val="3"/>
      </w:numPr>
    </w:pPr>
  </w:style>
  <w:style w:type="numbering" w:customStyle="1" w:styleId="WWNum4">
    <w:name w:val="WWNum4"/>
    <w:basedOn w:val="Bezzoznamu"/>
    <w:pPr>
      <w:numPr>
        <w:numId w:val="4"/>
      </w:numPr>
    </w:pPr>
  </w:style>
  <w:style w:type="numbering" w:customStyle="1" w:styleId="WWNum5">
    <w:name w:val="WWNum5"/>
    <w:basedOn w:val="Bezzoznamu"/>
    <w:pPr>
      <w:numPr>
        <w:numId w:val="5"/>
      </w:numPr>
    </w:pPr>
  </w:style>
  <w:style w:type="numbering" w:customStyle="1" w:styleId="WWNum6">
    <w:name w:val="WWNum6"/>
    <w:basedOn w:val="Bezzoznamu"/>
    <w:pPr>
      <w:numPr>
        <w:numId w:val="6"/>
      </w:numPr>
    </w:pPr>
  </w:style>
  <w:style w:type="numbering" w:customStyle="1" w:styleId="WWNum7">
    <w:name w:val="WWNum7"/>
    <w:basedOn w:val="Bezzoznamu"/>
    <w:pPr>
      <w:numPr>
        <w:numId w:val="7"/>
      </w:numPr>
    </w:pPr>
  </w:style>
  <w:style w:type="numbering" w:customStyle="1" w:styleId="WWNum8">
    <w:name w:val="WWNum8"/>
    <w:basedOn w:val="Bezzoznamu"/>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7</Pages>
  <Words>1916</Words>
  <Characters>10927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Janči</dc:creator>
  <cp:lastModifiedBy>Horváthová, Eva (asistent)</cp:lastModifiedBy>
  <cp:revision>4</cp:revision>
  <cp:lastPrinted>2014-11-05T11:45:00Z</cp:lastPrinted>
  <dcterms:created xsi:type="dcterms:W3CDTF">2020-08-27T12:33:00Z</dcterms:created>
  <dcterms:modified xsi:type="dcterms:W3CDTF">2020-08-28T06:34:00Z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Kancelaria NR SR</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