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2C" w:rsidRDefault="00CE1DBE">
      <w:pPr>
        <w:pStyle w:val="Standard"/>
        <w:pBdr>
          <w:bottom w:val="single" w:sz="12" w:space="1" w:color="000001"/>
        </w:pBdr>
        <w:spacing w:before="120" w:line="276" w:lineRule="auto"/>
        <w:ind w:firstLine="708"/>
        <w:jc w:val="center"/>
      </w:pPr>
      <w:r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06612C" w:rsidRDefault="0006612C">
      <w:pPr>
        <w:pStyle w:val="Standard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VIII. volebné obdobie</w:t>
      </w:r>
    </w:p>
    <w:p w:rsidR="0006612C" w:rsidRDefault="0006612C">
      <w:pPr>
        <w:pStyle w:val="Standard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06612C" w:rsidRDefault="0006612C">
      <w:pPr>
        <w:pStyle w:val="Standard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bCs/>
          <w:spacing w:val="30"/>
          <w:sz w:val="22"/>
          <w:szCs w:val="22"/>
        </w:rPr>
        <w:t>Návrh</w:t>
      </w:r>
    </w:p>
    <w:p w:rsidR="0006612C" w:rsidRDefault="0006612C">
      <w:pPr>
        <w:pStyle w:val="Standard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06612C" w:rsidRDefault="0006612C">
      <w:pPr>
        <w:pStyle w:val="Standard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2020,</w:t>
      </w:r>
    </w:p>
    <w:p w:rsidR="0006612C" w:rsidRDefault="0006612C">
      <w:pPr>
        <w:pStyle w:val="Standard"/>
        <w:spacing w:before="120" w:line="276" w:lineRule="auto"/>
        <w:rPr>
          <w:rFonts w:ascii="Book Antiqua" w:hAnsi="Book Antiqua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 xml:space="preserve">ktorým sa mení a dopĺňa zákon Národnej rady Slovenskej republiky č. 125/1996 Z. z. </w:t>
      </w:r>
      <w:r>
        <w:rPr>
          <w:rFonts w:ascii="Book Antiqua" w:hAnsi="Book Antiqua"/>
          <w:b/>
          <w:bCs/>
          <w:sz w:val="22"/>
          <w:szCs w:val="22"/>
        </w:rPr>
        <w:t>o nemorálnosti a protiprávnosti komunistického systému a ktorým sa menia a dopĺňajú niektoré zákony</w:t>
      </w:r>
    </w:p>
    <w:p w:rsidR="0006612C" w:rsidRDefault="0006612C">
      <w:pPr>
        <w:pStyle w:val="Standard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06612C" w:rsidRDefault="0006612C">
      <w:pPr>
        <w:pStyle w:val="Standard"/>
        <w:spacing w:before="120" w:line="276" w:lineRule="auto"/>
        <w:rPr>
          <w:rFonts w:ascii="Book Antiqua" w:hAnsi="Book Antiqua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</w:t>
      </w:r>
    </w:p>
    <w:p w:rsidR="0006612C" w:rsidRDefault="00CE1DBE">
      <w:pPr>
        <w:pStyle w:val="Standard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Zákon Národnej rady Slovenskej republiky č. 125/1996 Z. z. o nemorálnosti </w:t>
      </w:r>
      <w:r>
        <w:rPr>
          <w:rFonts w:ascii="Book Antiqua" w:hAnsi="Book Antiqua"/>
          <w:sz w:val="22"/>
          <w:szCs w:val="22"/>
        </w:rPr>
        <w:t>a protiprávnosti komunistického systému sa mení a dopĺňa takto:</w:t>
      </w:r>
    </w:p>
    <w:p w:rsidR="0006612C" w:rsidRDefault="00CE1DBE">
      <w:pPr>
        <w:pStyle w:val="ListParagraph"/>
        <w:numPr>
          <w:ilvl w:val="0"/>
          <w:numId w:val="31"/>
        </w:numPr>
        <w:spacing w:before="120" w:line="276" w:lineRule="auto"/>
        <w:ind w:left="709" w:hanging="425"/>
        <w:jc w:val="both"/>
      </w:pPr>
      <w:r>
        <w:rPr>
          <w:rFonts w:ascii="Book Antiqua" w:hAnsi="Book Antiqua"/>
          <w:sz w:val="22"/>
          <w:szCs w:val="22"/>
        </w:rPr>
        <w:t>Preambula znie:</w:t>
      </w:r>
    </w:p>
    <w:p w:rsidR="0006612C" w:rsidRDefault="00CE1DBE">
      <w:pPr>
        <w:pStyle w:val="ListParagraph"/>
        <w:spacing w:before="120" w:line="276" w:lineRule="auto"/>
        <w:ind w:left="709"/>
        <w:jc w:val="both"/>
      </w:pPr>
      <w:r>
        <w:rPr>
          <w:rFonts w:ascii="Book Antiqua" w:hAnsi="Book Antiqua"/>
          <w:sz w:val="22"/>
          <w:szCs w:val="22"/>
        </w:rPr>
        <w:t>„Národná rada Slovenskej republiky, vedená snahou vyjadriť mimoriadnu úctu obetiam komunistického režimu, priznať im významný podiel na obnove slobody a demokracie, uložiť do p</w:t>
      </w:r>
      <w:r>
        <w:rPr>
          <w:rFonts w:ascii="Book Antiqua" w:hAnsi="Book Antiqua"/>
          <w:sz w:val="22"/>
          <w:szCs w:val="22"/>
        </w:rPr>
        <w:t>amäti národa utrpenie a obete tisícov občanov,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zamedziť, aby nikdy nedošlo k pokusom o obnovu totalitných systémov v akejkoľvek podobe, a uvedomujúc si povinnosť vyrovnať sa s komunistickým totalitným režimom, sa uzniesla na tomto zákone:“.</w:t>
      </w:r>
    </w:p>
    <w:p w:rsidR="0006612C" w:rsidRDefault="00CE1DBE">
      <w:pPr>
        <w:pStyle w:val="ListParagraph"/>
        <w:numPr>
          <w:ilvl w:val="0"/>
          <w:numId w:val="2"/>
        </w:numPr>
        <w:spacing w:before="120" w:line="276" w:lineRule="auto"/>
        <w:ind w:left="709" w:hanging="425"/>
        <w:jc w:val="both"/>
      </w:pPr>
      <w:r>
        <w:rPr>
          <w:rFonts w:ascii="Book Antiqua" w:hAnsi="Book Antiqua"/>
          <w:sz w:val="22"/>
          <w:szCs w:val="22"/>
        </w:rPr>
        <w:t>§ 1 znie: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§ 1</w:t>
      </w:r>
    </w:p>
    <w:p w:rsidR="0006612C" w:rsidRDefault="00CE1DBE">
      <w:pPr>
        <w:pStyle w:val="ListParagraph"/>
        <w:numPr>
          <w:ilvl w:val="0"/>
          <w:numId w:val="32"/>
        </w:numPr>
        <w:spacing w:before="120" w:after="120" w:line="276" w:lineRule="auto"/>
        <w:jc w:val="both"/>
      </w:pPr>
      <w:r>
        <w:rPr>
          <w:rFonts w:ascii="Book Antiqua" w:hAnsi="Book Antiqua"/>
          <w:sz w:val="22"/>
          <w:szCs w:val="22"/>
        </w:rPr>
        <w:t>Režim založený na komunistickej ideológii, ktorý rozhodoval o riadení štátu a osudoch občanov v bývalom Československu od 25. februára 1948 do 17. novembra 1989, bol nemorálny, protiprávny, odsúdeniahodný a smeroval k potlačeniu základných práv a slobôd.</w:t>
      </w:r>
    </w:p>
    <w:p w:rsidR="0006612C" w:rsidRDefault="00CE1DBE">
      <w:pPr>
        <w:pStyle w:val="ListParagraph"/>
        <w:numPr>
          <w:ilvl w:val="0"/>
          <w:numId w:val="24"/>
        </w:numPr>
        <w:spacing w:before="120" w:after="120" w:line="276" w:lineRule="auto"/>
        <w:jc w:val="both"/>
      </w:pPr>
      <w:r>
        <w:rPr>
          <w:rFonts w:ascii="Book Antiqua" w:hAnsi="Book Antiqua"/>
          <w:sz w:val="22"/>
          <w:szCs w:val="22"/>
        </w:rPr>
        <w:t xml:space="preserve">Komunistická strana Československa a jej odnož Komunistická strana Slovenska </w:t>
      </w:r>
      <w:r>
        <w:rPr>
          <w:rFonts w:ascii="Book Antiqua" w:hAnsi="Book Antiqua"/>
          <w:sz w:val="22"/>
          <w:szCs w:val="22"/>
        </w:rPr>
        <w:lastRenderedPageBreak/>
        <w:t>boli zločinnými a odsúdeniahodnými organizáciami, ktorých činnosť smerovala k potláčaniu ľudských práv a slobôd a demokratického systému. Komunistická strana Československa a Komu</w:t>
      </w:r>
      <w:r>
        <w:rPr>
          <w:rFonts w:ascii="Book Antiqua" w:hAnsi="Book Antiqua"/>
          <w:sz w:val="22"/>
          <w:szCs w:val="22"/>
        </w:rPr>
        <w:t>nistická strana Slovenska sú zodpovedné za spôsob vlády v našej krajine v rokoch 1948 až 1989, a to najmä za cieľavedomé ničenie tradičných hodnôt európskej civilizácie, národných a náboženských práv, za úmyselné porušovanie ľudských práv a slobôd, za just</w:t>
      </w:r>
      <w:r>
        <w:rPr>
          <w:rFonts w:ascii="Book Antiqua" w:hAnsi="Book Antiqua"/>
          <w:sz w:val="22"/>
          <w:szCs w:val="22"/>
        </w:rPr>
        <w:t>ičné zločiny vykonané v politických procesoch, za teror vykonávaný proti nositeľom iných názorov, než aké zodpovedali učeniu marxizmu-leninizmu, za devastáciu hospodárstva, za zničenie tradičných princípov vlastníckeho práva, za zneužívanie výchovy, vzdelá</w:t>
      </w:r>
      <w:r>
        <w:rPr>
          <w:rFonts w:ascii="Book Antiqua" w:hAnsi="Book Antiqua"/>
          <w:sz w:val="22"/>
          <w:szCs w:val="22"/>
        </w:rPr>
        <w:t>vania, vedy a kultúry na politické a ideologické účely, ako aj za bezohľadné ničenie historických pamiatok, prírody a životného prostredia.</w:t>
      </w:r>
    </w:p>
    <w:p w:rsidR="0006612C" w:rsidRDefault="00CE1DBE">
      <w:pPr>
        <w:pStyle w:val="ListParagraph"/>
        <w:numPr>
          <w:ilvl w:val="0"/>
          <w:numId w:val="24"/>
        </w:numPr>
        <w:spacing w:before="120" w:line="276" w:lineRule="auto"/>
        <w:jc w:val="both"/>
      </w:pPr>
      <w:r>
        <w:rPr>
          <w:rFonts w:ascii="Book Antiqua" w:hAnsi="Book Antiqua"/>
          <w:sz w:val="22"/>
          <w:szCs w:val="22"/>
        </w:rPr>
        <w:t>Komunistický režim a tí, ktorí ho aktívne presadzovali,</w:t>
      </w:r>
    </w:p>
    <w:p w:rsidR="0006612C" w:rsidRDefault="00CE1DBE">
      <w:pPr>
        <w:pStyle w:val="ListParagraph"/>
        <w:numPr>
          <w:ilvl w:val="0"/>
          <w:numId w:val="33"/>
        </w:numPr>
        <w:spacing w:before="120" w:line="276" w:lineRule="auto"/>
        <w:jc w:val="both"/>
      </w:pPr>
      <w:r>
        <w:rPr>
          <w:rFonts w:ascii="Book Antiqua" w:hAnsi="Book Antiqua"/>
          <w:sz w:val="22"/>
          <w:szCs w:val="22"/>
        </w:rPr>
        <w:t>upieral občanom možnosť slobodne vyjadriť politickú vôľu, nú</w:t>
      </w:r>
      <w:r>
        <w:rPr>
          <w:rFonts w:ascii="Book Antiqua" w:hAnsi="Book Antiqua"/>
          <w:sz w:val="22"/>
          <w:szCs w:val="22"/>
        </w:rPr>
        <w:t>til ich skrývať vlastné názory na dianie v štáte, nútil ich verejne vyhlasovať svoj súhlas aj s tým, čo považovali za klamstvo a zločin, a to prenasledovaním alebo hrozbou perzekúcie voči nim samotným, ich rodinám a blízkym,</w:t>
      </w:r>
    </w:p>
    <w:p w:rsidR="0006612C" w:rsidRDefault="00CE1DBE">
      <w:pPr>
        <w:pStyle w:val="ListParagraph"/>
        <w:widowControl/>
        <w:numPr>
          <w:ilvl w:val="0"/>
          <w:numId w:val="27"/>
        </w:numPr>
        <w:suppressAutoHyphens w:val="0"/>
        <w:spacing w:line="276" w:lineRule="auto"/>
        <w:jc w:val="both"/>
      </w:pPr>
      <w:r>
        <w:rPr>
          <w:rFonts w:ascii="Book Antiqua" w:hAnsi="Book Antiqua"/>
          <w:color w:val="000000"/>
          <w:sz w:val="22"/>
          <w:szCs w:val="22"/>
          <w:lang w:eastAsia="en-GB"/>
        </w:rPr>
        <w:t>systematicky a trvalo porušoval</w:t>
      </w:r>
      <w:r>
        <w:rPr>
          <w:rFonts w:ascii="Book Antiqua" w:hAnsi="Book Antiqua"/>
          <w:color w:val="000000"/>
          <w:sz w:val="22"/>
          <w:szCs w:val="22"/>
          <w:lang w:eastAsia="en-GB"/>
        </w:rPr>
        <w:t xml:space="preserve"> ľudské práva a slobody, pričom obzvlášť závažným spôsobom utláčal niektoré skupiny občanov na základe ich politických názorov, náboženského presvedčenia a príslušnosti k určitej sociálnej skupine,</w:t>
      </w:r>
    </w:p>
    <w:p w:rsidR="0006612C" w:rsidRDefault="00CE1DBE">
      <w:pPr>
        <w:pStyle w:val="ListParagraph"/>
        <w:widowControl/>
        <w:numPr>
          <w:ilvl w:val="0"/>
          <w:numId w:val="27"/>
        </w:numPr>
        <w:suppressAutoHyphens w:val="0"/>
        <w:spacing w:line="276" w:lineRule="auto"/>
        <w:jc w:val="both"/>
      </w:pPr>
      <w:r>
        <w:rPr>
          <w:rFonts w:ascii="Book Antiqua" w:hAnsi="Book Antiqua"/>
          <w:color w:val="000000"/>
          <w:sz w:val="22"/>
          <w:szCs w:val="22"/>
          <w:lang w:eastAsia="en-GB"/>
        </w:rPr>
        <w:t>porušoval základné princípy demokratického právneho štátu,</w:t>
      </w:r>
      <w:r>
        <w:rPr>
          <w:rFonts w:ascii="Book Antiqua" w:hAnsi="Book Antiqua"/>
          <w:color w:val="000000"/>
          <w:sz w:val="22"/>
          <w:szCs w:val="22"/>
          <w:lang w:eastAsia="en-GB"/>
        </w:rPr>
        <w:t xml:space="preserve"> medzinárodné zmluvy a aj svoje vlastné zákony, čím postavil vôľu a záujmy komunistickej strany a jej predstaviteľov nad zákony,</w:t>
      </w:r>
    </w:p>
    <w:p w:rsidR="0006612C" w:rsidRDefault="00CE1DBE">
      <w:pPr>
        <w:pStyle w:val="ListParagraph"/>
        <w:widowControl/>
        <w:numPr>
          <w:ilvl w:val="0"/>
          <w:numId w:val="27"/>
        </w:numPr>
        <w:suppressAutoHyphens w:val="0"/>
        <w:spacing w:line="276" w:lineRule="auto"/>
        <w:jc w:val="both"/>
      </w:pPr>
      <w:r>
        <w:rPr>
          <w:rFonts w:ascii="Book Antiqua" w:hAnsi="Book Antiqua"/>
          <w:color w:val="000000"/>
          <w:sz w:val="22"/>
          <w:szCs w:val="22"/>
          <w:lang w:eastAsia="en-GB"/>
        </w:rPr>
        <w:t>používal k perzekúcii občanov všetky mocenské nástroje, a to najmä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popravoval, vraždil a väznil občanov vo väzniciach a táboroc</w:t>
      </w:r>
      <w:r>
        <w:rPr>
          <w:rFonts w:ascii="Book Antiqua" w:hAnsi="Book Antiqua"/>
          <w:sz w:val="22"/>
          <w:szCs w:val="22"/>
        </w:rPr>
        <w:t>h nútených prác, pri vyšetrovaní a v dobe väznenia používal brutálne metódy vrátane fyzického mučenia a psychického mučenia a vystavovania neľudským útrapám,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zraňoval a usmrcoval občanov pri pokusoch o útek do cudziny,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násilne zadržoval predstaviteľov, čle</w:t>
      </w:r>
      <w:r>
        <w:rPr>
          <w:rFonts w:ascii="Book Antiqua" w:hAnsi="Book Antiqua"/>
          <w:sz w:val="22"/>
          <w:szCs w:val="22"/>
        </w:rPr>
        <w:t>nov cirkví alebo náboženských spoločností v sústreďovacích táboroch alebo im inak obmedzil ich osobnú slobodu alebo majetkovú slobodu</w:t>
      </w:r>
      <w:r>
        <w:rPr>
          <w:rFonts w:ascii="Book Antiqua" w:hAnsi="Book Antiqua"/>
          <w:sz w:val="22"/>
          <w:szCs w:val="22"/>
          <w:vertAlign w:val="superscript"/>
        </w:rPr>
        <w:t>1)</w:t>
      </w:r>
      <w:r>
        <w:rPr>
          <w:rFonts w:ascii="Book Antiqua" w:hAnsi="Book Antiqua"/>
          <w:sz w:val="22"/>
          <w:szCs w:val="22"/>
        </w:rPr>
        <w:t>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násilne vysťahoval občanov v akcii B podľa osobitného predpisu</w:t>
      </w:r>
      <w:r>
        <w:rPr>
          <w:rFonts w:ascii="Book Antiqua" w:hAnsi="Book Antiqua"/>
          <w:sz w:val="22"/>
          <w:szCs w:val="22"/>
          <w:vertAlign w:val="superscript"/>
        </w:rPr>
        <w:t>2)</w:t>
      </w:r>
      <w:r>
        <w:rPr>
          <w:rFonts w:ascii="Book Antiqua" w:hAnsi="Book Antiqua"/>
          <w:sz w:val="22"/>
          <w:szCs w:val="22"/>
        </w:rPr>
        <w:t>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zabraňoval občanom v práve slobodne vycestovať do zah</w:t>
      </w:r>
      <w:r>
        <w:rPr>
          <w:rFonts w:ascii="Book Antiqua" w:hAnsi="Book Antiqua"/>
          <w:sz w:val="22"/>
          <w:szCs w:val="22"/>
        </w:rPr>
        <w:t>raničia a taktiež vrátiť sa späť do svojej vlasti,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zneužíval občanov na výkon vojenskej služby v Pomocných technických práporoch na neobmedzenú dobu,</w:t>
      </w:r>
    </w:p>
    <w:p w:rsidR="0006612C" w:rsidRDefault="00CE1DBE">
      <w:pPr>
        <w:pStyle w:val="ListParagraph"/>
        <w:widowControl/>
        <w:numPr>
          <w:ilvl w:val="0"/>
          <w:numId w:val="34"/>
        </w:numPr>
        <w:suppressAutoHyphens w:val="0"/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color w:val="000000"/>
          <w:sz w:val="22"/>
          <w:szCs w:val="22"/>
          <w:lang w:eastAsia="en-GB"/>
        </w:rPr>
        <w:t>zbavoval občanov svojvoľne majetku a porušoval ich vlastnícke práva,</w:t>
      </w:r>
    </w:p>
    <w:p w:rsidR="0006612C" w:rsidRDefault="00CE1DBE">
      <w:pPr>
        <w:pStyle w:val="ListParagraph"/>
        <w:widowControl/>
        <w:numPr>
          <w:ilvl w:val="0"/>
          <w:numId w:val="34"/>
        </w:numPr>
        <w:suppressAutoHyphens w:val="0"/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color w:val="000000"/>
          <w:sz w:val="22"/>
          <w:szCs w:val="22"/>
          <w:lang w:eastAsia="en-GB"/>
        </w:rPr>
        <w:lastRenderedPageBreak/>
        <w:t>znemožňoval vybraným občanom výkon ic</w:t>
      </w:r>
      <w:r>
        <w:rPr>
          <w:rFonts w:ascii="Book Antiqua" w:hAnsi="Book Antiqua"/>
          <w:color w:val="000000"/>
          <w:sz w:val="22"/>
          <w:szCs w:val="22"/>
          <w:lang w:eastAsia="en-GB"/>
        </w:rPr>
        <w:t>h zamestnania, povolania alebo funkcie, ako aj dosiahnutie vyššieho vzdelania alebo odborného vzdelania,</w:t>
      </w:r>
    </w:p>
    <w:p w:rsidR="0006612C" w:rsidRDefault="00CE1DBE">
      <w:pPr>
        <w:pStyle w:val="ListParagraph"/>
        <w:widowControl/>
        <w:numPr>
          <w:ilvl w:val="0"/>
          <w:numId w:val="34"/>
        </w:numPr>
        <w:suppressAutoHyphens w:val="0"/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na dosiahnutie svojich cieľov neváhal páchať zločiny, umožňoval ich beztrestné páchanie a poskytoval neoprávnené výhody a ochranu tým, ktorí sa na zloč</w:t>
      </w:r>
      <w:r>
        <w:rPr>
          <w:rFonts w:ascii="Book Antiqua" w:hAnsi="Book Antiqua"/>
          <w:sz w:val="22"/>
          <w:szCs w:val="22"/>
        </w:rPr>
        <w:t>inoch a perzekúciách podieľali,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spojil sa s cudzou mocnosťou a od roku 1968 udržiaval uvedený stav pomocou okupačných vojsk cudzej mocnosti,</w:t>
      </w:r>
    </w:p>
    <w:p w:rsidR="0006612C" w:rsidRDefault="00CE1DBE">
      <w:pPr>
        <w:pStyle w:val="ListParagraph"/>
        <w:numPr>
          <w:ilvl w:val="0"/>
          <w:numId w:val="34"/>
        </w:numPr>
        <w:spacing w:before="120" w:after="120" w:line="276" w:lineRule="auto"/>
        <w:ind w:left="1843" w:hanging="425"/>
        <w:jc w:val="both"/>
      </w:pPr>
      <w:r>
        <w:rPr>
          <w:rFonts w:ascii="Book Antiqua" w:hAnsi="Book Antiqua"/>
          <w:sz w:val="22"/>
          <w:szCs w:val="22"/>
        </w:rPr>
        <w:t>dlhodobo prenasledoval občanov vedených na osobitných zoznamoch („čierne listiny“) spolu s ich rodinnými príslušník</w:t>
      </w:r>
      <w:r>
        <w:rPr>
          <w:rFonts w:ascii="Book Antiqua" w:hAnsi="Book Antiqua"/>
          <w:sz w:val="22"/>
          <w:szCs w:val="22"/>
        </w:rPr>
        <w:t>mi.</w:t>
      </w:r>
    </w:p>
    <w:p w:rsidR="0006612C" w:rsidRDefault="00CE1DBE">
      <w:pPr>
        <w:pStyle w:val="ListParagraph"/>
        <w:numPr>
          <w:ilvl w:val="0"/>
          <w:numId w:val="24"/>
        </w:numPr>
        <w:spacing w:before="120" w:after="120" w:line="276" w:lineRule="auto"/>
        <w:jc w:val="both"/>
      </w:pPr>
      <w:r>
        <w:rPr>
          <w:rFonts w:ascii="Book Antiqua" w:hAnsi="Book Antiqua"/>
          <w:sz w:val="22"/>
          <w:szCs w:val="22"/>
        </w:rPr>
        <w:t>Komunistická strana Československa, ako aj Komunistická strana Slovenska, nezabránila svojim členom a ich pomáhačom páchať zločiny, a to aj na ľudských právach a slobodách.“.</w:t>
      </w:r>
    </w:p>
    <w:p w:rsidR="0006612C" w:rsidRDefault="00CE1DBE">
      <w:pPr>
        <w:pStyle w:val="Standard"/>
        <w:spacing w:before="120" w:line="276" w:lineRule="auto"/>
        <w:ind w:left="709"/>
        <w:jc w:val="both"/>
      </w:pPr>
      <w:r>
        <w:rPr>
          <w:rFonts w:ascii="Book Antiqua" w:hAnsi="Book Antiqua"/>
          <w:sz w:val="22"/>
          <w:szCs w:val="22"/>
        </w:rPr>
        <w:t>Poznámky pod čiarou k odkazom 1) a 2) znejú:</w:t>
      </w:r>
    </w:p>
    <w:p w:rsidR="0006612C" w:rsidRDefault="00CE1DBE">
      <w:pPr>
        <w:pStyle w:val="ListParagraph"/>
        <w:spacing w:before="120" w:line="276" w:lineRule="auto"/>
        <w:ind w:left="709"/>
        <w:jc w:val="both"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1)</w:t>
      </w:r>
      <w:r>
        <w:rPr>
          <w:rFonts w:ascii="Book Antiqua" w:hAnsi="Book Antiqua"/>
          <w:sz w:val="22"/>
          <w:szCs w:val="22"/>
        </w:rPr>
        <w:t xml:space="preserve"> Zákon č. 267/1992 Zb., ktorý</w:t>
      </w:r>
      <w:r>
        <w:rPr>
          <w:rFonts w:ascii="Book Antiqua" w:hAnsi="Book Antiqua"/>
          <w:sz w:val="22"/>
          <w:szCs w:val="22"/>
        </w:rPr>
        <w:t>m sa mení a dopĺňa zákon č. 87/1991 Zb. o mimosúdnych rehabilitáciách.</w:t>
      </w:r>
    </w:p>
    <w:p w:rsidR="0006612C" w:rsidRDefault="00CE1DBE">
      <w:pPr>
        <w:pStyle w:val="ListParagraph"/>
        <w:spacing w:before="120" w:line="276" w:lineRule="auto"/>
        <w:ind w:left="709"/>
        <w:jc w:val="both"/>
      </w:pPr>
      <w:r>
        <w:rPr>
          <w:rFonts w:ascii="Book Antiqua" w:hAnsi="Book Antiqua"/>
          <w:sz w:val="22"/>
          <w:szCs w:val="22"/>
          <w:vertAlign w:val="superscript"/>
        </w:rPr>
        <w:t>2)</w:t>
      </w:r>
      <w:r>
        <w:rPr>
          <w:rFonts w:ascii="Book Antiqua" w:hAnsi="Book Antiqua"/>
          <w:sz w:val="22"/>
          <w:szCs w:val="22"/>
        </w:rPr>
        <w:t xml:space="preserve"> § 3 zákona Slovenskej národnej rady č. 319/1991 Zb. o zmiernení niektorých majetkových a iných krívd a o pôsobnosti orgánov štátnej správy Slovenskej republiky v oblasti mimosúdnych </w:t>
      </w:r>
      <w:r>
        <w:rPr>
          <w:rFonts w:ascii="Book Antiqua" w:hAnsi="Book Antiqua"/>
          <w:sz w:val="22"/>
          <w:szCs w:val="22"/>
        </w:rPr>
        <w:t>rehabilitácií v znení zákona č. 146/2013 Z. z.“.</w:t>
      </w:r>
    </w:p>
    <w:p w:rsidR="0006612C" w:rsidRDefault="00CE1DBE">
      <w:pPr>
        <w:pStyle w:val="ListParagraph"/>
        <w:numPr>
          <w:ilvl w:val="0"/>
          <w:numId w:val="2"/>
        </w:numPr>
        <w:spacing w:before="120" w:line="276" w:lineRule="auto"/>
        <w:ind w:left="709" w:hanging="425"/>
        <w:jc w:val="both"/>
      </w:pPr>
      <w:r>
        <w:rPr>
          <w:rFonts w:ascii="Book Antiqua" w:hAnsi="Book Antiqua"/>
          <w:color w:val="000000"/>
          <w:sz w:val="22"/>
          <w:szCs w:val="22"/>
        </w:rPr>
        <w:t>Za § 7 sa vkladajú nové § 7a a 7b, ktoré znejú: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„§ 7a</w:t>
      </w:r>
    </w:p>
    <w:p w:rsidR="0006612C" w:rsidRDefault="00CE1DBE">
      <w:pPr>
        <w:pStyle w:val="ListParagraph"/>
        <w:shd w:val="clear" w:color="auto" w:fill="FFFFFF"/>
        <w:spacing w:before="120" w:after="120" w:line="276" w:lineRule="auto"/>
        <w:ind w:left="709"/>
        <w:jc w:val="both"/>
      </w:pPr>
      <w:r>
        <w:rPr>
          <w:rFonts w:ascii="Book Antiqua" w:hAnsi="Book Antiqua"/>
          <w:color w:val="000000"/>
          <w:sz w:val="22"/>
          <w:szCs w:val="22"/>
        </w:rPr>
        <w:t>Umiestňovať na pamätníkoch, pomníkoch a pamätných tabuliach texty, vyobrazenia a symboly oslavujúce, propagujúce alebo obhajujúce režim založený na komun</w:t>
      </w:r>
      <w:r>
        <w:rPr>
          <w:rFonts w:ascii="Book Antiqua" w:hAnsi="Book Antiqua"/>
          <w:color w:val="000000"/>
          <w:sz w:val="22"/>
          <w:szCs w:val="22"/>
        </w:rPr>
        <w:t>istickej ideológii alebo jeho predstaviteľov sa zakazuje. Zákaz podľa predchádzajúcej vety sa nevzťahuje na predstaviteľov režimu, ktorí sa aktívne zapojili do odporu proti komunistickému režimu.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§ 7b</w:t>
      </w:r>
    </w:p>
    <w:p w:rsidR="0006612C" w:rsidRDefault="00CE1DBE">
      <w:pPr>
        <w:pStyle w:val="ListParagraph"/>
        <w:spacing w:before="120" w:after="120" w:line="276" w:lineRule="auto"/>
        <w:ind w:left="709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 xml:space="preserve">Prechodné ustanovenie k úprave účinnej od 16. novembra </w:t>
      </w:r>
      <w:r>
        <w:rPr>
          <w:rFonts w:ascii="Book Antiqua" w:hAnsi="Book Antiqua"/>
          <w:b/>
          <w:bCs/>
          <w:color w:val="000000"/>
          <w:sz w:val="22"/>
          <w:szCs w:val="22"/>
        </w:rPr>
        <w:t>2020</w:t>
      </w:r>
    </w:p>
    <w:p w:rsidR="0006612C" w:rsidRDefault="00CE1DBE">
      <w:pPr>
        <w:pStyle w:val="ListParagraph"/>
        <w:spacing w:before="120" w:after="120" w:line="276" w:lineRule="auto"/>
        <w:ind w:left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Na pamätníky, pomníky a pamätné tabule podľa § 7a umiestne</w:t>
      </w:r>
      <w:r>
        <w:rPr>
          <w:rFonts w:ascii="Book Antiqua" w:hAnsi="Book Antiqua"/>
          <w:color w:val="000000"/>
          <w:sz w:val="22"/>
          <w:szCs w:val="22"/>
        </w:rPr>
        <w:tab/>
        <w:t>né do 15. novembra 2020 sa vzťahujú doterajšie predpisy.“.</w:t>
      </w:r>
    </w:p>
    <w:p w:rsidR="0006612C" w:rsidRDefault="0006612C">
      <w:pPr>
        <w:pStyle w:val="ListParagraph"/>
        <w:spacing w:before="120" w:after="120" w:line="276" w:lineRule="auto"/>
        <w:ind w:left="709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06612C" w:rsidRDefault="00CE1DBE">
      <w:pPr>
        <w:pStyle w:val="Standard"/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II</w:t>
      </w:r>
    </w:p>
    <w:p w:rsidR="0006612C" w:rsidRDefault="00CE1DBE">
      <w:pPr>
        <w:pStyle w:val="Standard"/>
        <w:spacing w:before="120" w:after="120" w:line="276" w:lineRule="auto"/>
        <w:ind w:firstLine="709"/>
        <w:jc w:val="both"/>
      </w:pPr>
      <w:r>
        <w:rPr>
          <w:rFonts w:ascii="Book Antiqua" w:hAnsi="Book Antiqua"/>
          <w:sz w:val="22"/>
          <w:szCs w:val="22"/>
        </w:rPr>
        <w:t xml:space="preserve">Zákon Slovenskej národnej rady č. 369/1990 Zb. o obecnom zriadení v znení zákona Slovenskej národnej rady č. 96/1991 Zb., </w:t>
      </w:r>
      <w:r>
        <w:rPr>
          <w:rFonts w:ascii="Book Antiqua" w:hAnsi="Book Antiqua"/>
          <w:sz w:val="22"/>
          <w:szCs w:val="22"/>
        </w:rPr>
        <w:t xml:space="preserve">zákona Slovenskej národnej rady č. 130/1991 Zb., zákona Slovenskej národnej rady č. 421/1991 Zb., zákona Slovenskej národnej rady č. 500/1991 Zb., zákona Slovenskej národnej rady č. 564/1991 Zb., zákona Slovenskej národnej </w:t>
      </w:r>
      <w:r>
        <w:rPr>
          <w:rFonts w:ascii="Book Antiqua" w:hAnsi="Book Antiqua"/>
          <w:sz w:val="22"/>
          <w:szCs w:val="22"/>
        </w:rPr>
        <w:lastRenderedPageBreak/>
        <w:t>rady č. 11/1992 Zb., zákona Slove</w:t>
      </w:r>
      <w:r>
        <w:rPr>
          <w:rFonts w:ascii="Book Antiqua" w:hAnsi="Book Antiqua"/>
          <w:sz w:val="22"/>
          <w:szCs w:val="22"/>
        </w:rPr>
        <w:t>nskej národnej rady č. 295/1992 Zb., zákona Národnej rady Slovenskej republiky č. 43/1993 Z. z., zákona Národnej rady Slovenskej republiky č. 252/1994 Z. z., zákona Národnej rady Slovenskej republiky č. 287/1994 Z. z., zákona č. 229/1997 Z. z., zákona č. 2</w:t>
      </w:r>
      <w:r>
        <w:rPr>
          <w:rFonts w:ascii="Book Antiqua" w:hAnsi="Book Antiqua"/>
          <w:sz w:val="22"/>
          <w:szCs w:val="22"/>
        </w:rPr>
        <w:t>25/1998 Z. z., zákona č. 233/1998 Z. z., nálezu Ústavného súdu Slovenskej republiky č. 185/1999 Z. z., zákona č. 389/1999 Z. z., zákona č. 6/2001 Z. z., zákona č. 453/2001 Z. z., zákona č. 205/2002 Z. z., zákona č. 515/2003 Z. z., zákona č. 369/2004 Z. z.,</w:t>
      </w:r>
      <w:r>
        <w:rPr>
          <w:rFonts w:ascii="Book Antiqua" w:hAnsi="Book Antiqua"/>
          <w:sz w:val="22"/>
          <w:szCs w:val="22"/>
        </w:rPr>
        <w:t xml:space="preserve"> zákona č. 535/2004 Z. z., zákona č. 583/2004 Z. z., zákona č. 615/2004 Z. z., zákona č. 757/2004 Z. z., zákona č. 171/2005 Z. z., zákona č. 628/2005 Z. z., zákona č. 267/2006 Z. z., uznesenia Ústavného súdu Slovenskej republiky č. 616/2006 Z. z., zákona č</w:t>
      </w:r>
      <w:r>
        <w:rPr>
          <w:rFonts w:ascii="Book Antiqua" w:hAnsi="Book Antiqua"/>
          <w:sz w:val="22"/>
          <w:szCs w:val="22"/>
        </w:rPr>
        <w:t xml:space="preserve">. 330/2007 Z. z., zákona č. 334/2007 Z. z., zákona č. 335/2007 Z. z., nálezu Ústavného súdu Slovenskej republiky č. 205/2008 Z. z., zákona č. 384/2008 Z. z., zákona č. 445/2008 Z. z., nálezu Ústavného súdu Slovenskej republiky č. 511/2009 Z. z., zákona č. </w:t>
      </w:r>
      <w:r>
        <w:rPr>
          <w:rFonts w:ascii="Book Antiqua" w:hAnsi="Book Antiqua"/>
          <w:sz w:val="22"/>
          <w:szCs w:val="22"/>
        </w:rPr>
        <w:t xml:space="preserve">102/2010 Z. z., zákona č. 204/2011 Z. z., zákona č. 361/2012 Z. z., zákona č. 160/2014 Z. z., zákona č. 180/2014 Z. z., uznesenia Ústavného súdu Slovenskej republiky č. 239/2014 Z. z., zákona č. 125/2015 Z. z., zákona č. 447/2015 Z. z., zákona č. 125/2016 </w:t>
      </w:r>
      <w:r>
        <w:rPr>
          <w:rFonts w:ascii="Book Antiqua" w:hAnsi="Book Antiqua"/>
          <w:sz w:val="22"/>
          <w:szCs w:val="22"/>
        </w:rPr>
        <w:t>Z. z., nálezu Ústavného súdu Slovenskej republiky č. 131/2017 Z. z., </w:t>
      </w:r>
      <w:r>
        <w:rPr>
          <w:rFonts w:ascii="Book Antiqua" w:hAnsi="Book Antiqua"/>
          <w:color w:val="000000"/>
          <w:sz w:val="22"/>
          <w:szCs w:val="22"/>
        </w:rPr>
        <w:t>zákona č. 70/2018 Z. z., zákona č. 177/2018 Z. z., zákona č. 5/2019 Z. z., zákona č. 413/2019 Z. z. a zákona č. 73/2020 Z. z. sa dopĺňa takto:</w:t>
      </w:r>
    </w:p>
    <w:p w:rsidR="0006612C" w:rsidRDefault="00CE1DBE">
      <w:pPr>
        <w:pStyle w:val="ListParagraph"/>
        <w:numPr>
          <w:ilvl w:val="0"/>
          <w:numId w:val="28"/>
        </w:numPr>
        <w:spacing w:before="120" w:after="120" w:line="276" w:lineRule="auto"/>
        <w:jc w:val="both"/>
      </w:pPr>
      <w:r>
        <w:rPr>
          <w:rFonts w:ascii="Book Antiqua" w:hAnsi="Book Antiqua"/>
          <w:color w:val="000000"/>
          <w:sz w:val="22"/>
          <w:szCs w:val="22"/>
        </w:rPr>
        <w:t>V § 2b ods. 3 sa na konci pripája táto veta:</w:t>
      </w:r>
      <w:r>
        <w:rPr>
          <w:rFonts w:ascii="Book Antiqua" w:hAnsi="Book Antiqua"/>
          <w:color w:val="000000"/>
          <w:sz w:val="22"/>
          <w:szCs w:val="22"/>
        </w:rPr>
        <w:t xml:space="preserve"> „Neprípustné je určiť názov ulice alebo iného verejného priestranstva po predstaviteľoch fašistického, nacistického alebo komunistického režimu; to neplatí, ak ide o predstaviteľov režimu, ktorí sa aktívne zapojili do odporu proti takémuto režimu.“.</w:t>
      </w:r>
    </w:p>
    <w:p w:rsidR="0006612C" w:rsidRDefault="00CE1DBE">
      <w:pPr>
        <w:pStyle w:val="ListParagraph"/>
        <w:numPr>
          <w:ilvl w:val="0"/>
          <w:numId w:val="28"/>
        </w:numPr>
        <w:spacing w:before="120" w:after="120" w:line="276" w:lineRule="auto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Za § </w:t>
      </w:r>
      <w:r>
        <w:rPr>
          <w:rFonts w:ascii="Book Antiqua" w:hAnsi="Book Antiqua"/>
          <w:color w:val="000000"/>
          <w:sz w:val="22"/>
          <w:szCs w:val="22"/>
        </w:rPr>
        <w:t>30f sa vkladá nový § 30g, ktorý vrátane nadpisu znie: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„§ 30g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Prechodné ustanovenie k úprave účinnej od 16. novembra 2020</w:t>
      </w:r>
    </w:p>
    <w:p w:rsidR="0006612C" w:rsidRDefault="00CE1DBE">
      <w:pPr>
        <w:pStyle w:val="ListParagraph"/>
        <w:spacing w:before="120" w:after="120" w:line="276" w:lineRule="auto"/>
        <w:ind w:left="720"/>
        <w:jc w:val="both"/>
      </w:pPr>
      <w:r>
        <w:rPr>
          <w:rFonts w:ascii="Book Antiqua" w:hAnsi="Book Antiqua"/>
          <w:color w:val="000000"/>
          <w:sz w:val="22"/>
          <w:szCs w:val="22"/>
        </w:rPr>
        <w:t>Na názov ulice alebo iného verejného priestranstva podľa § 2b ods. 3 určený do 15. novembra 2020 sa vzťahujú doterajšie predpisy.“.</w:t>
      </w:r>
    </w:p>
    <w:p w:rsidR="0006612C" w:rsidRDefault="0006612C">
      <w:pPr>
        <w:pStyle w:val="ListParagraph"/>
        <w:spacing w:before="120" w:after="120" w:line="276" w:lineRule="auto"/>
        <w:ind w:left="720"/>
        <w:jc w:val="both"/>
        <w:rPr>
          <w:rFonts w:ascii="Book Antiqua" w:hAnsi="Book Antiqua"/>
          <w:color w:val="000000"/>
          <w:sz w:val="22"/>
          <w:szCs w:val="22"/>
        </w:rPr>
      </w:pP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color w:val="000000"/>
          <w:sz w:val="22"/>
          <w:szCs w:val="22"/>
        </w:rPr>
        <w:t>Čl. III</w:t>
      </w:r>
    </w:p>
    <w:p w:rsidR="0006612C" w:rsidRDefault="00CE1DBE">
      <w:pPr>
        <w:pStyle w:val="ListParagraph"/>
        <w:spacing w:before="120" w:after="120" w:line="276" w:lineRule="auto"/>
        <w:ind w:left="0" w:firstLine="708"/>
        <w:jc w:val="both"/>
      </w:pPr>
      <w:r>
        <w:rPr>
          <w:rFonts w:ascii="Book Antiqua" w:hAnsi="Book Antiqua"/>
          <w:color w:val="000000"/>
          <w:sz w:val="22"/>
          <w:szCs w:val="22"/>
        </w:rPr>
        <w:t>Zákon Slovenskej národnej rady č. 372/1990 Zb. o priestupkoch v znení zákona Slovenskej národnej rady č. 524/1990 Zb., zákona Slovenskej národnej rady č. 266/1992 Zb., zákona Slovenskej národnej rady č. 295/1992 Zb., zákona Slovenskej národnej rady</w:t>
      </w:r>
      <w:r>
        <w:rPr>
          <w:rFonts w:ascii="Book Antiqua" w:hAnsi="Book Antiqua"/>
          <w:color w:val="000000"/>
          <w:sz w:val="22"/>
          <w:szCs w:val="22"/>
        </w:rPr>
        <w:t xml:space="preserve"> č. 511/1992 Zb., zákona Národnej rady Slovenskej republiky č. 237/1993 Z. z., zákona Národnej rady Slovenskej republiky č. 42/1994 Z. z., zákona Národnej rady Slovenskej republiky č. 248/1994 Z. z., zákona Národnej rady Slovenskej republiky č. 249/1994 Z.</w:t>
      </w:r>
      <w:r>
        <w:rPr>
          <w:rFonts w:ascii="Book Antiqua" w:hAnsi="Book Antiqua"/>
          <w:color w:val="000000"/>
          <w:sz w:val="22"/>
          <w:szCs w:val="22"/>
        </w:rPr>
        <w:t xml:space="preserve"> z., zákona Národnej rady Slovenskej republiky č. 250/1994 Z. z., zákona Národnej rady Slovenskej republiky č. 202/1995 Z. z., zákona Národnej rady Slovenskej republiky č. 207/1995 Z. z., zákona Národnej rady Slovenskej republiky č. 265/1995 Z. z., zákona </w:t>
      </w:r>
      <w:r>
        <w:rPr>
          <w:rFonts w:ascii="Book Antiqua" w:hAnsi="Book Antiqua"/>
          <w:color w:val="000000"/>
          <w:sz w:val="22"/>
          <w:szCs w:val="22"/>
        </w:rPr>
        <w:t xml:space="preserve">Národnej rady Slovenskej republiky č. 285/1995 Z. z., zákona Národnej rady Slovenskej republiky č. 160/1996 Z. z., zákona Národnej rady Slovenskej republiky č. 168/1996 Z. z., </w:t>
      </w:r>
      <w:r>
        <w:rPr>
          <w:rFonts w:ascii="Book Antiqua" w:hAnsi="Book Antiqua"/>
          <w:color w:val="000000"/>
          <w:sz w:val="22"/>
          <w:szCs w:val="22"/>
        </w:rPr>
        <w:lastRenderedPageBreak/>
        <w:t>zákona č. 143/1998 Z. z., nálezu Ústavného súdu Slovenskej republiky č. 319/1998</w:t>
      </w:r>
      <w:r>
        <w:rPr>
          <w:rFonts w:ascii="Book Antiqua" w:hAnsi="Book Antiqua"/>
          <w:color w:val="000000"/>
          <w:sz w:val="22"/>
          <w:szCs w:val="22"/>
        </w:rPr>
        <w:t xml:space="preserve"> Z. z., zákona č. 298/1999 Z. z., zákona č. 313/1999 Z. z., zákona č. 195/2000 Z. z., zákona č. 211/2000 Z. z., zákona č. 367/2000 Z. z., zákona č. 122/2001 Z. z., zákona č. 223/2001 Z. z., zákona č. 253/2001 Z. z., zákona č. 441/2001 Z. z., zákona č. 490/</w:t>
      </w:r>
      <w:r>
        <w:rPr>
          <w:rFonts w:ascii="Book Antiqua" w:hAnsi="Book Antiqua"/>
          <w:color w:val="000000"/>
          <w:sz w:val="22"/>
          <w:szCs w:val="22"/>
        </w:rPr>
        <w:t xml:space="preserve">2001 Z. z., zákona č. 507/2001 Z. z., zákona č. 139/2002 Z. z., zákona č. 422/2002 Z. z., zákona č. 190/2003 Z. z., zákona č. 430/2003 Z. z., zákona č. 510/2003 Z. z., zákona č. 515/2003 Z. z., zákona č. 534/2003 Z. z., zákona č. 364/2004 Z. z., zákona č. </w:t>
      </w:r>
      <w:r>
        <w:rPr>
          <w:rFonts w:ascii="Book Antiqua" w:hAnsi="Book Antiqua"/>
          <w:color w:val="000000"/>
          <w:sz w:val="22"/>
          <w:szCs w:val="22"/>
        </w:rPr>
        <w:t xml:space="preserve">533/2004 Z. z., zákona č. 656/2004 Z. z., zákona č. 570/2005 Z. z., zákona č. 650/2005 Z. z., zákona č. 211/2006 Z. z., zákona č. 224/2006 Z. z., zákona č. 250/2007 Z. z., zákona č. 547/2007 Z. z., zákona č. 666/2007 Z. z., zákona č. 86/2008 Z. z., zákona </w:t>
      </w:r>
      <w:r>
        <w:rPr>
          <w:rFonts w:ascii="Book Antiqua" w:hAnsi="Book Antiqua"/>
          <w:color w:val="000000"/>
          <w:sz w:val="22"/>
          <w:szCs w:val="22"/>
        </w:rPr>
        <w:t xml:space="preserve">č. 245/2008 Z. z., zákona č. 298/2008 Z. z., zákona č. 445/2008 Z. z., zákona č. 479/2008 Z. z., zákona č. 491/2008 Z. z., zákona č. 8/2009 Z. z., zákona č. 70/2009 Z. z., zákona č. 72/2009 Z. z., zákona č. 191/2009 Z. z., zákona č. 206/2009 Z. z., zákona </w:t>
      </w:r>
      <w:r>
        <w:rPr>
          <w:rFonts w:ascii="Book Antiqua" w:hAnsi="Book Antiqua"/>
          <w:color w:val="000000"/>
          <w:sz w:val="22"/>
          <w:szCs w:val="22"/>
        </w:rPr>
        <w:t>č. 387/2009 Z. z., zákona č. 465/2009 Z. z., zákona č. 513/2009 Z. z., zákona č. 60/2010 Z. z., zákona č. 433/2010 Z. z., zákona č. 547/2010 Z. z., zákona č. 313/2011 Z. z., zákona č. 362/2011 Z. z., zákona č. 79/2012 Z. z., zákona č. 96/2012 Z. z., zákona</w:t>
      </w:r>
      <w:r>
        <w:rPr>
          <w:rFonts w:ascii="Book Antiqua" w:hAnsi="Book Antiqua"/>
          <w:color w:val="000000"/>
          <w:sz w:val="22"/>
          <w:szCs w:val="22"/>
        </w:rPr>
        <w:t xml:space="preserve"> č. 31/2013 Z. z., zákona č. 80/2013 Z. z., zákona č. 94/2013 Z. z., zákona č. 299/2013 Z. z., zákona č. 388/2013 Z. z., zákona č. 417/2013 Z. z., zákona č. 474/2013 Z. z., zákona č. 1/2014 Z. z., zákona č. 204/2014 Z. z., zákona č. 374/2014 Z. z., zákona </w:t>
      </w:r>
      <w:r>
        <w:rPr>
          <w:rFonts w:ascii="Book Antiqua" w:hAnsi="Book Antiqua"/>
          <w:color w:val="000000"/>
          <w:sz w:val="22"/>
          <w:szCs w:val="22"/>
        </w:rPr>
        <w:t>č. 397/2015 Z. z., zákona č. 430/2015 Z. z., zákona č. 125/2016 Z. z., zákona č. 311/2016 Z. z., zákona č. 315/2016 Z. z. a zákona č. 393/2019 Z. z. sa mení a dopĺňa takto:</w:t>
      </w:r>
    </w:p>
    <w:p w:rsidR="0006612C" w:rsidRDefault="00CE1DBE" w:rsidP="00927797">
      <w:pPr>
        <w:pStyle w:val="ListParagraph"/>
        <w:numPr>
          <w:ilvl w:val="0"/>
          <w:numId w:val="35"/>
        </w:numPr>
        <w:spacing w:before="120" w:after="120" w:line="276" w:lineRule="auto"/>
        <w:ind w:hanging="436"/>
        <w:jc w:val="both"/>
      </w:pPr>
      <w:r>
        <w:rPr>
          <w:rFonts w:ascii="Book Antiqua" w:hAnsi="Book Antiqua"/>
          <w:color w:val="000000"/>
          <w:sz w:val="22"/>
          <w:szCs w:val="22"/>
        </w:rPr>
        <w:t>V § 47a sa odsek 1 dopĺňa písmenami d) a e), ktoré znejú:</w:t>
      </w:r>
    </w:p>
    <w:p w:rsidR="0006612C" w:rsidRDefault="00CE1DBE">
      <w:pPr>
        <w:pStyle w:val="Standard"/>
        <w:spacing w:before="120" w:after="120" w:line="276" w:lineRule="auto"/>
        <w:ind w:left="708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„d) napriek zákazu podľa </w:t>
      </w:r>
      <w:r>
        <w:rPr>
          <w:rFonts w:ascii="Book Antiqua" w:hAnsi="Book Antiqua"/>
          <w:color w:val="000000"/>
          <w:sz w:val="22"/>
          <w:szCs w:val="22"/>
        </w:rPr>
        <w:t>osobitného predpisu</w:t>
      </w:r>
      <w:r>
        <w:rPr>
          <w:rFonts w:ascii="Book Antiqua" w:hAnsi="Book Antiqua"/>
          <w:color w:val="000000"/>
          <w:sz w:val="22"/>
          <w:szCs w:val="22"/>
          <w:vertAlign w:val="superscript"/>
        </w:rPr>
        <w:t>3g)</w:t>
      </w:r>
      <w:r>
        <w:rPr>
          <w:rFonts w:ascii="Book Antiqua" w:hAnsi="Book Antiqua"/>
          <w:color w:val="000000"/>
          <w:sz w:val="22"/>
          <w:szCs w:val="22"/>
        </w:rPr>
        <w:t xml:space="preserve"> umiestni na pamätníku, pomníku alebo pamätnej tabuli text, vyobrazenie alebo symbol oslavujúci, propagujúci alebo obhajujúci režim založený na komunistickej, fašistickej alebo nacistickej ideológii alebo jeho predstaviteľa, alebo tak</w:t>
      </w:r>
      <w:r>
        <w:rPr>
          <w:rFonts w:ascii="Book Antiqua" w:hAnsi="Book Antiqua"/>
          <w:color w:val="000000"/>
          <w:sz w:val="22"/>
          <w:szCs w:val="22"/>
        </w:rPr>
        <w:t>éto umiestnenie iniciuje, rozhodne o ňom, umožní ho alebo sa na ňom inak podieľa,</w:t>
      </w:r>
    </w:p>
    <w:p w:rsidR="0006612C" w:rsidRDefault="00CE1DBE">
      <w:pPr>
        <w:pStyle w:val="Standard"/>
        <w:spacing w:before="120" w:after="120" w:line="276" w:lineRule="auto"/>
        <w:ind w:left="708"/>
        <w:jc w:val="both"/>
      </w:pPr>
      <w:r>
        <w:rPr>
          <w:rFonts w:ascii="Book Antiqua" w:hAnsi="Book Antiqua"/>
          <w:color w:val="000000"/>
          <w:sz w:val="22"/>
          <w:szCs w:val="22"/>
        </w:rPr>
        <w:t>e) napriek výzve na odstránenie protiprávneho stavu podľa odseku 2 tento protiprávny stav v určenej lehote neodstráni.“.</w:t>
      </w:r>
    </w:p>
    <w:p w:rsidR="0006612C" w:rsidRDefault="00CE1DBE">
      <w:pPr>
        <w:pStyle w:val="Standard"/>
        <w:spacing w:before="120" w:after="120" w:line="276" w:lineRule="auto"/>
        <w:ind w:left="709"/>
        <w:jc w:val="both"/>
      </w:pPr>
      <w:r>
        <w:rPr>
          <w:rFonts w:ascii="Book Antiqua" w:hAnsi="Book Antiqua"/>
          <w:color w:val="000000"/>
          <w:sz w:val="22"/>
          <w:szCs w:val="22"/>
        </w:rPr>
        <w:t>Poznámka pod čiarou k odkazu 3g) znie:</w:t>
      </w:r>
    </w:p>
    <w:p w:rsidR="0006612C" w:rsidRDefault="00CE1DBE">
      <w:pPr>
        <w:pStyle w:val="Standard"/>
        <w:spacing w:before="120" w:after="120" w:line="276" w:lineRule="auto"/>
        <w:ind w:left="709"/>
        <w:jc w:val="both"/>
      </w:pPr>
      <w:r>
        <w:rPr>
          <w:rFonts w:ascii="Book Antiqua" w:hAnsi="Book Antiqua"/>
          <w:color w:val="000000"/>
          <w:sz w:val="22"/>
          <w:szCs w:val="22"/>
        </w:rPr>
        <w:t>„</w:t>
      </w:r>
      <w:r>
        <w:rPr>
          <w:rFonts w:ascii="Book Antiqua" w:hAnsi="Book Antiqua"/>
          <w:color w:val="000000"/>
          <w:sz w:val="22"/>
          <w:szCs w:val="22"/>
          <w:vertAlign w:val="superscript"/>
        </w:rPr>
        <w:t>3g)</w:t>
      </w:r>
      <w:r>
        <w:rPr>
          <w:rFonts w:ascii="Book Antiqua" w:hAnsi="Book Antiqua"/>
          <w:color w:val="000000"/>
          <w:sz w:val="22"/>
          <w:szCs w:val="22"/>
        </w:rPr>
        <w:t xml:space="preserve"> § 7a záko</w:t>
      </w:r>
      <w:r>
        <w:rPr>
          <w:rFonts w:ascii="Book Antiqua" w:hAnsi="Book Antiqua"/>
          <w:color w:val="000000"/>
          <w:sz w:val="22"/>
          <w:szCs w:val="22"/>
        </w:rPr>
        <w:t>na Národnej rady Slovenskej republiky č. 125/1996 Z. z. o nemorálnosti a protiprávnosti komunistického systému v znení zákona č. .../2020 Z. z., § 6a zákona č. 487/2013 Z. z. o protifašistickom odboji, postavení a pôsobnosti Slovenského zväzu protifašistic</w:t>
      </w:r>
      <w:r>
        <w:rPr>
          <w:rFonts w:ascii="Book Antiqua" w:hAnsi="Book Antiqua"/>
          <w:color w:val="000000"/>
          <w:sz w:val="22"/>
          <w:szCs w:val="22"/>
        </w:rPr>
        <w:t>kých bojovníkov v znení zákona č. .../2020 Z. z.“.</w:t>
      </w:r>
    </w:p>
    <w:p w:rsidR="0006612C" w:rsidRDefault="00CE1DBE" w:rsidP="00927797">
      <w:pPr>
        <w:pStyle w:val="ListParagraph"/>
        <w:numPr>
          <w:ilvl w:val="0"/>
          <w:numId w:val="30"/>
        </w:numPr>
        <w:spacing w:before="120" w:after="120" w:line="276" w:lineRule="auto"/>
        <w:ind w:hanging="436"/>
        <w:jc w:val="both"/>
      </w:pPr>
      <w:r>
        <w:rPr>
          <w:rFonts w:ascii="Book Antiqua" w:hAnsi="Book Antiqua"/>
          <w:color w:val="000000"/>
          <w:sz w:val="22"/>
          <w:szCs w:val="22"/>
        </w:rPr>
        <w:t>V § 47a sa za odsek 1 vkladá nový odsek 2, ktorý znie:</w:t>
      </w:r>
    </w:p>
    <w:p w:rsidR="0006612C" w:rsidRDefault="00CE1DBE">
      <w:pPr>
        <w:spacing w:before="120" w:after="120" w:line="276" w:lineRule="auto"/>
        <w:ind w:left="709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„(2) Súčasťou výroku rozhodnutia, ktorým bol obvinený z priestupku uznaný vinným za spáchanie priestupku podľa odseku 1 písm. d) alebo e), je výzva na</w:t>
      </w:r>
      <w:r>
        <w:rPr>
          <w:rFonts w:ascii="Book Antiqua" w:hAnsi="Book Antiqua"/>
          <w:sz w:val="22"/>
        </w:rPr>
        <w:t xml:space="preserve"> odstránenie protiprávneho stavu v lehote do 60 dní.“.</w:t>
      </w:r>
    </w:p>
    <w:p w:rsidR="0006612C" w:rsidRDefault="00CE1DBE">
      <w:pPr>
        <w:spacing w:before="120" w:after="120" w:line="276" w:lineRule="auto"/>
        <w:ind w:left="709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Doterajší odsek 2 sa označuje ako odsek 3.</w:t>
      </w:r>
    </w:p>
    <w:p w:rsidR="0006612C" w:rsidRDefault="00CE1DBE" w:rsidP="00927797">
      <w:pPr>
        <w:pStyle w:val="ListParagraph"/>
        <w:numPr>
          <w:ilvl w:val="0"/>
          <w:numId w:val="30"/>
        </w:numPr>
        <w:spacing w:before="120" w:after="120" w:line="276" w:lineRule="auto"/>
        <w:ind w:hanging="436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V § 47a ods. 3 sa za slová „odseku 1“ vkladajú slová „písm. a) až c)“ a na konci sa </w:t>
      </w:r>
      <w:r>
        <w:rPr>
          <w:rFonts w:ascii="Book Antiqua" w:hAnsi="Book Antiqua"/>
          <w:color w:val="000000"/>
          <w:sz w:val="22"/>
          <w:szCs w:val="22"/>
        </w:rPr>
        <w:lastRenderedPageBreak/>
        <w:t xml:space="preserve">bodka nahrádza čiarkou a pripájajú sa tieto slová: „za priestupok podľa </w:t>
      </w:r>
      <w:r>
        <w:rPr>
          <w:rFonts w:ascii="Book Antiqua" w:hAnsi="Book Antiqua"/>
          <w:color w:val="000000"/>
          <w:sz w:val="22"/>
          <w:szCs w:val="22"/>
        </w:rPr>
        <w:t>odseku 1 písm. d) pokutu do 1 000 eur a za priestupok podľa odseku 1 písm. e) pokutu do 2 000 eur, a to aj opakovane až do odstránenia protiprávneho stavu.“.</w:t>
      </w:r>
    </w:p>
    <w:p w:rsidR="0006612C" w:rsidRDefault="0006612C">
      <w:pPr>
        <w:pStyle w:val="Standard"/>
        <w:spacing w:before="120" w:after="120"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color w:val="000000"/>
          <w:sz w:val="22"/>
          <w:szCs w:val="22"/>
        </w:rPr>
        <w:t>Čl. IV</w:t>
      </w:r>
    </w:p>
    <w:p w:rsidR="0006612C" w:rsidRDefault="00CE1DBE">
      <w:pPr>
        <w:pStyle w:val="ListParagraph"/>
        <w:spacing w:before="120" w:after="120" w:line="276" w:lineRule="auto"/>
        <w:ind w:left="0" w:firstLine="708"/>
        <w:jc w:val="both"/>
      </w:pPr>
      <w:r>
        <w:rPr>
          <w:rFonts w:ascii="Book Antiqua" w:hAnsi="Book Antiqua"/>
          <w:sz w:val="22"/>
          <w:szCs w:val="22"/>
        </w:rPr>
        <w:t>Zákon č. 487/2013 Z. z. o protifašistickom odboji, postavení a pôsobnosti Slovenského zväz</w:t>
      </w:r>
      <w:r>
        <w:rPr>
          <w:rFonts w:ascii="Book Antiqua" w:hAnsi="Book Antiqua"/>
          <w:sz w:val="22"/>
          <w:szCs w:val="22"/>
        </w:rPr>
        <w:t>u protifašistických bojovníkov sa dopĺňa takto:</w:t>
      </w:r>
    </w:p>
    <w:p w:rsidR="0006612C" w:rsidRDefault="00CE1DBE">
      <w:pPr>
        <w:pStyle w:val="ListParagraph"/>
        <w:spacing w:before="120" w:after="120" w:line="276" w:lineRule="auto"/>
        <w:ind w:left="0" w:firstLine="708"/>
        <w:jc w:val="both"/>
      </w:pPr>
      <w:r>
        <w:rPr>
          <w:rFonts w:ascii="Book Antiqua" w:hAnsi="Book Antiqua"/>
          <w:sz w:val="22"/>
          <w:szCs w:val="22"/>
        </w:rPr>
        <w:t>Za § 6 sa vkladajú nové § 6a a 6b, ktoré znejú: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>§ 6a</w:t>
      </w:r>
    </w:p>
    <w:p w:rsidR="0006612C" w:rsidRDefault="00CE1DBE">
      <w:pPr>
        <w:pStyle w:val="ListParagraph"/>
        <w:spacing w:before="120" w:after="120" w:line="276" w:lineRule="auto"/>
        <w:ind w:left="0"/>
        <w:jc w:val="both"/>
      </w:pPr>
      <w:r>
        <w:rPr>
          <w:rFonts w:ascii="Book Antiqua" w:hAnsi="Book Antiqua"/>
          <w:sz w:val="22"/>
          <w:szCs w:val="22"/>
        </w:rPr>
        <w:t>Umiestňovať na pamätníkoch, pomníkoch a pamätných tabuliach texty, vyobrazenia a symboly oslavujúce, propagujúce alebo obhajujúce režim vojnovej Slovenske</w:t>
      </w:r>
      <w:r>
        <w:rPr>
          <w:rFonts w:ascii="Book Antiqua" w:hAnsi="Book Antiqua"/>
          <w:sz w:val="22"/>
          <w:szCs w:val="22"/>
        </w:rPr>
        <w:t xml:space="preserve">j republiky alebo iný režim založený na fašistickej ideológii alebo nacistickej ideológii, alebo ich predstaviteľov sa </w:t>
      </w:r>
      <w:r>
        <w:rPr>
          <w:rFonts w:ascii="Book Antiqua" w:hAnsi="Book Antiqua"/>
          <w:color w:val="000000"/>
          <w:sz w:val="22"/>
          <w:szCs w:val="22"/>
        </w:rPr>
        <w:t>zakazuje. Zákaz podľa predchádzajúcej vety sa nevzťahuje na predstaviteľov režimu, ktorí sa aktívne zapojili do protifašistického odboja.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§ 6b</w:t>
      </w: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bCs/>
          <w:color w:val="000000"/>
          <w:sz w:val="22"/>
          <w:szCs w:val="22"/>
        </w:rPr>
        <w:t>Prechodné ustanovenie k úprave účinnej od 16. novembra 2020</w:t>
      </w:r>
    </w:p>
    <w:p w:rsidR="0006612C" w:rsidRDefault="00CE1DBE">
      <w:pPr>
        <w:spacing w:before="120" w:after="120" w:line="276" w:lineRule="auto"/>
        <w:jc w:val="both"/>
      </w:pPr>
      <w:r>
        <w:rPr>
          <w:rFonts w:ascii="Book Antiqua" w:hAnsi="Book Antiqua"/>
          <w:color w:val="000000"/>
          <w:sz w:val="22"/>
        </w:rPr>
        <w:t>Na pamätníky, pomníky a pamätné tabule podľa § 6a umiestnené do 15. novembra 2020 sa vzťahujú doterajšie predpisy.“.</w:t>
      </w:r>
    </w:p>
    <w:p w:rsidR="0006612C" w:rsidRDefault="0006612C">
      <w:pPr>
        <w:pStyle w:val="Standard"/>
        <w:spacing w:before="120" w:after="120"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06612C" w:rsidRDefault="00CE1DBE">
      <w:pPr>
        <w:pStyle w:val="Standard"/>
        <w:spacing w:before="120" w:after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V</w:t>
      </w:r>
    </w:p>
    <w:p w:rsidR="0006612C" w:rsidRDefault="00CE1DBE" w:rsidP="00927797">
      <w:pPr>
        <w:pStyle w:val="Standard"/>
        <w:spacing w:before="120" w:after="120" w:line="276" w:lineRule="auto"/>
        <w:jc w:val="both"/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>Tento zákon nadobúda účinnosť 16. novembra 2020.</w:t>
      </w:r>
    </w:p>
    <w:sectPr w:rsidR="0006612C">
      <w:pgSz w:w="11906" w:h="16838"/>
      <w:pgMar w:top="1695" w:right="1418" w:bottom="16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BE" w:rsidRDefault="00CE1DBE">
      <w:r>
        <w:separator/>
      </w:r>
    </w:p>
  </w:endnote>
  <w:endnote w:type="continuationSeparator" w:id="0">
    <w:p w:rsidR="00CE1DBE" w:rsidRDefault="00CE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BE" w:rsidRDefault="00CE1DBE">
      <w:r>
        <w:rPr>
          <w:color w:val="000000"/>
        </w:rPr>
        <w:separator/>
      </w:r>
    </w:p>
  </w:footnote>
  <w:footnote w:type="continuationSeparator" w:id="0">
    <w:p w:rsidR="00CE1DBE" w:rsidRDefault="00CE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C13"/>
    <w:multiLevelType w:val="multilevel"/>
    <w:tmpl w:val="7B2A87E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FC76B3B"/>
    <w:multiLevelType w:val="multilevel"/>
    <w:tmpl w:val="13A4E89E"/>
    <w:styleLink w:val="WWNum23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">
    <w:nsid w:val="13D46B12"/>
    <w:multiLevelType w:val="multilevel"/>
    <w:tmpl w:val="C4E286D0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17AA03B2"/>
    <w:multiLevelType w:val="multilevel"/>
    <w:tmpl w:val="D7906A58"/>
    <w:styleLink w:val="WWNum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4">
    <w:nsid w:val="1AC07570"/>
    <w:multiLevelType w:val="multilevel"/>
    <w:tmpl w:val="17D6B22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31047DF"/>
    <w:multiLevelType w:val="multilevel"/>
    <w:tmpl w:val="DA4AE634"/>
    <w:styleLink w:val="WWNum15"/>
    <w:lvl w:ilvl="0">
      <w:start w:val="1"/>
      <w:numFmt w:val="decimal"/>
      <w:lvlText w:val="(%1)"/>
      <w:lvlJc w:val="left"/>
      <w:pPr>
        <w:ind w:left="1421" w:hanging="57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71" w:hanging="180"/>
      </w:pPr>
      <w:rPr>
        <w:rFonts w:cs="Times New Roman"/>
      </w:rPr>
    </w:lvl>
  </w:abstractNum>
  <w:abstractNum w:abstractNumId="6">
    <w:nsid w:val="23E94AD2"/>
    <w:multiLevelType w:val="multilevel"/>
    <w:tmpl w:val="54FA928A"/>
    <w:styleLink w:val="WWNum2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7">
    <w:nsid w:val="26D44997"/>
    <w:multiLevelType w:val="multilevel"/>
    <w:tmpl w:val="BF2C73C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7051FBF"/>
    <w:multiLevelType w:val="multilevel"/>
    <w:tmpl w:val="2B5CEF50"/>
    <w:styleLink w:val="WWNum26"/>
    <w:lvl w:ilvl="0">
      <w:start w:val="1"/>
      <w:numFmt w:val="upp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9">
    <w:nsid w:val="29B6617B"/>
    <w:multiLevelType w:val="multilevel"/>
    <w:tmpl w:val="E9A4FEE8"/>
    <w:styleLink w:val="WWNum11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10">
    <w:nsid w:val="2CCD7182"/>
    <w:multiLevelType w:val="multilevel"/>
    <w:tmpl w:val="AE847668"/>
    <w:styleLink w:val="WWNum21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>
    <w:nsid w:val="2EF119A3"/>
    <w:multiLevelType w:val="multilevel"/>
    <w:tmpl w:val="79F426D0"/>
    <w:styleLink w:val="WWNum27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2">
    <w:nsid w:val="32A76DDE"/>
    <w:multiLevelType w:val="multilevel"/>
    <w:tmpl w:val="52A4CF12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36AF0EDB"/>
    <w:multiLevelType w:val="multilevel"/>
    <w:tmpl w:val="25024A7A"/>
    <w:lvl w:ilvl="0">
      <w:start w:val="1"/>
      <w:numFmt w:val="decimal"/>
      <w:lvlText w:val="%1."/>
      <w:lvlJc w:val="left"/>
      <w:pPr>
        <w:ind w:left="2138" w:hanging="360"/>
      </w:pPr>
      <w:rPr>
        <w:rFonts w:ascii="Book Antiqua" w:hAnsi="Book Antiqua"/>
        <w:sz w:val="22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3E0D2B8A"/>
    <w:multiLevelType w:val="multilevel"/>
    <w:tmpl w:val="F4448F1E"/>
    <w:styleLink w:val="WWNum18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549" w:hanging="180"/>
      </w:pPr>
      <w:rPr>
        <w:rFonts w:cs="Times New Roman"/>
      </w:rPr>
    </w:lvl>
  </w:abstractNum>
  <w:abstractNum w:abstractNumId="15">
    <w:nsid w:val="3EC72C57"/>
    <w:multiLevelType w:val="multilevel"/>
    <w:tmpl w:val="9B4AEFA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450169F3"/>
    <w:multiLevelType w:val="multilevel"/>
    <w:tmpl w:val="CB087AB6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48BC24AA"/>
    <w:multiLevelType w:val="multilevel"/>
    <w:tmpl w:val="6E701992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>
    <w:nsid w:val="4A421D49"/>
    <w:multiLevelType w:val="multilevel"/>
    <w:tmpl w:val="58284798"/>
    <w:styleLink w:val="WWNum5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>
    <w:nsid w:val="4E3E6948"/>
    <w:multiLevelType w:val="multilevel"/>
    <w:tmpl w:val="8B2818EE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>
    <w:nsid w:val="560542DC"/>
    <w:multiLevelType w:val="multilevel"/>
    <w:tmpl w:val="6A5A9CB2"/>
    <w:styleLink w:val="WWNum24"/>
    <w:lvl w:ilvl="0">
      <w:start w:val="1"/>
      <w:numFmt w:val="decimal"/>
      <w:lvlText w:val="(%1)"/>
      <w:lvlJc w:val="left"/>
      <w:pPr>
        <w:ind w:left="1069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1">
    <w:nsid w:val="64E21096"/>
    <w:multiLevelType w:val="multilevel"/>
    <w:tmpl w:val="FA80AE9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>
    <w:nsid w:val="6B35105D"/>
    <w:multiLevelType w:val="multilevel"/>
    <w:tmpl w:val="F8126858"/>
    <w:styleLink w:val="WWNum13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23">
    <w:nsid w:val="6C141787"/>
    <w:multiLevelType w:val="multilevel"/>
    <w:tmpl w:val="B308E54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>
    <w:nsid w:val="6E627DD2"/>
    <w:multiLevelType w:val="multilevel"/>
    <w:tmpl w:val="448298E0"/>
    <w:styleLink w:val="WWNum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6EDA653E"/>
    <w:multiLevelType w:val="multilevel"/>
    <w:tmpl w:val="95F8DC0A"/>
    <w:styleLink w:val="WWNum22"/>
    <w:lvl w:ilvl="0"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FC534C6"/>
    <w:multiLevelType w:val="multilevel"/>
    <w:tmpl w:val="B30EB948"/>
    <w:styleLink w:val="WWNum17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27">
    <w:nsid w:val="712B4282"/>
    <w:multiLevelType w:val="multilevel"/>
    <w:tmpl w:val="8DAECD54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28">
    <w:nsid w:val="7AD815A4"/>
    <w:multiLevelType w:val="multilevel"/>
    <w:tmpl w:val="DC7E4EA2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>
    <w:nsid w:val="7BAE0EBD"/>
    <w:multiLevelType w:val="multilevel"/>
    <w:tmpl w:val="45FEB72E"/>
    <w:styleLink w:val="WWNum16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5" w:hanging="180"/>
      </w:pPr>
      <w:rPr>
        <w:rFonts w:cs="Times New Roman"/>
      </w:rPr>
    </w:lvl>
  </w:abstractNum>
  <w:abstractNum w:abstractNumId="30">
    <w:nsid w:val="7FB75820"/>
    <w:multiLevelType w:val="multilevel"/>
    <w:tmpl w:val="07C8CC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Book Antiqua" w:hAnsi="Book Antiqua" w:cs="Times New Roman" w:hint="default"/>
          <w:sz w:val="22"/>
        </w:rPr>
      </w:lvl>
    </w:lvlOverride>
  </w:num>
  <w:num w:numId="3">
    <w:abstractNumId w:val="7"/>
  </w:num>
  <w:num w:numId="4">
    <w:abstractNumId w:val="15"/>
  </w:num>
  <w:num w:numId="5">
    <w:abstractNumId w:val="18"/>
  </w:num>
  <w:num w:numId="6">
    <w:abstractNumId w:val="28"/>
  </w:num>
  <w:num w:numId="7">
    <w:abstractNumId w:val="30"/>
  </w:num>
  <w:num w:numId="8">
    <w:abstractNumId w:val="27"/>
  </w:num>
  <w:num w:numId="9">
    <w:abstractNumId w:val="21"/>
  </w:num>
  <w:num w:numId="10">
    <w:abstractNumId w:val="2"/>
  </w:num>
  <w:num w:numId="11">
    <w:abstractNumId w:val="9"/>
  </w:num>
  <w:num w:numId="12">
    <w:abstractNumId w:val="19"/>
  </w:num>
  <w:num w:numId="13">
    <w:abstractNumId w:val="22"/>
  </w:num>
  <w:num w:numId="14">
    <w:abstractNumId w:val="17"/>
  </w:num>
  <w:num w:numId="15">
    <w:abstractNumId w:val="5"/>
  </w:num>
  <w:num w:numId="16">
    <w:abstractNumId w:val="29"/>
  </w:num>
  <w:num w:numId="17">
    <w:abstractNumId w:val="26"/>
  </w:num>
  <w:num w:numId="18">
    <w:abstractNumId w:val="14"/>
  </w:num>
  <w:num w:numId="19">
    <w:abstractNumId w:val="24"/>
  </w:num>
  <w:num w:numId="20">
    <w:abstractNumId w:val="6"/>
  </w:num>
  <w:num w:numId="21">
    <w:abstractNumId w:val="10"/>
  </w:num>
  <w:num w:numId="22">
    <w:abstractNumId w:val="25"/>
  </w:num>
  <w:num w:numId="23">
    <w:abstractNumId w:val="1"/>
  </w:num>
  <w:num w:numId="24">
    <w:abstractNumId w:val="20"/>
  </w:num>
  <w:num w:numId="25">
    <w:abstractNumId w:val="23"/>
  </w:num>
  <w:num w:numId="26">
    <w:abstractNumId w:val="8"/>
  </w:num>
  <w:num w:numId="27">
    <w:abstractNumId w:val="11"/>
  </w:num>
  <w:num w:numId="28">
    <w:abstractNumId w:val="12"/>
  </w:num>
  <w:num w:numId="29">
    <w:abstractNumId w:val="16"/>
  </w:num>
  <w:num w:numId="30">
    <w:abstractNumId w:val="4"/>
  </w:num>
  <w:num w:numId="31">
    <w:abstractNumId w:val="0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Book Antiqua" w:hAnsi="Book Antiqua" w:cs="Times New Roman" w:hint="default"/>
          <w:sz w:val="22"/>
        </w:rPr>
      </w:lvl>
    </w:lvlOverride>
  </w:num>
  <w:num w:numId="32">
    <w:abstractNumId w:val="20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3"/>
  </w:num>
  <w:num w:numId="3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612C"/>
    <w:rsid w:val="0006612C"/>
    <w:rsid w:val="00927797"/>
    <w:rsid w:val="00A82C10"/>
    <w:rsid w:val="00C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kern w:val="3"/>
        <w:szCs w:val="22"/>
        <w:lang w:val="sk-SK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widowControl/>
      <w:tabs>
        <w:tab w:val="left" w:pos="864"/>
      </w:tabs>
      <w:suppressAutoHyphens w:val="0"/>
      <w:ind w:left="432" w:hanging="432"/>
      <w:outlineLvl w:val="0"/>
    </w:pPr>
    <w:rPr>
      <w:rFonts w:ascii="Arial" w:hAnsi="Arial" w:cs="Arial"/>
      <w:b/>
      <w:bCs/>
      <w:caps/>
      <w:szCs w:val="24"/>
    </w:rPr>
  </w:style>
  <w:style w:type="paragraph" w:styleId="Heading3">
    <w:name w:val="heading 3"/>
    <w:basedOn w:val="Standard"/>
    <w:next w:val="Textbody"/>
    <w:pPr>
      <w:keepNext/>
      <w:keepLines/>
      <w:spacing w:before="40"/>
      <w:outlineLvl w:val="2"/>
    </w:pPr>
    <w:rPr>
      <w:rFonts w:ascii="Cambria" w:hAnsi="Cambria" w:cs="F"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  <w:jc w:val="center"/>
    </w:pPr>
    <w:rPr>
      <w:b/>
      <w:bCs/>
      <w:szCs w:val="24"/>
      <w:lang w:eastAsia="sk-SK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widowControl/>
      <w:suppressLineNumbers/>
      <w:tabs>
        <w:tab w:val="center" w:pos="4536"/>
        <w:tab w:val="right" w:pos="9072"/>
      </w:tabs>
      <w:suppressAutoHyphens w:val="0"/>
    </w:pPr>
    <w:rPr>
      <w:szCs w:val="24"/>
    </w:rPr>
  </w:style>
  <w:style w:type="paragraph" w:styleId="ListParagraph">
    <w:name w:val="List Paragraph"/>
    <w:basedOn w:val="Standard"/>
    <w:pPr>
      <w:ind w:left="708"/>
    </w:pPr>
  </w:style>
  <w:style w:type="paragraph" w:styleId="FootnoteText">
    <w:name w:val="footnote text"/>
    <w:basedOn w:val="Standard"/>
    <w:rPr>
      <w:sz w:val="20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NormalWeb">
    <w:name w:val="Normal (Web)"/>
    <w:basedOn w:val="Standard"/>
    <w:pPr>
      <w:widowControl/>
      <w:suppressAutoHyphens w:val="0"/>
      <w:spacing w:before="100" w:after="100"/>
    </w:pPr>
    <w:rPr>
      <w:szCs w:val="24"/>
      <w:lang w:val="en" w:eastAsia="en-GB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Heading1Char">
    <w:name w:val="Heading 1 Char"/>
    <w:basedOn w:val="DefaultParagraphFont"/>
    <w:rPr>
      <w:rFonts w:ascii="Arial" w:hAnsi="Arial" w:cs="Arial"/>
      <w:b/>
      <w:bCs/>
      <w:caps/>
      <w:sz w:val="24"/>
      <w:szCs w:val="24"/>
      <w:lang w:val="en-US" w:eastAsia="ar-SA" w:bidi="ar-SA"/>
    </w:rPr>
  </w:style>
  <w:style w:type="character" w:customStyle="1" w:styleId="Heading3Char">
    <w:name w:val="Heading 3 Char"/>
    <w:basedOn w:val="DefaultParagraphFont"/>
    <w:rPr>
      <w:rFonts w:ascii="Cambria" w:hAnsi="Cambria" w:cs="Times New Roman"/>
      <w:color w:val="243F60"/>
      <w:sz w:val="24"/>
      <w:szCs w:val="24"/>
      <w:lang w:val="en-US" w:eastAsia="ar-SA" w:bidi="ar-SA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FootnoteTextChar">
    <w:name w:val="Footnote Text Char"/>
    <w:basedOn w:val="DefaultParagraphFont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DefaultParagraphFont"/>
    <w:rPr>
      <w:rFonts w:cs="Times New Roman"/>
      <w:position w:val="0"/>
      <w:vertAlign w:val="superscript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sz w:val="24"/>
      <w:szCs w:val="24"/>
      <w:lang w:val="en-US" w:eastAsia="sk-SK"/>
    </w:rPr>
  </w:style>
  <w:style w:type="character" w:styleId="HTMLVariable">
    <w:name w:val="HTML Variable"/>
    <w:basedOn w:val="DefaultParagraphFont"/>
    <w:rPr>
      <w:rFonts w:cs="Times New Roman"/>
      <w:i/>
      <w:iCs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ascii="Book Antiqua" w:hAnsi="Book Antiqua" w:cs="Times New Roman"/>
      <w:b/>
      <w:sz w:val="22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ascii="Book Antiqua" w:hAnsi="Book Antiqua" w:cs="Times New Roman"/>
      <w:sz w:val="22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ascii="Book Antiqua" w:hAnsi="Book Antiqua" w:cs="Times New Roman"/>
      <w:sz w:val="22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  <w:b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Book Antiqua" w:hAnsi="Book Antiqua" w:cs="Times New Roman"/>
      <w:sz w:val="22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ascii="Book Antiqua" w:hAnsi="Book Antiqua" w:cs="Times New Roman"/>
      <w:sz w:val="22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ascii="Book Antiqua" w:hAnsi="Book Antiqua" w:cs="Times New Roman"/>
      <w:sz w:val="22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ascii="Book Antiqua" w:hAnsi="Book Antiqua" w:cs="Times New Roman"/>
      <w:sz w:val="22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Arial"/>
      <w:color w:val="444444"/>
      <w:sz w:val="20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ascii="Book Antiqua" w:hAnsi="Book Antiqua" w:cs="Times New Roman"/>
      <w:sz w:val="22"/>
    </w:rPr>
  </w:style>
  <w:style w:type="character" w:customStyle="1" w:styleId="ListLabel201">
    <w:name w:val="ListLabel 201"/>
    <w:rPr>
      <w:rFonts w:cs="Arial"/>
      <w:color w:val="444444"/>
      <w:sz w:val="20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Arial"/>
      <w:color w:val="444444"/>
      <w:sz w:val="20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ascii="Book Antiqua" w:hAnsi="Book Antiqua" w:cs="Times New Roman"/>
      <w:sz w:val="22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ascii="Book Antiqua" w:hAnsi="Book Antiqua" w:cs="Times New Roman"/>
      <w:sz w:val="22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Book Antiqua" w:hAnsi="Book Antiqua" w:cs="Times New Roman"/>
      <w:sz w:val="22"/>
    </w:rPr>
  </w:style>
  <w:style w:type="character" w:customStyle="1" w:styleId="ListLabel300">
    <w:name w:val="ListLabel 300"/>
    <w:rPr>
      <w:rFonts w:cs="Arial"/>
      <w:color w:val="444444"/>
      <w:sz w:val="20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Arial"/>
      <w:color w:val="444444"/>
      <w:sz w:val="20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Arial"/>
      <w:color w:val="444444"/>
      <w:sz w:val="20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Arial"/>
      <w:color w:val="444444"/>
      <w:sz w:val="20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ascii="Book Antiqua" w:hAnsi="Book Antiqua" w:cs="Times New Roman"/>
      <w:sz w:val="22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Book Antiqua" w:hAnsi="Book Antiqua" w:cs="Times New Roman"/>
      <w:sz w:val="22"/>
    </w:rPr>
  </w:style>
  <w:style w:type="character" w:customStyle="1" w:styleId="ListLabel345">
    <w:name w:val="ListLabel 345"/>
    <w:rPr>
      <w:rFonts w:cs="Arial"/>
      <w:color w:val="444444"/>
      <w:sz w:val="20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Book Antiqua" w:hAnsi="Book Antiqua" w:cs="Times New Roman"/>
      <w:sz w:val="22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Book Antiqua" w:hAnsi="Book Antiqu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ascii="Book Antiqua" w:hAnsi="Book Antiqua" w:cs="Times New Roman"/>
      <w:sz w:val="22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Book Antiqua" w:hAnsi="Book Antiqua" w:cs="Times New Roman"/>
      <w:sz w:val="22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Book Antiqua" w:hAnsi="Book Antiqua" w:cs="Times New Roman"/>
      <w:sz w:val="22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ascii="Book Antiqua" w:hAnsi="Book Antiqua"/>
      <w:sz w:val="22"/>
      <w:szCs w:val="22"/>
    </w:rPr>
  </w:style>
  <w:style w:type="character" w:customStyle="1" w:styleId="ListLabel408">
    <w:name w:val="ListLabel 408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hAnsi="Times New Roman" w:cs="Times New Roman"/>
      <w:szCs w:val="20"/>
      <w:lang w:eastAsia="ar-SA"/>
    </w:rPr>
  </w:style>
  <w:style w:type="character" w:customStyle="1" w:styleId="CommentSubjectChar">
    <w:name w:val="Comment Subject Char"/>
    <w:basedOn w:val="CommentTextChar"/>
    <w:rPr>
      <w:rFonts w:ascii="Times New Roman" w:hAnsi="Times New Roman" w:cs="Times New Roman"/>
      <w:b/>
      <w:bCs/>
      <w:szCs w:val="20"/>
      <w:lang w:eastAsia="ar-SA"/>
    </w:rPr>
  </w:style>
  <w:style w:type="character" w:customStyle="1" w:styleId="ListLabel409">
    <w:name w:val="ListLabel 409"/>
    <w:rPr>
      <w:rFonts w:cs="Times New Roman"/>
      <w:b/>
      <w:sz w:val="22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  <w:sz w:val="22"/>
    </w:rPr>
  </w:style>
  <w:style w:type="character" w:customStyle="1" w:styleId="ListLabel412">
    <w:name w:val="ListLabel 412"/>
    <w:rPr>
      <w:rFonts w:cs="Arial"/>
      <w:color w:val="444444"/>
      <w:sz w:val="20"/>
    </w:rPr>
  </w:style>
  <w:style w:type="character" w:customStyle="1" w:styleId="ListLabel413">
    <w:name w:val="ListLabel 413"/>
    <w:rPr>
      <w:rFonts w:eastAsia="Times New Roman" w:cs="Times New Roman"/>
    </w:rPr>
  </w:style>
  <w:style w:type="character" w:customStyle="1" w:styleId="ListLabel414">
    <w:name w:val="ListLabel 414"/>
    <w:rPr>
      <w:rFonts w:cs="Courier New"/>
    </w:rPr>
  </w:style>
  <w:style w:type="character" w:customStyle="1" w:styleId="FootnoteSymbol">
    <w:name w:val="Footnote Symbol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kern w:val="3"/>
        <w:szCs w:val="22"/>
        <w:lang w:val="sk-SK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widowControl/>
      <w:tabs>
        <w:tab w:val="left" w:pos="864"/>
      </w:tabs>
      <w:suppressAutoHyphens w:val="0"/>
      <w:ind w:left="432" w:hanging="432"/>
      <w:outlineLvl w:val="0"/>
    </w:pPr>
    <w:rPr>
      <w:rFonts w:ascii="Arial" w:hAnsi="Arial" w:cs="Arial"/>
      <w:b/>
      <w:bCs/>
      <w:caps/>
      <w:szCs w:val="24"/>
    </w:rPr>
  </w:style>
  <w:style w:type="paragraph" w:styleId="Heading3">
    <w:name w:val="heading 3"/>
    <w:basedOn w:val="Standard"/>
    <w:next w:val="Textbody"/>
    <w:pPr>
      <w:keepNext/>
      <w:keepLines/>
      <w:spacing w:before="40"/>
      <w:outlineLvl w:val="2"/>
    </w:pPr>
    <w:rPr>
      <w:rFonts w:ascii="Cambria" w:hAnsi="Cambria" w:cs="F"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  <w:jc w:val="center"/>
    </w:pPr>
    <w:rPr>
      <w:b/>
      <w:bCs/>
      <w:szCs w:val="24"/>
      <w:lang w:eastAsia="sk-SK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widowControl/>
      <w:suppressLineNumbers/>
      <w:tabs>
        <w:tab w:val="center" w:pos="4536"/>
        <w:tab w:val="right" w:pos="9072"/>
      </w:tabs>
      <w:suppressAutoHyphens w:val="0"/>
    </w:pPr>
    <w:rPr>
      <w:szCs w:val="24"/>
    </w:rPr>
  </w:style>
  <w:style w:type="paragraph" w:styleId="ListParagraph">
    <w:name w:val="List Paragraph"/>
    <w:basedOn w:val="Standard"/>
    <w:pPr>
      <w:ind w:left="708"/>
    </w:pPr>
  </w:style>
  <w:style w:type="paragraph" w:styleId="FootnoteText">
    <w:name w:val="footnote text"/>
    <w:basedOn w:val="Standard"/>
    <w:rPr>
      <w:sz w:val="20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NormalWeb">
    <w:name w:val="Normal (Web)"/>
    <w:basedOn w:val="Standard"/>
    <w:pPr>
      <w:widowControl/>
      <w:suppressAutoHyphens w:val="0"/>
      <w:spacing w:before="100" w:after="100"/>
    </w:pPr>
    <w:rPr>
      <w:szCs w:val="24"/>
      <w:lang w:val="en" w:eastAsia="en-GB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Heading1Char">
    <w:name w:val="Heading 1 Char"/>
    <w:basedOn w:val="DefaultParagraphFont"/>
    <w:rPr>
      <w:rFonts w:ascii="Arial" w:hAnsi="Arial" w:cs="Arial"/>
      <w:b/>
      <w:bCs/>
      <w:caps/>
      <w:sz w:val="24"/>
      <w:szCs w:val="24"/>
      <w:lang w:val="en-US" w:eastAsia="ar-SA" w:bidi="ar-SA"/>
    </w:rPr>
  </w:style>
  <w:style w:type="character" w:customStyle="1" w:styleId="Heading3Char">
    <w:name w:val="Heading 3 Char"/>
    <w:basedOn w:val="DefaultParagraphFont"/>
    <w:rPr>
      <w:rFonts w:ascii="Cambria" w:hAnsi="Cambria" w:cs="Times New Roman"/>
      <w:color w:val="243F60"/>
      <w:sz w:val="24"/>
      <w:szCs w:val="24"/>
      <w:lang w:val="en-US" w:eastAsia="ar-SA" w:bidi="ar-SA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FootnoteTextChar">
    <w:name w:val="Footnote Text Char"/>
    <w:basedOn w:val="DefaultParagraphFont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DefaultParagraphFont"/>
    <w:rPr>
      <w:rFonts w:cs="Times New Roman"/>
      <w:position w:val="0"/>
      <w:vertAlign w:val="superscript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sz w:val="24"/>
      <w:szCs w:val="24"/>
      <w:lang w:val="en-US" w:eastAsia="sk-SK"/>
    </w:rPr>
  </w:style>
  <w:style w:type="character" w:styleId="HTMLVariable">
    <w:name w:val="HTML Variable"/>
    <w:basedOn w:val="DefaultParagraphFont"/>
    <w:rPr>
      <w:rFonts w:cs="Times New Roman"/>
      <w:i/>
      <w:iCs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ascii="Book Antiqua" w:hAnsi="Book Antiqua" w:cs="Times New Roman"/>
      <w:b/>
      <w:sz w:val="22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ascii="Book Antiqua" w:hAnsi="Book Antiqua" w:cs="Times New Roman"/>
      <w:sz w:val="22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ascii="Book Antiqua" w:hAnsi="Book Antiqua" w:cs="Times New Roman"/>
      <w:sz w:val="22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  <w:b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Book Antiqua" w:hAnsi="Book Antiqua" w:cs="Times New Roman"/>
      <w:sz w:val="22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ascii="Book Antiqua" w:hAnsi="Book Antiqua" w:cs="Times New Roman"/>
      <w:sz w:val="22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ascii="Book Antiqua" w:hAnsi="Book Antiqua" w:cs="Times New Roman"/>
      <w:sz w:val="22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ascii="Book Antiqua" w:hAnsi="Book Antiqua" w:cs="Times New Roman"/>
      <w:sz w:val="22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Arial"/>
      <w:color w:val="444444"/>
      <w:sz w:val="20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ascii="Book Antiqua" w:hAnsi="Book Antiqua" w:cs="Times New Roman"/>
      <w:sz w:val="22"/>
    </w:rPr>
  </w:style>
  <w:style w:type="character" w:customStyle="1" w:styleId="ListLabel201">
    <w:name w:val="ListLabel 201"/>
    <w:rPr>
      <w:rFonts w:cs="Arial"/>
      <w:color w:val="444444"/>
      <w:sz w:val="20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Arial"/>
      <w:color w:val="444444"/>
      <w:sz w:val="20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ascii="Book Antiqua" w:hAnsi="Book Antiqua" w:cs="Times New Roman"/>
      <w:sz w:val="22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ascii="Book Antiqua" w:hAnsi="Book Antiqua" w:cs="Times New Roman"/>
      <w:sz w:val="22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Book Antiqua" w:hAnsi="Book Antiqua" w:cs="Times New Roman"/>
      <w:sz w:val="22"/>
    </w:rPr>
  </w:style>
  <w:style w:type="character" w:customStyle="1" w:styleId="ListLabel300">
    <w:name w:val="ListLabel 300"/>
    <w:rPr>
      <w:rFonts w:cs="Arial"/>
      <w:color w:val="444444"/>
      <w:sz w:val="20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Arial"/>
      <w:color w:val="444444"/>
      <w:sz w:val="20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Arial"/>
      <w:color w:val="444444"/>
      <w:sz w:val="20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Arial"/>
      <w:color w:val="444444"/>
      <w:sz w:val="20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ascii="Book Antiqua" w:hAnsi="Book Antiqua" w:cs="Times New Roman"/>
      <w:sz w:val="22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Book Antiqua" w:hAnsi="Book Antiqua" w:cs="Times New Roman"/>
      <w:sz w:val="22"/>
    </w:rPr>
  </w:style>
  <w:style w:type="character" w:customStyle="1" w:styleId="ListLabel345">
    <w:name w:val="ListLabel 345"/>
    <w:rPr>
      <w:rFonts w:cs="Arial"/>
      <w:color w:val="444444"/>
      <w:sz w:val="20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Book Antiqua" w:hAnsi="Book Antiqua" w:cs="Times New Roman"/>
      <w:sz w:val="22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Book Antiqua" w:hAnsi="Book Antiqu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ascii="Book Antiqua" w:hAnsi="Book Antiqua" w:cs="Times New Roman"/>
      <w:sz w:val="22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Book Antiqua" w:hAnsi="Book Antiqua" w:cs="Times New Roman"/>
      <w:sz w:val="22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Book Antiqua" w:hAnsi="Book Antiqua" w:cs="Times New Roman"/>
      <w:sz w:val="22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ascii="Book Antiqua" w:hAnsi="Book Antiqua"/>
      <w:sz w:val="22"/>
      <w:szCs w:val="22"/>
    </w:rPr>
  </w:style>
  <w:style w:type="character" w:customStyle="1" w:styleId="ListLabel408">
    <w:name w:val="ListLabel 408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hAnsi="Times New Roman" w:cs="Times New Roman"/>
      <w:szCs w:val="20"/>
      <w:lang w:eastAsia="ar-SA"/>
    </w:rPr>
  </w:style>
  <w:style w:type="character" w:customStyle="1" w:styleId="CommentSubjectChar">
    <w:name w:val="Comment Subject Char"/>
    <w:basedOn w:val="CommentTextChar"/>
    <w:rPr>
      <w:rFonts w:ascii="Times New Roman" w:hAnsi="Times New Roman" w:cs="Times New Roman"/>
      <w:b/>
      <w:bCs/>
      <w:szCs w:val="20"/>
      <w:lang w:eastAsia="ar-SA"/>
    </w:rPr>
  </w:style>
  <w:style w:type="character" w:customStyle="1" w:styleId="ListLabel409">
    <w:name w:val="ListLabel 409"/>
    <w:rPr>
      <w:rFonts w:cs="Times New Roman"/>
      <w:b/>
      <w:sz w:val="22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  <w:sz w:val="22"/>
    </w:rPr>
  </w:style>
  <w:style w:type="character" w:customStyle="1" w:styleId="ListLabel412">
    <w:name w:val="ListLabel 412"/>
    <w:rPr>
      <w:rFonts w:cs="Arial"/>
      <w:color w:val="444444"/>
      <w:sz w:val="20"/>
    </w:rPr>
  </w:style>
  <w:style w:type="character" w:customStyle="1" w:styleId="ListLabel413">
    <w:name w:val="ListLabel 413"/>
    <w:rPr>
      <w:rFonts w:eastAsia="Times New Roman" w:cs="Times New Roman"/>
    </w:rPr>
  </w:style>
  <w:style w:type="character" w:customStyle="1" w:styleId="ListLabel414">
    <w:name w:val="ListLabel 414"/>
    <w:rPr>
      <w:rFonts w:cs="Courier New"/>
    </w:rPr>
  </w:style>
  <w:style w:type="character" w:customStyle="1" w:styleId="FootnoteSymbol">
    <w:name w:val="Footnote Symbol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3</cp:revision>
  <cp:lastPrinted>2015-09-30T08:17:00Z</cp:lastPrinted>
  <dcterms:created xsi:type="dcterms:W3CDTF">2020-08-27T12:29:00Z</dcterms:created>
  <dcterms:modified xsi:type="dcterms:W3CDTF">2020-08-27T12:32:00Z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