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E7" w:rsidRPr="00A64D2D" w:rsidRDefault="006C4BE7" w:rsidP="006C4BE7">
      <w:pPr>
        <w:widowControl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Pr="00A64D2D">
        <w:rPr>
          <w:rFonts w:ascii="Times New Roman" w:hAnsi="Times New Roman"/>
          <w:b/>
          <w:caps/>
          <w:color w:val="000000"/>
          <w:spacing w:val="30"/>
        </w:rPr>
        <w:t>Dôvodová správa</w:t>
      </w:r>
    </w:p>
    <w:p w:rsidR="006C4BE7" w:rsidRPr="00AC6801" w:rsidRDefault="006C4BE7" w:rsidP="00AC6801">
      <w:pPr>
        <w:pStyle w:val="Odsekzoznamu"/>
        <w:widowControl/>
        <w:numPr>
          <w:ilvl w:val="0"/>
          <w:numId w:val="3"/>
        </w:numPr>
        <w:jc w:val="both"/>
        <w:rPr>
          <w:rFonts w:ascii="Times New Roman" w:hAnsi="Times New Roman"/>
          <w:b/>
          <w:color w:val="000000"/>
        </w:rPr>
      </w:pPr>
      <w:r w:rsidRPr="00AC6801">
        <w:rPr>
          <w:rFonts w:ascii="Times New Roman" w:hAnsi="Times New Roman"/>
          <w:b/>
          <w:color w:val="000000"/>
        </w:rPr>
        <w:t>Všeobecná časť</w:t>
      </w:r>
    </w:p>
    <w:p w:rsidR="00AC6801" w:rsidRPr="00AC6801" w:rsidRDefault="00AC6801" w:rsidP="00AC6801">
      <w:pPr>
        <w:pStyle w:val="Odsekzoznamu"/>
        <w:widowControl/>
        <w:jc w:val="both"/>
        <w:rPr>
          <w:rFonts w:ascii="Times New Roman" w:hAnsi="Times New Roman"/>
          <w:b/>
          <w:color w:val="000000"/>
        </w:rPr>
      </w:pPr>
    </w:p>
    <w:p w:rsidR="00D02CAB" w:rsidRPr="00EC00B8" w:rsidRDefault="006C4BE7" w:rsidP="008751D5">
      <w:pPr>
        <w:widowControl/>
        <w:spacing w:after="120"/>
        <w:jc w:val="both"/>
        <w:rPr>
          <w:rStyle w:val="Zstupntext"/>
          <w:color w:val="auto"/>
        </w:rPr>
      </w:pPr>
      <w:r w:rsidRPr="00AC6801">
        <w:rPr>
          <w:rStyle w:val="Zstupntext"/>
          <w:color w:val="auto"/>
        </w:rPr>
        <w:t>N</w:t>
      </w:r>
      <w:r w:rsidR="00D02CAB" w:rsidRPr="00AC6801">
        <w:rPr>
          <w:rStyle w:val="Zstupntext"/>
          <w:color w:val="auto"/>
        </w:rPr>
        <w:t>ávrh zákona</w:t>
      </w:r>
      <w:r w:rsidRPr="00AC6801">
        <w:rPr>
          <w:rStyle w:val="Zstupntext"/>
          <w:color w:val="auto"/>
        </w:rPr>
        <w:t>, ktorým sa mení a dopĺňa zákon Národnej rady Slovenskej republiky č. 152 /1995 Z. z. o potravinách v znení neskorších predpisov (ďalej len „návrh zákona“)</w:t>
      </w:r>
      <w:r w:rsidR="00D02CAB" w:rsidRPr="00AC6801">
        <w:rPr>
          <w:rStyle w:val="Zstupntext"/>
          <w:color w:val="auto"/>
        </w:rPr>
        <w:t xml:space="preserve"> predkladá poslanec Národnej rady Slovenskej </w:t>
      </w:r>
      <w:bookmarkStart w:id="0" w:name="_GoBack"/>
      <w:r w:rsidR="00D02CAB" w:rsidRPr="00EC00B8">
        <w:rPr>
          <w:rStyle w:val="Zstupntext"/>
          <w:color w:val="auto"/>
        </w:rPr>
        <w:t xml:space="preserve">republiky </w:t>
      </w:r>
      <w:proofErr w:type="spellStart"/>
      <w:r w:rsidR="00D02CAB" w:rsidRPr="00EC00B8">
        <w:rPr>
          <w:rStyle w:val="Zstupntext"/>
          <w:color w:val="auto"/>
        </w:rPr>
        <w:t>Patrick</w:t>
      </w:r>
      <w:proofErr w:type="spellEnd"/>
      <w:r w:rsidR="00D02CAB" w:rsidRPr="00EC00B8">
        <w:rPr>
          <w:rStyle w:val="Zstupntext"/>
          <w:color w:val="auto"/>
        </w:rPr>
        <w:t xml:space="preserve"> </w:t>
      </w:r>
      <w:proofErr w:type="spellStart"/>
      <w:r w:rsidR="00D02CAB" w:rsidRPr="00EC00B8">
        <w:rPr>
          <w:rStyle w:val="Zstupntext"/>
          <w:color w:val="auto"/>
        </w:rPr>
        <w:t>Linha</w:t>
      </w:r>
      <w:r w:rsidR="0028101C" w:rsidRPr="00EC00B8">
        <w:rPr>
          <w:rStyle w:val="Zstupntext"/>
          <w:color w:val="auto"/>
        </w:rPr>
        <w:t>r</w:t>
      </w:r>
      <w:r w:rsidR="00D02CAB" w:rsidRPr="00EC00B8">
        <w:rPr>
          <w:rStyle w:val="Zstupntext"/>
          <w:color w:val="auto"/>
        </w:rPr>
        <w:t>t</w:t>
      </w:r>
      <w:proofErr w:type="spellEnd"/>
      <w:r w:rsidR="00D02CAB" w:rsidRPr="00EC00B8">
        <w:rPr>
          <w:rStyle w:val="Zstupntext"/>
          <w:color w:val="auto"/>
        </w:rPr>
        <w:t xml:space="preserve"> z vlastnej iniciatívy. </w:t>
      </w:r>
    </w:p>
    <w:p w:rsidR="0028101C" w:rsidRPr="00EC00B8" w:rsidRDefault="00D02CAB" w:rsidP="00AC6801">
      <w:pPr>
        <w:widowControl/>
        <w:spacing w:after="120"/>
        <w:jc w:val="both"/>
        <w:rPr>
          <w:rStyle w:val="Zstupntext"/>
          <w:color w:val="auto"/>
        </w:rPr>
      </w:pPr>
      <w:r w:rsidRPr="00EC00B8">
        <w:rPr>
          <w:rStyle w:val="Zstupntext"/>
          <w:color w:val="auto"/>
        </w:rPr>
        <w:t xml:space="preserve">Účelom návrhu zákona je zavedenie nového </w:t>
      </w:r>
      <w:r w:rsidR="00AC6801" w:rsidRPr="00EC00B8">
        <w:rPr>
          <w:rStyle w:val="Zstupntext"/>
          <w:color w:val="auto"/>
        </w:rPr>
        <w:t>registra potravín pre potravinový semafor</w:t>
      </w:r>
      <w:r w:rsidR="00FE611E" w:rsidRPr="00EC00B8">
        <w:rPr>
          <w:rStyle w:val="Zstupntext"/>
          <w:color w:val="auto"/>
        </w:rPr>
        <w:t>, ktorý</w:t>
      </w:r>
      <w:r w:rsidR="009B59B4" w:rsidRPr="00EC00B8">
        <w:rPr>
          <w:rStyle w:val="Zstupntext"/>
          <w:color w:val="auto"/>
        </w:rPr>
        <w:t xml:space="preserve"> vedie ministerstvo</w:t>
      </w:r>
      <w:r w:rsidR="0028101C" w:rsidRPr="00EC00B8">
        <w:rPr>
          <w:rStyle w:val="Zstupntext"/>
          <w:color w:val="auto"/>
        </w:rPr>
        <w:t xml:space="preserve"> pôdohospodárstva a rozvoja vidieka Slovenskej republiky. </w:t>
      </w:r>
    </w:p>
    <w:p w:rsidR="00AC6801" w:rsidRPr="001E4D42" w:rsidRDefault="0028101C" w:rsidP="00AC6801">
      <w:pPr>
        <w:widowControl/>
        <w:spacing w:after="120"/>
        <w:jc w:val="both"/>
        <w:rPr>
          <w:rStyle w:val="Zstupntext"/>
          <w:color w:val="000000" w:themeColor="text1"/>
        </w:rPr>
      </w:pPr>
      <w:r w:rsidRPr="00EC00B8">
        <w:rPr>
          <w:rStyle w:val="Zstupntext"/>
          <w:color w:val="auto"/>
        </w:rPr>
        <w:t xml:space="preserve">Zaregistrované potraviny v registri uľahčia výber </w:t>
      </w:r>
      <w:r w:rsidR="00DB0BDA" w:rsidRPr="00EC00B8">
        <w:rPr>
          <w:rStyle w:val="Zstupntext"/>
          <w:color w:val="auto"/>
        </w:rPr>
        <w:t xml:space="preserve">konečnému spotrebiteľovi a uľahčia </w:t>
      </w:r>
      <w:r w:rsidR="00AC6801" w:rsidRPr="00EC00B8">
        <w:rPr>
          <w:rStyle w:val="Zstupntext"/>
          <w:color w:val="auto"/>
        </w:rPr>
        <w:t xml:space="preserve">pomoc štátu v podobe podpory a propagácie domácich a kvalitných surovín, </w:t>
      </w:r>
      <w:bookmarkEnd w:id="0"/>
      <w:r w:rsidR="00AC6801" w:rsidRPr="001E4D42">
        <w:rPr>
          <w:rStyle w:val="Zstupntext"/>
          <w:color w:val="000000" w:themeColor="text1"/>
        </w:rPr>
        <w:t>ktoré z dlhodobého hľadiska napomôžu k zníženiu počtu obyvateľstva trpiacemu zdravotnými problémami zapríčinenými kvôli nesprávnym stravovacím návykom.</w:t>
      </w:r>
    </w:p>
    <w:p w:rsidR="00D02CAB" w:rsidRPr="00AC6801" w:rsidRDefault="006C4BE7" w:rsidP="008751D5">
      <w:pPr>
        <w:widowControl/>
        <w:spacing w:after="120"/>
        <w:jc w:val="both"/>
        <w:rPr>
          <w:rStyle w:val="Zstupntext"/>
          <w:color w:val="auto"/>
        </w:rPr>
      </w:pPr>
      <w:r w:rsidRPr="00AC6801">
        <w:rPr>
          <w:rStyle w:val="Zstupntext"/>
          <w:color w:val="auto"/>
        </w:rPr>
        <w:t xml:space="preserve">Účelom tohto návrhu zákona je doplnenie splnomocnenia na vydanie </w:t>
      </w:r>
      <w:r w:rsidR="00FE611E">
        <w:rPr>
          <w:rStyle w:val="Zstupntext"/>
          <w:color w:val="auto"/>
        </w:rPr>
        <w:t>všeobecne záväzného právneho predpisu o</w:t>
      </w:r>
      <w:r w:rsidR="009B59B4">
        <w:rPr>
          <w:rStyle w:val="Zstupntext"/>
          <w:color w:val="auto"/>
        </w:rPr>
        <w:t xml:space="preserve"> podrobnostiach </w:t>
      </w:r>
      <w:r w:rsidR="00FE611E">
        <w:rPr>
          <w:rStyle w:val="Zstupntext"/>
          <w:color w:val="auto"/>
        </w:rPr>
        <w:t>dobrovoľnej registráci</w:t>
      </w:r>
      <w:r w:rsidR="009B59B4">
        <w:rPr>
          <w:rStyle w:val="Zstupntext"/>
          <w:color w:val="auto"/>
        </w:rPr>
        <w:t>e</w:t>
      </w:r>
      <w:r w:rsidR="00FE611E">
        <w:rPr>
          <w:rStyle w:val="Zstupntext"/>
          <w:color w:val="auto"/>
        </w:rPr>
        <w:t xml:space="preserve">, </w:t>
      </w:r>
      <w:r w:rsidR="009B59B4">
        <w:rPr>
          <w:rStyle w:val="Zstupntext"/>
          <w:color w:val="auto"/>
        </w:rPr>
        <w:t xml:space="preserve">kritériách a sprístupnenia údajov konečnému spotrebiteľovi. </w:t>
      </w:r>
    </w:p>
    <w:p w:rsidR="006C4BE7" w:rsidRPr="00AC6801" w:rsidRDefault="006C4BE7" w:rsidP="008751D5">
      <w:pPr>
        <w:widowControl/>
        <w:spacing w:after="120"/>
        <w:jc w:val="both"/>
        <w:rPr>
          <w:rStyle w:val="Zstupntext"/>
          <w:color w:val="auto"/>
        </w:rPr>
      </w:pPr>
      <w:r w:rsidRPr="00AC6801">
        <w:rPr>
          <w:rStyle w:val="Zstupntext"/>
          <w:color w:val="auto"/>
        </w:rPr>
        <w:t xml:space="preserve">Návrh zákona je v súlade s Ústavou Slovenskej republiky, ústavnými zákonmi, medzinárodnými zmluvami, ktorými je Slovenská republika viazaná a zákonmi a súčasne je v súlade aj s právom Európskej únie. </w:t>
      </w:r>
    </w:p>
    <w:p w:rsidR="00D02CAB" w:rsidRDefault="00D02CAB" w:rsidP="006C4BE7">
      <w:pPr>
        <w:pStyle w:val="Normlnywebov"/>
        <w:spacing w:before="0" w:beforeAutospacing="0" w:after="12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02CAB" w:rsidRDefault="00D02CAB" w:rsidP="006C4BE7">
      <w:pPr>
        <w:pStyle w:val="Normlnywebov"/>
        <w:spacing w:before="0" w:beforeAutospacing="0" w:after="12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8B50A1" w:rsidRPr="007F6B1E" w:rsidRDefault="008B50A1" w:rsidP="008B50A1">
      <w:pPr>
        <w:widowControl/>
        <w:spacing w:before="60" w:after="60"/>
        <w:jc w:val="both"/>
        <w:rPr>
          <w:rFonts w:ascii="Times New Roman" w:hAnsi="Times New Roman"/>
          <w:b/>
          <w:color w:val="000000"/>
        </w:rPr>
      </w:pPr>
      <w:r w:rsidRPr="007F6B1E">
        <w:rPr>
          <w:rFonts w:ascii="Times New Roman" w:hAnsi="Times New Roman"/>
          <w:b/>
          <w:color w:val="000000"/>
        </w:rPr>
        <w:t>B. Osobitná časť</w:t>
      </w:r>
    </w:p>
    <w:p w:rsidR="008B50A1" w:rsidRDefault="008B50A1" w:rsidP="008B50A1">
      <w:pPr>
        <w:widowControl/>
        <w:spacing w:before="60" w:after="60"/>
        <w:jc w:val="both"/>
        <w:rPr>
          <w:rFonts w:ascii="Times New Roman" w:hAnsi="Times New Roman"/>
          <w:b/>
          <w:color w:val="000000"/>
        </w:rPr>
      </w:pPr>
    </w:p>
    <w:p w:rsidR="008B50A1" w:rsidRPr="002C7584" w:rsidRDefault="008B50A1" w:rsidP="008B50A1">
      <w:pPr>
        <w:widowControl/>
        <w:spacing w:before="60" w:after="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K </w:t>
      </w:r>
      <w:r w:rsidRPr="002C7584">
        <w:rPr>
          <w:rFonts w:ascii="Times New Roman" w:hAnsi="Times New Roman"/>
          <w:b/>
          <w:color w:val="000000"/>
        </w:rPr>
        <w:t>Čl. I</w:t>
      </w:r>
    </w:p>
    <w:p w:rsidR="008B50A1" w:rsidRDefault="008B50A1" w:rsidP="008B50A1">
      <w:pPr>
        <w:widowControl/>
        <w:spacing w:before="60" w:after="60"/>
        <w:jc w:val="both"/>
        <w:rPr>
          <w:rStyle w:val="Zstupntext"/>
          <w:b/>
          <w:color w:val="000000"/>
        </w:rPr>
      </w:pPr>
    </w:p>
    <w:p w:rsidR="008B50A1" w:rsidRDefault="008B50A1" w:rsidP="008B50A1">
      <w:pPr>
        <w:widowControl/>
        <w:spacing w:before="60" w:after="60"/>
        <w:jc w:val="both"/>
        <w:rPr>
          <w:rStyle w:val="Zstupntext"/>
          <w:b/>
          <w:color w:val="000000"/>
        </w:rPr>
      </w:pPr>
      <w:r w:rsidRPr="00F37744">
        <w:rPr>
          <w:rStyle w:val="Zstupntext"/>
          <w:b/>
          <w:color w:val="000000"/>
        </w:rPr>
        <w:t>K bodu 1</w:t>
      </w:r>
    </w:p>
    <w:p w:rsidR="008B50A1" w:rsidRPr="00EC00B8" w:rsidRDefault="008B50A1" w:rsidP="008B50A1">
      <w:pPr>
        <w:widowControl/>
        <w:spacing w:before="60" w:after="60" w:line="276" w:lineRule="auto"/>
        <w:jc w:val="both"/>
        <w:rPr>
          <w:rStyle w:val="Zstupntext"/>
          <w:color w:val="auto"/>
        </w:rPr>
      </w:pPr>
      <w:r w:rsidRPr="008A48CD">
        <w:rPr>
          <w:rStyle w:val="Zstupntext"/>
          <w:color w:val="000000"/>
        </w:rPr>
        <w:t xml:space="preserve">Zriaďuje </w:t>
      </w:r>
      <w:r w:rsidRPr="00EC00B8">
        <w:rPr>
          <w:rStyle w:val="Zstupntext"/>
          <w:color w:val="auto"/>
        </w:rPr>
        <w:t xml:space="preserve">sa register potravín pre potravinový semafor, ktorý je dobrovoľný informačný systém a obsahuj informácie o potravine a výrobcovi potravín. Dopĺňa sa splnomocnenie ministerstva na vydanie všeobecne záväzného právneho predpisu ustanovujúceho podrobnosti o registrácií, rozsahu údajov a sprístupnenia konečnému spotrebiteľovi. </w:t>
      </w:r>
    </w:p>
    <w:p w:rsidR="008B50A1" w:rsidRPr="00EC00B8" w:rsidRDefault="008B50A1" w:rsidP="008B50A1">
      <w:pPr>
        <w:widowControl/>
        <w:spacing w:before="60" w:after="60"/>
        <w:jc w:val="both"/>
        <w:rPr>
          <w:rStyle w:val="Zstupntext"/>
          <w:b/>
          <w:color w:val="auto"/>
        </w:rPr>
      </w:pPr>
    </w:p>
    <w:p w:rsidR="008B50A1" w:rsidRPr="00EC00B8" w:rsidRDefault="008B50A1" w:rsidP="008B50A1">
      <w:pPr>
        <w:widowControl/>
        <w:spacing w:before="60" w:after="60"/>
        <w:jc w:val="both"/>
        <w:rPr>
          <w:rStyle w:val="Zstupntext"/>
          <w:b/>
          <w:color w:val="auto"/>
        </w:rPr>
      </w:pPr>
      <w:r w:rsidRPr="00EC00B8">
        <w:rPr>
          <w:rStyle w:val="Zstupntext"/>
          <w:b/>
          <w:color w:val="auto"/>
        </w:rPr>
        <w:t>K bodu 2</w:t>
      </w:r>
    </w:p>
    <w:p w:rsidR="008B50A1" w:rsidRPr="00EC00B8" w:rsidRDefault="008B50A1" w:rsidP="008B50A1">
      <w:pPr>
        <w:widowControl/>
        <w:spacing w:before="60" w:after="60" w:line="276" w:lineRule="auto"/>
        <w:jc w:val="both"/>
        <w:rPr>
          <w:rStyle w:val="Zstupntext"/>
          <w:color w:val="auto"/>
        </w:rPr>
      </w:pPr>
      <w:r w:rsidRPr="00EC00B8">
        <w:rPr>
          <w:rStyle w:val="Zstupntext"/>
          <w:color w:val="auto"/>
        </w:rPr>
        <w:t xml:space="preserve">Dopĺňa sa splnomocnenie ministerstva na vydanie všeobecne záväzného právneho predpisu ustanovujúceho podrobnosti o kritériách, spôsobe hodnotenia a prezentácií potravín registrovaných v registri potravín pre potravinový semafor.  </w:t>
      </w:r>
    </w:p>
    <w:p w:rsidR="008B50A1" w:rsidRDefault="008B50A1" w:rsidP="008B50A1">
      <w:pPr>
        <w:widowControl/>
        <w:spacing w:before="60" w:after="60"/>
        <w:jc w:val="both"/>
        <w:rPr>
          <w:rStyle w:val="Zstupntext"/>
          <w:color w:val="000000"/>
        </w:rPr>
      </w:pPr>
    </w:p>
    <w:p w:rsidR="008B50A1" w:rsidRPr="00F37744" w:rsidRDefault="008B50A1" w:rsidP="008B50A1">
      <w:pPr>
        <w:widowControl/>
        <w:spacing w:before="60" w:after="60"/>
        <w:jc w:val="both"/>
        <w:rPr>
          <w:rStyle w:val="Zstupntext"/>
          <w:color w:val="000000"/>
        </w:rPr>
      </w:pPr>
      <w:r>
        <w:rPr>
          <w:rStyle w:val="Zstupntext"/>
          <w:b/>
          <w:color w:val="000000"/>
        </w:rPr>
        <w:t>K Čl. II</w:t>
      </w:r>
    </w:p>
    <w:p w:rsidR="008B50A1" w:rsidRPr="00F37744" w:rsidRDefault="008B50A1" w:rsidP="008B50A1">
      <w:pPr>
        <w:widowControl/>
        <w:spacing w:before="60" w:after="60"/>
        <w:jc w:val="both"/>
        <w:rPr>
          <w:rStyle w:val="Zstupntext"/>
          <w:color w:val="000000"/>
        </w:rPr>
      </w:pPr>
      <w:r>
        <w:rPr>
          <w:rStyle w:val="Zstupntext"/>
          <w:color w:val="000000"/>
        </w:rPr>
        <w:t>Účinnosť zákona sa navrhuje od 1.januára 2021.</w:t>
      </w:r>
    </w:p>
    <w:p w:rsidR="008B50A1" w:rsidRDefault="008B50A1" w:rsidP="008B50A1">
      <w:pPr>
        <w:widowControl/>
        <w:spacing w:before="60" w:after="60"/>
        <w:jc w:val="both"/>
        <w:rPr>
          <w:rStyle w:val="Zstupntext"/>
          <w:color w:val="000000"/>
        </w:rPr>
      </w:pPr>
    </w:p>
    <w:p w:rsidR="008B50A1" w:rsidRDefault="008B50A1" w:rsidP="008B50A1">
      <w:pPr>
        <w:spacing w:before="60" w:after="60"/>
        <w:rPr>
          <w:rFonts w:ascii="Times New Roman" w:hAnsi="Times New Roman"/>
        </w:rPr>
      </w:pPr>
    </w:p>
    <w:p w:rsidR="006C4BE7" w:rsidRDefault="006C4BE7" w:rsidP="006C4BE7">
      <w:pPr>
        <w:pStyle w:val="Normlnywebov"/>
        <w:spacing w:before="0" w:beforeAutospacing="0" w:after="12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aps/>
          <w:spacing w:val="30"/>
        </w:rPr>
        <w:lastRenderedPageBreak/>
        <w:t>Doložka zlučiteľnosti</w:t>
      </w:r>
    </w:p>
    <w:p w:rsidR="006C4BE7" w:rsidRDefault="006C4BE7" w:rsidP="006C4BE7">
      <w:pPr>
        <w:pStyle w:val="Normlnywebov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právneho predpisu s právom Európskej únie </w:t>
      </w:r>
    </w:p>
    <w:p w:rsidR="006C4BE7" w:rsidRDefault="006C4BE7" w:rsidP="006C4BE7">
      <w:pPr>
        <w:pStyle w:val="Normlnywebov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6C4BE7" w:rsidRDefault="006C4BE7" w:rsidP="006C4BE7">
      <w:pPr>
        <w:pStyle w:val="Normlnywebov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F362EF" w:rsidRDefault="006C4BE7" w:rsidP="00337791">
      <w:pPr>
        <w:pStyle w:val="Normlnywebov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="Times New Roman" w:hAnsi="Times New Roman"/>
        </w:rPr>
      </w:pPr>
      <w:r w:rsidRPr="00337791">
        <w:rPr>
          <w:rFonts w:ascii="Times New Roman" w:hAnsi="Times New Roman"/>
          <w:b/>
          <w:bCs/>
        </w:rPr>
        <w:t>Predkladateľ právneho predpisu:</w:t>
      </w:r>
      <w:r w:rsidR="00AC6801">
        <w:rPr>
          <w:rFonts w:ascii="Times New Roman" w:hAnsi="Times New Roman"/>
        </w:rPr>
        <w:t xml:space="preserve"> </w:t>
      </w:r>
    </w:p>
    <w:p w:rsidR="00337791" w:rsidRPr="006309E7" w:rsidRDefault="00337791" w:rsidP="00F362EF">
      <w:pPr>
        <w:pStyle w:val="Normlnywebov"/>
        <w:spacing w:before="0" w:beforeAutospacing="0" w:after="0" w:afterAutospacing="0"/>
        <w:ind w:left="284"/>
        <w:jc w:val="both"/>
        <w:rPr>
          <w:rFonts w:ascii="Times New Roman" w:hAnsi="Times New Roman"/>
        </w:rPr>
      </w:pPr>
      <w:r w:rsidRPr="006309E7">
        <w:rPr>
          <w:rFonts w:ascii="Times New Roman" w:hAnsi="Times New Roman"/>
        </w:rPr>
        <w:t xml:space="preserve">Poslanec Národnej rady Slovenskej republiky </w:t>
      </w:r>
      <w:proofErr w:type="spellStart"/>
      <w:r w:rsidR="00F362EF" w:rsidRPr="006309E7">
        <w:rPr>
          <w:rFonts w:ascii="Times New Roman" w:hAnsi="Times New Roman"/>
        </w:rPr>
        <w:t>Patrick</w:t>
      </w:r>
      <w:proofErr w:type="spellEnd"/>
      <w:r w:rsidR="00F362EF" w:rsidRPr="006309E7">
        <w:rPr>
          <w:rFonts w:ascii="Times New Roman" w:hAnsi="Times New Roman"/>
        </w:rPr>
        <w:t xml:space="preserve"> </w:t>
      </w:r>
      <w:proofErr w:type="spellStart"/>
      <w:r w:rsidR="00F362EF" w:rsidRPr="006309E7">
        <w:rPr>
          <w:rFonts w:ascii="Times New Roman" w:hAnsi="Times New Roman"/>
        </w:rPr>
        <w:t>Linhart</w:t>
      </w:r>
      <w:proofErr w:type="spellEnd"/>
      <w:r w:rsidR="00F362EF" w:rsidRPr="006309E7">
        <w:rPr>
          <w:rFonts w:ascii="Times New Roman" w:hAnsi="Times New Roman"/>
        </w:rPr>
        <w:t>.</w:t>
      </w:r>
      <w:r w:rsidRPr="006309E7">
        <w:rPr>
          <w:rFonts w:ascii="Times New Roman" w:hAnsi="Times New Roman"/>
        </w:rPr>
        <w:t xml:space="preserve"> </w:t>
      </w:r>
    </w:p>
    <w:p w:rsidR="00337791" w:rsidRPr="006309E7" w:rsidRDefault="00337791" w:rsidP="00337791">
      <w:pPr>
        <w:pStyle w:val="Normlnywebov"/>
        <w:spacing w:before="0" w:beforeAutospacing="0" w:after="0" w:afterAutospacing="0"/>
        <w:ind w:left="284"/>
        <w:jc w:val="both"/>
        <w:rPr>
          <w:rFonts w:ascii="Times New Roman" w:hAnsi="Times New Roman"/>
        </w:rPr>
      </w:pPr>
    </w:p>
    <w:p w:rsidR="00F362EF" w:rsidRPr="00F362EF" w:rsidRDefault="006C4BE7" w:rsidP="00AC6801">
      <w:pPr>
        <w:pStyle w:val="Normlnywebov"/>
        <w:numPr>
          <w:ilvl w:val="0"/>
          <w:numId w:val="2"/>
        </w:numPr>
        <w:spacing w:before="0" w:beforeAutospacing="0" w:after="0" w:afterAutospacing="0"/>
        <w:ind w:left="284"/>
        <w:jc w:val="both"/>
        <w:rPr>
          <w:rFonts w:ascii="Times New Roman" w:hAnsi="Times New Roman"/>
          <w:color w:val="0070C0"/>
        </w:rPr>
      </w:pPr>
      <w:r w:rsidRPr="00337791">
        <w:rPr>
          <w:rFonts w:ascii="Times New Roman" w:hAnsi="Times New Roman"/>
          <w:b/>
          <w:bCs/>
        </w:rPr>
        <w:t>Názov návrhu právneho predpisu:</w:t>
      </w:r>
      <w:r w:rsidRPr="00337791">
        <w:rPr>
          <w:rFonts w:ascii="Times New Roman" w:hAnsi="Times New Roman"/>
        </w:rPr>
        <w:t xml:space="preserve"> </w:t>
      </w:r>
    </w:p>
    <w:p w:rsidR="00AC6801" w:rsidRPr="006309E7" w:rsidRDefault="006C4BE7" w:rsidP="00F362EF">
      <w:pPr>
        <w:pStyle w:val="Normlnywebov"/>
        <w:spacing w:before="0" w:beforeAutospacing="0" w:after="0" w:afterAutospacing="0"/>
        <w:ind w:left="284"/>
        <w:jc w:val="both"/>
        <w:rPr>
          <w:rFonts w:ascii="Times New Roman" w:hAnsi="Times New Roman"/>
          <w:color w:val="0070C0"/>
        </w:rPr>
      </w:pPr>
      <w:r w:rsidRPr="006309E7">
        <w:rPr>
          <w:rFonts w:ascii="Times New Roman" w:hAnsi="Times New Roman"/>
        </w:rPr>
        <w:t>Návrh zákona, ktorým sa mení a dopĺňa zákon Národnej rady Slovenskej republiky č. 152/1995 Z. z. o potravinách v znení neskorších predpisov</w:t>
      </w:r>
      <w:r w:rsidR="00AC6801" w:rsidRPr="006309E7">
        <w:rPr>
          <w:rFonts w:ascii="Times New Roman" w:hAnsi="Times New Roman"/>
        </w:rPr>
        <w:t xml:space="preserve">. </w:t>
      </w:r>
    </w:p>
    <w:p w:rsidR="00AC6801" w:rsidRPr="006309E7" w:rsidRDefault="00AC6801" w:rsidP="00AC6801">
      <w:pPr>
        <w:pStyle w:val="Odsekzoznamu"/>
        <w:rPr>
          <w:rFonts w:ascii="Times New Roman" w:hAnsi="Times New Roman"/>
        </w:rPr>
      </w:pPr>
    </w:p>
    <w:p w:rsidR="006C4BE7" w:rsidRPr="006309E7" w:rsidRDefault="006C4BE7" w:rsidP="006C4BE7">
      <w:pPr>
        <w:pStyle w:val="Normlnywebov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="Times New Roman" w:hAnsi="Times New Roman"/>
        </w:rPr>
      </w:pPr>
      <w:r w:rsidRPr="006309E7">
        <w:rPr>
          <w:rFonts w:ascii="Times New Roman" w:hAnsi="Times New Roman"/>
          <w:b/>
        </w:rPr>
        <w:t>Problematika návrhu právneho predpisu:</w:t>
      </w:r>
    </w:p>
    <w:p w:rsidR="006309E7" w:rsidRPr="006309E7" w:rsidRDefault="006309E7" w:rsidP="006309E7">
      <w:pPr>
        <w:pStyle w:val="Normlnywebov"/>
        <w:spacing w:before="0" w:beforeAutospacing="0" w:after="0" w:afterAutospacing="0"/>
        <w:ind w:left="284"/>
        <w:jc w:val="both"/>
        <w:rPr>
          <w:rFonts w:ascii="Times New Roman" w:hAnsi="Times New Roman"/>
        </w:rPr>
      </w:pPr>
    </w:p>
    <w:p w:rsidR="006309E7" w:rsidRPr="0066748C" w:rsidRDefault="006309E7" w:rsidP="006309E7">
      <w:pPr>
        <w:pStyle w:val="Odsekzoznamu"/>
        <w:widowControl/>
        <w:numPr>
          <w:ilvl w:val="0"/>
          <w:numId w:val="4"/>
        </w:numPr>
        <w:adjustRightInd/>
        <w:rPr>
          <w:rFonts w:ascii="Times New Roman" w:hAnsi="Times New Roman"/>
          <w:sz w:val="27"/>
          <w:szCs w:val="27"/>
        </w:rPr>
      </w:pPr>
      <w:r w:rsidRPr="006309E7">
        <w:rPr>
          <w:rFonts w:ascii="Times New Roman" w:hAnsi="Times New Roman"/>
        </w:rPr>
        <w:t>nie je upravená v práve Európskej únie</w:t>
      </w:r>
    </w:p>
    <w:p w:rsidR="0066748C" w:rsidRPr="006309E7" w:rsidRDefault="0066748C" w:rsidP="0066748C">
      <w:pPr>
        <w:pStyle w:val="Odsekzoznamu"/>
        <w:widowControl/>
        <w:adjustRightInd/>
        <w:rPr>
          <w:rFonts w:ascii="Times New Roman" w:hAnsi="Times New Roman"/>
          <w:sz w:val="27"/>
          <w:szCs w:val="27"/>
        </w:rPr>
      </w:pPr>
    </w:p>
    <w:p w:rsidR="006309E7" w:rsidRPr="006309E7" w:rsidRDefault="006309E7" w:rsidP="006309E7">
      <w:pPr>
        <w:pStyle w:val="Odsekzoznamu"/>
        <w:widowControl/>
        <w:numPr>
          <w:ilvl w:val="0"/>
          <w:numId w:val="4"/>
        </w:numPr>
        <w:adjustRightInd/>
        <w:rPr>
          <w:rFonts w:ascii="Times New Roman" w:hAnsi="Times New Roman"/>
          <w:color w:val="000000"/>
          <w:sz w:val="27"/>
          <w:szCs w:val="27"/>
        </w:rPr>
      </w:pPr>
      <w:r w:rsidRPr="006309E7">
        <w:rPr>
          <w:rFonts w:ascii="Times New Roman" w:hAnsi="Times New Roman"/>
          <w:color w:val="000000"/>
        </w:rPr>
        <w:t>nie je obsiahnutá v judikatúre Súdneho dvora Európskej únie.</w:t>
      </w:r>
    </w:p>
    <w:p w:rsidR="006C4BE7" w:rsidRDefault="006C4BE7" w:rsidP="006309E7">
      <w:pPr>
        <w:spacing w:before="60" w:after="60"/>
        <w:ind w:left="709" w:hanging="349"/>
        <w:rPr>
          <w:rFonts w:ascii="Times New Roman" w:hAnsi="Times New Roman"/>
          <w:color w:val="FF0000"/>
        </w:rPr>
      </w:pPr>
    </w:p>
    <w:p w:rsidR="00AC6801" w:rsidRPr="006309E7" w:rsidRDefault="006C4BE7" w:rsidP="00AC6801">
      <w:pPr>
        <w:pStyle w:val="Normlnywebov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="Times New Roman" w:hAnsi="Times New Roman"/>
        </w:rPr>
      </w:pPr>
      <w:r w:rsidRPr="006309E7">
        <w:rPr>
          <w:rFonts w:ascii="Times New Roman" w:hAnsi="Times New Roman"/>
          <w:b/>
        </w:rPr>
        <w:t xml:space="preserve">Záväzky Slovenskej republiky vo vzťahu k Európskej únii: </w:t>
      </w:r>
    </w:p>
    <w:p w:rsidR="00AC6801" w:rsidRDefault="0066748C" w:rsidP="00AC6801">
      <w:pPr>
        <w:pStyle w:val="Normlnywebov"/>
        <w:spacing w:before="0" w:beforeAutospacing="0" w:after="0" w:afterAutospacing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Bezpredmetné </w:t>
      </w:r>
    </w:p>
    <w:p w:rsidR="0066748C" w:rsidRPr="006309E7" w:rsidRDefault="0066748C" w:rsidP="00AC6801">
      <w:pPr>
        <w:pStyle w:val="Normlnywebov"/>
        <w:spacing w:before="0" w:beforeAutospacing="0" w:after="0" w:afterAutospacing="0"/>
        <w:ind w:left="284"/>
        <w:jc w:val="both"/>
        <w:rPr>
          <w:rFonts w:ascii="Times New Roman" w:hAnsi="Times New Roman"/>
          <w:b/>
          <w:color w:val="FF0000"/>
        </w:rPr>
      </w:pPr>
    </w:p>
    <w:p w:rsidR="006C4BE7" w:rsidRPr="00AC6801" w:rsidRDefault="006C4BE7" w:rsidP="00AC6801">
      <w:pPr>
        <w:pStyle w:val="Normlnywebov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="Times New Roman" w:hAnsi="Times New Roman"/>
          <w:color w:val="FF0000"/>
        </w:rPr>
      </w:pPr>
      <w:r w:rsidRPr="00AC6801">
        <w:rPr>
          <w:rFonts w:ascii="Times New Roman" w:hAnsi="Times New Roman"/>
          <w:b/>
        </w:rPr>
        <w:t>Stupeň zlučiteľnosti návrhu právneho predpisu s právom Európskej únie</w:t>
      </w:r>
      <w:r w:rsidRPr="00AC6801">
        <w:rPr>
          <w:rFonts w:ascii="Times New Roman" w:hAnsi="Times New Roman"/>
        </w:rPr>
        <w:t>:</w:t>
      </w:r>
    </w:p>
    <w:p w:rsidR="006C4BE7" w:rsidRPr="006309E7" w:rsidRDefault="00AC6801" w:rsidP="00AC6801">
      <w:pPr>
        <w:spacing w:before="60" w:after="60"/>
        <w:rPr>
          <w:rFonts w:ascii="Times New Roman" w:hAnsi="Times New Roman"/>
        </w:rPr>
      </w:pPr>
      <w:r w:rsidRPr="006309E7">
        <w:rPr>
          <w:rFonts w:ascii="Times New Roman" w:hAnsi="Times New Roman"/>
        </w:rPr>
        <w:t xml:space="preserve">    Stupeň zlučiteľnosti - úplný </w:t>
      </w:r>
    </w:p>
    <w:p w:rsidR="006C4BE7" w:rsidRPr="0005667E" w:rsidRDefault="006C4BE7" w:rsidP="006C4BE7">
      <w:pPr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  <w:r w:rsidRPr="006309E7">
        <w:rPr>
          <w:rStyle w:val="Zstupntext"/>
          <w:color w:val="000000"/>
        </w:rPr>
        <w:br w:type="page"/>
      </w:r>
      <w:r w:rsidRPr="0005667E">
        <w:rPr>
          <w:rFonts w:ascii="Times New Roman" w:hAnsi="Times New Roman"/>
          <w:b/>
          <w:bCs/>
          <w:caps/>
          <w:color w:val="000000"/>
          <w:spacing w:val="30"/>
        </w:rPr>
        <w:lastRenderedPageBreak/>
        <w:t>Doložka</w:t>
      </w:r>
    </w:p>
    <w:p w:rsidR="006C4BE7" w:rsidRPr="0005667E" w:rsidRDefault="006C4BE7" w:rsidP="006C4BE7">
      <w:pPr>
        <w:jc w:val="center"/>
        <w:rPr>
          <w:rFonts w:ascii="Times New Roman" w:hAnsi="Times New Roman"/>
          <w:b/>
          <w:bCs/>
          <w:color w:val="000000"/>
        </w:rPr>
      </w:pPr>
      <w:r w:rsidRPr="0005667E">
        <w:rPr>
          <w:rFonts w:ascii="Times New Roman" w:hAnsi="Times New Roman"/>
          <w:b/>
          <w:bCs/>
          <w:color w:val="000000"/>
        </w:rPr>
        <w:t>vybraných vplyvov</w:t>
      </w:r>
    </w:p>
    <w:p w:rsidR="006C4BE7" w:rsidRPr="0005667E" w:rsidRDefault="006C4BE7" w:rsidP="006C4BE7">
      <w:pPr>
        <w:rPr>
          <w:rFonts w:ascii="Times New Roman" w:hAnsi="Times New Roman"/>
          <w:color w:val="000000"/>
        </w:rPr>
      </w:pPr>
    </w:p>
    <w:p w:rsidR="006C4BE7" w:rsidRDefault="006C4BE7" w:rsidP="00AC6801">
      <w:pPr>
        <w:jc w:val="both"/>
      </w:pPr>
      <w:r w:rsidRPr="0005667E">
        <w:rPr>
          <w:rFonts w:ascii="Times New Roman" w:hAnsi="Times New Roman"/>
          <w:b/>
          <w:bCs/>
          <w:color w:val="000000"/>
        </w:rPr>
        <w:t xml:space="preserve">A.1. Názov materiálu: </w:t>
      </w:r>
      <w:r w:rsidRPr="0005667E">
        <w:rPr>
          <w:rFonts w:ascii="Times New Roman" w:hAnsi="Times New Roman"/>
          <w:color w:val="000000"/>
        </w:rPr>
        <w:t>Návrh zákona, ktorým sa mení a dopĺňa zákon Národnej rady Slovenskej republiky č. 152/1995 Z. z. o potravinách v znení neskorších predpisov</w:t>
      </w:r>
      <w:r w:rsidR="00AC6801">
        <w:rPr>
          <w:rFonts w:ascii="Times New Roman" w:hAnsi="Times New Roman"/>
          <w:color w:val="000000"/>
        </w:rPr>
        <w:t xml:space="preserve">. </w:t>
      </w:r>
      <w:r w:rsidR="00E94F49" w:rsidRPr="00E94F49">
        <w:t xml:space="preserve"> </w:t>
      </w:r>
    </w:p>
    <w:p w:rsidR="00AC6801" w:rsidRDefault="00AC6801" w:rsidP="00AC6801">
      <w:pPr>
        <w:jc w:val="both"/>
        <w:rPr>
          <w:rFonts w:ascii="Times New Roman" w:hAnsi="Times New Roman"/>
          <w:b/>
          <w:bCs/>
          <w:color w:val="000000"/>
        </w:rPr>
      </w:pPr>
    </w:p>
    <w:p w:rsidR="005772EC" w:rsidRPr="005772EC" w:rsidRDefault="006C4BE7" w:rsidP="005772EC">
      <w:pPr>
        <w:widowControl/>
        <w:adjustRightInd/>
        <w:spacing w:before="120" w:after="200" w:line="276" w:lineRule="auto"/>
        <w:jc w:val="both"/>
        <w:rPr>
          <w:rFonts w:ascii="Times New Roman" w:eastAsiaTheme="minorEastAsia" w:hAnsi="Times New Roman"/>
          <w:i/>
        </w:rPr>
      </w:pPr>
      <w:r w:rsidRPr="0005667E">
        <w:rPr>
          <w:rFonts w:ascii="Times New Roman" w:hAnsi="Times New Roman"/>
          <w:b/>
          <w:bCs/>
          <w:color w:val="000000"/>
        </w:rPr>
        <w:t>Termín začatia a ukončenia PPK:</w:t>
      </w:r>
      <w:r w:rsidRPr="0005667E">
        <w:rPr>
          <w:rFonts w:ascii="Times New Roman" w:hAnsi="Times New Roman"/>
          <w:color w:val="000000"/>
        </w:rPr>
        <w:t xml:space="preserve">   </w:t>
      </w:r>
      <w:r w:rsidR="005772EC" w:rsidRPr="005772EC">
        <w:rPr>
          <w:rFonts w:ascii="Times New Roman" w:eastAsiaTheme="minorEastAsia" w:hAnsi="Times New Roman"/>
          <w:i/>
        </w:rPr>
        <w:t>bezpredmetné</w:t>
      </w:r>
    </w:p>
    <w:p w:rsidR="006C4BE7" w:rsidRPr="0005667E" w:rsidRDefault="006C4BE7" w:rsidP="006C4BE7">
      <w:pPr>
        <w:jc w:val="both"/>
        <w:rPr>
          <w:rFonts w:ascii="Times New Roman" w:hAnsi="Times New Roman"/>
          <w:b/>
          <w:bCs/>
          <w:color w:val="000000"/>
        </w:rPr>
      </w:pPr>
    </w:p>
    <w:p w:rsidR="006C4BE7" w:rsidRPr="0005667E" w:rsidRDefault="006C4BE7" w:rsidP="006C4BE7">
      <w:pPr>
        <w:jc w:val="both"/>
        <w:rPr>
          <w:rFonts w:ascii="Times New Roman" w:hAnsi="Times New Roman"/>
          <w:b/>
          <w:bCs/>
          <w:color w:val="000000"/>
        </w:rPr>
      </w:pPr>
      <w:r w:rsidRPr="0005667E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8"/>
        <w:gridCol w:w="1202"/>
        <w:gridCol w:w="1202"/>
        <w:gridCol w:w="1202"/>
      </w:tblGrid>
      <w:tr w:rsidR="006C4BE7" w:rsidTr="005772EC"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4BE7" w:rsidRPr="0005667E" w:rsidRDefault="006C4BE7" w:rsidP="004D1B0B">
            <w:pPr>
              <w:widowControl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4BE7" w:rsidRPr="0005667E" w:rsidRDefault="006C4BE7" w:rsidP="004D1B0B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 w:rsidRPr="0005667E">
              <w:rPr>
                <w:rFonts w:ascii="Times New Roman" w:hAnsi="Times New Roman"/>
                <w:color w:val="000000"/>
              </w:rPr>
              <w:t>Pozitívne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4BE7" w:rsidRPr="0005667E" w:rsidRDefault="006C4BE7" w:rsidP="004D1B0B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 w:rsidRPr="0005667E">
              <w:rPr>
                <w:rFonts w:ascii="Times New Roman" w:hAnsi="Times New Roman"/>
                <w:color w:val="000000"/>
              </w:rPr>
              <w:t>Žiadne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4BE7" w:rsidRPr="0005667E" w:rsidRDefault="006C4BE7" w:rsidP="004D1B0B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 w:rsidRPr="0005667E">
              <w:rPr>
                <w:rFonts w:ascii="Times New Roman" w:hAnsi="Times New Roman"/>
                <w:color w:val="000000"/>
              </w:rPr>
              <w:t>Negatívne</w:t>
            </w:r>
          </w:p>
        </w:tc>
      </w:tr>
      <w:tr w:rsidR="006C4BE7" w:rsidTr="005772EC"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4BE7" w:rsidRPr="0005667E" w:rsidRDefault="006C4BE7" w:rsidP="004D1B0B">
            <w:pPr>
              <w:widowControl/>
              <w:rPr>
                <w:rFonts w:ascii="Times New Roman" w:hAnsi="Times New Roman"/>
                <w:color w:val="000000"/>
              </w:rPr>
            </w:pPr>
            <w:r w:rsidRPr="0005667E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4BE7" w:rsidRPr="0005667E" w:rsidRDefault="006C4BE7" w:rsidP="004D1B0B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4BE7" w:rsidRPr="00AC6801" w:rsidRDefault="00AC6801" w:rsidP="004D1B0B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 w:rsidRPr="00AC6801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4BE7" w:rsidRPr="0005667E" w:rsidRDefault="006C4BE7" w:rsidP="004D1B0B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C4BE7" w:rsidTr="005772EC"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4BE7" w:rsidRPr="0005667E" w:rsidRDefault="006C4BE7" w:rsidP="004D1B0B">
            <w:pPr>
              <w:widowControl/>
              <w:rPr>
                <w:rFonts w:ascii="Times New Roman" w:hAnsi="Times New Roman"/>
              </w:rPr>
            </w:pPr>
            <w:r w:rsidRPr="0005667E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4BE7" w:rsidRPr="0005667E" w:rsidRDefault="006C4BE7" w:rsidP="004D1B0B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4BE7" w:rsidRPr="00AC6801" w:rsidRDefault="00AC6801" w:rsidP="004D1B0B">
            <w:pPr>
              <w:widowControl/>
              <w:jc w:val="center"/>
              <w:rPr>
                <w:rFonts w:ascii="Times New Roman" w:hAnsi="Times New Roman"/>
              </w:rPr>
            </w:pPr>
            <w:r w:rsidRPr="00AC6801">
              <w:rPr>
                <w:rFonts w:ascii="Times New Roman" w:hAnsi="Times New Roman"/>
              </w:rPr>
              <w:t>x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4BE7" w:rsidRPr="0005667E" w:rsidRDefault="006C4BE7" w:rsidP="004D1B0B">
            <w:pPr>
              <w:widowControl/>
              <w:jc w:val="center"/>
              <w:rPr>
                <w:rFonts w:ascii="Times New Roman" w:hAnsi="Times New Roman"/>
                <w:dstrike/>
              </w:rPr>
            </w:pPr>
          </w:p>
        </w:tc>
      </w:tr>
      <w:tr w:rsidR="005772EC" w:rsidTr="00056F54">
        <w:trPr>
          <w:trHeight w:val="1380"/>
        </w:trPr>
        <w:tc>
          <w:tcPr>
            <w:tcW w:w="573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72EC" w:rsidRPr="0005667E" w:rsidRDefault="005772EC" w:rsidP="004D1B0B">
            <w:pPr>
              <w:widowControl/>
              <w:rPr>
                <w:rFonts w:ascii="Times New Roman" w:hAnsi="Times New Roman"/>
                <w:color w:val="000000"/>
              </w:rPr>
            </w:pPr>
            <w:r w:rsidRPr="0005667E">
              <w:rPr>
                <w:rFonts w:ascii="Times New Roman" w:hAnsi="Times New Roman"/>
                <w:color w:val="000000"/>
              </w:rPr>
              <w:t>3. Sociálne vplyvy</w:t>
            </w:r>
          </w:p>
          <w:p w:rsidR="005772EC" w:rsidRPr="0005667E" w:rsidRDefault="005772EC" w:rsidP="004D1B0B">
            <w:pPr>
              <w:rPr>
                <w:rFonts w:ascii="Times New Roman" w:hAnsi="Times New Roman"/>
                <w:color w:val="000000"/>
              </w:rPr>
            </w:pPr>
            <w:r w:rsidRPr="0005667E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  <w:p w:rsidR="005772EC" w:rsidRPr="0005667E" w:rsidRDefault="005772EC" w:rsidP="004D1B0B">
            <w:pPr>
              <w:rPr>
                <w:rFonts w:ascii="Times New Roman" w:hAnsi="Times New Roman"/>
                <w:color w:val="000000"/>
              </w:rPr>
            </w:pPr>
            <w:r w:rsidRPr="0005667E">
              <w:rPr>
                <w:rFonts w:ascii="Times New Roman" w:hAnsi="Times New Roman"/>
                <w:color w:val="000000"/>
              </w:rPr>
              <w:t xml:space="preserve">– sociálnu </w:t>
            </w:r>
            <w:proofErr w:type="spellStart"/>
            <w:r w:rsidRPr="0005667E">
              <w:rPr>
                <w:rFonts w:ascii="Times New Roman" w:hAnsi="Times New Roman"/>
                <w:color w:val="000000"/>
              </w:rPr>
              <w:t>exklúziu</w:t>
            </w:r>
            <w:proofErr w:type="spellEnd"/>
            <w:r w:rsidRPr="0005667E">
              <w:rPr>
                <w:rFonts w:ascii="Times New Roman" w:hAnsi="Times New Roman"/>
                <w:color w:val="000000"/>
              </w:rPr>
              <w:t>,</w:t>
            </w:r>
          </w:p>
          <w:p w:rsidR="005772EC" w:rsidRPr="0005667E" w:rsidRDefault="005772EC" w:rsidP="004D1B0B">
            <w:pPr>
              <w:rPr>
                <w:rFonts w:ascii="Times New Roman" w:hAnsi="Times New Roman"/>
                <w:color w:val="000000"/>
              </w:rPr>
            </w:pPr>
            <w:r w:rsidRPr="0005667E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72EC" w:rsidRPr="0005667E" w:rsidRDefault="005772EC" w:rsidP="004D1B0B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72EC" w:rsidRPr="00AC6801" w:rsidRDefault="005772EC" w:rsidP="004D1B0B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  <w:p w:rsidR="005772EC" w:rsidRPr="00AC6801" w:rsidRDefault="005772EC" w:rsidP="004D1B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6801">
              <w:rPr>
                <w:rFonts w:ascii="Times New Roman" w:hAnsi="Times New Roman"/>
                <w:color w:val="000000"/>
              </w:rPr>
              <w:t>x</w:t>
            </w:r>
          </w:p>
          <w:p w:rsidR="005772EC" w:rsidRPr="00AC6801" w:rsidRDefault="005772EC" w:rsidP="004D1B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6801">
              <w:rPr>
                <w:rFonts w:ascii="Times New Roman" w:hAnsi="Times New Roman"/>
                <w:color w:val="000000"/>
              </w:rPr>
              <w:t>x</w:t>
            </w:r>
          </w:p>
          <w:p w:rsidR="005772EC" w:rsidRPr="00AC6801" w:rsidRDefault="005772EC" w:rsidP="004D1B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6801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72EC" w:rsidRPr="0005667E" w:rsidRDefault="005772EC" w:rsidP="004D1B0B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C4BE7" w:rsidTr="005772EC"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4BE7" w:rsidRPr="0005667E" w:rsidRDefault="006C4BE7" w:rsidP="004D1B0B">
            <w:pPr>
              <w:widowControl/>
              <w:rPr>
                <w:rFonts w:ascii="Times New Roman" w:hAnsi="Times New Roman"/>
                <w:color w:val="000000"/>
              </w:rPr>
            </w:pPr>
            <w:r w:rsidRPr="0005667E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4BE7" w:rsidRPr="0005667E" w:rsidRDefault="006C4BE7" w:rsidP="004D1B0B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4BE7" w:rsidRPr="00AC6801" w:rsidRDefault="00AC6801" w:rsidP="004D1B0B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 w:rsidRPr="00AC6801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4BE7" w:rsidRPr="0005667E" w:rsidRDefault="006C4BE7" w:rsidP="004D1B0B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C4BE7" w:rsidTr="005772EC"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4BE7" w:rsidRPr="0005667E" w:rsidRDefault="006C4BE7" w:rsidP="004D1B0B">
            <w:pPr>
              <w:widowControl/>
              <w:rPr>
                <w:rFonts w:ascii="Times New Roman" w:hAnsi="Times New Roman"/>
              </w:rPr>
            </w:pPr>
            <w:r w:rsidRPr="0005667E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4BE7" w:rsidRPr="0005667E" w:rsidRDefault="006C4BE7" w:rsidP="004D1B0B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4BE7" w:rsidRPr="00AC6801" w:rsidRDefault="00AC6801" w:rsidP="004D1B0B">
            <w:pPr>
              <w:widowControl/>
              <w:jc w:val="center"/>
              <w:rPr>
                <w:rFonts w:ascii="Times New Roman" w:hAnsi="Times New Roman"/>
              </w:rPr>
            </w:pPr>
            <w:r w:rsidRPr="00AC6801">
              <w:rPr>
                <w:rFonts w:ascii="Times New Roman" w:hAnsi="Times New Roman"/>
              </w:rPr>
              <w:t>x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4BE7" w:rsidRPr="0005667E" w:rsidRDefault="006C4BE7" w:rsidP="004D1B0B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6B0773" w:rsidTr="005772EC"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773" w:rsidRPr="0005667E" w:rsidRDefault="006B0773" w:rsidP="004D1B0B">
            <w:pPr>
              <w:widowControl/>
              <w:rPr>
                <w:rFonts w:ascii="Times New Roman" w:hAnsi="Times New Roman"/>
              </w:rPr>
            </w:pPr>
            <w:r w:rsidRPr="006B0773">
              <w:rPr>
                <w:rFonts w:ascii="Times New Roman" w:hAnsi="Times New Roman"/>
              </w:rPr>
              <w:t>6. Vplyvy na manželstvo, rodičovstvo a rodinu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773" w:rsidRPr="0005667E" w:rsidRDefault="006B0773" w:rsidP="004D1B0B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773" w:rsidRPr="00AC6801" w:rsidRDefault="006B0773" w:rsidP="004D1B0B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773" w:rsidRPr="0005667E" w:rsidRDefault="006B0773" w:rsidP="004D1B0B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</w:tbl>
    <w:p w:rsidR="006C4BE7" w:rsidRDefault="006C4BE7" w:rsidP="006C4BE7">
      <w:pPr>
        <w:jc w:val="both"/>
        <w:rPr>
          <w:rFonts w:ascii="Times New Roman" w:hAnsi="Times New Roman"/>
          <w:b/>
          <w:bCs/>
          <w:color w:val="000000"/>
        </w:rPr>
      </w:pPr>
    </w:p>
    <w:p w:rsidR="00DB0BDA" w:rsidRDefault="00DB0BDA" w:rsidP="006C4BE7">
      <w:pPr>
        <w:jc w:val="both"/>
        <w:rPr>
          <w:rFonts w:ascii="Times New Roman" w:hAnsi="Times New Roman"/>
          <w:b/>
          <w:bCs/>
          <w:color w:val="000000"/>
        </w:rPr>
      </w:pPr>
      <w:r>
        <w:rPr>
          <w:rStyle w:val="awspan1"/>
          <w:sz w:val="16"/>
          <w:szCs w:val="16"/>
        </w:rPr>
        <w:t>*</w:t>
      </w:r>
      <w:r>
        <w:rPr>
          <w:rStyle w:val="awspan1"/>
          <w:spacing w:val="25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Predkladateľ</w:t>
      </w:r>
      <w:r>
        <w:rPr>
          <w:rStyle w:val="awspan1"/>
          <w:spacing w:val="25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označí</w:t>
      </w:r>
      <w:r>
        <w:rPr>
          <w:rStyle w:val="awspan1"/>
          <w:spacing w:val="25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znakom</w:t>
      </w:r>
      <w:r>
        <w:rPr>
          <w:rStyle w:val="awspan1"/>
          <w:spacing w:val="25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x</w:t>
      </w:r>
      <w:r>
        <w:rPr>
          <w:rStyle w:val="awspan1"/>
          <w:spacing w:val="25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zodpovedajúci</w:t>
      </w:r>
      <w:r>
        <w:rPr>
          <w:rStyle w:val="awspan1"/>
          <w:spacing w:val="25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vplyv</w:t>
      </w:r>
      <w:r>
        <w:rPr>
          <w:rStyle w:val="awspan1"/>
          <w:spacing w:val="25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(pozitívny,</w:t>
      </w:r>
      <w:r>
        <w:rPr>
          <w:rStyle w:val="awspan1"/>
          <w:spacing w:val="25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negatívny,</w:t>
      </w:r>
      <w:r>
        <w:rPr>
          <w:rStyle w:val="awspan1"/>
          <w:spacing w:val="25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žiadny),</w:t>
      </w:r>
      <w:r>
        <w:rPr>
          <w:rStyle w:val="awspan1"/>
          <w:spacing w:val="25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ktorý</w:t>
      </w:r>
      <w:r>
        <w:rPr>
          <w:rStyle w:val="awspan1"/>
          <w:spacing w:val="25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návrh</w:t>
      </w:r>
      <w:r>
        <w:rPr>
          <w:rStyle w:val="awspan1"/>
          <w:spacing w:val="25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prináša</w:t>
      </w:r>
      <w:r>
        <w:rPr>
          <w:rStyle w:val="awspan1"/>
          <w:spacing w:val="25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v každej</w:t>
      </w:r>
      <w:r>
        <w:rPr>
          <w:rStyle w:val="awspan1"/>
          <w:spacing w:val="25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oblasti</w:t>
      </w:r>
      <w:r>
        <w:rPr>
          <w:rStyle w:val="awspan1"/>
          <w:spacing w:val="25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posudzovania vplyvov.</w:t>
      </w:r>
      <w:r>
        <w:rPr>
          <w:rStyle w:val="awspan1"/>
          <w:spacing w:val="14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Návrh</w:t>
      </w:r>
      <w:r>
        <w:rPr>
          <w:rStyle w:val="awspan1"/>
          <w:spacing w:val="14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môže</w:t>
      </w:r>
      <w:r>
        <w:rPr>
          <w:rStyle w:val="awspan1"/>
          <w:spacing w:val="14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mať</w:t>
      </w:r>
      <w:r>
        <w:rPr>
          <w:rStyle w:val="awspan1"/>
          <w:spacing w:val="14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v jednej</w:t>
      </w:r>
      <w:r>
        <w:rPr>
          <w:rStyle w:val="awspan1"/>
          <w:spacing w:val="14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oblasti</w:t>
      </w:r>
      <w:r>
        <w:rPr>
          <w:rStyle w:val="awspan1"/>
          <w:spacing w:val="14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zároveň</w:t>
      </w:r>
      <w:r>
        <w:rPr>
          <w:rStyle w:val="awspan1"/>
          <w:spacing w:val="14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pozitívny</w:t>
      </w:r>
      <w:r>
        <w:rPr>
          <w:rStyle w:val="awspan1"/>
          <w:spacing w:val="14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aj</w:t>
      </w:r>
      <w:r>
        <w:rPr>
          <w:rStyle w:val="awspan1"/>
          <w:spacing w:val="14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negatívny</w:t>
      </w:r>
      <w:r>
        <w:rPr>
          <w:rStyle w:val="awspan1"/>
          <w:spacing w:val="14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vplyv,</w:t>
      </w:r>
      <w:r>
        <w:rPr>
          <w:rStyle w:val="awspan1"/>
          <w:spacing w:val="14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v tom</w:t>
      </w:r>
      <w:r>
        <w:rPr>
          <w:rStyle w:val="awspan1"/>
          <w:spacing w:val="14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prípade</w:t>
      </w:r>
      <w:r>
        <w:rPr>
          <w:rStyle w:val="awspan1"/>
          <w:spacing w:val="14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predkladateľ</w:t>
      </w:r>
      <w:r>
        <w:rPr>
          <w:rStyle w:val="awspan1"/>
          <w:spacing w:val="14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označí</w:t>
      </w:r>
      <w:r>
        <w:rPr>
          <w:rStyle w:val="awspan1"/>
          <w:spacing w:val="14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obe</w:t>
      </w:r>
      <w:r>
        <w:rPr>
          <w:rStyle w:val="awspan1"/>
          <w:spacing w:val="14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možnosti.</w:t>
      </w:r>
      <w:r>
        <w:rPr>
          <w:rStyle w:val="awspan1"/>
          <w:spacing w:val="14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Bližšie vysvetlenie</w:t>
      </w:r>
      <w:r>
        <w:rPr>
          <w:rStyle w:val="awspan1"/>
          <w:spacing w:val="10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označených</w:t>
      </w:r>
      <w:r>
        <w:rPr>
          <w:rStyle w:val="awspan1"/>
          <w:spacing w:val="10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vplyvov</w:t>
      </w:r>
      <w:r>
        <w:rPr>
          <w:rStyle w:val="awspan1"/>
          <w:spacing w:val="10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bude</w:t>
      </w:r>
      <w:r>
        <w:rPr>
          <w:rStyle w:val="awspan1"/>
          <w:spacing w:val="10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obsahovať</w:t>
      </w:r>
      <w:r>
        <w:rPr>
          <w:rStyle w:val="awspan1"/>
          <w:spacing w:val="10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analýza</w:t>
      </w:r>
      <w:r>
        <w:rPr>
          <w:rStyle w:val="awspan1"/>
          <w:spacing w:val="10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vplyvov.</w:t>
      </w:r>
      <w:r>
        <w:rPr>
          <w:rStyle w:val="awspan1"/>
          <w:spacing w:val="10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Isté</w:t>
      </w:r>
      <w:r>
        <w:rPr>
          <w:rStyle w:val="awspan1"/>
          <w:spacing w:val="10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vysvetlenie,</w:t>
      </w:r>
      <w:r>
        <w:rPr>
          <w:rStyle w:val="awspan1"/>
          <w:spacing w:val="10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či</w:t>
      </w:r>
      <w:r>
        <w:rPr>
          <w:rStyle w:val="awspan1"/>
          <w:spacing w:val="10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bilanciu</w:t>
      </w:r>
      <w:r>
        <w:rPr>
          <w:rStyle w:val="awspan1"/>
          <w:spacing w:val="10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vplyvov</w:t>
      </w:r>
      <w:r>
        <w:rPr>
          <w:rStyle w:val="awspan1"/>
          <w:spacing w:val="10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(sumárne</w:t>
      </w:r>
      <w:r>
        <w:rPr>
          <w:rStyle w:val="awspan1"/>
          <w:spacing w:val="10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zhodnotenie,</w:t>
      </w:r>
      <w:r>
        <w:rPr>
          <w:rStyle w:val="awspan1"/>
          <w:spacing w:val="10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ktorý</w:t>
      </w:r>
      <w:r>
        <w:rPr>
          <w:rStyle w:val="awspan1"/>
          <w:spacing w:val="10"/>
          <w:sz w:val="16"/>
          <w:szCs w:val="16"/>
        </w:rPr>
        <w:t xml:space="preserve"> </w:t>
      </w:r>
      <w:r>
        <w:rPr>
          <w:rStyle w:val="awspan1"/>
          <w:sz w:val="16"/>
          <w:szCs w:val="16"/>
        </w:rPr>
        <w:t>vplyv v danej oblasti prevažuje) môže predkladateľ uviesť v poznámke.</w:t>
      </w:r>
    </w:p>
    <w:p w:rsidR="00DB0BDA" w:rsidRDefault="00DB0BDA" w:rsidP="006C4BE7">
      <w:pPr>
        <w:jc w:val="both"/>
        <w:rPr>
          <w:rFonts w:ascii="Times New Roman" w:hAnsi="Times New Roman"/>
          <w:b/>
          <w:bCs/>
          <w:color w:val="000000"/>
        </w:rPr>
      </w:pPr>
    </w:p>
    <w:p w:rsidR="006C4BE7" w:rsidRDefault="006C4BE7" w:rsidP="006C4BE7">
      <w:pPr>
        <w:jc w:val="both"/>
        <w:rPr>
          <w:rFonts w:ascii="Times New Roman" w:hAnsi="Times New Roman"/>
          <w:b/>
          <w:bCs/>
          <w:color w:val="000000"/>
        </w:rPr>
      </w:pPr>
      <w:r w:rsidRPr="0005667E">
        <w:rPr>
          <w:rFonts w:ascii="Times New Roman" w:hAnsi="Times New Roman"/>
          <w:b/>
          <w:bCs/>
          <w:color w:val="000000"/>
        </w:rPr>
        <w:t>A.3. Poznámky</w:t>
      </w:r>
    </w:p>
    <w:p w:rsidR="00DB0BDA" w:rsidRDefault="00DB0BDA" w:rsidP="006C4BE7">
      <w:pPr>
        <w:jc w:val="both"/>
        <w:rPr>
          <w:rFonts w:ascii="Times New Roman" w:hAnsi="Times New Roman"/>
          <w:b/>
          <w:bCs/>
          <w:color w:val="000000"/>
        </w:rPr>
      </w:pPr>
    </w:p>
    <w:p w:rsidR="00DB0BDA" w:rsidRDefault="00DB0BDA" w:rsidP="006C4BE7">
      <w:pPr>
        <w:jc w:val="both"/>
        <w:rPr>
          <w:rFonts w:ascii="Times New Roman" w:hAnsi="Times New Roman"/>
          <w:b/>
          <w:bCs/>
          <w:color w:val="000000"/>
        </w:rPr>
      </w:pPr>
    </w:p>
    <w:p w:rsidR="006C4BE7" w:rsidRDefault="006C4BE7" w:rsidP="006C4BE7">
      <w:pPr>
        <w:jc w:val="both"/>
        <w:rPr>
          <w:rFonts w:ascii="Times New Roman" w:hAnsi="Times New Roman"/>
          <w:b/>
          <w:bCs/>
          <w:color w:val="000000"/>
        </w:rPr>
      </w:pPr>
      <w:r w:rsidRPr="0005667E">
        <w:rPr>
          <w:rFonts w:ascii="Times New Roman" w:hAnsi="Times New Roman"/>
          <w:b/>
          <w:bCs/>
          <w:color w:val="000000"/>
        </w:rPr>
        <w:t>A.4. Alternatívne riešenia</w:t>
      </w:r>
    </w:p>
    <w:p w:rsidR="005772EC" w:rsidRPr="005772EC" w:rsidRDefault="005772EC" w:rsidP="005772EC">
      <w:pPr>
        <w:widowControl/>
        <w:adjustRightInd/>
        <w:spacing w:before="120" w:after="200" w:line="276" w:lineRule="auto"/>
        <w:jc w:val="both"/>
        <w:rPr>
          <w:rFonts w:ascii="Times New Roman" w:eastAsiaTheme="minorEastAsia" w:hAnsi="Times New Roman"/>
          <w:i/>
        </w:rPr>
      </w:pPr>
      <w:r w:rsidRPr="005772EC">
        <w:rPr>
          <w:rFonts w:ascii="Times New Roman" w:eastAsiaTheme="minorEastAsia" w:hAnsi="Times New Roman"/>
          <w:i/>
        </w:rPr>
        <w:t>bezpredmetné</w:t>
      </w:r>
    </w:p>
    <w:p w:rsidR="006C4BE7" w:rsidRDefault="006C4BE7" w:rsidP="006C4BE7">
      <w:pPr>
        <w:jc w:val="both"/>
        <w:rPr>
          <w:rFonts w:ascii="Times New Roman" w:hAnsi="Times New Roman"/>
          <w:b/>
          <w:bCs/>
          <w:color w:val="000000"/>
        </w:rPr>
      </w:pPr>
      <w:r w:rsidRPr="0005667E">
        <w:rPr>
          <w:rFonts w:ascii="Times New Roman" w:hAnsi="Times New Roman"/>
          <w:b/>
          <w:bCs/>
          <w:color w:val="000000"/>
        </w:rPr>
        <w:t>A.5. Stanovisko gestorov</w:t>
      </w:r>
    </w:p>
    <w:p w:rsidR="005772EC" w:rsidRPr="005772EC" w:rsidRDefault="005772EC" w:rsidP="005772EC">
      <w:pPr>
        <w:widowControl/>
        <w:adjustRightInd/>
        <w:spacing w:before="120" w:line="276" w:lineRule="auto"/>
        <w:jc w:val="both"/>
        <w:rPr>
          <w:rFonts w:ascii="Times New Roman" w:hAnsi="Times New Roman"/>
        </w:rPr>
      </w:pPr>
      <w:r w:rsidRPr="005772EC">
        <w:rPr>
          <w:rFonts w:ascii="Times New Roman" w:hAnsi="Times New Roman"/>
          <w:i/>
          <w:iCs/>
        </w:rPr>
        <w:t xml:space="preserve">Návrh zákona bol zaslaný na vyjadrenie Ministerstvu financií SR. </w:t>
      </w:r>
    </w:p>
    <w:p w:rsidR="00B05AF0" w:rsidRDefault="0013150F"/>
    <w:sectPr w:rsidR="00B05AF0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50F" w:rsidRDefault="0013150F">
      <w:r>
        <w:separator/>
      </w:r>
    </w:p>
  </w:endnote>
  <w:endnote w:type="continuationSeparator" w:id="0">
    <w:p w:rsidR="0013150F" w:rsidRDefault="0013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D65" w:rsidRDefault="004A142C">
    <w:pPr>
      <w:pStyle w:val="Pta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EC00B8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FA6D65" w:rsidRDefault="0013150F">
    <w:pPr>
      <w:pStyle w:val="Pt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50F" w:rsidRDefault="0013150F">
      <w:r>
        <w:separator/>
      </w:r>
    </w:p>
  </w:footnote>
  <w:footnote w:type="continuationSeparator" w:id="0">
    <w:p w:rsidR="0013150F" w:rsidRDefault="00131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55489"/>
    <w:multiLevelType w:val="hybridMultilevel"/>
    <w:tmpl w:val="EE4A476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45116"/>
    <w:multiLevelType w:val="hybridMultilevel"/>
    <w:tmpl w:val="FC38A22C"/>
    <w:lvl w:ilvl="0" w:tplc="F2BA88C8">
      <w:start w:val="1"/>
      <w:numFmt w:val="lowerLetter"/>
      <w:lvlText w:val="%1)"/>
      <w:lvlJc w:val="left"/>
      <w:pPr>
        <w:ind w:left="1065" w:hanging="705"/>
      </w:pPr>
      <w:rPr>
        <w:rFonts w:hint="default"/>
        <w:color w:val="FF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0680"/>
    <w:multiLevelType w:val="hybridMultilevel"/>
    <w:tmpl w:val="2464561E"/>
    <w:lvl w:ilvl="0" w:tplc="0D306BA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5A84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03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AB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87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DE9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C0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EC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70D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75D54"/>
    <w:multiLevelType w:val="hybridMultilevel"/>
    <w:tmpl w:val="85EC4106"/>
    <w:lvl w:ilvl="0" w:tplc="09206904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32D81"/>
    <w:multiLevelType w:val="hybridMultilevel"/>
    <w:tmpl w:val="720A6F08"/>
    <w:lvl w:ilvl="0" w:tplc="F55664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auto"/>
        <w:rtl w:val="0"/>
        <w:cs w:val="0"/>
      </w:rPr>
    </w:lvl>
    <w:lvl w:ilvl="1" w:tplc="E2D4849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BB0535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1B2272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2A0933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E72D2D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EFC0CD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B3C225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FD21BB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E7"/>
    <w:rsid w:val="00002149"/>
    <w:rsid w:val="0005033E"/>
    <w:rsid w:val="0013150F"/>
    <w:rsid w:val="0028101C"/>
    <w:rsid w:val="002820D8"/>
    <w:rsid w:val="00337791"/>
    <w:rsid w:val="004104C4"/>
    <w:rsid w:val="0041508A"/>
    <w:rsid w:val="004A142C"/>
    <w:rsid w:val="004F14ED"/>
    <w:rsid w:val="005060B7"/>
    <w:rsid w:val="00563C00"/>
    <w:rsid w:val="0056596B"/>
    <w:rsid w:val="005772EC"/>
    <w:rsid w:val="006309E7"/>
    <w:rsid w:val="00643414"/>
    <w:rsid w:val="0066748C"/>
    <w:rsid w:val="00667E22"/>
    <w:rsid w:val="0067043B"/>
    <w:rsid w:val="006B0773"/>
    <w:rsid w:val="006C1549"/>
    <w:rsid w:val="006C4BE7"/>
    <w:rsid w:val="00735458"/>
    <w:rsid w:val="007701DC"/>
    <w:rsid w:val="008751D5"/>
    <w:rsid w:val="008A48CD"/>
    <w:rsid w:val="008B50A1"/>
    <w:rsid w:val="009B59B4"/>
    <w:rsid w:val="00A01113"/>
    <w:rsid w:val="00AC6801"/>
    <w:rsid w:val="00AE3DE7"/>
    <w:rsid w:val="00C4789E"/>
    <w:rsid w:val="00D02CAB"/>
    <w:rsid w:val="00D63B0A"/>
    <w:rsid w:val="00DB0BDA"/>
    <w:rsid w:val="00E94F49"/>
    <w:rsid w:val="00EC00B8"/>
    <w:rsid w:val="00F038EE"/>
    <w:rsid w:val="00F362EF"/>
    <w:rsid w:val="00F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2092"/>
  <w15:chartTrackingRefBased/>
  <w15:docId w15:val="{D9B52121-857F-4D45-BC1A-785C00BD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4BE7"/>
    <w:pPr>
      <w:widowControl w:val="0"/>
      <w:adjustRightInd w:val="0"/>
      <w:spacing w:line="240" w:lineRule="auto"/>
    </w:pPr>
    <w:rPr>
      <w:rFonts w:ascii="Calibri" w:eastAsia="Times New Roman" w:hAnsi="Calibri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C4BE7"/>
    <w:rPr>
      <w:rFonts w:ascii="Times New Roman" w:hAnsi="Times New Roman" w:cs="Times New Roman"/>
      <w:color w:val="808080"/>
      <w:rtl w:val="0"/>
      <w:cs w:val="0"/>
    </w:rPr>
  </w:style>
  <w:style w:type="paragraph" w:styleId="Normlnywebov">
    <w:name w:val="Normal (Web)"/>
    <w:aliases w:val="webb"/>
    <w:basedOn w:val="Normlny"/>
    <w:uiPriority w:val="99"/>
    <w:unhideWhenUsed/>
    <w:rsid w:val="006C4BE7"/>
    <w:pPr>
      <w:widowControl/>
      <w:adjustRightInd/>
      <w:spacing w:before="100" w:beforeAutospacing="1" w:after="100" w:afterAutospacing="1"/>
    </w:pPr>
  </w:style>
  <w:style w:type="paragraph" w:styleId="Zkladntext">
    <w:name w:val="Body Text"/>
    <w:basedOn w:val="Normlny"/>
    <w:link w:val="ZkladntextChar"/>
    <w:uiPriority w:val="99"/>
    <w:rsid w:val="006C4BE7"/>
    <w:pPr>
      <w:keepNext/>
      <w:widowControl/>
      <w:adjustRightInd/>
      <w:jc w:val="both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uiPriority w:val="99"/>
    <w:rsid w:val="006C4BE7"/>
    <w:rPr>
      <w:rFonts w:ascii="Calibri" w:eastAsia="Times New Roman" w:hAnsi="Calibri" w:cs="Times New Roman"/>
      <w:b/>
      <w:bCs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C4BE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C4BE7"/>
    <w:rPr>
      <w:rFonts w:ascii="Calibri" w:eastAsia="Times New Roman" w:hAnsi="Calibri" w:cs="Times New Roman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37791"/>
    <w:pPr>
      <w:ind w:left="720"/>
      <w:contextualSpacing/>
    </w:pPr>
  </w:style>
  <w:style w:type="character" w:customStyle="1" w:styleId="awspan">
    <w:name w:val="awspan"/>
    <w:basedOn w:val="Predvolenpsmoodseku"/>
    <w:rsid w:val="00002149"/>
  </w:style>
  <w:style w:type="paragraph" w:styleId="Textbubliny">
    <w:name w:val="Balloon Text"/>
    <w:basedOn w:val="Normlny"/>
    <w:link w:val="TextbublinyChar"/>
    <w:uiPriority w:val="99"/>
    <w:semiHidden/>
    <w:unhideWhenUsed/>
    <w:rsid w:val="002810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101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1">
    <w:name w:val="awspan1"/>
    <w:basedOn w:val="Predvolenpsmoodseku"/>
    <w:rsid w:val="00DB0BD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1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Karahuta, Jaroslav</dc:creator>
  <cp:keywords/>
  <dc:description/>
  <cp:lastModifiedBy>Karahuta, Jaroslav</cp:lastModifiedBy>
  <cp:revision>11</cp:revision>
  <cp:lastPrinted>2020-08-28T10:23:00Z</cp:lastPrinted>
  <dcterms:created xsi:type="dcterms:W3CDTF">2020-08-27T10:33:00Z</dcterms:created>
  <dcterms:modified xsi:type="dcterms:W3CDTF">2020-08-28T10:23:00Z</dcterms:modified>
</cp:coreProperties>
</file>