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B3" w:rsidRDefault="001A3F67">
      <w:pPr>
        <w:pStyle w:val="NormalWeb"/>
        <w:spacing w:before="12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B85FB3" w:rsidRDefault="00B85FB3">
      <w:pPr>
        <w:pStyle w:val="Heading1"/>
        <w:spacing w:before="120"/>
        <w:jc w:val="left"/>
        <w:rPr>
          <w:rFonts w:ascii="Times New Roman" w:hAnsi="Times New Roman"/>
          <w:sz w:val="24"/>
          <w:szCs w:val="24"/>
        </w:rPr>
      </w:pPr>
    </w:p>
    <w:p w:rsidR="00B85FB3" w:rsidRDefault="001A3F67">
      <w:pPr>
        <w:pStyle w:val="Heading1"/>
        <w:spacing w:before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Všeobecná časť</w:t>
      </w:r>
    </w:p>
    <w:p w:rsidR="00B85FB3" w:rsidRDefault="001A3F67">
      <w:pPr>
        <w:pStyle w:val="NormalWeb"/>
        <w:spacing w:before="120" w:after="0"/>
        <w:ind w:firstLine="708"/>
        <w:jc w:val="both"/>
      </w:pPr>
      <w:r>
        <w:rPr>
          <w:rFonts w:ascii="Times New Roman" w:hAnsi="Times New Roman"/>
        </w:rPr>
        <w:t xml:space="preserve">Návrh zákona, </w:t>
      </w:r>
      <w:r>
        <w:rPr>
          <w:rStyle w:val="awspan"/>
          <w:rFonts w:ascii="Times New Roman" w:hAnsi="Times New Roman"/>
          <w:color w:val="000000"/>
        </w:rPr>
        <w:t>ktorým sa mení a dopĺňa zákon č. 308/2000 Z. z. o vysielaní a retransmisii a o zmene zákona  č. 195/2000 Z. z. o telekomunikáciách v znení neskorších predpisov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(ďalej len „návrh zákona“) predkladajú poslanci Národnej rady Slovenskej republiky (ďalej len „NR SR“) Kristián Čekovský a Milan Vetrák.</w:t>
      </w:r>
    </w:p>
    <w:p w:rsidR="00B85FB3" w:rsidRDefault="00B85FB3">
      <w:pPr>
        <w:pStyle w:val="NormalWeb"/>
        <w:spacing w:before="120" w:after="0"/>
        <w:ind w:firstLine="708"/>
        <w:jc w:val="both"/>
      </w:pPr>
    </w:p>
    <w:p w:rsidR="00B85FB3" w:rsidRDefault="001A3F67">
      <w:pPr>
        <w:pStyle w:val="NormalWeb"/>
        <w:spacing w:before="120" w:after="0"/>
        <w:ind w:firstLine="708"/>
        <w:jc w:val="both"/>
      </w:pPr>
      <w:r>
        <w:rPr>
          <w:rFonts w:ascii="Times New Roman" w:hAnsi="Times New Roman"/>
        </w:rPr>
        <w:t xml:space="preserve">V zmysle zákona č. </w:t>
      </w:r>
      <w:r>
        <w:rPr>
          <w:rStyle w:val="awspan"/>
          <w:rFonts w:ascii="Times New Roman" w:hAnsi="Times New Roman"/>
          <w:color w:val="000000"/>
        </w:rPr>
        <w:t>308/2000 Z. z. o vysielaní a retransmisii a o zmene zákona  č. 195/2000 Z. z. o telekomunikáciách v</w:t>
      </w:r>
      <w:r>
        <w:rPr>
          <w:rStyle w:val="awspan"/>
          <w:rFonts w:ascii="Times New Roman" w:hAnsi="Times New Roman"/>
          <w:color w:val="000000"/>
        </w:rPr>
        <w:t xml:space="preserve"> znení neskorších predpisov </w:t>
      </w:r>
      <w:r>
        <w:rPr>
          <w:rStyle w:val="awspan"/>
          <w:rFonts w:ascii="Times New Roman" w:hAnsi="Times New Roman"/>
          <w:b/>
          <w:bCs/>
          <w:color w:val="000000"/>
        </w:rPr>
        <w:t>je</w:t>
      </w:r>
      <w:r>
        <w:rPr>
          <w:rStyle w:val="awspan"/>
          <w:rFonts w:ascii="Times New Roman" w:hAnsi="Times New Roman"/>
          <w:color w:val="000000"/>
        </w:rPr>
        <w:t xml:space="preserve"> </w:t>
      </w:r>
      <w:r>
        <w:rPr>
          <w:rStyle w:val="awspan"/>
          <w:rFonts w:ascii="Times New Roman" w:hAnsi="Times New Roman"/>
          <w:b/>
          <w:bCs/>
          <w:color w:val="000000"/>
        </w:rPr>
        <w:t>p</w:t>
      </w:r>
      <w:r>
        <w:rPr>
          <w:rFonts w:ascii="Times New Roman" w:hAnsi="Times New Roman"/>
          <w:b/>
          <w:bCs/>
        </w:rPr>
        <w:t>oslaním Rady</w:t>
      </w:r>
      <w:r>
        <w:rPr>
          <w:rFonts w:ascii="Times New Roman" w:hAnsi="Times New Roman"/>
        </w:rPr>
        <w:t xml:space="preserve"> pre vysielanie a retransmisiu (ďalej len „rada“) </w:t>
      </w:r>
      <w:r>
        <w:rPr>
          <w:rFonts w:ascii="Times New Roman" w:hAnsi="Times New Roman"/>
          <w:b/>
          <w:bCs/>
        </w:rPr>
        <w:t>presadzovať záujmy verejnosti pri uplatňovaní práva na informácie, slobody prejavu a práva na prístup ku kultúrnym hodnotám a vzdelaniu</w:t>
      </w:r>
      <w:r>
        <w:rPr>
          <w:rFonts w:ascii="Times New Roman" w:hAnsi="Times New Roman"/>
        </w:rPr>
        <w:t xml:space="preserve"> a vykonávať štátnu regulác</w:t>
      </w:r>
      <w:r>
        <w:rPr>
          <w:rFonts w:ascii="Times New Roman" w:hAnsi="Times New Roman"/>
        </w:rPr>
        <w:t xml:space="preserve">iu v oblasti vysielania, retransmisie a poskytovania audiovizuálnych mediálnych služieb na požiadanie. </w:t>
      </w:r>
      <w:r>
        <w:rPr>
          <w:rFonts w:ascii="Times New Roman" w:hAnsi="Times New Roman"/>
          <w:b/>
          <w:bCs/>
        </w:rPr>
        <w:t>Rada zároveň dbá o uchovávanie plurality informácií v spravodajských reláciách vysielateľov</w:t>
      </w:r>
      <w:r>
        <w:rPr>
          <w:rFonts w:ascii="Times New Roman" w:hAnsi="Times New Roman"/>
        </w:rPr>
        <w:t xml:space="preserve">, ktorí vysielajú na základe zákona alebo na základe licencie </w:t>
      </w:r>
      <w:r>
        <w:rPr>
          <w:rFonts w:ascii="Times New Roman" w:hAnsi="Times New Roman"/>
        </w:rPr>
        <w:t xml:space="preserve">podľa tohto zákona. Vyššie uvedené </w:t>
      </w:r>
      <w:r>
        <w:rPr>
          <w:rFonts w:ascii="Times New Roman" w:hAnsi="Times New Roman"/>
          <w:b/>
          <w:bCs/>
        </w:rPr>
        <w:t>činnosti rady vykonávajú jej členovia</w:t>
      </w:r>
      <w:r>
        <w:rPr>
          <w:rFonts w:ascii="Times New Roman" w:hAnsi="Times New Roman"/>
        </w:rPr>
        <w:t>.</w:t>
      </w:r>
    </w:p>
    <w:p w:rsidR="00B85FB3" w:rsidRDefault="00B85FB3">
      <w:pPr>
        <w:pStyle w:val="NormalWeb"/>
        <w:spacing w:before="120" w:after="0"/>
        <w:ind w:firstLine="708"/>
        <w:jc w:val="both"/>
        <w:rPr>
          <w:rFonts w:ascii="Times New Roman" w:hAnsi="Times New Roman"/>
        </w:rPr>
      </w:pPr>
    </w:p>
    <w:p w:rsidR="00B85FB3" w:rsidRDefault="001A3F67">
      <w:pPr>
        <w:pStyle w:val="NormalWeb"/>
        <w:spacing w:before="12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Vzhľadom na mimoriadnu dôležitosť funkcie člena rady </w:t>
      </w:r>
      <w:r>
        <w:rPr>
          <w:rFonts w:ascii="Times New Roman" w:hAnsi="Times New Roman"/>
          <w:b/>
          <w:bCs/>
        </w:rPr>
        <w:t>sa navrhuje podrobiť kandidátov na členov rady verejnému vypočutiu.</w:t>
      </w:r>
      <w:r>
        <w:rPr>
          <w:rFonts w:ascii="Times New Roman" w:hAnsi="Times New Roman"/>
        </w:rPr>
        <w:t xml:space="preserve"> Verejné vypočutie kandidátov sa navrhuje vykonať na príslušn</w:t>
      </w:r>
      <w:r>
        <w:rPr>
          <w:rFonts w:ascii="Times New Roman" w:hAnsi="Times New Roman"/>
        </w:rPr>
        <w:t>om výbore Národnej rady Slovenskej republiky (ďalej len „výbor“), ktorým je Výbor NR SR pre kultúru a média.</w:t>
      </w:r>
    </w:p>
    <w:p w:rsidR="00B85FB3" w:rsidRDefault="001A3F67">
      <w:pPr>
        <w:pStyle w:val="NormalWeb"/>
        <w:spacing w:before="12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Verejné vypočutie predstavuje veľmi silný nástroj na zvýšenie úrovne výberového procesu. Odpovede kandidáta na doplňujúce otázky členov výbor, môžu</w:t>
      </w:r>
      <w:r>
        <w:rPr>
          <w:rFonts w:ascii="Times New Roman" w:hAnsi="Times New Roman"/>
        </w:rPr>
        <w:t xml:space="preserve"> takisto prispieť k utvoreniu si komplexného obrazu o vhodnosti toho-ktorého kandidáta na funkciu člena rady.   </w:t>
      </w:r>
    </w:p>
    <w:p w:rsidR="00B85FB3" w:rsidRDefault="001A3F67">
      <w:pPr>
        <w:spacing w:before="12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doterajších skúseností s verejným vypočúvaním kandidátov na vysoké verejné funkcie vyplýva, že kvalita je vyššia, ak sú vysielané naživo. Aj </w:t>
      </w:r>
      <w:r>
        <w:rPr>
          <w:rFonts w:ascii="Times New Roman" w:hAnsi="Times New Roman"/>
        </w:rPr>
        <w:t xml:space="preserve">toho dôvodu </w:t>
      </w:r>
      <w:r>
        <w:rPr>
          <w:rFonts w:ascii="Times New Roman" w:hAnsi="Times New Roman"/>
          <w:b/>
          <w:bCs/>
        </w:rPr>
        <w:t>sa navrhuje vysielať verejné vypočutie naživo</w:t>
      </w:r>
      <w:r>
        <w:rPr>
          <w:rFonts w:ascii="Times New Roman" w:hAnsi="Times New Roman"/>
        </w:rPr>
        <w:t xml:space="preserve"> prostredníctvom webového sídla Národnej rady Slovenskej republiky.</w:t>
      </w:r>
    </w:p>
    <w:p w:rsidR="00B85FB3" w:rsidRDefault="00B85FB3">
      <w:pPr>
        <w:spacing w:before="120" w:after="0"/>
        <w:ind w:firstLine="708"/>
        <w:jc w:val="both"/>
        <w:rPr>
          <w:rFonts w:ascii="Times New Roman" w:hAnsi="Times New Roman"/>
        </w:rPr>
      </w:pPr>
    </w:p>
    <w:p w:rsidR="00B85FB3" w:rsidRDefault="001A3F67">
      <w:pPr>
        <w:pStyle w:val="NormalWeb"/>
        <w:spacing w:before="12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Predkladaný návrh zákona nezakladá žiadne vplyvy na rozpočet verejnej správy, nemá vplyv na podnikateľské prostredie, nevyvoláva s</w:t>
      </w:r>
      <w:r>
        <w:rPr>
          <w:rFonts w:ascii="Times New Roman" w:hAnsi="Times New Roman"/>
        </w:rPr>
        <w:t>ociálne vplyvy, ani vplyvy na životné prostredie a ani na informatizáciu spoločnosti.</w:t>
      </w:r>
    </w:p>
    <w:p w:rsidR="00B85FB3" w:rsidRDefault="00B85FB3">
      <w:pPr>
        <w:pStyle w:val="NormalWeb"/>
        <w:spacing w:before="120" w:after="0"/>
        <w:jc w:val="both"/>
        <w:rPr>
          <w:i/>
          <w:iCs/>
          <w:color w:val="000000"/>
        </w:rPr>
      </w:pPr>
    </w:p>
    <w:p w:rsidR="00B85FB3" w:rsidRDefault="001A3F67">
      <w:pPr>
        <w:pStyle w:val="NormalWeb"/>
        <w:spacing w:before="12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je v súlade s Ústavou Slovenskej republiky, ústavnými zákonmi a ostatnými všeobecne záväznými právnymi predpismi Slovenskej republiky, medzinárodnými zmluva</w:t>
      </w:r>
      <w:r>
        <w:rPr>
          <w:rFonts w:ascii="Times New Roman" w:hAnsi="Times New Roman"/>
        </w:rPr>
        <w:t>mi a inými medzinárodnými dokumentmi, ktorými je Slovenská republika viazaná a s právom Európskej únie.</w:t>
      </w:r>
    </w:p>
    <w:p w:rsidR="001A3F67" w:rsidRDefault="001A3F67">
      <w:p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B. Osobitná časť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 Čl. I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 bodu 1</w:t>
      </w:r>
    </w:p>
    <w:p w:rsidR="00B85FB3" w:rsidRDefault="001A3F67">
      <w:pPr>
        <w:spacing w:before="12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Inštitút verejného vypočutia v ostatnom období výrazne napomohol ku kvalite viacerých zvolených či vymenovaných </w:t>
      </w:r>
      <w:r>
        <w:rPr>
          <w:rFonts w:ascii="Times New Roman" w:hAnsi="Times New Roman"/>
        </w:rPr>
        <w:t>verených funkcionárov. Je preto úplne pochopiteľné a legitímne využiť tento inštitút aj v procese voľby členov Rady pre vysielanie a retransmisiu.</w:t>
      </w:r>
    </w:p>
    <w:p w:rsidR="00B85FB3" w:rsidRDefault="001A3F67">
      <w:pPr>
        <w:spacing w:before="12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Navrhnutá právna úprava je inšpirovaná zákonom č. 532/2010 Z. z. o Rozhlase a televízii Slovenska a o zmene a</w:t>
      </w:r>
      <w:r>
        <w:rPr>
          <w:rFonts w:ascii="Times New Roman" w:hAnsi="Times New Roman"/>
        </w:rPr>
        <w:t xml:space="preserve"> doplnení niektorých zákonov, ktorý inštitút verejného vypočutia uplatňuje pri voľbe generálneho riaditeľa RTVS. </w:t>
      </w:r>
    </w:p>
    <w:p w:rsidR="00B85FB3" w:rsidRDefault="001A3F67">
      <w:pPr>
        <w:spacing w:before="12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Výbor, okrem iného, už v súčasnosti pripravuje napríklad návrhy na voľbu a odvolanie členov Rady pre vysielanie a retransmisiu. </w:t>
      </w:r>
      <w:r>
        <w:rPr>
          <w:rFonts w:ascii="Times New Roman" w:hAnsi="Times New Roman"/>
        </w:rPr>
        <w:t>Aj preto je verejné vypočutie na tomto výbore logickým krokom k zvýšeniu kvality členov rady. Zmyslom verejného vypočutia bude verejná prezentácia kandidátov, ich motivácie, vízií či odborných skúseností, pričom kandidátom bude možné klásť aj rôzne doplňuj</w:t>
      </w:r>
      <w:r>
        <w:rPr>
          <w:rFonts w:ascii="Times New Roman" w:hAnsi="Times New Roman"/>
        </w:rPr>
        <w:t xml:space="preserve">úce otázky. </w:t>
      </w:r>
      <w:r>
        <w:rPr>
          <w:rFonts w:ascii="Times New Roman" w:hAnsi="Times New Roman"/>
        </w:rPr>
        <w:tab/>
        <w:t xml:space="preserve">Kandidát na funkciu člena rady bude zaradený do samotnej voľby v pléne Národnej rady bez ohľadu na to ako si počínal na verejnom vypočutí. </w:t>
      </w:r>
    </w:p>
    <w:p w:rsidR="00B85FB3" w:rsidRDefault="001A3F67">
      <w:pPr>
        <w:spacing w:before="12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 zvýšenie transparentnosti sa zároveň navrhuje aj živý prenos z verejného vypočutia, a to prostrední</w:t>
      </w:r>
      <w:r>
        <w:rPr>
          <w:rFonts w:ascii="Times New Roman" w:hAnsi="Times New Roman"/>
        </w:rPr>
        <w:t xml:space="preserve">ctvom webového sídla Národnej rady Slovenskej republiky.    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 bodu 2</w:t>
      </w:r>
    </w:p>
    <w:p w:rsidR="00B85FB3" w:rsidRDefault="001A3F67">
      <w:pPr>
        <w:pStyle w:val="NormalWeb"/>
        <w:spacing w:before="12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Navrhnutá úprava len precizuje existujúce znenie zákona, a to v tom zmysle, že tak ako verejné vypočutie kandidátov na funkciu člena Rady pre vysielanie a retransmisiu vykoná príslušný v</w:t>
      </w:r>
      <w:r>
        <w:rPr>
          <w:rFonts w:ascii="Times New Roman" w:hAnsi="Times New Roman"/>
        </w:rPr>
        <w:t>ýbor (t.j. Výbor NR SR pre kultúru a médiá) aj návrhy kandidátov sa podávajú tomu istému príslušnému výboru (t.j. Výboru NR SR pre kultúru a médiá).</w:t>
      </w:r>
    </w:p>
    <w:p w:rsidR="00B85FB3" w:rsidRDefault="00B85FB3">
      <w:pPr>
        <w:pStyle w:val="NormalWeb"/>
        <w:spacing w:before="120" w:after="0"/>
        <w:jc w:val="both"/>
        <w:rPr>
          <w:rFonts w:ascii="Times New Roman" w:hAnsi="Times New Roman"/>
        </w:rPr>
      </w:pP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Čl. II</w:t>
      </w:r>
    </w:p>
    <w:p w:rsidR="00B85FB3" w:rsidRDefault="001A3F67">
      <w:pPr>
        <w:pStyle w:val="NormalWeb"/>
        <w:spacing w:before="120"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účinnosť predkladaného zákona so zohľadnením legisvakančnej lehoty, a to od 1. decemb</w:t>
      </w:r>
      <w:r>
        <w:rPr>
          <w:rFonts w:ascii="Times New Roman" w:hAnsi="Times New Roman"/>
        </w:rPr>
        <w:t>ra 2020.</w:t>
      </w:r>
    </w:p>
    <w:p w:rsidR="00B85FB3" w:rsidRDefault="001A3F67">
      <w:pPr>
        <w:spacing w:before="120" w:after="0"/>
        <w:jc w:val="center"/>
        <w:rPr>
          <w:rFonts w:ascii="Times New Roman" w:hAnsi="Times New Roman"/>
          <w:szCs w:val="24"/>
        </w:rPr>
      </w:pPr>
      <w:r>
        <w:br w:type="page"/>
      </w:r>
    </w:p>
    <w:p w:rsidR="00B85FB3" w:rsidRDefault="001A3F67">
      <w:pPr>
        <w:pStyle w:val="NormalWeb"/>
        <w:spacing w:before="12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lastRenderedPageBreak/>
        <w:t>DOLOŽKA ZLUČITEĽNOSTI</w:t>
      </w:r>
    </w:p>
    <w:p w:rsidR="00B85FB3" w:rsidRDefault="001A3F67">
      <w:pPr>
        <w:pStyle w:val="NormalWeb"/>
        <w:spacing w:before="12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návrhu zákona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 právom Európskej únie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 Navrhovateľ zákona:</w:t>
      </w:r>
      <w:r>
        <w:rPr>
          <w:rFonts w:ascii="Times New Roman" w:hAnsi="Times New Roman"/>
        </w:rPr>
        <w:t xml:space="preserve"> poslanci Národnej rady Slovenskej republiky Kristián Čekovský a Milan Vetrák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 Názov návrhu zákona:</w:t>
      </w:r>
      <w:r>
        <w:rPr>
          <w:rFonts w:ascii="Times New Roman" w:hAnsi="Times New Roman"/>
        </w:rPr>
        <w:t xml:space="preserve"> n</w:t>
      </w:r>
      <w:r>
        <w:rPr>
          <w:rFonts w:ascii="Times New Roman" w:hAnsi="Times New Roman"/>
          <w:color w:val="000000"/>
        </w:rPr>
        <w:t xml:space="preserve">ávrh zákona, </w:t>
      </w:r>
      <w:r>
        <w:rPr>
          <w:rStyle w:val="awspan"/>
          <w:rFonts w:ascii="Times New Roman" w:hAnsi="Times New Roman"/>
          <w:color w:val="000000"/>
        </w:rPr>
        <w:t>ktorým sa mení a dopĺňa zákon č. 308/2000 Z</w:t>
      </w:r>
      <w:r>
        <w:rPr>
          <w:rStyle w:val="awspan"/>
          <w:rFonts w:ascii="Times New Roman" w:hAnsi="Times New Roman"/>
          <w:color w:val="000000"/>
        </w:rPr>
        <w:t>. z. o vysielaní a retransmisii a o zmene zákona  č. 195/2000 Z. z. o telekomunikáciách v znení neskorších predpisov</w:t>
      </w:r>
      <w:r>
        <w:rPr>
          <w:rFonts w:ascii="Times New Roman" w:hAnsi="Times New Roman"/>
          <w:bCs/>
        </w:rPr>
        <w:t xml:space="preserve"> 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 Predmet návrhu zákona:</w:t>
      </w:r>
    </w:p>
    <w:p w:rsidR="00B85FB3" w:rsidRDefault="001A3F67">
      <w:pPr>
        <w:pStyle w:val="NormalWeb"/>
        <w:numPr>
          <w:ilvl w:val="0"/>
          <w:numId w:val="1"/>
        </w:numPr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nie je upravený v primárnom práve Európskej únie,</w:t>
      </w:r>
    </w:p>
    <w:p w:rsidR="00B85FB3" w:rsidRDefault="001A3F67">
      <w:pPr>
        <w:pStyle w:val="NormalWeb"/>
        <w:numPr>
          <w:ilvl w:val="0"/>
          <w:numId w:val="1"/>
        </w:numPr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nie je upravený v sekundárnom práve Európskej únie,</w:t>
      </w:r>
    </w:p>
    <w:p w:rsidR="00B85FB3" w:rsidRDefault="001A3F67">
      <w:pPr>
        <w:pStyle w:val="NormalWeb"/>
        <w:numPr>
          <w:ilvl w:val="0"/>
          <w:numId w:val="1"/>
        </w:numPr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nie je o</w:t>
      </w:r>
      <w:r>
        <w:rPr>
          <w:rFonts w:ascii="Times New Roman" w:hAnsi="Times New Roman"/>
          <w:bCs/>
        </w:rPr>
        <w:t>bsiahnutý v judikatúre Súdneho dvora Európskej únie.</w:t>
      </w:r>
      <w:r>
        <w:rPr>
          <w:rFonts w:ascii="Times New Roman" w:hAnsi="Times New Roman"/>
        </w:rPr>
        <w:t> </w:t>
      </w:r>
    </w:p>
    <w:p w:rsidR="00B85FB3" w:rsidRDefault="00B85FB3">
      <w:pPr>
        <w:pStyle w:val="NormalWeb"/>
        <w:spacing w:before="120" w:after="0"/>
        <w:jc w:val="both"/>
        <w:rPr>
          <w:rFonts w:ascii="Times New Roman" w:hAnsi="Times New Roman"/>
          <w:b/>
          <w:bCs/>
        </w:rPr>
      </w:pP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Vzhľadom na to, že predmet návrhu zákona nie je upravený v práve Európskej únie, je bezpredmetné vyjadrovať sa k bodom 4. a 5.</w:t>
      </w:r>
    </w:p>
    <w:p w:rsidR="00B85FB3" w:rsidRDefault="00B85FB3">
      <w:pPr>
        <w:pStyle w:val="NormalWeb"/>
        <w:spacing w:before="120" w:after="0"/>
        <w:jc w:val="both"/>
        <w:rPr>
          <w:rFonts w:ascii="Times New Roman" w:hAnsi="Times New Roman"/>
          <w:b/>
          <w:bCs/>
        </w:rPr>
      </w:pPr>
    </w:p>
    <w:p w:rsidR="00B85FB3" w:rsidRDefault="00B85FB3">
      <w:pPr>
        <w:tabs>
          <w:tab w:val="left" w:pos="341"/>
        </w:tabs>
        <w:spacing w:before="120" w:after="0"/>
        <w:jc w:val="both"/>
        <w:rPr>
          <w:rFonts w:ascii="Times New Roman" w:hAnsi="Times New Roman"/>
          <w:szCs w:val="24"/>
        </w:rPr>
      </w:pPr>
    </w:p>
    <w:p w:rsidR="00B85FB3" w:rsidRDefault="001A3F67">
      <w:pPr>
        <w:pStyle w:val="NormalWeb"/>
        <w:spacing w:before="120" w:after="0"/>
        <w:rPr>
          <w:rFonts w:ascii="Times New Roman" w:hAnsi="Times New Roman"/>
        </w:rPr>
      </w:pPr>
      <w:r>
        <w:br w:type="page"/>
      </w:r>
    </w:p>
    <w:p w:rsidR="00B85FB3" w:rsidRDefault="001A3F67">
      <w:pPr>
        <w:pStyle w:val="NormalWeb"/>
        <w:spacing w:before="12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lastRenderedPageBreak/>
        <w:t>Doložka</w:t>
      </w:r>
    </w:p>
    <w:p w:rsidR="00B85FB3" w:rsidRDefault="001A3F67">
      <w:pPr>
        <w:pStyle w:val="NormalWeb"/>
        <w:spacing w:before="12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vybraných vplyvov</w:t>
      </w:r>
    </w:p>
    <w:p w:rsidR="00B85FB3" w:rsidRDefault="001A3F67">
      <w:pPr>
        <w:pStyle w:val="NormalWeb"/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A.1. Názov materiálu: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color w:val="000000"/>
        </w:rPr>
        <w:t xml:space="preserve">ávrh zákona, </w:t>
      </w:r>
      <w:r>
        <w:rPr>
          <w:rStyle w:val="awspan"/>
          <w:rFonts w:ascii="Times New Roman" w:hAnsi="Times New Roman"/>
          <w:color w:val="000000"/>
        </w:rPr>
        <w:t>ktorým sa mení a dopĺňa zákon č. 308/2000 Z. z. o vysielaní a retransmisii a o zmene zákona  č. 195/2000 Z. z. o telekomunikáciách v znení neskorších predpisov</w:t>
      </w:r>
      <w:r>
        <w:rPr>
          <w:rFonts w:ascii="Times New Roman" w:hAnsi="Times New Roman"/>
          <w:bCs/>
        </w:rPr>
        <w:t xml:space="preserve"> </w:t>
      </w:r>
    </w:p>
    <w:p w:rsidR="00B85FB3" w:rsidRDefault="00B85FB3">
      <w:pPr>
        <w:pStyle w:val="NormalWeb"/>
        <w:spacing w:before="120" w:after="0"/>
        <w:jc w:val="both"/>
        <w:rPr>
          <w:rFonts w:ascii="Times New Roman" w:hAnsi="Times New Roman"/>
          <w:b/>
          <w:bCs/>
          <w:color w:val="000000"/>
        </w:rPr>
      </w:pP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        Termín začatia a ukončenia PPK: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bezpredmetné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 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W w:w="9240" w:type="dxa"/>
        <w:tblInd w:w="-8" w:type="dxa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468"/>
        <w:gridCol w:w="1243"/>
        <w:gridCol w:w="1178"/>
        <w:gridCol w:w="1351"/>
      </w:tblGrid>
      <w:tr w:rsidR="00B85FB3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Negatívne </w:t>
            </w:r>
          </w:p>
        </w:tc>
      </w:tr>
      <w:tr w:rsidR="00B85FB3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FB3" w:rsidRDefault="001A3F67">
            <w:pPr>
              <w:pStyle w:val="NormalWeb"/>
              <w:spacing w:before="12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85FB3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FB3" w:rsidRDefault="001A3F67">
            <w:pPr>
              <w:pStyle w:val="NormalWeb"/>
              <w:spacing w:before="12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85FB3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5FB3" w:rsidRDefault="001A3F67">
            <w:pPr>
              <w:pStyle w:val="NormalWeb"/>
              <w:spacing w:before="12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85FB3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85FB3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85FB3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– rovnosť</w:t>
            </w:r>
            <w:r>
              <w:rPr>
                <w:rFonts w:ascii="Times New Roman" w:hAnsi="Times New Roman"/>
                <w:color w:val="000000"/>
              </w:rPr>
              <w:t xml:space="preserve">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85FB3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85FB3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B85FB3">
            <w:pPr>
              <w:pStyle w:val="NormalWeb"/>
              <w:spacing w:before="120" w:after="0"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FB3" w:rsidRDefault="001A3F67">
            <w:pPr>
              <w:pStyle w:val="NormalWeb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B85FB3" w:rsidRDefault="001A3F67">
      <w:pPr>
        <w:pStyle w:val="NormalWeb"/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A.3. Poznámky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</w:rPr>
        <w:t xml:space="preserve">Od predkladaného návrhu zákona sa neočakávajú žiadne vplyvy na rozpočet verejnej správy, na </w:t>
      </w:r>
      <w:r>
        <w:rPr>
          <w:rFonts w:ascii="Times New Roman" w:hAnsi="Times New Roman"/>
          <w:i/>
          <w:iCs/>
          <w:color w:val="000000"/>
        </w:rPr>
        <w:t>podnikateľské prostredie, nepredpokladajú sa žiadne sociálne vplyvy, vplyvy na životné prostredie a ani na informatizáciu spoločnosti.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</w:rPr>
        <w:t xml:space="preserve">      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A.4. Alternatívne riešenia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</w:rPr>
        <w:t>bezpredmetné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 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A.5. Stanovisko gestorov</w:t>
      </w:r>
    </w:p>
    <w:p w:rsidR="00B85FB3" w:rsidRDefault="001A3F67">
      <w:pPr>
        <w:pStyle w:val="NormalWeb"/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</w:rPr>
        <w:t xml:space="preserve">Návrh zákona bol zaslaný na vyjadrenie </w:t>
      </w:r>
      <w:r>
        <w:rPr>
          <w:rFonts w:ascii="Times New Roman" w:hAnsi="Times New Roman"/>
          <w:i/>
          <w:iCs/>
          <w:color w:val="000000"/>
        </w:rPr>
        <w:t>Ministerstvu financií SR a stanovisko tohto ministerstva tvorí súčasť predkladaného materiálu.</w:t>
      </w:r>
    </w:p>
    <w:p w:rsidR="00B85FB3" w:rsidRDefault="00B85FB3">
      <w:pPr>
        <w:pStyle w:val="NormalWeb"/>
        <w:spacing w:before="120" w:after="0"/>
        <w:jc w:val="both"/>
        <w:rPr>
          <w:rFonts w:ascii="Times New Roman" w:hAnsi="Times New Roman"/>
          <w:b/>
          <w:bCs/>
        </w:rPr>
      </w:pPr>
    </w:p>
    <w:p w:rsidR="00B85FB3" w:rsidRDefault="00B85FB3">
      <w:pPr>
        <w:pStyle w:val="NormalWeb"/>
        <w:spacing w:before="120" w:after="0"/>
        <w:jc w:val="both"/>
        <w:rPr>
          <w:rFonts w:ascii="Times New Roman" w:hAnsi="Times New Roman"/>
          <w:b/>
          <w:bCs/>
        </w:rPr>
      </w:pPr>
    </w:p>
    <w:p w:rsidR="00B85FB3" w:rsidRDefault="00B85FB3">
      <w:pPr>
        <w:pStyle w:val="NormalWeb"/>
        <w:spacing w:before="120" w:after="0"/>
        <w:jc w:val="both"/>
        <w:rPr>
          <w:b/>
          <w:bCs/>
        </w:rPr>
      </w:pPr>
      <w:bookmarkStart w:id="0" w:name="_GoBack"/>
      <w:bookmarkEnd w:id="0"/>
    </w:p>
    <w:sectPr w:rsidR="00B85FB3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570F"/>
    <w:multiLevelType w:val="multilevel"/>
    <w:tmpl w:val="2A8809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DF7D60"/>
    <w:multiLevelType w:val="multilevel"/>
    <w:tmpl w:val="5CB86020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85FB3"/>
    <w:rsid w:val="001A3F67"/>
    <w:rsid w:val="00B8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contextualSpacing/>
    </w:pPr>
    <w:rPr>
      <w:rFonts w:ascii="Book Antiqua" w:eastAsia="Symbol" w:hAnsi="Book Antiqua" w:cs="Times New Roman"/>
      <w:sz w:val="24"/>
      <w:szCs w:val="22"/>
      <w:lang w:eastAsia="en-US" w:bidi="ar-SA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Cambria" w:hAnsi="Cambria"/>
      <w:b/>
      <w:bCs/>
      <w:sz w:val="32"/>
      <w:szCs w:val="32"/>
      <w:lang w:eastAsia="sk-SK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qFormat/>
    <w:rPr>
      <w:rFonts w:ascii="Cambria" w:hAnsi="Cambria" w:cs="Times New Roman"/>
      <w:b/>
      <w:kern w:val="2"/>
      <w:sz w:val="32"/>
      <w:lang w:val="sk-SK" w:eastAsia="sk-SK"/>
    </w:rPr>
  </w:style>
  <w:style w:type="character" w:customStyle="1" w:styleId="Nadpis3Char">
    <w:name w:val="Nadpis 3 Char"/>
    <w:basedOn w:val="DefaultParagraphFont"/>
    <w:qFormat/>
    <w:rPr>
      <w:rFonts w:ascii="Cambria" w:hAnsi="Cambria" w:cs="Times New Roman"/>
      <w:b/>
      <w:sz w:val="26"/>
      <w:lang w:val="sk-SK" w:eastAsia="sk-SK"/>
    </w:rPr>
  </w:style>
  <w:style w:type="character" w:customStyle="1" w:styleId="TextbublinyChar">
    <w:name w:val="Text bubliny Char"/>
    <w:basedOn w:val="DefaultParagraphFont"/>
    <w:qFormat/>
    <w:rPr>
      <w:rFonts w:ascii="Tahoma" w:hAnsi="Tahoma" w:cs="Times New Roman"/>
      <w:sz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Times New Roman" w:cs="Book Antiqua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Times New Roman" w:cs="Book Antiqua"/>
    </w:rPr>
  </w:style>
  <w:style w:type="character" w:customStyle="1" w:styleId="ListLabel30">
    <w:name w:val="ListLabel 30"/>
    <w:qFormat/>
    <w:rPr>
      <w:rFonts w:eastAsia="Times New Roman" w:cs="Book Antiqua"/>
    </w:rPr>
  </w:style>
  <w:style w:type="character" w:customStyle="1" w:styleId="ListLabel31">
    <w:name w:val="ListLabel 31"/>
    <w:qFormat/>
    <w:rPr>
      <w:rFonts w:ascii="Book Antiqua" w:hAnsi="Book Antiqua" w:cs="Times New Roman"/>
      <w:b/>
      <w:sz w:val="22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awspan">
    <w:name w:val="awspan"/>
    <w:basedOn w:val="DefaultParagraphFont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Calibri" w:eastAsia="Symbol" w:hAnsi="Calibri" w:cs="Times New Roman"/>
      <w:szCs w:val="20"/>
      <w:lang w:eastAsia="sk-SK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Cs w:val="24"/>
      <w:lang w:eastAsia="sk-SK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881</Words>
  <Characters>5026</Characters>
  <Application>Microsoft Office Word</Application>
  <DocSecurity>0</DocSecurity>
  <Lines>41</Lines>
  <Paragraphs>11</Paragraphs>
  <ScaleCrop>false</ScaleCrop>
  <Company>Kancelaria NR SR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Valaštínová</dc:creator>
  <dc:description/>
  <cp:lastModifiedBy>Janči</cp:lastModifiedBy>
  <cp:revision>7</cp:revision>
  <dcterms:created xsi:type="dcterms:W3CDTF">2018-12-03T12:33:00Z</dcterms:created>
  <dcterms:modified xsi:type="dcterms:W3CDTF">2020-08-27T21:25:00Z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Kancelaria NR SR</vt:lpwstr>
  </property>
  <property fmtid="{D5CDD505-2E9C-101B-9397-08002B2CF9AE}" pid="3" name="Operator">
    <vt:lpwstr>Lukáč, Jozef (asistent)</vt:lpwstr>
  </property>
</Properties>
</file>