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E0664" w14:textId="77777777" w:rsidR="004C7749" w:rsidRDefault="0045501F">
      <w:pPr>
        <w:widowControl w:val="0"/>
        <w:pBdr>
          <w:bottom w:val="single" w:sz="12" w:space="1" w:color="000000"/>
        </w:pBdr>
        <w:spacing w:line="276" w:lineRule="auto"/>
        <w:jc w:val="center"/>
      </w:pPr>
      <w:bookmarkStart w:id="0" w:name="_GoBack"/>
      <w:bookmarkEnd w:id="0"/>
      <w:r>
        <w:rPr>
          <w:b/>
          <w:bCs/>
        </w:rPr>
        <w:t>NÁRODNÁ RADA SLOVENSKEJ REPUBLIKY</w:t>
      </w:r>
    </w:p>
    <w:p w14:paraId="6BE7D0B0" w14:textId="77777777" w:rsidR="004C7749" w:rsidRDefault="004C7749">
      <w:pPr>
        <w:widowControl w:val="0"/>
        <w:spacing w:line="276" w:lineRule="auto"/>
        <w:jc w:val="center"/>
        <w:rPr>
          <w:lang w:val="en-US"/>
        </w:rPr>
      </w:pPr>
    </w:p>
    <w:p w14:paraId="373DF024" w14:textId="77777777" w:rsidR="004C7749" w:rsidRDefault="0045501F">
      <w:pPr>
        <w:widowControl w:val="0"/>
        <w:spacing w:before="120" w:line="276" w:lineRule="auto"/>
        <w:jc w:val="center"/>
      </w:pPr>
      <w:r>
        <w:rPr>
          <w:spacing w:val="20"/>
          <w:lang w:val="en-US"/>
        </w:rPr>
        <w:t xml:space="preserve">VIII.  </w:t>
      </w:r>
      <w:proofErr w:type="spellStart"/>
      <w:r>
        <w:rPr>
          <w:spacing w:val="20"/>
          <w:lang w:val="en-US"/>
        </w:rPr>
        <w:t>volebné</w:t>
      </w:r>
      <w:proofErr w:type="spellEnd"/>
      <w:r>
        <w:rPr>
          <w:spacing w:val="20"/>
          <w:lang w:val="en-US"/>
        </w:rPr>
        <w:t xml:space="preserve"> </w:t>
      </w:r>
      <w:proofErr w:type="spellStart"/>
      <w:r>
        <w:rPr>
          <w:spacing w:val="20"/>
          <w:lang w:val="en-US"/>
        </w:rPr>
        <w:t>obdobie</w:t>
      </w:r>
      <w:proofErr w:type="spellEnd"/>
    </w:p>
    <w:p w14:paraId="5E3266D3" w14:textId="77777777" w:rsidR="004C7749" w:rsidRDefault="004C7749">
      <w:pPr>
        <w:pStyle w:val="Zkladntext"/>
        <w:spacing w:line="276" w:lineRule="auto"/>
        <w:jc w:val="center"/>
        <w:rPr>
          <w:bCs/>
          <w:iCs/>
        </w:rPr>
      </w:pPr>
    </w:p>
    <w:p w14:paraId="4E9F8D02" w14:textId="77777777" w:rsidR="004C7749" w:rsidRDefault="004C7749">
      <w:pPr>
        <w:pStyle w:val="Zkladntext"/>
        <w:spacing w:line="276" w:lineRule="auto"/>
        <w:jc w:val="center"/>
        <w:rPr>
          <w:bCs/>
          <w:iCs/>
        </w:rPr>
      </w:pPr>
    </w:p>
    <w:p w14:paraId="59F17631" w14:textId="77777777" w:rsidR="004C7749" w:rsidRDefault="0045501F">
      <w:pPr>
        <w:pStyle w:val="Zkladntext"/>
        <w:spacing w:line="276" w:lineRule="auto"/>
        <w:jc w:val="center"/>
      </w:pPr>
      <w:r>
        <w:rPr>
          <w:bCs/>
          <w:iCs/>
        </w:rPr>
        <w:t>Návrh</w:t>
      </w:r>
    </w:p>
    <w:p w14:paraId="1F50284B" w14:textId="77777777" w:rsidR="004C7749" w:rsidRDefault="004C7749">
      <w:pPr>
        <w:pStyle w:val="Zkladntext"/>
        <w:spacing w:line="276" w:lineRule="auto"/>
        <w:jc w:val="center"/>
        <w:rPr>
          <w:bCs/>
          <w:iCs/>
        </w:rPr>
      </w:pPr>
    </w:p>
    <w:p w14:paraId="61268DB3" w14:textId="77777777" w:rsidR="004C7749" w:rsidRDefault="004C7749">
      <w:pPr>
        <w:pStyle w:val="Zkladntext"/>
        <w:spacing w:line="276" w:lineRule="auto"/>
        <w:jc w:val="center"/>
        <w:rPr>
          <w:b/>
          <w:bCs/>
          <w:i/>
          <w:iCs/>
        </w:rPr>
      </w:pPr>
    </w:p>
    <w:p w14:paraId="1F16FEAC" w14:textId="77777777" w:rsidR="004C7749" w:rsidRDefault="0045501F">
      <w:pPr>
        <w:pStyle w:val="Zkladntext"/>
        <w:spacing w:line="276" w:lineRule="auto"/>
        <w:jc w:val="center"/>
      </w:pPr>
      <w:r>
        <w:rPr>
          <w:b/>
          <w:bCs/>
          <w:iCs/>
        </w:rPr>
        <w:t>ZÁKON</w:t>
      </w:r>
    </w:p>
    <w:p w14:paraId="5034BC83" w14:textId="77777777" w:rsidR="004C7749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1230D7FE" w14:textId="77777777" w:rsidR="004C7749" w:rsidRDefault="0045501F">
      <w:pPr>
        <w:pStyle w:val="Zkladntext"/>
        <w:spacing w:line="276" w:lineRule="auto"/>
        <w:jc w:val="center"/>
      </w:pPr>
      <w:r>
        <w:rPr>
          <w:bCs/>
          <w:iCs/>
        </w:rPr>
        <w:t>z ........... 2020,</w:t>
      </w:r>
    </w:p>
    <w:p w14:paraId="76DADC0C" w14:textId="77777777" w:rsidR="004C7749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4538C214" w14:textId="77777777" w:rsidR="004C7749" w:rsidRDefault="004C7749">
      <w:pPr>
        <w:pStyle w:val="Zkladntext"/>
        <w:spacing w:line="276" w:lineRule="auto"/>
        <w:jc w:val="center"/>
        <w:rPr>
          <w:b/>
          <w:bCs/>
          <w:iCs/>
        </w:rPr>
      </w:pPr>
    </w:p>
    <w:p w14:paraId="2D7A4DB6" w14:textId="77777777" w:rsidR="004C7749" w:rsidRDefault="0045501F">
      <w:pPr>
        <w:pStyle w:val="Zkladntext"/>
        <w:spacing w:line="276" w:lineRule="auto"/>
        <w:jc w:val="center"/>
      </w:pPr>
      <w:r>
        <w:rPr>
          <w:rStyle w:val="awspan"/>
          <w:b/>
          <w:bCs/>
          <w:color w:val="000000"/>
        </w:rPr>
        <w:t xml:space="preserve">ktorým sa mení a dopĺňa zákon č. 305/2005 Z. z. </w:t>
      </w:r>
      <w:r>
        <w:rPr>
          <w:b/>
        </w:rPr>
        <w:t>o sociálnoprávnej ochrane detí a o sociálnej kuratele a o zmene a doplnení niektorých zákonov</w:t>
      </w:r>
      <w:r>
        <w:t xml:space="preserve"> </w:t>
      </w:r>
      <w:r>
        <w:rPr>
          <w:rStyle w:val="awspan"/>
          <w:b/>
          <w:bCs/>
          <w:color w:val="000000"/>
        </w:rPr>
        <w:t xml:space="preserve">v znení neskorších predpisov </w:t>
      </w:r>
    </w:p>
    <w:p w14:paraId="48040DCB" w14:textId="77777777" w:rsidR="004C7749" w:rsidRDefault="004C7749">
      <w:pPr>
        <w:pStyle w:val="Zkladntext"/>
        <w:spacing w:line="276" w:lineRule="auto"/>
        <w:ind w:left="374" w:hanging="374"/>
        <w:jc w:val="center"/>
      </w:pPr>
    </w:p>
    <w:p w14:paraId="5E91F3F2" w14:textId="77777777" w:rsidR="004C7749" w:rsidRDefault="0045501F">
      <w:pPr>
        <w:spacing w:line="276" w:lineRule="auto"/>
        <w:ind w:firstLine="708"/>
      </w:pPr>
      <w:r>
        <w:t>Národná rada Slovenskej republiky sa uzniesla na tomto zákone:</w:t>
      </w:r>
    </w:p>
    <w:p w14:paraId="20486488" w14:textId="77777777" w:rsidR="004C7749" w:rsidRDefault="004C7749">
      <w:pPr>
        <w:spacing w:line="276" w:lineRule="auto"/>
        <w:jc w:val="center"/>
        <w:rPr>
          <w:b/>
          <w:bCs/>
        </w:rPr>
      </w:pPr>
    </w:p>
    <w:p w14:paraId="1445722D" w14:textId="77777777" w:rsidR="004C7749" w:rsidRDefault="0045501F">
      <w:pPr>
        <w:spacing w:line="276" w:lineRule="auto"/>
        <w:jc w:val="center"/>
      </w:pPr>
      <w:r>
        <w:rPr>
          <w:b/>
          <w:bCs/>
        </w:rPr>
        <w:t>Čl. I</w:t>
      </w:r>
    </w:p>
    <w:p w14:paraId="4739E7BD" w14:textId="77777777" w:rsidR="004C7749" w:rsidRDefault="004C7749">
      <w:pPr>
        <w:spacing w:line="276" w:lineRule="auto"/>
        <w:jc w:val="center"/>
        <w:rPr>
          <w:b/>
          <w:bCs/>
        </w:rPr>
      </w:pPr>
    </w:p>
    <w:p w14:paraId="137C0AC4" w14:textId="77777777" w:rsidR="004C7749" w:rsidRDefault="0045501F">
      <w:pPr>
        <w:spacing w:line="276" w:lineRule="auto"/>
        <w:jc w:val="both"/>
      </w:pPr>
      <w:r>
        <w:tab/>
        <w:t xml:space="preserve">Zákon č. </w:t>
      </w:r>
      <w:hyperlink r:id="rId5" w:tgtFrame="Odkaz na predpis alebo ustanovenie">
        <w:r>
          <w:rPr>
            <w:rStyle w:val="ListLabel3"/>
          </w:rPr>
          <w:t>305/2005 Z. z.</w:t>
        </w:r>
      </w:hyperlink>
      <w:r>
        <w:t xml:space="preserve"> o sociálnoprávnej ochrane detí a o sociálnej kuratele a o zmene a doplnení niektorých zákonov v znení zákona č. 330/2007 Z. z., zákona č. 643/2007 Z. z., zákona č. 215/2008 Z. z., zákona č. 466/2008 Z. z., zákona č. 317/2009 Z. z., zákona č. 180/2011 Z. z., zákona č. 185/2014 Z. z., zákona č. 219/2014 Z. z., zákona č. 310/2014 Z. z., zákona č. 131/2015 Z. z., zákona č. 175/2015 Z. z., zákona č. 378/2015 Z. z., zákona č. 91/2016 Z. z., zákona č. 125/2016 Z. z., zákona č. 351/2017 Z. z., zákona č. 61/2018 Z. z., zákona č. 177/2018 Z. z., zákona č. 231/2019 Z. z. a zákona č. 89/2020 Z. z.sa mení a dopĺňa takto:</w:t>
      </w:r>
    </w:p>
    <w:p w14:paraId="18B5B129" w14:textId="77777777" w:rsidR="004C7749" w:rsidRDefault="004C7749">
      <w:pPr>
        <w:spacing w:line="276" w:lineRule="auto"/>
        <w:jc w:val="both"/>
      </w:pPr>
    </w:p>
    <w:p w14:paraId="0D5A2EF7" w14:textId="77777777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§ 49 sa dopĺňa odsekom 8, ktorý znie: </w:t>
      </w:r>
    </w:p>
    <w:p w14:paraId="57C86EA1" w14:textId="77777777" w:rsidR="004C7749" w:rsidRDefault="0045501F">
      <w:pPr>
        <w:pStyle w:val="Odsekzoznamu"/>
        <w:ind w:left="144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„(8) Z prijatého výživného, sirotského dôchodku alebo sirotského výsluhového dôchodku dieťaťa tvorí centrum dieťaťu úspory.“.</w:t>
      </w:r>
    </w:p>
    <w:p w14:paraId="3F48F978" w14:textId="77777777" w:rsidR="004C7749" w:rsidRDefault="004C7749">
      <w:pPr>
        <w:pStyle w:val="Odsekzoznamu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74868" w14:textId="77777777" w:rsidR="004C7749" w:rsidRDefault="0045501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§ 55 ods. 1  sa slová „do jedného roka“ nahrádzajú slovami „do dvoch rokov“. </w:t>
      </w:r>
    </w:p>
    <w:p w14:paraId="5FC1B97C" w14:textId="77777777" w:rsidR="004C7749" w:rsidRDefault="004C774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5F5C60E" w14:textId="77777777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55 ods.  2 sa na konci pripája táto veta: </w:t>
      </w:r>
    </w:p>
    <w:p w14:paraId="60BBD22A" w14:textId="77777777" w:rsidR="004C7749" w:rsidRDefault="0045501F">
      <w:pPr>
        <w:pStyle w:val="Odsekzoznamu"/>
        <w:ind w:left="144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„Ak sa centrum z dôvodov na strane centra s mladým dospelým nedohodne na podmienkach jeho zotrvania v centre, do siedmich dní odo dňa doručenia žiadosti podľa prvej vety mu písomne oznámi dôvody neuzatvorenia dohody.“.</w:t>
      </w:r>
    </w:p>
    <w:p w14:paraId="207A6F40" w14:textId="77777777" w:rsidR="004C7749" w:rsidRDefault="004C7749">
      <w:pPr>
        <w:pStyle w:val="Odsekzoznamu"/>
        <w:ind w:left="1440"/>
        <w:jc w:val="both"/>
        <w:rPr>
          <w:rFonts w:eastAsia="Times New Roman" w:cs="Times New Roman"/>
          <w:lang w:eastAsia="sk-SK"/>
        </w:rPr>
      </w:pPr>
    </w:p>
    <w:p w14:paraId="140AA380" w14:textId="77777777" w:rsidR="004C7749" w:rsidRPr="005818AE" w:rsidRDefault="0045501F">
      <w:pPr>
        <w:pStyle w:val="Odsekzoznamu"/>
        <w:numPr>
          <w:ilvl w:val="0"/>
          <w:numId w:val="1"/>
        </w:numPr>
        <w:jc w:val="both"/>
      </w:pPr>
      <w:r w:rsidRPr="005818AE">
        <w:rPr>
          <w:rFonts w:ascii="Times New Roman" w:hAnsi="Times New Roman" w:cs="Times New Roman"/>
          <w:kern w:val="2"/>
          <w:sz w:val="24"/>
          <w:szCs w:val="24"/>
          <w:lang w:bidi="hi-IN"/>
        </w:rPr>
        <w:t>V § 55 ods. 3 sa za slová „akreditovaným subjektom“ vkladá čiarka a slová „v súlade so spoločne vypracovaným plánom sociálnej práce najneskôr rok pred dovŕšením jeho plnoletosti,“.</w:t>
      </w:r>
    </w:p>
    <w:p w14:paraId="772F1048" w14:textId="77777777" w:rsidR="004C7749" w:rsidRDefault="004C7749">
      <w:pPr>
        <w:pStyle w:val="Odsekzoznamu"/>
        <w:ind w:left="1440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3908F7E" w14:textId="121D3A26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V § 55 ods. 3 sa na konci pripáj</w:t>
      </w:r>
      <w:r w:rsidR="000274A4">
        <w:rPr>
          <w:rFonts w:ascii="Times New Roman" w:hAnsi="Times New Roman" w:cs="Times New Roman"/>
          <w:kern w:val="2"/>
          <w:sz w:val="24"/>
          <w:szCs w:val="24"/>
          <w:lang w:bidi="hi-IN"/>
        </w:rPr>
        <w:t>ajú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t</w:t>
      </w:r>
      <w:r w:rsidR="000274A4">
        <w:rPr>
          <w:rFonts w:ascii="Times New Roman" w:hAnsi="Times New Roman" w:cs="Times New Roman"/>
          <w:kern w:val="2"/>
          <w:sz w:val="24"/>
          <w:szCs w:val="24"/>
          <w:lang w:bidi="hi-IN"/>
        </w:rPr>
        <w:t>ieto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vet</w:t>
      </w:r>
      <w:r w:rsidR="000274A4">
        <w:rPr>
          <w:rFonts w:ascii="Times New Roman" w:hAnsi="Times New Roman" w:cs="Times New Roman"/>
          <w:kern w:val="2"/>
          <w:sz w:val="24"/>
          <w:szCs w:val="24"/>
          <w:lang w:bidi="hi-IN"/>
        </w:rPr>
        <w:t>y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: </w:t>
      </w:r>
    </w:p>
    <w:p w14:paraId="3BDDBFFF" w14:textId="5018715F" w:rsidR="004C7749" w:rsidRDefault="0045501F" w:rsidP="00B716D9">
      <w:pPr>
        <w:pStyle w:val="Odsekzoznamu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„Ak mladý dospelý </w:t>
      </w:r>
      <w:r w:rsidR="00A200DD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nie je schopný 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z dôvodu nepriaznivého zdravotného stavu  požiadať o pokračovanie v poskytovaní starostlivosti podľa odseku 1 a nemá súdom ustanoveného opatrovníka, podanie žiadosti podľa odseku 1 ani uzavretie písomnej dohody podľa odseku 2 sa až do ustanovenia opatrovníka súdom  nevyžadujú</w:t>
      </w:r>
      <w:r w:rsid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>. Centrum písomne dohodne podmienky zotrvania mladého dospelého podľa druhej vety s ustanoveným opatrovníkom; podanie žiadosti podľa ods</w:t>
      </w:r>
      <w:r w:rsidR="000274A4">
        <w:rPr>
          <w:rFonts w:ascii="Times New Roman" w:hAnsi="Times New Roman" w:cs="Times New Roman"/>
          <w:kern w:val="2"/>
          <w:sz w:val="24"/>
          <w:szCs w:val="24"/>
          <w:lang w:bidi="hi-IN"/>
        </w:rPr>
        <w:t>eku</w:t>
      </w:r>
      <w:r w:rsid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1 sa nevyžaduje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.“.</w:t>
      </w:r>
      <w:r w:rsidR="00A200DD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</w:t>
      </w:r>
    </w:p>
    <w:p w14:paraId="451B70B4" w14:textId="77777777" w:rsidR="004C7749" w:rsidRDefault="004C7749">
      <w:pPr>
        <w:pStyle w:val="Odsekzoznamu"/>
        <w:ind w:left="1440"/>
        <w:jc w:val="both"/>
        <w:rPr>
          <w:rFonts w:ascii="Times New Roman" w:hAnsi="Times New Roman"/>
          <w:sz w:val="24"/>
          <w:szCs w:val="24"/>
        </w:rPr>
      </w:pPr>
    </w:p>
    <w:p w14:paraId="48BF85C7" w14:textId="77777777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V § 55  ods. 7 sa na konci pripájajú tieto vety:   </w:t>
      </w:r>
    </w:p>
    <w:p w14:paraId="767BFBB5" w14:textId="363AAC39" w:rsidR="004C7749" w:rsidRDefault="0045501F" w:rsidP="00B716D9">
      <w:pPr>
        <w:pStyle w:val="Odsekzoznamu"/>
        <w:ind w:left="705"/>
        <w:jc w:val="both"/>
      </w:pP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„Ak si mladý dospelý podľa odseku 1 po odchode z centra nedokáže zabezpečiť </w:t>
      </w:r>
      <w:r>
        <w:rPr>
          <w:rFonts w:ascii="Times New Roman" w:hAnsi="Times New Roman"/>
          <w:kern w:val="2"/>
          <w:sz w:val="24"/>
          <w:szCs w:val="24"/>
          <w:lang w:bidi="hi-IN"/>
        </w:rPr>
        <w:tab/>
        <w:t xml:space="preserve">bývanie, centrum môže na základe písomnej dohody s mladým dospelým opätovne </w:t>
      </w:r>
      <w:r>
        <w:rPr>
          <w:rFonts w:ascii="Times New Roman" w:hAnsi="Times New Roman"/>
          <w:kern w:val="2"/>
          <w:sz w:val="24"/>
          <w:szCs w:val="24"/>
          <w:lang w:bidi="hi-IN"/>
        </w:rPr>
        <w:tab/>
        <w:t>mladému dospelému poskytovať starostlivosť pobytovou formou, najdlhšie však do 25</w:t>
      </w:r>
      <w:r w:rsidR="000274A4">
        <w:rPr>
          <w:rFonts w:ascii="Times New Roman" w:hAnsi="Times New Roman"/>
          <w:kern w:val="2"/>
          <w:sz w:val="24"/>
          <w:szCs w:val="24"/>
          <w:lang w:bidi="hi-IN"/>
        </w:rPr>
        <w:t>.</w:t>
      </w:r>
      <w:r>
        <w:rPr>
          <w:rFonts w:ascii="Times New Roman" w:hAnsi="Times New Roman"/>
          <w:kern w:val="2"/>
          <w:sz w:val="24"/>
          <w:szCs w:val="24"/>
          <w:lang w:bidi="hi-IN"/>
        </w:rPr>
        <w:t xml:space="preserve"> roku veku mladého dospelého; dĺžka starostlivosti pobytovou formou nesmie </w:t>
      </w:r>
      <w:r>
        <w:rPr>
          <w:rFonts w:ascii="Times New Roman" w:hAnsi="Times New Roman"/>
          <w:kern w:val="2"/>
          <w:sz w:val="24"/>
          <w:szCs w:val="24"/>
          <w:lang w:bidi="hi-IN"/>
        </w:rPr>
        <w:tab/>
        <w:t xml:space="preserve">presiahnuť 90 po sebe nasledujúcich dní v priebehu 12 po sebe nasledujúcich </w:t>
      </w:r>
      <w:r>
        <w:rPr>
          <w:rFonts w:ascii="Times New Roman" w:hAnsi="Times New Roman"/>
          <w:kern w:val="2"/>
          <w:sz w:val="24"/>
          <w:szCs w:val="24"/>
          <w:lang w:bidi="hi-IN"/>
        </w:rPr>
        <w:tab/>
        <w:t>mesiacov.“.</w:t>
      </w:r>
    </w:p>
    <w:p w14:paraId="0D74357C" w14:textId="77777777" w:rsidR="004C7749" w:rsidRDefault="004C7749">
      <w:pPr>
        <w:pStyle w:val="Odsekzoznamu"/>
        <w:ind w:left="1440"/>
        <w:jc w:val="both"/>
        <w:rPr>
          <w:rFonts w:cs="Times New Roman"/>
          <w:kern w:val="2"/>
          <w:lang w:bidi="hi-IN"/>
        </w:rPr>
      </w:pPr>
    </w:p>
    <w:p w14:paraId="3E348AB9" w14:textId="77777777" w:rsidR="004C7749" w:rsidRDefault="0045501F">
      <w:pPr>
        <w:pStyle w:val="Odsekzoznamu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§ 61 znie: </w:t>
      </w:r>
    </w:p>
    <w:p w14:paraId="00BAA949" w14:textId="77777777" w:rsidR="004C7749" w:rsidRDefault="0045501F">
      <w:pPr>
        <w:pStyle w:val="Odsekzoznamu"/>
        <w:ind w:left="1440"/>
        <w:jc w:val="center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„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bidi="hi-IN"/>
        </w:rPr>
        <w:t>§ 61</w:t>
      </w:r>
    </w:p>
    <w:p w14:paraId="13FD1357" w14:textId="77777777" w:rsidR="004C7749" w:rsidRDefault="0045501F">
      <w:pPr>
        <w:pStyle w:val="Odsekzoznamu"/>
        <w:ind w:left="144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bidi="hi-IN"/>
        </w:rPr>
        <w:t>Úhrada za vykonávanie opatrení sociálnoprávnej ochrany detí a sociálnej kurately v centre</w:t>
      </w:r>
    </w:p>
    <w:p w14:paraId="6EDB9E76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(1) Úhrada za vykonávanie opatrení pobytovou formou sa určuje pre</w:t>
      </w:r>
    </w:p>
    <w:p w14:paraId="7A5B0080" w14:textId="55F7A19C" w:rsidR="004C7749" w:rsidRPr="00B716D9" w:rsidRDefault="0045501F" w:rsidP="00B716D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dieťa, ktoré je umiestnené v centre na základe písomnej dohody s rodičom dieťaťa alebo osobou, ktorá sa osobne stará o dieťa</w:t>
      </w:r>
      <w:r w:rsidR="0072279C"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,</w:t>
      </w:r>
    </w:p>
    <w:p w14:paraId="102F18D4" w14:textId="17FFCA9F" w:rsidR="004C7749" w:rsidRPr="00B716D9" w:rsidRDefault="0045501F" w:rsidP="00B716D9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plnoletú fyzickú osobu,</w:t>
      </w:r>
    </w:p>
    <w:p w14:paraId="79D826E6" w14:textId="77777777" w:rsidR="004C7749" w:rsidRDefault="0045501F" w:rsidP="00B716D9">
      <w:pPr>
        <w:pStyle w:val="Odsekzoznamu"/>
        <w:ind w:left="1416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1. ktorá je prijatá do centra s dieťaťom podľa § 47 ods. 5,</w:t>
      </w:r>
    </w:p>
    <w:p w14:paraId="745933FF" w14:textId="77777777" w:rsidR="004C7749" w:rsidRDefault="0045501F" w:rsidP="00B716D9">
      <w:pPr>
        <w:pStyle w:val="Odsekzoznamu"/>
        <w:ind w:left="1416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2. pre ktorú sa vykonávajú odborné metódy práce podľa § 46 ods. 11 a 12,</w:t>
      </w:r>
    </w:p>
    <w:p w14:paraId="1D2CB3F3" w14:textId="77777777" w:rsidR="004C7749" w:rsidRDefault="0045501F" w:rsidP="00B716D9">
      <w:pPr>
        <w:pStyle w:val="Odsekzoznamu"/>
        <w:ind w:left="1416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3. pre ktorú sa vykonáva resocializačný program,</w:t>
      </w:r>
    </w:p>
    <w:p w14:paraId="570043EC" w14:textId="77777777" w:rsidR="004C7749" w:rsidRDefault="0072279C" w:rsidP="00B716D9">
      <w:pPr>
        <w:pStyle w:val="Odsekzoznamu"/>
        <w:ind w:left="0" w:firstLine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     </w:t>
      </w:r>
      <w:r w:rsidR="0045501F">
        <w:rPr>
          <w:rFonts w:ascii="Times New Roman" w:hAnsi="Times New Roman" w:cs="Times New Roman"/>
          <w:kern w:val="2"/>
          <w:sz w:val="24"/>
          <w:szCs w:val="24"/>
          <w:lang w:bidi="hi-IN"/>
        </w:rPr>
        <w:t>c) tehotnú ženu a túto ženu po pôrode a jej dieťa podľa § 46 ods. 8.</w:t>
      </w:r>
    </w:p>
    <w:p w14:paraId="403A9BFC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237EF7ED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(2) Centrum môže dohodnúť</w:t>
      </w:r>
    </w:p>
    <w:p w14:paraId="58FA0FB8" w14:textId="4B0CED49" w:rsidR="004C7749" w:rsidRPr="00B716D9" w:rsidRDefault="0045501F" w:rsidP="00B716D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úhradu výdavkov na ošatenie a obuv, zvýšených výdavkov na zdravotnú starostlivosť, povinnú školskú dochádzku alebo prípravu na povolanie, ak na základe rozhodnutia súdu bola dieťaťu ulo</w:t>
      </w:r>
      <w:r w:rsidRP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>žená povinnosť zúčastniť sa na resocializačnom programe; tieto výdavky sa nezahŕňajú do preukázateľných skutočných výdavkov podľa § 89a,</w:t>
      </w:r>
    </w:p>
    <w:p w14:paraId="0C39F0C5" w14:textId="49F7D3D9" w:rsidR="004C7749" w:rsidRPr="00B716D9" w:rsidRDefault="0045501F" w:rsidP="00B716D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úhradu výdavkov za pobyt dieťaťa podľa § 57 ods. 6 písm. b),</w:t>
      </w:r>
    </w:p>
    <w:p w14:paraId="25D670C3" w14:textId="43870CDD" w:rsidR="004C7749" w:rsidRPr="00B716D9" w:rsidRDefault="0045501F" w:rsidP="00B716D9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2279C">
        <w:rPr>
          <w:rFonts w:ascii="Times New Roman" w:hAnsi="Times New Roman" w:cs="Times New Roman"/>
          <w:kern w:val="2"/>
          <w:sz w:val="24"/>
          <w:szCs w:val="24"/>
          <w:lang w:bidi="hi-IN"/>
        </w:rPr>
        <w:t>úhradu za materiálno-technické výdavky spojené s prí</w:t>
      </w:r>
      <w:r w:rsidRP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>pravou na profesionálne vykonávanie náhradnej starostlivosti; tieto výdavky sa nezahŕňajú do preukázateľných skutočných výdavkov podľa § 89a.</w:t>
      </w:r>
    </w:p>
    <w:p w14:paraId="2EB0AF59" w14:textId="77777777" w:rsidR="004C7749" w:rsidRPr="0072279C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4B43C040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(3) Rodič dieťaťa alebo osoba, ktorá sa osobne stará o dieťa, hradí úhradu za vykonávanie opatrení pobytovou formou pre dieťa, ktoré je umiestnené v centre na základe písomnej dohody s rodičom dieťaťa alebo osobou, ktorá sa osobne stará o dieťa, 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lastRenderedPageBreak/>
        <w:t>vo výške jednej tridsatiny sumy prídavku na dieťa</w:t>
      </w:r>
      <w:r w:rsid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 </w:t>
      </w:r>
      <w:r w:rsidRPr="00B716D9">
        <w:rPr>
          <w:rFonts w:ascii="Times New Roman" w:hAnsi="Times New Roman" w:cs="Times New Roman"/>
          <w:kern w:val="2"/>
          <w:sz w:val="24"/>
          <w:szCs w:val="24"/>
          <w:vertAlign w:val="superscript"/>
          <w:lang w:bidi="hi-IN"/>
        </w:rPr>
        <w:t>43</w:t>
      </w:r>
      <w:r w:rsidRPr="007B1034">
        <w:rPr>
          <w:rFonts w:ascii="Times New Roman" w:hAnsi="Times New Roman" w:cs="Times New Roman"/>
          <w:kern w:val="2"/>
          <w:sz w:val="24"/>
          <w:szCs w:val="24"/>
          <w:lang w:bidi="hi-IN"/>
        </w:rPr>
        <w:t xml:space="preserve">) 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za každý deň pobytu dieťaťa v centre.</w:t>
      </w:r>
    </w:p>
    <w:p w14:paraId="013325B4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223A24B0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(4) Plnoletá fyzická osoba podľa odseku 1 písm. b) prvého bodu hradí úhradu za poskytnuté bývanie vo výške jednej tridsatiny 10 % sumy životného minima pre jednu plnoletú fyzickú osobu</w:t>
      </w:r>
      <w:r w:rsidRPr="00B716D9">
        <w:rPr>
          <w:rFonts w:ascii="Times New Roman" w:hAnsi="Times New Roman" w:cs="Times New Roman"/>
          <w:kern w:val="2"/>
          <w:sz w:val="24"/>
          <w:szCs w:val="24"/>
          <w:vertAlign w:val="superscript"/>
          <w:lang w:bidi="hi-IN"/>
        </w:rPr>
        <w:t>45c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) za každý deň pobytu v centre. Ak súčasťou vykonávania opatrení pobytovou formou je aj poskytovanie stravy, centrum môže určiť úhradu za stravu, a to najviac vo výške ustanovenej dennej stravnej jednotky na mladého dospelého na každý deň pobytu.</w:t>
      </w:r>
    </w:p>
    <w:p w14:paraId="2B9E338E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F2C95BA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(5) Plnoletá fyzická osoba podľa odseku 1 písm. b) druhého bodu a písm. c) hradí úhradu za stravu, ak súčasťou vykonávaných opatrení pobytovou formou je aj poskytovanie stravy, a to najviac vo výške ustanovenej dennej stravnej jednotky na mladého dospelého na každý deň pobytu.</w:t>
      </w:r>
    </w:p>
    <w:p w14:paraId="1C78FF8A" w14:textId="77777777" w:rsidR="004C7749" w:rsidRDefault="004C7749" w:rsidP="00B716D9">
      <w:pPr>
        <w:pStyle w:val="Odsekzoznamu"/>
        <w:ind w:left="708"/>
        <w:jc w:val="both"/>
        <w:rPr>
          <w:rFonts w:ascii="Times New Roman" w:hAnsi="Times New Roman" w:cs="Times New Roman"/>
          <w:kern w:val="2"/>
          <w:sz w:val="24"/>
          <w:szCs w:val="24"/>
          <w:lang w:bidi="hi-IN"/>
        </w:rPr>
      </w:pPr>
    </w:p>
    <w:p w14:paraId="68F00FD8" w14:textId="77777777" w:rsidR="004C7749" w:rsidRDefault="0045501F" w:rsidP="00B716D9">
      <w:pPr>
        <w:pStyle w:val="Odsekzoznamu"/>
        <w:ind w:left="708"/>
        <w:jc w:val="both"/>
      </w:pP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(6) Plnoletá fyzická osoba podľa odseku 1 písm. b) tretieho bodu hradí úhradu za vykonávanie opatrení pobytovou formou vo výške jednej tridsatiny sumy dávky v hmotnej núdzi na jednotlivca</w:t>
      </w:r>
      <w:r w:rsidRPr="00B716D9">
        <w:rPr>
          <w:rFonts w:ascii="Times New Roman" w:hAnsi="Times New Roman" w:cs="Times New Roman"/>
          <w:kern w:val="2"/>
          <w:sz w:val="24"/>
          <w:szCs w:val="24"/>
          <w:vertAlign w:val="superscript"/>
          <w:lang w:bidi="hi-IN"/>
        </w:rPr>
        <w:t>45d</w:t>
      </w:r>
      <w:r>
        <w:rPr>
          <w:rFonts w:ascii="Times New Roman" w:hAnsi="Times New Roman" w:cs="Times New Roman"/>
          <w:kern w:val="2"/>
          <w:sz w:val="24"/>
          <w:szCs w:val="24"/>
          <w:lang w:bidi="hi-IN"/>
        </w:rPr>
        <w:t>) za každý deň vykonávania resocializačného programu. Plnoletá fyzická osoba podľa § 57 ods. 6 písm. a) hradí úhradu vo výške dohodnutej s centrom.“.</w:t>
      </w:r>
    </w:p>
    <w:p w14:paraId="7A01BD34" w14:textId="77777777" w:rsidR="000274A4" w:rsidRDefault="000274A4">
      <w:pPr>
        <w:pStyle w:val="Odsekzoznamu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</w:p>
    <w:p w14:paraId="5C9CD2F2" w14:textId="527D22F0" w:rsidR="004C7749" w:rsidRDefault="000274A4">
      <w:pPr>
        <w:pStyle w:val="Odsekzoznamu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  <w:t>Poznámky pod čiarou k odkazom 45a a 45b sa vypúšťajú.</w:t>
      </w:r>
    </w:p>
    <w:p w14:paraId="08B63E35" w14:textId="77777777" w:rsidR="000274A4" w:rsidRPr="00B716D9" w:rsidRDefault="000274A4">
      <w:pPr>
        <w:pStyle w:val="Odsekzoznamu"/>
        <w:jc w:val="both"/>
        <w:rPr>
          <w:rFonts w:ascii="Times New Roman" w:eastAsia="Calibri" w:hAnsi="Times New Roman"/>
          <w:kern w:val="2"/>
          <w:sz w:val="24"/>
          <w:szCs w:val="24"/>
          <w:lang w:eastAsia="zh-CN" w:bidi="hi-IN"/>
        </w:rPr>
      </w:pPr>
    </w:p>
    <w:p w14:paraId="075562F6" w14:textId="77777777" w:rsidR="004C7749" w:rsidRDefault="0045501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100aa sa vkladá  § 100ab, ktorý vrátane nadpisu znie: </w:t>
      </w:r>
    </w:p>
    <w:p w14:paraId="71C2310F" w14:textId="77777777" w:rsidR="004C7749" w:rsidRDefault="0045501F">
      <w:pPr>
        <w:spacing w:after="200" w:line="276" w:lineRule="auto"/>
        <w:ind w:left="720"/>
        <w:contextualSpacing/>
        <w:jc w:val="center"/>
      </w:pPr>
      <w:r>
        <w:rPr>
          <w:rFonts w:eastAsiaTheme="minorHAnsi"/>
          <w:lang w:eastAsia="en-US"/>
        </w:rPr>
        <w:t>„</w:t>
      </w:r>
      <w:r>
        <w:rPr>
          <w:rFonts w:eastAsiaTheme="minorHAnsi"/>
          <w:b/>
          <w:bCs/>
          <w:lang w:eastAsia="en-US"/>
        </w:rPr>
        <w:t xml:space="preserve">§100ab </w:t>
      </w:r>
    </w:p>
    <w:p w14:paraId="41E10768" w14:textId="77777777" w:rsidR="004C7749" w:rsidRDefault="0045501F">
      <w:pPr>
        <w:spacing w:after="200" w:line="276" w:lineRule="auto"/>
        <w:ind w:left="720"/>
        <w:contextualSpacing/>
        <w:jc w:val="center"/>
      </w:pPr>
      <w:r>
        <w:rPr>
          <w:rFonts w:eastAsiaTheme="minorHAnsi"/>
          <w:b/>
          <w:bCs/>
          <w:lang w:eastAsia="en-US"/>
        </w:rPr>
        <w:t>Prechodné ustanovenie k úprave účinnej od 1. januára 2021</w:t>
      </w:r>
    </w:p>
    <w:p w14:paraId="70E5FD77" w14:textId="77777777" w:rsidR="004C7749" w:rsidRDefault="004C7749">
      <w:pPr>
        <w:spacing w:line="276" w:lineRule="auto"/>
        <w:jc w:val="both"/>
      </w:pPr>
    </w:p>
    <w:p w14:paraId="4239B285" w14:textId="3A99288B" w:rsidR="004C7749" w:rsidRDefault="0045501F">
      <w:pPr>
        <w:spacing w:line="276" w:lineRule="auto"/>
        <w:ind w:left="708"/>
        <w:jc w:val="both"/>
      </w:pPr>
      <w:r>
        <w:t>Z výživného, sirotského dôchodku alebo sirotského výsluhového dôchodku dieťaťa, ktoré centrum prijme od 1. januára 2021, sa úhrada neurčuje a z prijatého výživného, sirotského dôchodku alebo sirotského výsluhového dôchodku tvorí centrum úspory dieťaťu.</w:t>
      </w:r>
      <w:r w:rsidR="003D432C">
        <w:t>“.</w:t>
      </w:r>
    </w:p>
    <w:p w14:paraId="3A826E8F" w14:textId="77777777" w:rsidR="004C7749" w:rsidRDefault="0045501F">
      <w:pPr>
        <w:spacing w:line="276" w:lineRule="auto"/>
        <w:ind w:left="708"/>
        <w:jc w:val="both"/>
      </w:pPr>
      <w:r>
        <w:t xml:space="preserve">     </w:t>
      </w:r>
    </w:p>
    <w:p w14:paraId="38D84069" w14:textId="77777777" w:rsidR="004C7749" w:rsidRDefault="004C7749">
      <w:pPr>
        <w:spacing w:line="276" w:lineRule="auto"/>
        <w:ind w:left="709"/>
        <w:contextualSpacing/>
        <w:jc w:val="both"/>
        <w:rPr>
          <w:rFonts w:eastAsiaTheme="minorHAnsi"/>
          <w:lang w:eastAsia="en-US"/>
        </w:rPr>
      </w:pPr>
    </w:p>
    <w:p w14:paraId="5B2BDB87" w14:textId="77777777" w:rsidR="004C7749" w:rsidRDefault="0045501F">
      <w:pPr>
        <w:spacing w:line="276" w:lineRule="auto"/>
        <w:jc w:val="center"/>
      </w:pPr>
      <w:r>
        <w:rPr>
          <w:b/>
          <w:bCs/>
        </w:rPr>
        <w:t>Čl. II</w:t>
      </w:r>
    </w:p>
    <w:p w14:paraId="3C91ACA6" w14:textId="77777777" w:rsidR="004C7749" w:rsidRDefault="004C7749">
      <w:pPr>
        <w:spacing w:line="276" w:lineRule="auto"/>
        <w:jc w:val="center"/>
      </w:pPr>
    </w:p>
    <w:p w14:paraId="3B9937A5" w14:textId="77777777" w:rsidR="004C7749" w:rsidRDefault="0045501F">
      <w:pPr>
        <w:spacing w:line="276" w:lineRule="auto"/>
        <w:ind w:firstLine="708"/>
        <w:jc w:val="both"/>
      </w:pPr>
      <w:r>
        <w:t>Tento zákon nadobúda účinnosť 1. januára  2021.</w:t>
      </w:r>
    </w:p>
    <w:p w14:paraId="7FF87886" w14:textId="77777777" w:rsidR="004C7749" w:rsidRDefault="004C7749">
      <w:pPr>
        <w:spacing w:line="276" w:lineRule="auto"/>
        <w:jc w:val="both"/>
        <w:rPr>
          <w:rFonts w:eastAsia="Calibri"/>
        </w:rPr>
      </w:pPr>
    </w:p>
    <w:p w14:paraId="7A34A6BC" w14:textId="77777777" w:rsidR="004C7749" w:rsidRDefault="004C7749">
      <w:pPr>
        <w:spacing w:line="276" w:lineRule="auto"/>
        <w:jc w:val="both"/>
      </w:pPr>
    </w:p>
    <w:sectPr w:rsidR="004C774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319"/>
    <w:multiLevelType w:val="hybridMultilevel"/>
    <w:tmpl w:val="1C985F48"/>
    <w:lvl w:ilvl="0" w:tplc="40B23E22">
      <w:start w:val="1"/>
      <w:numFmt w:val="lowerLetter"/>
      <w:lvlText w:val="%1)"/>
      <w:lvlJc w:val="left"/>
      <w:pPr>
        <w:ind w:left="1080" w:hanging="372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B27D2"/>
    <w:multiLevelType w:val="hybridMultilevel"/>
    <w:tmpl w:val="B28AD02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976107"/>
    <w:multiLevelType w:val="hybridMultilevel"/>
    <w:tmpl w:val="3D204D6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123757"/>
    <w:multiLevelType w:val="multilevel"/>
    <w:tmpl w:val="86E6B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0F26003"/>
    <w:multiLevelType w:val="hybridMultilevel"/>
    <w:tmpl w:val="34E81D9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F8D3758"/>
    <w:multiLevelType w:val="multilevel"/>
    <w:tmpl w:val="B5B2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494949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C7213"/>
    <w:multiLevelType w:val="hybridMultilevel"/>
    <w:tmpl w:val="5D3C2508"/>
    <w:lvl w:ilvl="0" w:tplc="D95882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49"/>
    <w:rsid w:val="000274A4"/>
    <w:rsid w:val="00166C5B"/>
    <w:rsid w:val="002102DB"/>
    <w:rsid w:val="003D432C"/>
    <w:rsid w:val="0045501F"/>
    <w:rsid w:val="004C7749"/>
    <w:rsid w:val="005818AE"/>
    <w:rsid w:val="00585E3B"/>
    <w:rsid w:val="007056FD"/>
    <w:rsid w:val="0072279C"/>
    <w:rsid w:val="007B1034"/>
    <w:rsid w:val="00A200DD"/>
    <w:rsid w:val="00B716D9"/>
    <w:rsid w:val="00C1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CEE9"/>
  <w15:docId w15:val="{8CDB4BFA-6737-47B5-BE2A-86B9481E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F2A6F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qFormat/>
    <w:rsid w:val="001F2A6F"/>
  </w:style>
  <w:style w:type="character" w:customStyle="1" w:styleId="ZkladntextChar1">
    <w:name w:val="Základný text Char1"/>
    <w:basedOn w:val="Predvolenpsmoodseku"/>
    <w:uiPriority w:val="99"/>
    <w:semiHidden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41AE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ListLabel1">
    <w:name w:val="ListLabel 1"/>
    <w:qFormat/>
    <w:rPr>
      <w:rFonts w:ascii="Times New Roman" w:hAnsi="Times New Roman"/>
      <w:b/>
      <w:color w:val="494949"/>
      <w:sz w:val="24"/>
    </w:rPr>
  </w:style>
  <w:style w:type="character" w:customStyle="1" w:styleId="ListLabel2">
    <w:name w:val="ListLabel 2"/>
    <w:qFormat/>
    <w:rPr>
      <w:b w:val="0"/>
      <w:color w:val="494949"/>
    </w:rPr>
  </w:style>
  <w:style w:type="character" w:customStyle="1" w:styleId="ListLabel3">
    <w:name w:val="ListLabel 3"/>
    <w:qFormat/>
    <w:rPr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customStyle="1" w:styleId="ListLabel4">
    <w:name w:val="ListLabel 4"/>
    <w:qFormat/>
    <w:rPr>
      <w:rFonts w:ascii="Times New Roman" w:hAnsi="Times New Roman"/>
      <w:b/>
      <w:color w:val="494949"/>
      <w:sz w:val="24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5F1675"/>
      <w:u w:val="single"/>
      <w:vertAlign w:val="superscript"/>
    </w:rPr>
  </w:style>
  <w:style w:type="character" w:customStyle="1" w:styleId="ListLabel8">
    <w:name w:val="ListLabel 8"/>
    <w:qFormat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C4661"/>
    <w:rPr>
      <w:rFonts w:ascii="Times New Roman" w:eastAsia="Times New Roman" w:hAnsi="Times New Roman" w:cs="Times New Roman"/>
      <w:b/>
      <w:bCs/>
      <w:szCs w:val="20"/>
      <w:lang w:eastAsia="sk-SK"/>
    </w:rPr>
  </w:style>
  <w:style w:type="character" w:customStyle="1" w:styleId="ListLabel9">
    <w:name w:val="ListLabel 9"/>
    <w:qFormat/>
    <w:rPr>
      <w:rFonts w:ascii="Times New Roman" w:hAnsi="Times New Roman"/>
      <w:b/>
      <w:color w:val="494949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ascii="Times New Roman" w:hAnsi="Times New Roman"/>
      <w:b/>
      <w:color w:val="494949"/>
      <w:sz w:val="24"/>
    </w:rPr>
  </w:style>
  <w:style w:type="character" w:customStyle="1" w:styleId="ListLabel14">
    <w:name w:val="ListLabel 14"/>
    <w:qFormat/>
    <w:rPr>
      <w:b/>
      <w:color w:val="494949"/>
      <w:sz w:val="24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17">
    <w:name w:val="ListLabel 17"/>
    <w:qFormat/>
    <w:rPr>
      <w:rFonts w:eastAsiaTheme="minorHAnsi"/>
      <w:kern w:val="2"/>
      <w:u w:val="single"/>
      <w:lang w:bidi="hi-IN"/>
    </w:rPr>
  </w:style>
  <w:style w:type="character" w:customStyle="1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4"/>
      <w:szCs w:val="24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21">
    <w:name w:val="ListLabel 21"/>
    <w:qFormat/>
    <w:rPr>
      <w:rFonts w:ascii="Times New Roman" w:eastAsiaTheme="minorHAnsi" w:hAnsi="Times New Roman"/>
      <w:kern w:val="2"/>
      <w:sz w:val="24"/>
      <w:szCs w:val="24"/>
      <w:u w:val="none"/>
      <w:lang w:bidi="hi-IN"/>
    </w:rPr>
  </w:style>
  <w:style w:type="character" w:customStyle="1" w:styleId="ListLabel22">
    <w:name w:val="ListLabel 22"/>
    <w:qFormat/>
    <w:rPr>
      <w:rFonts w:ascii="Times New Roman" w:eastAsiaTheme="minorHAnsi" w:hAnsi="Times New Roman" w:cs="Times New Roman"/>
      <w:kern w:val="2"/>
      <w:sz w:val="24"/>
      <w:szCs w:val="24"/>
      <w:u w:val="none"/>
      <w:lang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1F2A6F"/>
    <w:pPr>
      <w:jc w:val="both"/>
    </w:pPr>
    <w:rPr>
      <w:rFonts w:eastAsiaTheme="minorEastAsia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1F2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41AE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C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5/3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2020-08-19T13:36:00Z</cp:lastPrinted>
  <dcterms:created xsi:type="dcterms:W3CDTF">2020-08-27T12:11:00Z</dcterms:created>
  <dcterms:modified xsi:type="dcterms:W3CDTF">2020-08-27T12:11:00Z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