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b/>
          <w:color w:val="000000"/>
          <w:sz w:val="22"/>
          <w:szCs w:val="22"/>
        </w:rPr>
      </w:pPr>
      <w:r>
        <w:rPr>
          <w:rFonts w:ascii="Book Antiqua" w:eastAsia="Book Antiqua" w:hAnsi="Book Antiqua" w:cs="Book Antiqua"/>
          <w:b/>
          <w:smallCaps/>
          <w:sz w:val="22"/>
          <w:szCs w:val="22"/>
        </w:rPr>
        <w:t xml:space="preserve"> </w:t>
      </w:r>
      <w:r>
        <w:rPr>
          <w:rFonts w:ascii="Book Antiqua" w:eastAsia="Book Antiqua" w:hAnsi="Book Antiqua" w:cs="Book Antiqua"/>
          <w:b/>
          <w:smallCaps/>
          <w:color w:val="000000"/>
          <w:sz w:val="22"/>
          <w:szCs w:val="22"/>
        </w:rPr>
        <w:t>DÔVODOVÁ SPRÁVA</w:t>
      </w:r>
    </w:p>
    <w:p w:rsidR="00B808C6" w:rsidRDefault="00B808C6">
      <w:pPr>
        <w:pStyle w:val="Nadpis1"/>
        <w:spacing w:before="120" w:line="276" w:lineRule="auto"/>
        <w:jc w:val="left"/>
        <w:rPr>
          <w:rFonts w:ascii="Book Antiqua" w:eastAsia="Book Antiqua" w:hAnsi="Book Antiqua" w:cs="Book Antiqua"/>
          <w:sz w:val="22"/>
          <w:szCs w:val="22"/>
        </w:rPr>
      </w:pPr>
    </w:p>
    <w:p w:rsidR="00B808C6" w:rsidRDefault="00AA7F08">
      <w:pPr>
        <w:pStyle w:val="Nadpis1"/>
        <w:spacing w:before="120" w:line="276" w:lineRule="auto"/>
        <w:jc w:val="left"/>
        <w:rPr>
          <w:rFonts w:ascii="Book Antiqua" w:eastAsia="Book Antiqua" w:hAnsi="Book Antiqua" w:cs="Book Antiqua"/>
          <w:sz w:val="22"/>
          <w:szCs w:val="22"/>
        </w:rPr>
      </w:pPr>
      <w:r>
        <w:rPr>
          <w:rFonts w:ascii="Book Antiqua" w:eastAsia="Book Antiqua" w:hAnsi="Book Antiqua" w:cs="Book Antiqua"/>
          <w:sz w:val="22"/>
          <w:szCs w:val="22"/>
        </w:rPr>
        <w:t>A. Všeobecná časť</w:t>
      </w:r>
    </w:p>
    <w:p w:rsidR="00B808C6" w:rsidRDefault="00AA7F08">
      <w:pPr>
        <w:pBdr>
          <w:top w:val="nil"/>
          <w:left w:val="nil"/>
          <w:bottom w:val="nil"/>
          <w:right w:val="nil"/>
          <w:between w:val="nil"/>
        </w:pBdr>
        <w:spacing w:before="120" w:line="276" w:lineRule="auto"/>
        <w:ind w:firstLine="708"/>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Návrh zákona, ktorým sa mení a dopĺňa zákon č. 440/2015 Z. z. (ďalej aj ako „zákon o športe“) o športe a o zmene a doplnení niektorých zákonov v znení neskorších predpisov (ďalej len „návrh zákona“) predkladajú do legislatívneho procesu poslanci Národnej rady Slov</w:t>
      </w:r>
      <w:r w:rsidR="00AA7FA5">
        <w:rPr>
          <w:rFonts w:ascii="Book Antiqua" w:eastAsia="Book Antiqua" w:hAnsi="Book Antiqua" w:cs="Book Antiqua"/>
          <w:color w:val="000000"/>
          <w:sz w:val="22"/>
          <w:szCs w:val="22"/>
        </w:rPr>
        <w:t>enskej republiky Richard Nemec,</w:t>
      </w:r>
      <w:r>
        <w:rPr>
          <w:rFonts w:ascii="Book Antiqua" w:eastAsia="Book Antiqua" w:hAnsi="Book Antiqua" w:cs="Book Antiqua"/>
          <w:color w:val="000000"/>
          <w:sz w:val="22"/>
          <w:szCs w:val="22"/>
        </w:rPr>
        <w:t> Radovan Sloboda</w:t>
      </w:r>
      <w:r w:rsidR="00AA7FA5">
        <w:rPr>
          <w:rFonts w:ascii="Book Antiqua" w:eastAsia="Book Antiqua" w:hAnsi="Book Antiqua" w:cs="Book Antiqua"/>
          <w:color w:val="000000"/>
          <w:sz w:val="22"/>
          <w:szCs w:val="22"/>
        </w:rPr>
        <w:t xml:space="preserve"> a Peter Vons</w:t>
      </w:r>
      <w:r>
        <w:rPr>
          <w:rFonts w:ascii="Book Antiqua" w:eastAsia="Book Antiqua" w:hAnsi="Book Antiqua" w:cs="Book Antiqua"/>
          <w:color w:val="000000"/>
          <w:sz w:val="22"/>
          <w:szCs w:val="22"/>
        </w:rPr>
        <w:t>.</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Zákon o športe vznikol v roku 2015, keď sa súčasne naposledy menil kódex Svetovej antidopingovej organizácie. Medzitým došlo k zmene.</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b/>
          <w:sz w:val="22"/>
          <w:szCs w:val="22"/>
        </w:rPr>
        <w:t>Ide o záväzok Slovenskej republiky na základe Medzinárodného dohovoru proti dopingu v športe</w:t>
      </w:r>
      <w:r>
        <w:rPr>
          <w:rFonts w:ascii="Book Antiqua" w:eastAsia="Book Antiqua" w:hAnsi="Book Antiqua" w:cs="Book Antiqua"/>
          <w:sz w:val="22"/>
          <w:szCs w:val="22"/>
        </w:rPr>
        <w:t xml:space="preserve"> (oznámenie č. 347/2007 Z. z.), ako aj na základe Kodanskej deklarácie o antidopingu v športe, ktorá bola prijatá Monitorovacou skupinou Dohovoru proti dopingu Rady Európy (TDO) v Štrasburgu 13. marca 2003. Následne na konferencii v Katowiciach (2019) bol predstavený nový Svetový antidopingový program, a to najmä v podobe návrhu  Svetového antidopingového kódexu 2021 (ďalej len ,,Kódex 2021“). Konferencia  vyzvala všetkých signatárov (vrátane Slovenskej republiky) k náležitej implementácii medzinárodných štandardov slúžiacich na jeho vykonanie.</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 xml:space="preserve">Povinnost' implementácie predstavuje </w:t>
      </w:r>
      <w:r>
        <w:rPr>
          <w:rFonts w:ascii="Book Antiqua" w:eastAsia="Book Antiqua" w:hAnsi="Book Antiqua" w:cs="Book Antiqua"/>
          <w:b/>
          <w:sz w:val="22"/>
          <w:szCs w:val="22"/>
        </w:rPr>
        <w:t>povinnosť implementácie  Kódexu 2021, ale aj medzinárodných štandardov a technických dokumentov</w:t>
      </w:r>
      <w:r>
        <w:rPr>
          <w:rFonts w:ascii="Book Antiqua" w:eastAsia="Book Antiqua" w:hAnsi="Book Antiqua" w:cs="Book Antiqua"/>
          <w:sz w:val="22"/>
          <w:szCs w:val="22"/>
        </w:rPr>
        <w:t>.</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Rozsah implementácie je daný samotným obsahom a rozsahom  Kódexu 2021 a jeho štandardov, ktorými sú:</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súlad signatárov s  Kódexom 2021,</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ochranu súkromných a osobných údajov,</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testovanie a vyšetrovanie,</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terapeutické výnimky,</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vzdelávanie, a</w:t>
      </w:r>
    </w:p>
    <w:p w:rsidR="00B808C6" w:rsidRDefault="00AA7F08">
      <w:pPr>
        <w:numPr>
          <w:ilvl w:val="0"/>
          <w:numId w:val="1"/>
        </w:numP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správu  výsledkov.</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 xml:space="preserve">Povinnost' implementácie  Kódexu 2021 a vyššie uvedených štandardov vyplýva jednak zo samotného  Kódexu 2021 a jednak z Medzinárodného štandardu pre súlad signatárov s Kódexom 2021. V oboch pripadoch je lehota na implementáciu Svetového antidopingového programu 2021 </w:t>
      </w:r>
      <w:r>
        <w:rPr>
          <w:rFonts w:ascii="Book Antiqua" w:eastAsia="Book Antiqua" w:hAnsi="Book Antiqua" w:cs="Book Antiqua"/>
          <w:b/>
          <w:sz w:val="22"/>
          <w:szCs w:val="22"/>
        </w:rPr>
        <w:t>najneskôr k 1.1.2021,</w:t>
      </w:r>
      <w:r>
        <w:rPr>
          <w:rFonts w:ascii="Book Antiqua" w:eastAsia="Book Antiqua" w:hAnsi="Book Antiqua" w:cs="Book Antiqua"/>
          <w:sz w:val="22"/>
          <w:szCs w:val="22"/>
        </w:rPr>
        <w:t xml:space="preserve"> </w:t>
      </w:r>
      <w:r>
        <w:rPr>
          <w:rFonts w:ascii="Book Antiqua" w:eastAsia="Book Antiqua" w:hAnsi="Book Antiqua" w:cs="Book Antiqua"/>
          <w:b/>
          <w:sz w:val="22"/>
          <w:szCs w:val="22"/>
        </w:rPr>
        <w:t>kedy nadobúda účinnosť Kódex 2021 a jeho štandardy.</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Medzinárodný štandard pre súlad signatárov s Kódexom 2021 súčasne stanovuje celý proces implementácie Kódexu 2021, monitorovania súladu implementácii s požiadavkami Kódexu 2021, nápravné opatrenia ako aj prípadné sankcie za nesplnenie povinností.</w:t>
      </w:r>
    </w:p>
    <w:p w:rsidR="00B808C6" w:rsidRDefault="00B808C6">
      <w:pPr>
        <w:spacing w:before="120" w:line="276" w:lineRule="auto"/>
        <w:ind w:firstLine="708"/>
        <w:jc w:val="both"/>
        <w:rPr>
          <w:rFonts w:ascii="Book Antiqua" w:eastAsia="Book Antiqua" w:hAnsi="Book Antiqua" w:cs="Book Antiqua"/>
          <w:sz w:val="22"/>
          <w:szCs w:val="22"/>
        </w:rPr>
      </w:pP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lastRenderedPageBreak/>
        <w:t>Vzhľadom na zmeny zavedené v rámci Kódexu a jeho štandardov v porovnaní s Kódexom 2015 a jeho štandardami je nutné uskutočniť novelu zákona o športe, ktorá reflektuje len na požiadavky Svetového antidopingového programu 2015, ktoré nie sú s ohľadom na Svetový antidopingový program 2021 upravené. Jedná sa predovšetkým o zavedenie nových skutkových podstát porušení antidopingových pravidiel, ako aj o potrebu prípravy inštitucionálneho oddelenia orgánov oprávnených vykonávať pôsobnosť v oblasti boja proti dopingu, kde súčasná úprava nevyhovuje požiadavkám Svetového antidopingového programu 2021 a jej ponechanie bez zmien by znamenalo status non-compliance, čiže nesúladu.</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Vzhľadom na neustály vývoj pravidiel Svetového antidopingového programu navrhujeme zúženie úpravy antidopingu v zákone o športe v takom rozsahu, aby všetky relevantné skutočnosti vo vzťahu k plneniu požiadaviek Svetového antidopingového programu a boja proti dopingu vyplývali najmä z platných predpisov Svetového antidopingového programu. Účinnosť novely zákona o športe by vzhľadom na požiadavku Kódexu 2021 a Medzinárodného štandardu pre súlad signatárov s kódexom 2021 mala nastat' najneskôr k 1.1.2021,</w:t>
      </w:r>
      <w:r>
        <w:rPr>
          <w:rFonts w:ascii="Book Antiqua" w:eastAsia="Book Antiqua" w:hAnsi="Book Antiqua" w:cs="Book Antiqua"/>
          <w:b/>
          <w:sz w:val="22"/>
          <w:szCs w:val="22"/>
        </w:rPr>
        <w:t xml:space="preserve"> v opačnom prípade by Slovenská republika nadobudla status non-compliance, a teda nesúladu, ktorého dôsledkom by mohlo byť aj vyradenie našich športovcov z medzinárodných súťaží</w:t>
      </w:r>
      <w:r>
        <w:rPr>
          <w:rFonts w:ascii="Book Antiqua" w:eastAsia="Book Antiqua" w:hAnsi="Book Antiqua" w:cs="Book Antiqua"/>
          <w:sz w:val="22"/>
          <w:szCs w:val="22"/>
        </w:rPr>
        <w:t xml:space="preserve">. </w:t>
      </w:r>
    </w:p>
    <w:p w:rsidR="00B808C6" w:rsidRDefault="00B808C6">
      <w:pPr>
        <w:spacing w:before="120" w:line="276" w:lineRule="auto"/>
        <w:ind w:firstLine="708"/>
        <w:jc w:val="both"/>
        <w:rPr>
          <w:rFonts w:ascii="Book Antiqua" w:eastAsia="Book Antiqua" w:hAnsi="Book Antiqua" w:cs="Book Antiqua"/>
          <w:sz w:val="22"/>
          <w:szCs w:val="22"/>
        </w:rPr>
      </w:pP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 xml:space="preserve">Návrh zákona má negatívny dopad na rozpočet verejnej správy a nemá žiadne sociálne vplyvy a ani vplyvy na podnikateľské prostredie, na životné prostredie alebo na informatizáciu spoločnosti. </w:t>
      </w:r>
    </w:p>
    <w:p w:rsidR="00B808C6" w:rsidRDefault="00AA7F08">
      <w:pPr>
        <w:spacing w:before="120" w:line="276" w:lineRule="auto"/>
        <w:ind w:firstLine="708"/>
        <w:jc w:val="both"/>
        <w:rPr>
          <w:rFonts w:ascii="Book Antiqua" w:eastAsia="Book Antiqua" w:hAnsi="Book Antiqua" w:cs="Book Antiqua"/>
          <w:sz w:val="22"/>
          <w:szCs w:val="22"/>
        </w:rPr>
      </w:pPr>
      <w:r>
        <w:rPr>
          <w:rFonts w:ascii="Book Antiqua" w:eastAsia="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r>
        <w:br w:type="page"/>
      </w:r>
      <w:r>
        <w:rPr>
          <w:rFonts w:ascii="Book Antiqua" w:eastAsia="Book Antiqua" w:hAnsi="Book Antiqua" w:cs="Book Antiqua"/>
          <w:b/>
          <w:color w:val="000000"/>
          <w:sz w:val="22"/>
          <w:szCs w:val="22"/>
        </w:rPr>
        <w:lastRenderedPageBreak/>
        <w:t>B. Osobitná časť</w:t>
      </w:r>
    </w:p>
    <w:p w:rsidR="00B808C6" w:rsidRDefault="00B808C6">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K Čl. I</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K bodu 1</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b/>
        <w:t xml:space="preserve">Mení sa ustanovenie § 8 ods. 6 tak, aby v novej právnej úprave bolo oddelené nazeranie na jednej strane na povinnosť zabezpečiť dodržiavanie pravidiel Svetového antidopingového programu a na strane druhej na povinnosť zabezpečiť dodržiavanie samotných opatrení proti negatívnym javom v športe (napríklad manipulácia priebehu a výsledkov súťaží a pod.). Rozdielnosť nového nazerania na tieto povinnosti má spočívať v tom, že zabezpečenie dodržiavania pravidiel Svetového antidopingového programu už nebude považované za závažné disciplinárne previnenie, čo bude mať dôsledky opísané v bode </w:t>
      </w:r>
      <w:r>
        <w:rPr>
          <w:rFonts w:ascii="Book Antiqua" w:eastAsia="Book Antiqua" w:hAnsi="Book Antiqua" w:cs="Book Antiqua"/>
          <w:sz w:val="22"/>
          <w:szCs w:val="22"/>
        </w:rPr>
        <w:t>3</w:t>
      </w:r>
      <w:r>
        <w:rPr>
          <w:rFonts w:ascii="Book Antiqua" w:eastAsia="Book Antiqua" w:hAnsi="Book Antiqua" w:cs="Book Antiqua"/>
          <w:color w:val="000000"/>
          <w:sz w:val="22"/>
          <w:szCs w:val="22"/>
        </w:rPr>
        <w:t xml:space="preserve"> tohto návrhu zákona. </w:t>
      </w:r>
      <w:r>
        <w:rPr>
          <w:rFonts w:ascii="Book Antiqua" w:eastAsia="Book Antiqua" w:hAnsi="Book Antiqua" w:cs="Book Antiqua"/>
          <w:sz w:val="22"/>
          <w:szCs w:val="22"/>
        </w:rPr>
        <w:t xml:space="preserve">Vo </w:t>
      </w:r>
      <w:r>
        <w:rPr>
          <w:rFonts w:ascii="Book Antiqua" w:eastAsia="Book Antiqua" w:hAnsi="Book Antiqua" w:cs="Book Antiqua"/>
          <w:color w:val="000000"/>
          <w:sz w:val="22"/>
          <w:szCs w:val="22"/>
        </w:rPr>
        <w:t>všeobecnosti sa porušenie antidopingových pravidiel už nebude považovať za disciplinárne previnenie a je vyňaté do samostatnej kategórie (sui generis) porušenia pravidiel v športe na úseku Svetového antidopingového programu.</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K bodu 2</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ab/>
        <w:t xml:space="preserve">Dopĺňa sa samosprávny kraj ako prijímateľ verejných prostriedkov zo štátneho rozpočtu, rovnako ako obec. Ide o doplnenie, ktoré priniesla potreba aplikačnej praxe. </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sz w:val="22"/>
          <w:szCs w:val="22"/>
          <w:u w:val="single"/>
        </w:rPr>
      </w:pPr>
      <w:r>
        <w:rPr>
          <w:rFonts w:ascii="Book Antiqua" w:eastAsia="Book Antiqua" w:hAnsi="Book Antiqua" w:cs="Book Antiqua"/>
          <w:sz w:val="22"/>
          <w:szCs w:val="22"/>
          <w:u w:val="single"/>
        </w:rPr>
        <w:t>K bodu 3</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b/>
        <w:t>V tomto bode návrhu zákona sa vypúšťa ustanovenie, podľa ktorého v súčasne platnej právnej úprave platí, že nezapracovanie porušení pravidiel Svetového antidopingového programu ako závažného disciplinárneho previnenia do predpisov národných športových zväzov sa považuje za dôvod na stratu spôsobilosti prijímateľa verejných prostriedkov. Návrh zákona tento dôvod na stratu spôsobilosti prijímateľa verejných prostriedkov vypúšťa z dôvodu nového filozofického nazerania na proces boja proti dopingu, keď sa už konanie o porušení pravidiel dopingu nepovažuje za závažné disciplinárne previnenie, ale ide o samostatné (</w:t>
      </w:r>
      <w:r>
        <w:rPr>
          <w:rFonts w:ascii="Book Antiqua" w:eastAsia="Book Antiqua" w:hAnsi="Book Antiqua" w:cs="Book Antiqua"/>
          <w:i/>
          <w:color w:val="000000"/>
          <w:sz w:val="22"/>
          <w:szCs w:val="22"/>
        </w:rPr>
        <w:t>sui generis</w:t>
      </w:r>
      <w:r>
        <w:rPr>
          <w:rFonts w:ascii="Book Antiqua" w:eastAsia="Book Antiqua" w:hAnsi="Book Antiqua" w:cs="Book Antiqua"/>
          <w:color w:val="000000"/>
          <w:sz w:val="22"/>
          <w:szCs w:val="22"/>
        </w:rPr>
        <w:t>) konanie, v ktorom je športovec postihovaný nezávislou komisiou pri zachovaní zásad spravodlivého procesu, včasnosti a verejnosti.</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 xml:space="preserve">K bodom </w:t>
      </w:r>
      <w:r>
        <w:rPr>
          <w:rFonts w:ascii="Book Antiqua" w:eastAsia="Book Antiqua" w:hAnsi="Book Antiqua" w:cs="Book Antiqua"/>
          <w:sz w:val="22"/>
          <w:szCs w:val="22"/>
          <w:u w:val="single"/>
        </w:rPr>
        <w:t>4</w:t>
      </w:r>
      <w:r>
        <w:rPr>
          <w:rFonts w:ascii="Book Antiqua" w:eastAsia="Book Antiqua" w:hAnsi="Book Antiqua" w:cs="Book Antiqua"/>
          <w:color w:val="000000"/>
          <w:sz w:val="22"/>
          <w:szCs w:val="22"/>
          <w:u w:val="single"/>
        </w:rPr>
        <w:t xml:space="preserve">, </w:t>
      </w:r>
      <w:r>
        <w:rPr>
          <w:rFonts w:ascii="Book Antiqua" w:eastAsia="Book Antiqua" w:hAnsi="Book Antiqua" w:cs="Book Antiqua"/>
          <w:sz w:val="22"/>
          <w:szCs w:val="22"/>
          <w:u w:val="single"/>
        </w:rPr>
        <w:t>5</w:t>
      </w:r>
      <w:r>
        <w:rPr>
          <w:rFonts w:ascii="Book Antiqua" w:eastAsia="Book Antiqua" w:hAnsi="Book Antiqua" w:cs="Book Antiqua"/>
          <w:color w:val="000000"/>
          <w:sz w:val="22"/>
          <w:szCs w:val="22"/>
          <w:u w:val="single"/>
        </w:rPr>
        <w:t xml:space="preserve"> a </w:t>
      </w:r>
      <w:r>
        <w:rPr>
          <w:rFonts w:ascii="Book Antiqua" w:eastAsia="Book Antiqua" w:hAnsi="Book Antiqua" w:cs="Book Antiqua"/>
          <w:sz w:val="22"/>
          <w:szCs w:val="22"/>
          <w:u w:val="single"/>
        </w:rPr>
        <w:t>9</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b/>
        <w:t xml:space="preserve">Ide o legislatívno-technické úpravy bezprostredne súvisiace s čl. I bodom </w:t>
      </w:r>
      <w:r>
        <w:rPr>
          <w:rFonts w:ascii="Book Antiqua" w:eastAsia="Book Antiqua" w:hAnsi="Book Antiqua" w:cs="Book Antiqua"/>
          <w:sz w:val="22"/>
          <w:szCs w:val="22"/>
        </w:rPr>
        <w:t>7</w:t>
      </w:r>
      <w:r>
        <w:rPr>
          <w:rFonts w:ascii="Book Antiqua" w:eastAsia="Book Antiqua" w:hAnsi="Book Antiqua" w:cs="Book Antiqua"/>
          <w:color w:val="000000"/>
          <w:sz w:val="22"/>
          <w:szCs w:val="22"/>
        </w:rPr>
        <w:t xml:space="preserve"> tohto návrhu zákona (§ 88 a § 90 ods. 1).</w:t>
      </w:r>
    </w:p>
    <w:p w:rsidR="00B808C6" w:rsidRDefault="00AA7F08">
      <w:pPr>
        <w:spacing w:before="120" w:line="276" w:lineRule="auto"/>
        <w:jc w:val="both"/>
        <w:rPr>
          <w:rFonts w:ascii="Book Antiqua" w:eastAsia="Book Antiqua" w:hAnsi="Book Antiqua" w:cs="Book Antiqua"/>
          <w:sz w:val="22"/>
          <w:szCs w:val="22"/>
          <w:u w:val="single"/>
        </w:rPr>
      </w:pPr>
      <w:r>
        <w:rPr>
          <w:rFonts w:ascii="Book Antiqua" w:eastAsia="Book Antiqua" w:hAnsi="Book Antiqua" w:cs="Book Antiqua"/>
          <w:sz w:val="22"/>
          <w:szCs w:val="22"/>
          <w:u w:val="single"/>
        </w:rPr>
        <w:t>K bodu 6</w:t>
      </w:r>
    </w:p>
    <w:p w:rsidR="00B808C6" w:rsidRDefault="00AA7F08">
      <w:pPr>
        <w:spacing w:line="276" w:lineRule="auto"/>
        <w:ind w:firstLine="709"/>
        <w:jc w:val="both"/>
        <w:rPr>
          <w:rFonts w:ascii="Book Antiqua" w:eastAsia="Book Antiqua" w:hAnsi="Book Antiqua" w:cs="Book Antiqua"/>
          <w:sz w:val="22"/>
          <w:szCs w:val="22"/>
          <w:u w:val="single"/>
        </w:rPr>
      </w:pPr>
      <w:r>
        <w:rPr>
          <w:rFonts w:ascii="Book Antiqua" w:eastAsia="Book Antiqua" w:hAnsi="Book Antiqua" w:cs="Book Antiqua"/>
          <w:sz w:val="22"/>
          <w:szCs w:val="22"/>
        </w:rPr>
        <w:t xml:space="preserve">Na základe návrhu zákona sa do § 70 ods. 4 dopĺňa nové písmeno d) tak, aby bolo možné poskytnúť dotáciu aj samosprávnemu kraju. Ide o doplnenie, ktoré priniesla potreba aplikačnej praxe a nadväzuje na úpravu v bode 2 návrhu zákona. </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 xml:space="preserve">K bodu </w:t>
      </w:r>
      <w:r>
        <w:rPr>
          <w:rFonts w:ascii="Book Antiqua" w:eastAsia="Book Antiqua" w:hAnsi="Book Antiqua" w:cs="Book Antiqua"/>
          <w:sz w:val="22"/>
          <w:szCs w:val="22"/>
          <w:u w:val="single"/>
        </w:rPr>
        <w:t>7</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 xml:space="preserve">Na základe návrhu zákona sa súčasne platná právna úprava zjednodušuje tak, aby obsahovala len nevyhnutné zásady a základy úpravy a ostatné sa ponecháva na úpravu v </w:t>
      </w:r>
      <w:r>
        <w:rPr>
          <w:rFonts w:ascii="Book Antiqua" w:eastAsia="Book Antiqua" w:hAnsi="Book Antiqua" w:cs="Book Antiqua"/>
          <w:sz w:val="22"/>
          <w:szCs w:val="22"/>
        </w:rPr>
        <w:lastRenderedPageBreak/>
        <w:t>pravidlách Svetového antidopingového programu, čím sa zákon stáva flexibilnejší a nebude potrebné ho tak často meniť.</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V § 86 ostáva zachovaná právna úprava podľa doterajšieho znenia zákona s tým, že sa spresňujú právomoci agentúry, zjednodušuje sa obsah výročnej správy, aby sa odstránili duplicitné požiadavky a ustanovuje sa spolupráca s národnými športovými zväzmi pri vzdelávaní v oblasti antidopingu.</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V § 87 sa upravuje osobný rozsah pôsobnosti agentúry a jej antidopingových pravidiel, ktorý ostáva nezmenený oproti predchádzajúcej právnej úprave. Povinnosti agentúry sa vypúšťajú, pretože boli zapracované do ustanovení § 86 upravujúce postavenie a právomoci agentúry.</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V navrhovanom novom znení ustanovenia § 88 sa doplnili nové skutkové podstaty dopingu, ktoré korešpondujú s vývojom v boji proti dopingu (odrádzanie od oznámenia dopingu príslušnému orgánu alebo pomsta za  oznámenie dopingu  príslušnému orgánu zo strany športovca alebo inej osoby), v súvislosti s ochranou informátorov tzv. whistleblowerov.</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 xml:space="preserve">V § 89 sa v zmysle pripomienok Svetovej antidopingovej agentúry (WADA) spresňuje rozsah dopingovej kontroly. </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 xml:space="preserve">V § 90 sa zjednodušuje právna úprava v prípade antidopingovej kontroly vykonanej na podnet fyzickej osoby alebo právnickej osoby, ktoré majú príslušnosť k signatárovi kódexu WADA tak, že náklady bude znášať ten, kto podal podnet na vykonanie takejto kontroly. Zároveň sa vypúšťa povinnosť národného športového zväzu znášať náklady dopingovej kontroly, ak organizuje významnú súťaž, bez ohľadu na to, či o vykonanie dopingovej kontroly požiadal. </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V ustanovení § 91 sa zjednodušuje právna úprava dopingového komisára, vypúšťajú sa ustanovenia o náležitostiach poverenia a preukazu. Náležitosti poverenia na výkon dopingovej kontroly a preukazu dopingového komisára určí štatút agentúry.</w:t>
      </w:r>
    </w:p>
    <w:p w:rsidR="00B808C6" w:rsidRDefault="00B808C6">
      <w:pPr>
        <w:spacing w:line="276" w:lineRule="auto"/>
        <w:ind w:firstLine="709"/>
        <w:jc w:val="both"/>
        <w:rPr>
          <w:rFonts w:ascii="Book Antiqua" w:eastAsia="Book Antiqua" w:hAnsi="Book Antiqua" w:cs="Book Antiqua"/>
          <w:sz w:val="22"/>
          <w:szCs w:val="22"/>
        </w:rPr>
      </w:pP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 xml:space="preserve">Najdôležitejšou zmenou sú nové znenia ustanovení § 92 a 93, a teda zriadenie nových komisií pre konanie vo veci dopingu na prvom stupni a na druhom stupni, ktoré sú (a v zmysle platných predpisov Svetového antidopingového programu aj musia byť) nezávislé finančne (prevádzkovo) aj inštitucionálne jednak od národných športových zväzov, ako aj od národnej antidopingovej agentúry. Členovia komisií budú odborníci s expertízou v právnych vedách, prírodných vedách, medicínskych vedách, farmaceutických vedách alebo v športových vedách a nebude už potrebné, aby každý jeden národný športový zväz hľadal takto špecializovaných odborníkov do svojich antidopingových komisií, po čom tiež volali národné športové zväzy. Výrazne sa tým pomôže športovému hnutiu, ale zároveň sa aj zvýši odborná úroveň a zjednotí rozhodovacia prax, čo je v konečnom dôsledku v prospech športovcov, pretože v súčasnosti sa často stretávame s príliš prísnym posudzovaním jednotlivých previnení zrejme spôsobeným nie úplne dostatočnou fundovanosťou a expertnosťou členov jednotlivých orgánov národných športových zväzov v oblasti posudzovania a rozhodovania porušení antidopingovej regulácie. Domnievame sa preto, že navrhovaná zmena bude vítaná v celej športovej obci a bude viesť k primeraným a spravodlivým postihom za porušenie antidopingových pravidiel, ktoré nebudú viesť k vylúčeniu športovca zo spoločnosti, ale naopak k náprave jeho nešportového správania. </w:t>
      </w:r>
      <w:r>
        <w:rPr>
          <w:rFonts w:ascii="Book Antiqua" w:eastAsia="Book Antiqua" w:hAnsi="Book Antiqua" w:cs="Book Antiqua"/>
          <w:sz w:val="22"/>
          <w:szCs w:val="22"/>
        </w:rPr>
        <w:lastRenderedPageBreak/>
        <w:t xml:space="preserve">Konanie bude verejné, rovnako ako bude verejné aj výberové konanie na výber jednotlivých členov komisií, čím sa zabezpečí transparentnosť. Nezávislosť členov komisie bude zabezpečená jednak úpravou konfliktu záujmov, ako aj dôvodmi pre ich odvolanie z funkcie, ktoré nebudú upravené v štatúte, ktorý má riešiť podrobnosti o organizácii a činnosti komisií, ale priamo v zákone o športe. Zárukou nezávislosti bude aj skutočnosť, že za člena komisie bude môcť byť vymenovaný len ten, kto nemá žiadny právny vzťah s agentúrou a v prípade vzniku takéhoto vzťahu nastane zánik funkcie člena komisie. </w:t>
      </w:r>
    </w:p>
    <w:p w:rsidR="00B808C6" w:rsidRDefault="00AA7F08">
      <w:pPr>
        <w:spacing w:line="276" w:lineRule="auto"/>
        <w:ind w:firstLine="709"/>
        <w:jc w:val="both"/>
        <w:rPr>
          <w:rFonts w:ascii="Book Antiqua" w:eastAsia="Book Antiqua" w:hAnsi="Book Antiqua" w:cs="Book Antiqua"/>
          <w:sz w:val="22"/>
          <w:szCs w:val="22"/>
        </w:rPr>
      </w:pPr>
      <w:r>
        <w:rPr>
          <w:rFonts w:ascii="Book Antiqua" w:eastAsia="Book Antiqua" w:hAnsi="Book Antiqua" w:cs="Book Antiqua"/>
          <w:sz w:val="22"/>
          <w:szCs w:val="22"/>
        </w:rPr>
        <w:t>Rozhodnutie komisií pre konanie vo veci dopingu v prvom stupni a v druhom (odvolacom) stupni zabezpečujú dvojinštančnosť konania, bude možné napadnúť a preskúmať na Športovom arbitrážnom súde v Lausanne vo Švajčiarsku, ktorý je príslušný podľa pravidiel Svetového antidopingového programu. Okrem členov komisií bude minister školstva menovať aj náhradníkov pre prípad konfliktu záujmu člena komisie, čím bude zabezpečená jednak nezávislosť, ako aj včasnosť rozhodovania a rýchlosť a hospodárnosť konania vo veci dopingu.</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 xml:space="preserve">K bodu </w:t>
      </w:r>
      <w:r>
        <w:rPr>
          <w:rFonts w:ascii="Book Antiqua" w:eastAsia="Book Antiqua" w:hAnsi="Book Antiqua" w:cs="Book Antiqua"/>
          <w:sz w:val="22"/>
          <w:szCs w:val="22"/>
          <w:u w:val="single"/>
        </w:rPr>
        <w:t>8</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sz w:val="22"/>
          <w:szCs w:val="22"/>
        </w:rPr>
      </w:pPr>
      <w:r>
        <w:rPr>
          <w:rFonts w:ascii="Book Antiqua" w:eastAsia="Book Antiqua" w:hAnsi="Book Antiqua" w:cs="Book Antiqua"/>
          <w:color w:val="000000"/>
          <w:sz w:val="22"/>
          <w:szCs w:val="22"/>
        </w:rPr>
        <w:tab/>
        <w:t xml:space="preserve">V tomto bode návrhu zákona sa ustanovuje, že všetky práva a povinnosti neupravené v zákone o športe, ktoré sa týkajú problematiky dopingu, sa riadia priamo Svetovým antidopingovým programom, ktorý prostredníctvom záväzku </w:t>
      </w:r>
      <w:r>
        <w:rPr>
          <w:rFonts w:ascii="Book Antiqua" w:eastAsia="Book Antiqua" w:hAnsi="Book Antiqua" w:cs="Book Antiqua"/>
          <w:sz w:val="22"/>
          <w:szCs w:val="22"/>
        </w:rPr>
        <w:t>signatárov vrátane Slovenskej republiky na základe Medzinárodného dohovoru proti dopingu v športe (oznámenie č. 347/2007 Z. z.), ako aj na základe Kodanskej deklarácie o antidopingu v športe, ktorá bola prijatá Monitorovacou skupinou Dohovoru proti dopingu Rady Európy (TDO) v Štrasburgu 13. marca 2003, je pre signatárov záväzný a z času na čas môže byť menený (pozn. posledný Kódex z roku 2015 je aktuálne nahradzovaný Kódexom 2021) a navrhovaná úprava a konštrukcia zákona by si v budúcnosti, za predpokladu, že nedôjde k nejakej zásadnej zmene  Svetového antidopingového programu (napr. k zmene skutkových podstát dopingu, ktoré sú uvedené aj v zákone), nevyžadovala novelizáciu zákona pri nezásadnej zmene pravidiel Svetového antidopingového programu.</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u w:val="single"/>
        </w:rPr>
      </w:pPr>
      <w:r>
        <w:rPr>
          <w:rFonts w:ascii="Book Antiqua" w:eastAsia="Book Antiqua" w:hAnsi="Book Antiqua" w:cs="Book Antiqua"/>
          <w:color w:val="000000"/>
          <w:sz w:val="22"/>
          <w:szCs w:val="22"/>
          <w:u w:val="single"/>
        </w:rPr>
        <w:t xml:space="preserve">K bodu </w:t>
      </w:r>
      <w:r>
        <w:rPr>
          <w:rFonts w:ascii="Book Antiqua" w:eastAsia="Book Antiqua" w:hAnsi="Book Antiqua" w:cs="Book Antiqua"/>
          <w:sz w:val="22"/>
          <w:szCs w:val="22"/>
          <w:u w:val="single"/>
        </w:rPr>
        <w:t>10</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b/>
        <w:t>Upravujú sa prechodné ustanovenia, ktoré je nevyhnutné určiť vzhľadom na čas potrebný na zapracovanie zmien vyplývajúcich z návrhu zákona pre Národný športový zväz a ministerstvo školstva, resp. ministra školstva. Prechodné ustanovenia upravujú postup pri konaní, a teda, že konania vo veci porušenia antidopingových pravidiel, ktoré sa začalo pred 1. januárom 2021, sa dokončia pred orgánmi národných športových zväzov podľa predpisov účinných do 31. decembra 2020 a po 1. januári 2021 teda už porušenia vo veci dopingu bude riešiť príslušná komisia pre pre konanie vo veci dopingu. Zároveň sa ukladajú povinnosti národným športovým zväzom, a to najmä zosúladiť si svoje predpisy s touto zmenou zákona do 30. júna 2021 a povinnosť ministra školstva vymenovať jednotlivých členov a náhradníkov komisií pre konanie vo veci dopingu, ako aj povinnosť ministerstva školstva vydať štatút týchto komisií.</w:t>
      </w:r>
    </w:p>
    <w:p w:rsidR="009438DF" w:rsidRDefault="009438DF">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p>
    <w:p w:rsidR="009438DF" w:rsidRDefault="009438DF">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p>
    <w:p w:rsidR="009438DF" w:rsidRDefault="009438DF">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lastRenderedPageBreak/>
        <w:t>K Čl. II</w:t>
      </w:r>
    </w:p>
    <w:p w:rsidR="00B808C6" w:rsidRDefault="00AA7F08">
      <w:pPr>
        <w:pBdr>
          <w:top w:val="nil"/>
          <w:left w:val="nil"/>
          <w:bottom w:val="nil"/>
          <w:right w:val="nil"/>
          <w:between w:val="nil"/>
        </w:pBdr>
        <w:spacing w:before="120" w:line="276" w:lineRule="auto"/>
        <w:ind w:firstLine="708"/>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Stanovuje sa dátum účinnosti návrhu zákona na deň jeho vyhlásenia, s výnimkou odlišnej účinnosti pre konkrétne špecifikované ustanovenia návrhu zákona od 1. januára 2021, a to všetko s prihliadnutím na </w:t>
      </w:r>
      <w:r>
        <w:rPr>
          <w:rFonts w:ascii="Book Antiqua" w:eastAsia="Book Antiqua" w:hAnsi="Book Antiqua" w:cs="Book Antiqua"/>
          <w:sz w:val="22"/>
          <w:szCs w:val="22"/>
        </w:rPr>
        <w:t>legisvakančnú</w:t>
      </w:r>
      <w:r>
        <w:rPr>
          <w:rFonts w:ascii="Book Antiqua" w:eastAsia="Book Antiqua" w:hAnsi="Book Antiqua" w:cs="Book Antiqua"/>
          <w:color w:val="000000"/>
          <w:sz w:val="22"/>
          <w:szCs w:val="22"/>
        </w:rPr>
        <w:t xml:space="preserve"> lehotu. Nadobudnutie účinnosti návrhu zákona dňom jeho vyhlásenia odôvodňujeme potrebou zosúladenia národnej legislatívy SR (zákona o športe) s Kódexom 2021 v čo najkratšom možnom čase, aby tak nedošlo k rozporu s medzinárodným záväzkom SR.</w:t>
      </w:r>
    </w:p>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b/>
          <w:smallCaps/>
          <w:color w:val="000000"/>
          <w:sz w:val="22"/>
          <w:szCs w:val="22"/>
        </w:rPr>
      </w:pPr>
    </w:p>
    <w:p w:rsidR="00B808C6" w:rsidRDefault="00AA7F08">
      <w:pPr>
        <w:pBdr>
          <w:top w:val="nil"/>
          <w:left w:val="nil"/>
          <w:bottom w:val="nil"/>
          <w:right w:val="nil"/>
          <w:between w:val="nil"/>
        </w:pBdr>
        <w:tabs>
          <w:tab w:val="left" w:pos="567"/>
        </w:tabs>
        <w:spacing w:after="120" w:line="276" w:lineRule="auto"/>
        <w:jc w:val="center"/>
        <w:rPr>
          <w:rFonts w:ascii="Book Antiqua" w:eastAsia="Book Antiqua" w:hAnsi="Book Antiqua" w:cs="Book Antiqua"/>
          <w:b/>
          <w:smallCaps/>
          <w:color w:val="000000"/>
          <w:sz w:val="22"/>
          <w:szCs w:val="22"/>
        </w:rPr>
      </w:pPr>
      <w:r>
        <w:br w:type="page"/>
      </w:r>
      <w:r>
        <w:rPr>
          <w:rFonts w:ascii="Book Antiqua" w:eastAsia="Book Antiqua" w:hAnsi="Book Antiqua" w:cs="Book Antiqua"/>
          <w:b/>
          <w:smallCaps/>
          <w:color w:val="000000"/>
          <w:sz w:val="22"/>
          <w:szCs w:val="22"/>
        </w:rPr>
        <w:lastRenderedPageBreak/>
        <w:t>DOLOŽKA ZLUČITEĽNOSTI</w:t>
      </w:r>
    </w:p>
    <w:p w:rsidR="00B808C6" w:rsidRDefault="00AA7F08">
      <w:pPr>
        <w:pBdr>
          <w:top w:val="nil"/>
          <w:left w:val="nil"/>
          <w:bottom w:val="nil"/>
          <w:right w:val="nil"/>
          <w:between w:val="nil"/>
        </w:pBdr>
        <w:tabs>
          <w:tab w:val="left" w:pos="567"/>
        </w:tabs>
        <w:spacing w:after="120" w:line="276" w:lineRule="auto"/>
        <w:jc w:val="center"/>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návrhu zákona s právom Európskej únie</w:t>
      </w:r>
    </w:p>
    <w:p w:rsidR="00B808C6" w:rsidRDefault="00B808C6">
      <w:pPr>
        <w:pBdr>
          <w:top w:val="nil"/>
          <w:left w:val="nil"/>
          <w:bottom w:val="nil"/>
          <w:right w:val="nil"/>
          <w:between w:val="nil"/>
        </w:pBdr>
        <w:tabs>
          <w:tab w:val="left" w:pos="567"/>
        </w:tabs>
        <w:rPr>
          <w:rFonts w:ascii="Book Antiqua" w:eastAsia="Book Antiqua" w:hAnsi="Book Antiqua" w:cs="Book Antiqua"/>
          <w:b/>
          <w:color w:val="000000"/>
          <w:sz w:val="22"/>
          <w:szCs w:val="22"/>
        </w:rPr>
      </w:pPr>
    </w:p>
    <w:p w:rsidR="00B808C6" w:rsidRDefault="00AA7F08">
      <w:pPr>
        <w:numPr>
          <w:ilvl w:val="0"/>
          <w:numId w:val="3"/>
        </w:numPr>
        <w:spacing w:after="120" w:line="276" w:lineRule="auto"/>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Navrhovateľ návrhu zákona: </w:t>
      </w:r>
    </w:p>
    <w:p w:rsidR="00B808C6" w:rsidRDefault="00AA7F08" w:rsidP="00AA7FA5">
      <w:pPr>
        <w:pBdr>
          <w:top w:val="nil"/>
          <w:left w:val="nil"/>
          <w:bottom w:val="nil"/>
          <w:right w:val="nil"/>
          <w:between w:val="nil"/>
        </w:pBdr>
        <w:spacing w:after="120" w:line="276" w:lineRule="auto"/>
        <w:ind w:left="567"/>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Poslanci Národnej rady Slove</w:t>
      </w:r>
      <w:r w:rsidR="00AA7FA5">
        <w:rPr>
          <w:rFonts w:ascii="Book Antiqua" w:eastAsia="Book Antiqua" w:hAnsi="Book Antiqua" w:cs="Book Antiqua"/>
          <w:color w:val="000000"/>
          <w:sz w:val="22"/>
          <w:szCs w:val="22"/>
        </w:rPr>
        <w:t xml:space="preserve">nskej republiky Richard Nemec , </w:t>
      </w:r>
      <w:r>
        <w:rPr>
          <w:rFonts w:ascii="Book Antiqua" w:eastAsia="Book Antiqua" w:hAnsi="Book Antiqua" w:cs="Book Antiqua"/>
          <w:color w:val="000000"/>
          <w:sz w:val="22"/>
          <w:szCs w:val="22"/>
        </w:rPr>
        <w:t>Radovan Sloboda</w:t>
      </w:r>
      <w:r w:rsidR="00AA7FA5">
        <w:rPr>
          <w:rFonts w:ascii="Book Antiqua" w:eastAsia="Book Antiqua" w:hAnsi="Book Antiqua" w:cs="Book Antiqua"/>
          <w:color w:val="000000"/>
          <w:sz w:val="22"/>
          <w:szCs w:val="22"/>
        </w:rPr>
        <w:t xml:space="preserve"> a Peter Vons</w:t>
      </w:r>
    </w:p>
    <w:p w:rsidR="00B808C6" w:rsidRDefault="00AA7F08">
      <w:pPr>
        <w:numPr>
          <w:ilvl w:val="0"/>
          <w:numId w:val="3"/>
        </w:numPr>
        <w:spacing w:after="120" w:line="276" w:lineRule="auto"/>
        <w:jc w:val="both"/>
        <w:rPr>
          <w:rFonts w:ascii="Book Antiqua" w:eastAsia="Book Antiqua" w:hAnsi="Book Antiqua" w:cs="Book Antiqua"/>
          <w:b/>
          <w:sz w:val="22"/>
          <w:szCs w:val="22"/>
        </w:rPr>
      </w:pPr>
      <w:r>
        <w:rPr>
          <w:rFonts w:ascii="Book Antiqua" w:eastAsia="Book Antiqua" w:hAnsi="Book Antiqua" w:cs="Book Antiqua"/>
          <w:b/>
          <w:sz w:val="22"/>
          <w:szCs w:val="22"/>
        </w:rPr>
        <w:t>Názov návrhu zákona:</w:t>
      </w:r>
    </w:p>
    <w:p w:rsidR="00B808C6" w:rsidRDefault="00AA7F08">
      <w:pPr>
        <w:spacing w:after="120" w:line="276" w:lineRule="auto"/>
        <w:ind w:left="567"/>
        <w:jc w:val="both"/>
        <w:rPr>
          <w:rFonts w:ascii="Book Antiqua" w:eastAsia="Book Antiqua" w:hAnsi="Book Antiqua" w:cs="Book Antiqua"/>
          <w:sz w:val="22"/>
          <w:szCs w:val="22"/>
        </w:rPr>
      </w:pPr>
      <w:r>
        <w:rPr>
          <w:rFonts w:ascii="Book Antiqua" w:eastAsia="Book Antiqua" w:hAnsi="Book Antiqua" w:cs="Book Antiqua"/>
          <w:sz w:val="22"/>
          <w:szCs w:val="22"/>
        </w:rPr>
        <w:t>Návrh zákona, ktorým sa mení a dopĺňa zákon č. 440/2015 Z. z. o športe a o zmene a doplnení niektorých zákonov v znení neskorších predpisov</w:t>
      </w:r>
    </w:p>
    <w:p w:rsidR="00B808C6" w:rsidRDefault="00AA7F08">
      <w:pPr>
        <w:numPr>
          <w:ilvl w:val="0"/>
          <w:numId w:val="3"/>
        </w:numPr>
        <w:spacing w:after="120" w:line="276" w:lineRule="auto"/>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Predmet návrhu zákona je upravený v práve Európskej únie: </w:t>
      </w:r>
    </w:p>
    <w:p w:rsidR="00B808C6" w:rsidRDefault="00AA7F08">
      <w:pPr>
        <w:ind w:left="993" w:hanging="426"/>
        <w:rPr>
          <w:rFonts w:ascii="Book Antiqua" w:eastAsia="Book Antiqua" w:hAnsi="Book Antiqua" w:cs="Book Antiqua"/>
          <w:sz w:val="22"/>
          <w:szCs w:val="22"/>
        </w:rPr>
      </w:pPr>
      <w:r>
        <w:rPr>
          <w:rFonts w:ascii="Book Antiqua" w:eastAsia="Book Antiqua" w:hAnsi="Book Antiqua" w:cs="Book Antiqua"/>
          <w:sz w:val="22"/>
          <w:szCs w:val="22"/>
        </w:rPr>
        <w:t>a)</w:t>
      </w:r>
      <w:r>
        <w:rPr>
          <w:rFonts w:ascii="Book Antiqua" w:eastAsia="Book Antiqua" w:hAnsi="Book Antiqua" w:cs="Book Antiqua"/>
          <w:sz w:val="22"/>
          <w:szCs w:val="22"/>
        </w:rPr>
        <w:tab/>
        <w:t>je upravená v práve Európskej únie</w:t>
      </w:r>
    </w:p>
    <w:p w:rsidR="00B808C6" w:rsidRDefault="00B808C6">
      <w:pPr>
        <w:ind w:left="360"/>
        <w:rPr>
          <w:rFonts w:ascii="Book Antiqua" w:eastAsia="Book Antiqua" w:hAnsi="Book Antiqua" w:cs="Book Antiqua"/>
          <w:sz w:val="22"/>
          <w:szCs w:val="22"/>
        </w:rPr>
      </w:pPr>
    </w:p>
    <w:p w:rsidR="00B808C6" w:rsidRDefault="00AA7F08">
      <w:pPr>
        <w:tabs>
          <w:tab w:val="left" w:pos="1068"/>
        </w:tabs>
        <w:ind w:left="879" w:hanging="170"/>
        <w:rPr>
          <w:rFonts w:ascii="Book Antiqua" w:eastAsia="Book Antiqua" w:hAnsi="Book Antiqua" w:cs="Book Antiqua"/>
          <w:i/>
          <w:sz w:val="22"/>
          <w:szCs w:val="22"/>
        </w:rPr>
      </w:pPr>
      <w:r>
        <w:rPr>
          <w:rFonts w:ascii="Book Antiqua" w:eastAsia="Book Antiqua" w:hAnsi="Book Antiqua" w:cs="Book Antiqua"/>
          <w:sz w:val="22"/>
          <w:szCs w:val="22"/>
        </w:rPr>
        <w:t>-</w:t>
      </w:r>
      <w:r>
        <w:rPr>
          <w:rFonts w:ascii="Book Antiqua" w:eastAsia="Book Antiqua" w:hAnsi="Book Antiqua" w:cs="Book Antiqua"/>
          <w:sz w:val="22"/>
          <w:szCs w:val="22"/>
        </w:rPr>
        <w:tab/>
      </w:r>
      <w:r>
        <w:rPr>
          <w:rFonts w:ascii="Book Antiqua" w:eastAsia="Book Antiqua" w:hAnsi="Book Antiqua" w:cs="Book Antiqua"/>
          <w:i/>
          <w:sz w:val="22"/>
          <w:szCs w:val="22"/>
        </w:rPr>
        <w:t>primárnom</w:t>
      </w:r>
    </w:p>
    <w:p w:rsidR="00B808C6" w:rsidRDefault="00B808C6">
      <w:pPr>
        <w:ind w:left="851"/>
        <w:rPr>
          <w:rFonts w:ascii="Book Antiqua" w:eastAsia="Book Antiqua" w:hAnsi="Book Antiqua" w:cs="Book Antiqua"/>
          <w:sz w:val="22"/>
          <w:szCs w:val="22"/>
        </w:rPr>
      </w:pPr>
    </w:p>
    <w:p w:rsidR="00B808C6" w:rsidRDefault="00AA7F08">
      <w:pPr>
        <w:ind w:left="851"/>
        <w:rPr>
          <w:rFonts w:ascii="Book Antiqua" w:eastAsia="Book Antiqua" w:hAnsi="Book Antiqua" w:cs="Book Antiqua"/>
          <w:sz w:val="22"/>
          <w:szCs w:val="22"/>
        </w:rPr>
      </w:pPr>
      <w:r>
        <w:rPr>
          <w:rFonts w:ascii="Book Antiqua" w:eastAsia="Book Antiqua" w:hAnsi="Book Antiqua" w:cs="Book Antiqua"/>
          <w:sz w:val="22"/>
          <w:szCs w:val="22"/>
        </w:rPr>
        <w:t>Čl. 165 Zmluvy o fungovaní Európskej únie a Čl. 3 a 4 Charty základných práv Európskej únie  </w:t>
      </w:r>
    </w:p>
    <w:p w:rsidR="00B808C6" w:rsidRDefault="00B808C6">
      <w:pPr>
        <w:ind w:firstLine="360"/>
        <w:rPr>
          <w:rFonts w:ascii="Book Antiqua" w:eastAsia="Book Antiqua" w:hAnsi="Book Antiqua" w:cs="Book Antiqua"/>
          <w:sz w:val="22"/>
          <w:szCs w:val="22"/>
        </w:rPr>
      </w:pPr>
    </w:p>
    <w:p w:rsidR="00B808C6" w:rsidRDefault="00AA7F08">
      <w:pPr>
        <w:tabs>
          <w:tab w:val="left" w:pos="1068"/>
        </w:tabs>
        <w:ind w:left="879" w:hanging="170"/>
        <w:rPr>
          <w:rFonts w:ascii="Book Antiqua" w:eastAsia="Book Antiqua" w:hAnsi="Book Antiqua" w:cs="Book Antiqua"/>
          <w:i/>
          <w:sz w:val="22"/>
          <w:szCs w:val="22"/>
        </w:rPr>
      </w:pPr>
      <w:r>
        <w:rPr>
          <w:rFonts w:ascii="Book Antiqua" w:eastAsia="Book Antiqua" w:hAnsi="Book Antiqua" w:cs="Book Antiqua"/>
          <w:sz w:val="22"/>
          <w:szCs w:val="22"/>
        </w:rPr>
        <w:t>-</w:t>
      </w:r>
      <w:r>
        <w:rPr>
          <w:rFonts w:ascii="Book Antiqua" w:eastAsia="Book Antiqua" w:hAnsi="Book Antiqua" w:cs="Book Antiqua"/>
          <w:sz w:val="22"/>
          <w:szCs w:val="22"/>
        </w:rPr>
        <w:tab/>
      </w:r>
      <w:r>
        <w:rPr>
          <w:rFonts w:ascii="Book Antiqua" w:eastAsia="Book Antiqua" w:hAnsi="Book Antiqua" w:cs="Book Antiqua"/>
          <w:i/>
          <w:sz w:val="22"/>
          <w:szCs w:val="22"/>
        </w:rPr>
        <w:t>sekundárnom (prijatom po nadobudnutím platnosti Lisabonskej zmluvy, ktorou sa mení a dopĺňa Zmluva o Európskom spoločenstve a Zmluva o Európskej únii – po 30. novembri 2009)</w:t>
      </w:r>
    </w:p>
    <w:p w:rsidR="00B808C6" w:rsidRDefault="00B808C6">
      <w:pPr>
        <w:tabs>
          <w:tab w:val="left" w:pos="1068"/>
        </w:tabs>
        <w:ind w:left="879" w:hanging="170"/>
        <w:rPr>
          <w:rFonts w:ascii="Book Antiqua" w:eastAsia="Book Antiqua" w:hAnsi="Book Antiqua" w:cs="Book Antiqua"/>
          <w:i/>
          <w:sz w:val="22"/>
          <w:szCs w:val="22"/>
        </w:rPr>
      </w:pPr>
    </w:p>
    <w:p w:rsidR="00B808C6" w:rsidRDefault="00AA7F08">
      <w:pPr>
        <w:numPr>
          <w:ilvl w:val="0"/>
          <w:numId w:val="5"/>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nie je</w:t>
      </w:r>
    </w:p>
    <w:p w:rsidR="00B808C6" w:rsidRDefault="00AA7F08">
      <w:pPr>
        <w:ind w:firstLine="708"/>
        <w:jc w:val="both"/>
        <w:rPr>
          <w:rFonts w:ascii="Book Antiqua" w:eastAsia="Book Antiqua" w:hAnsi="Book Antiqua" w:cs="Book Antiqua"/>
          <w:sz w:val="22"/>
          <w:szCs w:val="22"/>
        </w:rPr>
      </w:pPr>
      <w:r>
        <w:rPr>
          <w:rFonts w:ascii="Book Antiqua" w:eastAsia="Book Antiqua" w:hAnsi="Book Antiqua" w:cs="Book Antiqua"/>
          <w:sz w:val="22"/>
          <w:szCs w:val="22"/>
        </w:rPr>
        <w:t xml:space="preserve"> </w:t>
      </w:r>
    </w:p>
    <w:p w:rsidR="00B808C6" w:rsidRDefault="00AA7F08">
      <w:pPr>
        <w:ind w:left="879" w:hanging="170"/>
        <w:jc w:val="both"/>
        <w:rPr>
          <w:rFonts w:ascii="Book Antiqua" w:eastAsia="Book Antiqua" w:hAnsi="Book Antiqua" w:cs="Book Antiqua"/>
          <w:i/>
          <w:sz w:val="22"/>
          <w:szCs w:val="22"/>
        </w:rPr>
      </w:pPr>
      <w:r>
        <w:rPr>
          <w:rFonts w:ascii="Book Antiqua" w:eastAsia="Book Antiqua" w:hAnsi="Book Antiqua" w:cs="Book Antiqua"/>
          <w:sz w:val="22"/>
          <w:szCs w:val="22"/>
        </w:rPr>
        <w:t>-</w:t>
      </w:r>
      <w:r>
        <w:rPr>
          <w:rFonts w:ascii="Book Antiqua" w:eastAsia="Book Antiqua" w:hAnsi="Book Antiqua" w:cs="Book Antiqua"/>
          <w:sz w:val="22"/>
          <w:szCs w:val="22"/>
        </w:rPr>
        <w:tab/>
      </w:r>
      <w:r>
        <w:rPr>
          <w:rFonts w:ascii="Book Antiqua" w:eastAsia="Book Antiqua" w:hAnsi="Book Antiqua" w:cs="Book Antiqua"/>
          <w:i/>
          <w:sz w:val="22"/>
          <w:szCs w:val="22"/>
        </w:rPr>
        <w:t>sekundárnom (prijatom pred nadobudnutím platnosti Lisabonskej zmluvy, ktorou sa mení a dopĺňa Zmluva o Európskom spoločenstve a Zmluva o Európskej únii – do 30. novembra 2009)</w:t>
      </w:r>
    </w:p>
    <w:p w:rsidR="00B808C6" w:rsidRDefault="00B808C6">
      <w:pPr>
        <w:ind w:firstLine="708"/>
        <w:jc w:val="both"/>
        <w:rPr>
          <w:rFonts w:ascii="Book Antiqua" w:eastAsia="Book Antiqua" w:hAnsi="Book Antiqua" w:cs="Book Antiqua"/>
          <w:sz w:val="22"/>
          <w:szCs w:val="22"/>
        </w:rPr>
      </w:pPr>
    </w:p>
    <w:tbl>
      <w:tblPr>
        <w:tblStyle w:val="a"/>
        <w:tblW w:w="8658" w:type="dxa"/>
        <w:tblInd w:w="918" w:type="dxa"/>
        <w:tblLayout w:type="fixed"/>
        <w:tblLook w:val="0400" w:firstRow="0" w:lastRow="0" w:firstColumn="0" w:lastColumn="0" w:noHBand="0" w:noVBand="1"/>
      </w:tblPr>
      <w:tblGrid>
        <w:gridCol w:w="8658"/>
      </w:tblGrid>
      <w:tr w:rsidR="00B808C6">
        <w:tc>
          <w:tcPr>
            <w:tcW w:w="8658" w:type="dxa"/>
            <w:tcBorders>
              <w:top w:val="nil"/>
              <w:left w:val="nil"/>
              <w:bottom w:val="nil"/>
              <w:right w:val="nil"/>
            </w:tcBorders>
          </w:tcPr>
          <w:p w:rsidR="00B808C6" w:rsidRDefault="00AA7F08" w:rsidP="009438DF">
            <w:pPr>
              <w:numPr>
                <w:ilvl w:val="0"/>
                <w:numId w:val="4"/>
              </w:numPr>
              <w:pBdr>
                <w:top w:val="nil"/>
                <w:left w:val="nil"/>
                <w:bottom w:val="nil"/>
                <w:right w:val="nil"/>
                <w:between w:val="nil"/>
              </w:pBdr>
              <w:ind w:left="358" w:hanging="358"/>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nie je</w:t>
            </w:r>
          </w:p>
        </w:tc>
      </w:tr>
    </w:tbl>
    <w:p w:rsidR="00B808C6" w:rsidRDefault="00B808C6">
      <w:pPr>
        <w:ind w:firstLine="360"/>
        <w:rPr>
          <w:rFonts w:ascii="Book Antiqua" w:eastAsia="Book Antiqua" w:hAnsi="Book Antiqua" w:cs="Book Antiqua"/>
          <w:sz w:val="22"/>
          <w:szCs w:val="22"/>
        </w:rPr>
      </w:pPr>
    </w:p>
    <w:p w:rsidR="00B808C6" w:rsidRDefault="00AA7F08">
      <w:pPr>
        <w:ind w:left="993" w:hanging="426"/>
        <w:rPr>
          <w:rFonts w:ascii="Book Antiqua" w:eastAsia="Book Antiqua" w:hAnsi="Book Antiqua" w:cs="Book Antiqua"/>
          <w:sz w:val="22"/>
          <w:szCs w:val="22"/>
        </w:rPr>
      </w:pPr>
      <w:r>
        <w:rPr>
          <w:rFonts w:ascii="Book Antiqua" w:eastAsia="Book Antiqua" w:hAnsi="Book Antiqua" w:cs="Book Antiqua"/>
          <w:sz w:val="22"/>
          <w:szCs w:val="22"/>
        </w:rPr>
        <w:t>b)</w:t>
      </w:r>
      <w:r>
        <w:rPr>
          <w:rFonts w:ascii="Book Antiqua" w:eastAsia="Book Antiqua" w:hAnsi="Book Antiqua" w:cs="Book Antiqua"/>
          <w:sz w:val="22"/>
          <w:szCs w:val="22"/>
        </w:rPr>
        <w:tab/>
        <w:t>je obsiahnutá v judikatúre Súdneho dvora Európskej únie</w:t>
      </w:r>
    </w:p>
    <w:p w:rsidR="00B808C6" w:rsidRDefault="00B808C6">
      <w:pPr>
        <w:ind w:left="709" w:hanging="349"/>
        <w:rPr>
          <w:rFonts w:ascii="Book Antiqua" w:eastAsia="Book Antiqua" w:hAnsi="Book Antiqua" w:cs="Book Antiqua"/>
          <w:sz w:val="22"/>
          <w:szCs w:val="22"/>
        </w:rPr>
      </w:pPr>
    </w:p>
    <w:p w:rsidR="00B808C6" w:rsidRDefault="00AA7F08" w:rsidP="009438DF">
      <w:pPr>
        <w:numPr>
          <w:ilvl w:val="0"/>
          <w:numId w:val="4"/>
        </w:numPr>
        <w:pBdr>
          <w:top w:val="nil"/>
          <w:left w:val="nil"/>
          <w:bottom w:val="nil"/>
          <w:right w:val="nil"/>
          <w:between w:val="nil"/>
        </w:pBdr>
        <w:spacing w:after="120" w:line="276" w:lineRule="auto"/>
        <w:ind w:left="1276" w:hanging="283"/>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nie je</w:t>
      </w:r>
    </w:p>
    <w:p w:rsidR="00B808C6" w:rsidRDefault="00AA7F08">
      <w:pPr>
        <w:numPr>
          <w:ilvl w:val="0"/>
          <w:numId w:val="3"/>
        </w:numPr>
        <w:pBdr>
          <w:top w:val="nil"/>
          <w:left w:val="nil"/>
          <w:bottom w:val="nil"/>
          <w:right w:val="nil"/>
          <w:between w:val="nil"/>
        </w:pBdr>
        <w:spacing w:after="120" w:line="276" w:lineRule="auto"/>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Záväzky Slovenskej republiky vo vzťahu k Európskej únii:</w:t>
      </w:r>
    </w:p>
    <w:p w:rsidR="00B808C6" w:rsidRDefault="00AA7F08">
      <w:pPr>
        <w:numPr>
          <w:ilvl w:val="0"/>
          <w:numId w:val="6"/>
        </w:numPr>
        <w:pBdr>
          <w:top w:val="nil"/>
          <w:left w:val="nil"/>
          <w:bottom w:val="nil"/>
          <w:right w:val="nil"/>
          <w:between w:val="nil"/>
        </w:pBdr>
        <w:spacing w:after="120" w:line="276" w:lineRule="auto"/>
        <w:ind w:left="993" w:hanging="426"/>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uviesť lehotu na prebranie príslušného právneho aktu Európskej únie, príp. aj osobitnú lehotu účinnosti jeho ustanovení </w:t>
      </w:r>
    </w:p>
    <w:p w:rsidR="00B808C6" w:rsidRDefault="00AA7F08" w:rsidP="009438DF">
      <w:pPr>
        <w:numPr>
          <w:ilvl w:val="0"/>
          <w:numId w:val="8"/>
        </w:numPr>
        <w:pBdr>
          <w:top w:val="nil"/>
          <w:left w:val="nil"/>
          <w:bottom w:val="nil"/>
          <w:right w:val="nil"/>
          <w:between w:val="nil"/>
        </w:pBdr>
        <w:spacing w:after="120" w:line="276" w:lineRule="auto"/>
        <w:ind w:left="1276" w:hanging="283"/>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nie je</w:t>
      </w:r>
    </w:p>
    <w:p w:rsidR="00B808C6" w:rsidRDefault="00AA7F08">
      <w:pPr>
        <w:numPr>
          <w:ilvl w:val="0"/>
          <w:numId w:val="6"/>
        </w:numPr>
        <w:pBdr>
          <w:top w:val="nil"/>
          <w:left w:val="nil"/>
          <w:bottom w:val="nil"/>
          <w:right w:val="nil"/>
          <w:between w:val="nil"/>
        </w:pBdr>
        <w:spacing w:after="120" w:line="276" w:lineRule="auto"/>
        <w:ind w:left="993" w:hanging="426"/>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B808C6" w:rsidRDefault="00AA7F08">
      <w:pPr>
        <w:numPr>
          <w:ilvl w:val="0"/>
          <w:numId w:val="2"/>
        </w:numPr>
        <w:pBdr>
          <w:top w:val="nil"/>
          <w:left w:val="nil"/>
          <w:bottom w:val="nil"/>
          <w:right w:val="nil"/>
          <w:between w:val="nil"/>
        </w:pBdr>
        <w:spacing w:after="120" w:line="276" w:lineRule="auto"/>
        <w:ind w:left="1276" w:hanging="283"/>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v danej oblasti nie je proti Slovenskej republike začaté konanie</w:t>
      </w:r>
    </w:p>
    <w:p w:rsidR="00B808C6" w:rsidRDefault="00AA7F08">
      <w:pPr>
        <w:numPr>
          <w:ilvl w:val="0"/>
          <w:numId w:val="6"/>
        </w:numPr>
        <w:pBdr>
          <w:top w:val="nil"/>
          <w:left w:val="nil"/>
          <w:bottom w:val="nil"/>
          <w:right w:val="nil"/>
          <w:between w:val="nil"/>
        </w:pBdr>
        <w:spacing w:after="120" w:line="276" w:lineRule="auto"/>
        <w:ind w:left="993" w:hanging="426"/>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uviesť informáciu o právnych predpisoch, v ktorých sú uvádzané právne akty Európskej únie už prebrané, spolu s uvedením rozsahu ich prebrania, príp. potreby prijatia ďalších úprav </w:t>
      </w:r>
    </w:p>
    <w:p w:rsidR="00B808C6" w:rsidRDefault="00AA7F08">
      <w:pPr>
        <w:numPr>
          <w:ilvl w:val="2"/>
          <w:numId w:val="9"/>
        </w:numPr>
        <w:pBdr>
          <w:top w:val="nil"/>
          <w:left w:val="nil"/>
          <w:bottom w:val="nil"/>
          <w:right w:val="nil"/>
          <w:between w:val="nil"/>
        </w:pBdr>
        <w:spacing w:after="120"/>
        <w:ind w:left="1560" w:hanging="284"/>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nie je</w:t>
      </w:r>
    </w:p>
    <w:p w:rsidR="00B808C6" w:rsidRDefault="00AA7F08">
      <w:pPr>
        <w:numPr>
          <w:ilvl w:val="0"/>
          <w:numId w:val="3"/>
        </w:numPr>
        <w:spacing w:after="120" w:line="276" w:lineRule="auto"/>
        <w:jc w:val="both"/>
        <w:rPr>
          <w:rFonts w:ascii="Book Antiqua" w:eastAsia="Book Antiqua" w:hAnsi="Book Antiqua" w:cs="Book Antiqua"/>
          <w:sz w:val="22"/>
          <w:szCs w:val="22"/>
        </w:rPr>
      </w:pPr>
      <w:r>
        <w:rPr>
          <w:rFonts w:ascii="Book Antiqua" w:eastAsia="Book Antiqua" w:hAnsi="Book Antiqua" w:cs="Book Antiqua"/>
          <w:b/>
          <w:sz w:val="22"/>
          <w:szCs w:val="22"/>
        </w:rPr>
        <w:t>Návrh zákona je zlučiteľný s právom Európskej únie:</w:t>
      </w:r>
    </w:p>
    <w:p w:rsidR="00B808C6" w:rsidRDefault="00AA7F08">
      <w:pPr>
        <w:numPr>
          <w:ilvl w:val="0"/>
          <w:numId w:val="7"/>
        </w:numPr>
        <w:pBdr>
          <w:top w:val="nil"/>
          <w:left w:val="nil"/>
          <w:bottom w:val="nil"/>
          <w:right w:val="nil"/>
          <w:between w:val="nil"/>
        </w:pBdr>
        <w:spacing w:after="120" w:line="276" w:lineRule="auto"/>
        <w:ind w:left="924" w:hanging="357"/>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úplne.</w:t>
      </w:r>
    </w:p>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br w:type="page"/>
      </w:r>
      <w:r>
        <w:rPr>
          <w:rFonts w:ascii="Book Antiqua" w:eastAsia="Book Antiqua" w:hAnsi="Book Antiqua" w:cs="Book Antiqua"/>
          <w:b/>
          <w:smallCaps/>
          <w:color w:val="000000"/>
          <w:sz w:val="22"/>
          <w:szCs w:val="22"/>
        </w:rPr>
        <w:lastRenderedPageBreak/>
        <w:t>DOLOŽKA</w:t>
      </w:r>
    </w:p>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vybraných vplyvov</w:t>
      </w:r>
    </w:p>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 xml:space="preserve">A.1. Názov materiálu: </w:t>
      </w:r>
      <w:r>
        <w:rPr>
          <w:rFonts w:ascii="Book Antiqua" w:eastAsia="Book Antiqua" w:hAnsi="Book Antiqua" w:cs="Book Antiqua"/>
          <w:color w:val="000000"/>
          <w:sz w:val="22"/>
          <w:szCs w:val="22"/>
        </w:rPr>
        <w:t>návrh zákona, kto</w:t>
      </w:r>
      <w:bookmarkStart w:id="0" w:name="_GoBack"/>
      <w:bookmarkEnd w:id="0"/>
      <w:r>
        <w:rPr>
          <w:rFonts w:ascii="Book Antiqua" w:eastAsia="Book Antiqua" w:hAnsi="Book Antiqua" w:cs="Book Antiqua"/>
          <w:color w:val="000000"/>
          <w:sz w:val="22"/>
          <w:szCs w:val="22"/>
        </w:rPr>
        <w:t>rým sa mení a dopĺňa zákon č. 440/2015 Z. z. o športe a o zmene a doplnení niektorých zákonov v znení neskorších predpisov</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Termín začatia a ukončenia PPK:</w:t>
      </w:r>
      <w:r>
        <w:rPr>
          <w:rFonts w:ascii="Book Antiqua" w:eastAsia="Book Antiqua" w:hAnsi="Book Antiqua" w:cs="Book Antiqua"/>
          <w:color w:val="000000"/>
          <w:sz w:val="22"/>
          <w:szCs w:val="22"/>
        </w:rPr>
        <w:t xml:space="preserve"> </w:t>
      </w:r>
      <w:r>
        <w:rPr>
          <w:rFonts w:ascii="Book Antiqua" w:eastAsia="Book Antiqua" w:hAnsi="Book Antiqua" w:cs="Book Antiqua"/>
          <w:i/>
          <w:color w:val="000000"/>
          <w:sz w:val="22"/>
          <w:szCs w:val="22"/>
        </w:rPr>
        <w:t>bezpredmetné</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 A.2. Vplyvy:</w:t>
      </w:r>
    </w:p>
    <w:tbl>
      <w:tblPr>
        <w:tblStyle w:val="a0"/>
        <w:tblW w:w="9056" w:type="dxa"/>
        <w:tblInd w:w="8" w:type="dxa"/>
        <w:tblLayout w:type="fixed"/>
        <w:tblLook w:val="0000" w:firstRow="0" w:lastRow="0" w:firstColumn="0" w:lastColumn="0" w:noHBand="0" w:noVBand="0"/>
      </w:tblPr>
      <w:tblGrid>
        <w:gridCol w:w="5491"/>
        <w:gridCol w:w="1191"/>
        <w:gridCol w:w="1178"/>
        <w:gridCol w:w="1196"/>
      </w:tblGrid>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Pozitívne </w:t>
            </w: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Negatívne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3. Sociálne vplyvy</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vplyvy na hospodárenie obyvateľstva,</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sociálnu exklúziu,</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4. Vplyvy na životné prostredie</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B808C6">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r w:rsidR="00B808C6">
        <w:tc>
          <w:tcPr>
            <w:tcW w:w="54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c>
          <w:tcPr>
            <w:tcW w:w="1178"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B808C6" w:rsidRDefault="00AA7F08">
            <w:pPr>
              <w:pBdr>
                <w:top w:val="nil"/>
                <w:left w:val="nil"/>
                <w:bottom w:val="nil"/>
                <w:right w:val="nil"/>
                <w:between w:val="nil"/>
              </w:pBdr>
              <w:spacing w:before="120" w:line="276" w:lineRule="auto"/>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w:t>
            </w:r>
          </w:p>
        </w:tc>
      </w:tr>
    </w:tbl>
    <w:p w:rsidR="00B808C6" w:rsidRDefault="00AA7F08">
      <w:pPr>
        <w:pBdr>
          <w:top w:val="nil"/>
          <w:left w:val="nil"/>
          <w:bottom w:val="nil"/>
          <w:right w:val="nil"/>
          <w:between w:val="nil"/>
        </w:pBdr>
        <w:spacing w:before="120" w:line="276" w:lineRule="auto"/>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A.3. Poznámky</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Návrh zákona predpokladá negatívny vplyv na rozpočet verejnej správy. Tento objem finančných prostriedkov vychádza z približného vyčíslenia finančných prostriedkov, ktoré najmä v dôsledku zriadenia dvoch nových </w:t>
      </w:r>
      <w:r>
        <w:rPr>
          <w:rFonts w:ascii="Book Antiqua" w:eastAsia="Book Antiqua" w:hAnsi="Book Antiqua" w:cs="Book Antiqua"/>
          <w:i/>
          <w:sz w:val="22"/>
          <w:szCs w:val="22"/>
        </w:rPr>
        <w:t>komisií</w:t>
      </w:r>
      <w:r>
        <w:rPr>
          <w:rFonts w:ascii="Book Antiqua" w:eastAsia="Book Antiqua" w:hAnsi="Book Antiqua" w:cs="Book Antiqua"/>
          <w:i/>
          <w:color w:val="000000"/>
          <w:sz w:val="22"/>
          <w:szCs w:val="22"/>
        </w:rPr>
        <w:t xml:space="preserve"> pre konanie vo veci dopingu budú mať na rozpočet verejnej správy mierne negatívny dopad. Tento negatívny dopad možno odhadnúť na najviac </w:t>
      </w:r>
      <w:r>
        <w:rPr>
          <w:rFonts w:ascii="Book Antiqua" w:eastAsia="Book Antiqua" w:hAnsi="Book Antiqua" w:cs="Book Antiqua"/>
          <w:i/>
          <w:sz w:val="22"/>
          <w:szCs w:val="22"/>
        </w:rPr>
        <w:t xml:space="preserve">87.000 EUR </w:t>
      </w:r>
      <w:r>
        <w:rPr>
          <w:rFonts w:ascii="Book Antiqua" w:eastAsia="Book Antiqua" w:hAnsi="Book Antiqua" w:cs="Book Antiqua"/>
          <w:i/>
          <w:color w:val="000000"/>
          <w:sz w:val="22"/>
          <w:szCs w:val="22"/>
        </w:rPr>
        <w:t xml:space="preserve">ročne, pričom </w:t>
      </w:r>
      <w:r>
        <w:rPr>
          <w:rFonts w:ascii="Book Antiqua" w:eastAsia="Book Antiqua" w:hAnsi="Book Antiqua" w:cs="Book Antiqua"/>
          <w:i/>
          <w:sz w:val="22"/>
          <w:szCs w:val="22"/>
        </w:rPr>
        <w:t>ide najmä o náklady spojené s odmeňovaním členov komisií pre konanie vo veci dopingu v súlade so zákonom č. 553/2003 Z. z. o odmeňovaní niektorých zamestnancov pri výkone práce vo verejnom záujme a o zmene a doplnení niektorých zákonov v znení neskorších predpisov.</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Návrh zákona zároveň nemá žiadne sociálne vplyvy a ani žiadne vplyvy na podnikateľské prostredie, na životné prostredie a na informatizáciu spoločnosti. Bude mať pozit</w:t>
      </w:r>
      <w:r>
        <w:rPr>
          <w:rFonts w:ascii="Book Antiqua" w:eastAsia="Book Antiqua" w:hAnsi="Book Antiqua" w:cs="Book Antiqua"/>
          <w:i/>
          <w:sz w:val="22"/>
          <w:szCs w:val="22"/>
        </w:rPr>
        <w:t>ívny vplyv na neziskový sektor, konkrétne na národné športové zväzy, ktorým zanikne povinnosť mať zriadené antidopingové komisie na každom jednom národnom športovom zväze a to dokonca v dvoch stupňoch, prvý stupeň a odvolacie komisie ako druhý stupeň</w:t>
      </w:r>
      <w:r w:rsidR="009438DF">
        <w:rPr>
          <w:rFonts w:ascii="Book Antiqua" w:eastAsia="Book Antiqua" w:hAnsi="Book Antiqua" w:cs="Book Antiqua"/>
          <w:i/>
          <w:sz w:val="22"/>
          <w:szCs w:val="22"/>
        </w:rPr>
        <w:t>.</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A.4. Alternatívne riešenia</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bezpredmetné</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A.5. Stanovisko gestorov</w:t>
      </w:r>
    </w:p>
    <w:p w:rsidR="00B808C6" w:rsidRDefault="00AA7F08">
      <w:pPr>
        <w:pBdr>
          <w:top w:val="nil"/>
          <w:left w:val="nil"/>
          <w:bottom w:val="nil"/>
          <w:right w:val="nil"/>
          <w:between w:val="nil"/>
        </w:pBdr>
        <w:spacing w:before="120" w:line="276" w:lineRule="auto"/>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Návrh zákona bol zaslaný na vyjadrenie Ministerstvu financií SR a stanovisko tohto ministerstva tvorí súčasť predkladaného materiálu.</w:t>
      </w:r>
    </w:p>
    <w:sectPr w:rsidR="00B808C6">
      <w:footerReference w:type="even"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08" w:rsidRDefault="00AA7F08">
      <w:r>
        <w:separator/>
      </w:r>
    </w:p>
  </w:endnote>
  <w:endnote w:type="continuationSeparator" w:id="0">
    <w:p w:rsidR="00AA7F08" w:rsidRDefault="00AA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C6" w:rsidRDefault="00AA7F0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B808C6" w:rsidRDefault="00B808C6">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C6" w:rsidRDefault="00B808C6">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08" w:rsidRDefault="00AA7F08">
      <w:r>
        <w:separator/>
      </w:r>
    </w:p>
  </w:footnote>
  <w:footnote w:type="continuationSeparator" w:id="0">
    <w:p w:rsidR="00AA7F08" w:rsidRDefault="00AA7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0E58"/>
    <w:multiLevelType w:val="multilevel"/>
    <w:tmpl w:val="0B3EC6BA"/>
    <w:lvl w:ilvl="0">
      <w:start w:val="1"/>
      <w:numFmt w:val="bullet"/>
      <w:lvlText w:val="-"/>
      <w:lvlJc w:val="left"/>
      <w:pPr>
        <w:ind w:left="1069" w:hanging="360"/>
      </w:pPr>
      <w:rPr>
        <w:rFonts w:ascii="Times New Roman" w:eastAsia="Times New Roman" w:hAnsi="Times New Roman" w:cs="Times New Roman"/>
      </w:rPr>
    </w:lvl>
    <w:lvl w:ilvl="1">
      <w:start w:val="1"/>
      <w:numFmt w:val="bullet"/>
      <w:lvlText w:val="●"/>
      <w:lvlJc w:val="left"/>
      <w:pPr>
        <w:ind w:left="1789" w:hanging="360"/>
      </w:pPr>
      <w:rPr>
        <w:rFonts w:ascii="Noto Sans Symbols" w:eastAsia="Noto Sans Symbols" w:hAnsi="Noto Sans Symbols" w:cs="Noto Sans Symbols"/>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1A695436"/>
    <w:multiLevelType w:val="multilevel"/>
    <w:tmpl w:val="D9AC47A4"/>
    <w:lvl w:ilvl="0">
      <w:start w:val="4"/>
      <w:numFmt w:val="bullet"/>
      <w:lvlText w:val="-"/>
      <w:lvlJc w:val="left"/>
      <w:pPr>
        <w:ind w:left="737" w:hanging="340"/>
      </w:pPr>
      <w:rPr>
        <w:rFonts w:ascii="Times New Roman" w:eastAsia="Times New Roman" w:hAnsi="Times New Roman" w:cs="Times New Roman"/>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 w15:restartNumberingAfterBreak="0">
    <w:nsid w:val="20FE5BBA"/>
    <w:multiLevelType w:val="multilevel"/>
    <w:tmpl w:val="8356F460"/>
    <w:lvl w:ilvl="0">
      <w:start w:val="1"/>
      <w:numFmt w:val="decimal"/>
      <w:lvlText w:val="%1."/>
      <w:lvlJc w:val="left"/>
      <w:pPr>
        <w:ind w:left="567" w:hanging="510"/>
      </w:pPr>
      <w:rPr>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1E2AC2"/>
    <w:multiLevelType w:val="multilevel"/>
    <w:tmpl w:val="0FA0D26E"/>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5D93694"/>
    <w:multiLevelType w:val="multilevel"/>
    <w:tmpl w:val="FB6602D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34A09A6"/>
    <w:multiLevelType w:val="multilevel"/>
    <w:tmpl w:val="BBA06444"/>
    <w:lvl w:ilvl="0">
      <w:start w:val="4"/>
      <w:numFmt w:val="bullet"/>
      <w:lvlText w:val="-"/>
      <w:lvlJc w:val="left"/>
      <w:pPr>
        <w:ind w:left="720" w:hanging="360"/>
      </w:pPr>
      <w:rPr>
        <w:rFonts w:ascii="Book Antiqua" w:eastAsia="Book Antiqua" w:hAnsi="Book Antiqua" w:cs="Book Antiqu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C86BAA"/>
    <w:multiLevelType w:val="multilevel"/>
    <w:tmpl w:val="4C000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FE6671"/>
    <w:multiLevelType w:val="multilevel"/>
    <w:tmpl w:val="9906F5AC"/>
    <w:lvl w:ilvl="0">
      <w:start w:val="4"/>
      <w:numFmt w:val="bullet"/>
      <w:lvlText w:val="-"/>
      <w:lvlJc w:val="left"/>
      <w:pPr>
        <w:ind w:left="1931" w:hanging="360"/>
      </w:pPr>
      <w:rPr>
        <w:rFonts w:ascii="Times New Roman" w:eastAsia="Times New Roman" w:hAnsi="Times New Roman" w:cs="Times New Roman"/>
      </w:rPr>
    </w:lvl>
    <w:lvl w:ilvl="1">
      <w:start w:val="1"/>
      <w:numFmt w:val="bullet"/>
      <w:lvlText w:val="o"/>
      <w:lvlJc w:val="left"/>
      <w:pPr>
        <w:ind w:left="2651" w:hanging="360"/>
      </w:pPr>
      <w:rPr>
        <w:rFonts w:ascii="Courier New" w:eastAsia="Courier New" w:hAnsi="Courier New" w:cs="Courier New"/>
      </w:rPr>
    </w:lvl>
    <w:lvl w:ilvl="2">
      <w:start w:val="4"/>
      <w:numFmt w:val="bullet"/>
      <w:lvlText w:val="-"/>
      <w:lvlJc w:val="left"/>
      <w:pPr>
        <w:ind w:left="3371" w:hanging="360"/>
      </w:pPr>
      <w:rPr>
        <w:rFonts w:ascii="Times New Roman" w:eastAsia="Times New Roman" w:hAnsi="Times New Roman" w:cs="Times New Roman"/>
      </w:rPr>
    </w:lvl>
    <w:lvl w:ilvl="3">
      <w:start w:val="1"/>
      <w:numFmt w:val="bullet"/>
      <w:lvlText w:val="●"/>
      <w:lvlJc w:val="left"/>
      <w:pPr>
        <w:ind w:left="4091" w:hanging="360"/>
      </w:pPr>
      <w:rPr>
        <w:rFonts w:ascii="Noto Sans Symbols" w:eastAsia="Noto Sans Symbols" w:hAnsi="Noto Sans Symbols" w:cs="Noto Sans Symbols"/>
      </w:rPr>
    </w:lvl>
    <w:lvl w:ilvl="4">
      <w:start w:val="1"/>
      <w:numFmt w:val="bullet"/>
      <w:lvlText w:val="o"/>
      <w:lvlJc w:val="left"/>
      <w:pPr>
        <w:ind w:left="4811" w:hanging="360"/>
      </w:pPr>
      <w:rPr>
        <w:rFonts w:ascii="Courier New" w:eastAsia="Courier New" w:hAnsi="Courier New" w:cs="Courier New"/>
      </w:rPr>
    </w:lvl>
    <w:lvl w:ilvl="5">
      <w:start w:val="1"/>
      <w:numFmt w:val="bullet"/>
      <w:lvlText w:val="▪"/>
      <w:lvlJc w:val="left"/>
      <w:pPr>
        <w:ind w:left="5531" w:hanging="360"/>
      </w:pPr>
      <w:rPr>
        <w:rFonts w:ascii="Noto Sans Symbols" w:eastAsia="Noto Sans Symbols" w:hAnsi="Noto Sans Symbols" w:cs="Noto Sans Symbols"/>
      </w:rPr>
    </w:lvl>
    <w:lvl w:ilvl="6">
      <w:start w:val="1"/>
      <w:numFmt w:val="bullet"/>
      <w:lvlText w:val="●"/>
      <w:lvlJc w:val="left"/>
      <w:pPr>
        <w:ind w:left="6251" w:hanging="360"/>
      </w:pPr>
      <w:rPr>
        <w:rFonts w:ascii="Noto Sans Symbols" w:eastAsia="Noto Sans Symbols" w:hAnsi="Noto Sans Symbols" w:cs="Noto Sans Symbols"/>
      </w:rPr>
    </w:lvl>
    <w:lvl w:ilvl="7">
      <w:start w:val="1"/>
      <w:numFmt w:val="bullet"/>
      <w:lvlText w:val="o"/>
      <w:lvlJc w:val="left"/>
      <w:pPr>
        <w:ind w:left="6971" w:hanging="360"/>
      </w:pPr>
      <w:rPr>
        <w:rFonts w:ascii="Courier New" w:eastAsia="Courier New" w:hAnsi="Courier New" w:cs="Courier New"/>
      </w:rPr>
    </w:lvl>
    <w:lvl w:ilvl="8">
      <w:start w:val="1"/>
      <w:numFmt w:val="bullet"/>
      <w:lvlText w:val="▪"/>
      <w:lvlJc w:val="left"/>
      <w:pPr>
        <w:ind w:left="7691" w:hanging="360"/>
      </w:pPr>
      <w:rPr>
        <w:rFonts w:ascii="Noto Sans Symbols" w:eastAsia="Noto Sans Symbols" w:hAnsi="Noto Sans Symbols" w:cs="Noto Sans Symbols"/>
      </w:rPr>
    </w:lvl>
  </w:abstractNum>
  <w:abstractNum w:abstractNumId="8" w15:restartNumberingAfterBreak="0">
    <w:nsid w:val="6ED11AEE"/>
    <w:multiLevelType w:val="multilevel"/>
    <w:tmpl w:val="941A0F46"/>
    <w:lvl w:ilvl="0">
      <w:start w:val="4"/>
      <w:numFmt w:val="bullet"/>
      <w:lvlText w:val="-"/>
      <w:lvlJc w:val="left"/>
      <w:pPr>
        <w:ind w:left="1239" w:hanging="360"/>
      </w:pPr>
      <w:rPr>
        <w:rFonts w:ascii="Book Antiqua" w:eastAsia="Book Antiqua" w:hAnsi="Book Antiqua" w:cs="Book Antiqua"/>
        <w:i w:val="0"/>
      </w:rPr>
    </w:lvl>
    <w:lvl w:ilvl="1">
      <w:start w:val="1"/>
      <w:numFmt w:val="bullet"/>
      <w:lvlText w:val="o"/>
      <w:lvlJc w:val="left"/>
      <w:pPr>
        <w:ind w:left="1959" w:hanging="360"/>
      </w:pPr>
      <w:rPr>
        <w:rFonts w:ascii="Courier New" w:eastAsia="Courier New" w:hAnsi="Courier New" w:cs="Courier New"/>
      </w:rPr>
    </w:lvl>
    <w:lvl w:ilvl="2">
      <w:start w:val="1"/>
      <w:numFmt w:val="bullet"/>
      <w:lvlText w:val="▪"/>
      <w:lvlJc w:val="left"/>
      <w:pPr>
        <w:ind w:left="2679" w:hanging="360"/>
      </w:pPr>
      <w:rPr>
        <w:rFonts w:ascii="Noto Sans Symbols" w:eastAsia="Noto Sans Symbols" w:hAnsi="Noto Sans Symbols" w:cs="Noto Sans Symbols"/>
      </w:rPr>
    </w:lvl>
    <w:lvl w:ilvl="3">
      <w:start w:val="1"/>
      <w:numFmt w:val="bullet"/>
      <w:lvlText w:val="●"/>
      <w:lvlJc w:val="left"/>
      <w:pPr>
        <w:ind w:left="3399" w:hanging="360"/>
      </w:pPr>
      <w:rPr>
        <w:rFonts w:ascii="Noto Sans Symbols" w:eastAsia="Noto Sans Symbols" w:hAnsi="Noto Sans Symbols" w:cs="Noto Sans Symbols"/>
      </w:rPr>
    </w:lvl>
    <w:lvl w:ilvl="4">
      <w:start w:val="1"/>
      <w:numFmt w:val="bullet"/>
      <w:lvlText w:val="o"/>
      <w:lvlJc w:val="left"/>
      <w:pPr>
        <w:ind w:left="4119" w:hanging="360"/>
      </w:pPr>
      <w:rPr>
        <w:rFonts w:ascii="Courier New" w:eastAsia="Courier New" w:hAnsi="Courier New" w:cs="Courier New"/>
      </w:rPr>
    </w:lvl>
    <w:lvl w:ilvl="5">
      <w:start w:val="1"/>
      <w:numFmt w:val="bullet"/>
      <w:lvlText w:val="▪"/>
      <w:lvlJc w:val="left"/>
      <w:pPr>
        <w:ind w:left="4839" w:hanging="360"/>
      </w:pPr>
      <w:rPr>
        <w:rFonts w:ascii="Noto Sans Symbols" w:eastAsia="Noto Sans Symbols" w:hAnsi="Noto Sans Symbols" w:cs="Noto Sans Symbols"/>
      </w:rPr>
    </w:lvl>
    <w:lvl w:ilvl="6">
      <w:start w:val="1"/>
      <w:numFmt w:val="bullet"/>
      <w:lvlText w:val="●"/>
      <w:lvlJc w:val="left"/>
      <w:pPr>
        <w:ind w:left="5559" w:hanging="360"/>
      </w:pPr>
      <w:rPr>
        <w:rFonts w:ascii="Noto Sans Symbols" w:eastAsia="Noto Sans Symbols" w:hAnsi="Noto Sans Symbols" w:cs="Noto Sans Symbols"/>
      </w:rPr>
    </w:lvl>
    <w:lvl w:ilvl="7">
      <w:start w:val="1"/>
      <w:numFmt w:val="bullet"/>
      <w:lvlText w:val="o"/>
      <w:lvlJc w:val="left"/>
      <w:pPr>
        <w:ind w:left="6279" w:hanging="360"/>
      </w:pPr>
      <w:rPr>
        <w:rFonts w:ascii="Courier New" w:eastAsia="Courier New" w:hAnsi="Courier New" w:cs="Courier New"/>
      </w:rPr>
    </w:lvl>
    <w:lvl w:ilvl="8">
      <w:start w:val="1"/>
      <w:numFmt w:val="bullet"/>
      <w:lvlText w:val="▪"/>
      <w:lvlJc w:val="left"/>
      <w:pPr>
        <w:ind w:left="6999" w:hanging="360"/>
      </w:pPr>
      <w:rPr>
        <w:rFonts w:ascii="Noto Sans Symbols" w:eastAsia="Noto Sans Symbols" w:hAnsi="Noto Sans Symbols" w:cs="Noto Sans Symbols"/>
      </w:rPr>
    </w:lvl>
  </w:abstractNum>
  <w:num w:numId="1">
    <w:abstractNumId w:val="6"/>
  </w:num>
  <w:num w:numId="2">
    <w:abstractNumId w:val="0"/>
  </w:num>
  <w:num w:numId="3">
    <w:abstractNumId w:val="2"/>
  </w:num>
  <w:num w:numId="4">
    <w:abstractNumId w:val="5"/>
  </w:num>
  <w:num w:numId="5">
    <w:abstractNumId w:val="8"/>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08C6"/>
    <w:rsid w:val="009438DF"/>
    <w:rsid w:val="00AA7F08"/>
    <w:rsid w:val="00AA7FA5"/>
    <w:rsid w:val="00B808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F03C"/>
  <w15:docId w15:val="{8872DFE5-628A-4FDF-8635-C96C4E14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lang w:val="x-none" w:eastAsia="x-none"/>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lang w:val="x-none" w:eastAsia="x-none"/>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pPr>
      <w:keepNext/>
      <w:keepLines/>
      <w:spacing w:before="480" w:after="120"/>
    </w:pPr>
    <w:rPr>
      <w:b/>
      <w:sz w:val="72"/>
      <w:szCs w:val="72"/>
    </w:rPr>
  </w:style>
  <w:style w:type="paragraph" w:styleId="Pta">
    <w:name w:val="footer"/>
    <w:basedOn w:val="Normlny"/>
    <w:link w:val="PtaChar"/>
    <w:uiPriority w:val="99"/>
    <w:rsid w:val="00714570"/>
    <w:pPr>
      <w:tabs>
        <w:tab w:val="center" w:pos="4536"/>
        <w:tab w:val="right" w:pos="9072"/>
      </w:tabs>
    </w:pPr>
    <w:rPr>
      <w:szCs w:val="20"/>
      <w:lang w:val="x-none" w:eastAsia="x-none"/>
    </w:rPr>
  </w:style>
  <w:style w:type="paragraph" w:styleId="Textbubliny">
    <w:name w:val="Balloon Text"/>
    <w:basedOn w:val="Normlny"/>
    <w:link w:val="TextbublinyChar"/>
    <w:uiPriority w:val="99"/>
    <w:semiHidden/>
    <w:rsid w:val="00E95858"/>
    <w:rPr>
      <w:rFonts w:ascii="Tahoma" w:hAnsi="Tahoma"/>
      <w:sz w:val="16"/>
      <w:szCs w:val="20"/>
      <w:lang w:val="x-none" w:eastAsia="x-none"/>
    </w:rPr>
  </w:style>
  <w:style w:type="character" w:customStyle="1" w:styleId="Nadpis3Char">
    <w:name w:val="Nadpis 3 Char"/>
    <w:link w:val="Nadpis3"/>
    <w:uiPriority w:val="9"/>
    <w:semiHidden/>
    <w:locked/>
    <w:rPr>
      <w:rFonts w:ascii="Cambria" w:hAnsi="Cambria"/>
      <w:b/>
      <w:sz w:val="26"/>
    </w:rPr>
  </w:style>
  <w:style w:type="character" w:styleId="slostrany">
    <w:name w:val="page number"/>
    <w:uiPriority w:val="99"/>
    <w:rsid w:val="00714570"/>
    <w:rPr>
      <w:rFonts w:cs="Times New Roman"/>
    </w:rPr>
  </w:style>
  <w:style w:type="character" w:customStyle="1" w:styleId="Nadpis1Char">
    <w:name w:val="Nadpis 1 Char"/>
    <w:link w:val="Nadpis1"/>
    <w:uiPriority w:val="9"/>
    <w:locked/>
    <w:rPr>
      <w:rFonts w:ascii="Cambria" w:hAnsi="Cambria"/>
      <w:b/>
      <w:kern w:val="32"/>
      <w:sz w:val="32"/>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character" w:customStyle="1" w:styleId="TextbublinyChar">
    <w:name w:val="Text bubliny Char"/>
    <w:link w:val="Textbubliny"/>
    <w:uiPriority w:val="99"/>
    <w:semiHidden/>
    <w:locked/>
    <w:rPr>
      <w:rFonts w:ascii="Tahoma" w:hAnsi="Tahoma"/>
      <w:sz w:val="16"/>
    </w:rPr>
  </w:style>
  <w:style w:type="character" w:customStyle="1" w:styleId="PtaChar">
    <w:name w:val="Päta Char"/>
    <w:link w:val="Pta"/>
    <w:uiPriority w:val="99"/>
    <w:semiHidden/>
    <w:locked/>
    <w:rPr>
      <w:sz w:val="24"/>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uiPriority w:val="99"/>
    <w:unhideWhenUsed/>
    <w:rsid w:val="009C5F0C"/>
    <w:rPr>
      <w:color w:val="0000FF"/>
      <w:u w:val="single"/>
    </w:rPr>
  </w:style>
  <w:style w:type="paragraph" w:styleId="Odsekzoznamu">
    <w:name w:val="List Paragraph"/>
    <w:basedOn w:val="Normlny"/>
    <w:uiPriority w:val="99"/>
    <w:qFormat/>
    <w:rsid w:val="0051726D"/>
    <w:pPr>
      <w:ind w:left="708"/>
    </w:pPr>
  </w:style>
  <w:style w:type="paragraph" w:customStyle="1" w:styleId="Normlny0">
    <w:name w:val="_Normálny"/>
    <w:basedOn w:val="Normlny"/>
    <w:link w:val="NormlnyChar"/>
    <w:rsid w:val="001E255B"/>
    <w:pPr>
      <w:autoSpaceDE w:val="0"/>
      <w:autoSpaceDN w:val="0"/>
    </w:pPr>
    <w:rPr>
      <w:szCs w:val="20"/>
      <w:lang w:val="x-none" w:eastAsia="en-US"/>
    </w:rPr>
  </w:style>
  <w:style w:type="character" w:customStyle="1" w:styleId="NormlnyChar">
    <w:name w:val="_Normálny Char"/>
    <w:link w:val="Normlny0"/>
    <w:locked/>
    <w:rsid w:val="001E255B"/>
    <w:rPr>
      <w:sz w:val="24"/>
      <w:lang w:val="x-none" w:eastAsia="en-US"/>
    </w:rPr>
  </w:style>
  <w:style w:type="paragraph" w:customStyle="1" w:styleId="Default">
    <w:name w:val="Default"/>
    <w:rsid w:val="0062339E"/>
    <w:pPr>
      <w:autoSpaceDE w:val="0"/>
      <w:autoSpaceDN w:val="0"/>
      <w:adjustRightInd w:val="0"/>
    </w:pPr>
    <w:rPr>
      <w:rFonts w:ascii="EUAlbertina" w:hAnsi="EUAlbertina" w:cs="EUAlbertina"/>
      <w:color w:val="000000"/>
    </w:rPr>
  </w:style>
  <w:style w:type="paragraph" w:styleId="Hlavika">
    <w:name w:val="header"/>
    <w:basedOn w:val="Normlny"/>
    <w:link w:val="HlavikaChar"/>
    <w:rsid w:val="00903592"/>
    <w:pPr>
      <w:tabs>
        <w:tab w:val="center" w:pos="4536"/>
        <w:tab w:val="right" w:pos="9072"/>
      </w:tabs>
    </w:pPr>
    <w:rPr>
      <w:szCs w:val="20"/>
      <w:lang w:val="x-none" w:eastAsia="x-none"/>
    </w:rPr>
  </w:style>
  <w:style w:type="character" w:customStyle="1" w:styleId="ZkladntextChar">
    <w:name w:val="Základný text Char"/>
    <w:link w:val="Zkladntext"/>
    <w:uiPriority w:val="99"/>
    <w:locked/>
    <w:rsid w:val="00E27B98"/>
    <w:rPr>
      <w:lang w:val="x-none" w:eastAsia="x-none"/>
    </w:rPr>
  </w:style>
  <w:style w:type="paragraph" w:styleId="Zkladntext">
    <w:name w:val="Body Text"/>
    <w:basedOn w:val="Normlny"/>
    <w:link w:val="ZkladntextChar"/>
    <w:uiPriority w:val="99"/>
    <w:rsid w:val="00E27B98"/>
    <w:pPr>
      <w:autoSpaceDE w:val="0"/>
      <w:autoSpaceDN w:val="0"/>
      <w:jc w:val="both"/>
    </w:pPr>
    <w:rPr>
      <w:sz w:val="20"/>
      <w:szCs w:val="20"/>
      <w:lang w:val="x-none" w:eastAsia="x-none"/>
    </w:rPr>
  </w:style>
  <w:style w:type="character" w:customStyle="1" w:styleId="awspan">
    <w:name w:val="awspan"/>
    <w:rsid w:val="00D559BC"/>
  </w:style>
  <w:style w:type="character" w:customStyle="1" w:styleId="HlavikaChar">
    <w:name w:val="Hlavička Char"/>
    <w:link w:val="Hlavika"/>
    <w:locked/>
    <w:rsid w:val="00903592"/>
    <w:rPr>
      <w:sz w:val="24"/>
    </w:rPr>
  </w:style>
  <w:style w:type="paragraph" w:styleId="Zarkazkladnhotextu2">
    <w:name w:val="Body Text Indent 2"/>
    <w:basedOn w:val="Normlny"/>
    <w:link w:val="Zarkazkladnhotextu2Char"/>
    <w:rsid w:val="00A1038C"/>
    <w:pPr>
      <w:spacing w:after="120" w:line="480" w:lineRule="auto"/>
      <w:ind w:left="283"/>
    </w:pPr>
  </w:style>
  <w:style w:type="character" w:customStyle="1" w:styleId="Zarkazkladnhotextu2Char">
    <w:name w:val="Zarážka základného textu 2 Char"/>
    <w:basedOn w:val="Predvolenpsmoodseku"/>
    <w:link w:val="Zarkazkladnhotextu2"/>
    <w:rsid w:val="00A1038C"/>
    <w:rPr>
      <w:sz w:val="24"/>
      <w:szCs w:val="24"/>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CellMar>
        <w:left w:w="115" w:type="dxa"/>
        <w:right w:w="115" w:type="dxa"/>
      </w:tblCellMar>
    </w:tblPr>
  </w:style>
  <w:style w:type="table" w:customStyle="1" w:styleId="a0">
    <w:basedOn w:val="Normlnatabuka"/>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nFnEdvmZi1kmidR23yr7o6I+Bw==">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2559</Words>
  <Characters>14591</Characters>
  <Application>Microsoft Office Word</Application>
  <DocSecurity>0</DocSecurity>
  <Lines>121</Lines>
  <Paragraphs>34</Paragraphs>
  <ScaleCrop>false</ScaleCrop>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Janči</dc:creator>
  <cp:lastModifiedBy>klub OĽANO</cp:lastModifiedBy>
  <cp:revision>3</cp:revision>
  <dcterms:created xsi:type="dcterms:W3CDTF">2020-08-24T20:06:00Z</dcterms:created>
  <dcterms:modified xsi:type="dcterms:W3CDTF">2020-08-28T08:47:00Z</dcterms:modified>
</cp:coreProperties>
</file>