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49" w:rsidRPr="00696780" w:rsidRDefault="001B1849" w:rsidP="00696780">
      <w:pPr>
        <w:pStyle w:val="NormalWeb"/>
        <w:spacing w:before="120" w:beforeAutospacing="0" w:after="0" w:afterAutospacing="0" w:line="276" w:lineRule="auto"/>
        <w:jc w:val="center"/>
        <w:rPr>
          <w:b/>
          <w:bCs/>
          <w:caps/>
          <w:spacing w:val="30"/>
        </w:rPr>
      </w:pPr>
      <w:bookmarkStart w:id="0" w:name="_GoBack"/>
      <w:bookmarkEnd w:id="0"/>
      <w:r w:rsidRPr="00696780">
        <w:rPr>
          <w:b/>
          <w:bCs/>
          <w:caps/>
          <w:spacing w:val="30"/>
        </w:rPr>
        <w:t>Dôvodová správa</w:t>
      </w:r>
    </w:p>
    <w:p w:rsidR="001B1849" w:rsidRPr="00696780" w:rsidRDefault="001B1849" w:rsidP="00696780">
      <w:pPr>
        <w:pStyle w:val="NormalWeb"/>
        <w:spacing w:before="120" w:beforeAutospacing="0" w:after="0" w:afterAutospacing="0" w:line="276" w:lineRule="auto"/>
        <w:jc w:val="center"/>
      </w:pPr>
      <w:r w:rsidRPr="00696780">
        <w:rPr>
          <w:b/>
          <w:bCs/>
        </w:rPr>
        <w:t> </w:t>
      </w:r>
    </w:p>
    <w:p w:rsidR="001B1849" w:rsidRPr="00696780" w:rsidRDefault="001B1849" w:rsidP="00696780">
      <w:pPr>
        <w:pStyle w:val="Heading1"/>
        <w:spacing w:before="120" w:line="276" w:lineRule="auto"/>
        <w:jc w:val="left"/>
        <w:rPr>
          <w:rFonts w:ascii="Times New Roman" w:hAnsi="Times New Roman"/>
          <w:sz w:val="24"/>
          <w:szCs w:val="24"/>
        </w:rPr>
      </w:pPr>
      <w:r w:rsidRPr="00696780">
        <w:rPr>
          <w:rFonts w:ascii="Times New Roman" w:hAnsi="Times New Roman"/>
          <w:sz w:val="24"/>
          <w:szCs w:val="24"/>
        </w:rPr>
        <w:t>A. Všeobecná časť</w:t>
      </w:r>
    </w:p>
    <w:p w:rsidR="001B1849" w:rsidRDefault="001B1849" w:rsidP="00696780">
      <w:pPr>
        <w:pStyle w:val="NormalWeb"/>
        <w:spacing w:before="120" w:beforeAutospacing="0" w:after="0" w:afterAutospacing="0" w:line="276" w:lineRule="auto"/>
        <w:ind w:firstLine="708"/>
        <w:jc w:val="both"/>
      </w:pPr>
      <w:r w:rsidRPr="00696780">
        <w:t xml:space="preserve">Návrh zákona, </w:t>
      </w:r>
      <w:r w:rsidR="00C926F5">
        <w:t xml:space="preserve">ktorým sa </w:t>
      </w:r>
      <w:r w:rsidR="00696780" w:rsidRPr="00696780">
        <w:t xml:space="preserve">dopĺňa zákon </w:t>
      </w:r>
      <w:r w:rsidR="00C926F5">
        <w:t xml:space="preserve">Národnej rady Slovenskej republiky                 </w:t>
      </w:r>
      <w:r w:rsidR="00C926F5" w:rsidRPr="002551D0">
        <w:t>č. 145/1995 Z. z. o správnych poplatkoch</w:t>
      </w:r>
      <w:r w:rsidR="00C926F5" w:rsidRPr="00696780">
        <w:t xml:space="preserve"> </w:t>
      </w:r>
      <w:r w:rsidR="00C926F5">
        <w:t xml:space="preserve">v znení neskorších predpisov </w:t>
      </w:r>
      <w:r w:rsidRPr="00696780">
        <w:t>(ďalej</w:t>
      </w:r>
      <w:r w:rsidR="005F0314" w:rsidRPr="00696780">
        <w:t xml:space="preserve"> len „návrh zákona“) predkladá</w:t>
      </w:r>
      <w:r w:rsidR="00696780">
        <w:t xml:space="preserve"> do</w:t>
      </w:r>
      <w:r w:rsidR="00C926F5">
        <w:t xml:space="preserve"> legislatívneho procesu skupina poslancov </w:t>
      </w:r>
      <w:r w:rsidRPr="00696780">
        <w:t>Národnej rad</w:t>
      </w:r>
      <w:r w:rsidR="005F0314" w:rsidRPr="00696780">
        <w:t>y Slovenskej republiky</w:t>
      </w:r>
      <w:r w:rsidR="00C926F5">
        <w:t xml:space="preserve"> za hnutie OĽANO – NOVA – KÚ - Zmena zdola</w:t>
      </w:r>
      <w:r w:rsidR="009D5C96" w:rsidRPr="00696780">
        <w:t>.</w:t>
      </w:r>
    </w:p>
    <w:p w:rsidR="00C926F5" w:rsidRPr="008949D7" w:rsidRDefault="00C926F5" w:rsidP="00C926F5">
      <w:pPr>
        <w:pStyle w:val="NormalWeb"/>
        <w:spacing w:before="120" w:beforeAutospacing="0" w:after="0" w:afterAutospacing="0" w:line="276" w:lineRule="auto"/>
        <w:ind w:firstLine="708"/>
        <w:jc w:val="both"/>
        <w:rPr>
          <w:b/>
        </w:rPr>
      </w:pPr>
      <w:r w:rsidRPr="008949D7">
        <w:rPr>
          <w:b/>
        </w:rPr>
        <w:t>Cieľom návrhu zákona je</w:t>
      </w:r>
      <w:r w:rsidR="001F7749">
        <w:rPr>
          <w:b/>
        </w:rPr>
        <w:t xml:space="preserve"> v súlade s Programovým vyhlásením vlády SR na roky </w:t>
      </w:r>
      <w:r w:rsidR="00657D3A">
        <w:rPr>
          <w:b/>
        </w:rPr>
        <w:t>2020 – 2024 a medzinárodnými záväzkami Slovenskej republiky, osobitne vo vzťahu k Európskej únie</w:t>
      </w:r>
      <w:r w:rsidRPr="008949D7">
        <w:rPr>
          <w:b/>
        </w:rPr>
        <w:t>:</w:t>
      </w:r>
    </w:p>
    <w:p w:rsidR="00C926F5" w:rsidRPr="008949D7" w:rsidRDefault="00C926F5" w:rsidP="00C926F5">
      <w:pPr>
        <w:pStyle w:val="NormalWeb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b/>
        </w:rPr>
      </w:pPr>
      <w:r w:rsidRPr="008949D7">
        <w:rPr>
          <w:b/>
        </w:rPr>
        <w:t xml:space="preserve">uľahčiť voľný pohyb verejných listín v rámci Európskej únie, a to tak, aby poplatok za získanie viacjazyčného štandardného formulára, ktorý sa pripája k niektorým verejným listinám, nepresiahol v súlade s </w:t>
      </w:r>
      <w:r w:rsidRPr="008949D7">
        <w:rPr>
          <w:b/>
          <w:bCs/>
        </w:rPr>
        <w:t>nariadením Európskeho parlamentu a Rady (EÚ) 2016/1991 zo 6. júla 2016 o podporovaní voľného pohybu občanov prostredníctvom zjednodušenia požiadaviek na predkladanie určitých verejných listín v Európskej únii a o zmene nariadenia (EÚ) č. 1024/2012</w:t>
      </w:r>
      <w:r w:rsidRPr="008949D7">
        <w:rPr>
          <w:b/>
        </w:rPr>
        <w:t xml:space="preserve"> výrobné náklady viacjazyčného štandardného formulára alebo verejnej listiny, ku kto</w:t>
      </w:r>
      <w:r w:rsidR="008949D7" w:rsidRPr="008949D7">
        <w:rPr>
          <w:b/>
        </w:rPr>
        <w:t>rej je tento formulár pripojený,</w:t>
      </w:r>
    </w:p>
    <w:p w:rsidR="008949D7" w:rsidRPr="008949D7" w:rsidRDefault="008949D7" w:rsidP="00C926F5">
      <w:pPr>
        <w:pStyle w:val="NormalWeb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b/>
        </w:rPr>
      </w:pPr>
      <w:r w:rsidRPr="008949D7">
        <w:rPr>
          <w:b/>
        </w:rPr>
        <w:t>osobitne určiť výšku správneho poplatku osobe, ktorá má vydané platné osvedčenie preukazujúce postavenie Slováka žijúceho v zahraničí,</w:t>
      </w:r>
    </w:p>
    <w:p w:rsidR="00AF4DFD" w:rsidRPr="008949D7" w:rsidRDefault="008949D7" w:rsidP="008949D7">
      <w:pPr>
        <w:pStyle w:val="NormalWeb"/>
        <w:numPr>
          <w:ilvl w:val="0"/>
          <w:numId w:val="8"/>
        </w:numPr>
        <w:spacing w:before="120" w:beforeAutospacing="0" w:after="0" w:afterAutospacing="0" w:line="276" w:lineRule="auto"/>
        <w:jc w:val="both"/>
      </w:pPr>
      <w:r w:rsidRPr="008949D7">
        <w:rPr>
          <w:b/>
        </w:rPr>
        <w:t xml:space="preserve">priznať právomoc správnemu orgánu alebo Ministerstvu zahraničných vecí a európskych záležitostí, resp. zastupiteľskému úradu Slovenskej republiky v zahraničí znížiť správny poplatok alebo upustiť od jeho vybratia, ak ide o osobu, </w:t>
      </w:r>
      <w:r w:rsidR="00657D3A" w:rsidRPr="00657D3A">
        <w:rPr>
          <w:b/>
        </w:rPr>
        <w:t>ktorá je osobou bez štátnej príslušnosti, alebo</w:t>
      </w:r>
      <w:r w:rsidR="00657D3A">
        <w:rPr>
          <w:b/>
        </w:rPr>
        <w:t xml:space="preserve"> </w:t>
      </w:r>
      <w:r w:rsidRPr="008949D7">
        <w:rPr>
          <w:b/>
        </w:rPr>
        <w:t>ktorá má postavenie Slováka žijúceho v zahraničí a významne sa zaslúžila o prínos pre Slovenskú republiku alebo pre komunitu Slovákov žijúcich v zahraničí, z ktorej pochádza, alebo sa dlhodobo angažuje v prospech komunity Slovákov žijúcich v zahraničí – tieto skutočnosti pred vydaním rozhodnutia správneho orgánu potvrdí Úrad pre Slovákov žijúcich v zahraničí.</w:t>
      </w:r>
    </w:p>
    <w:p w:rsidR="009F080A" w:rsidRPr="00696780" w:rsidRDefault="00AC79CE" w:rsidP="00696780">
      <w:pPr>
        <w:spacing w:before="120" w:line="276" w:lineRule="auto"/>
        <w:ind w:firstLine="709"/>
        <w:jc w:val="both"/>
      </w:pPr>
      <w:r w:rsidRPr="00696780">
        <w:t>Návrh z</w:t>
      </w:r>
      <w:r w:rsidR="00423C63">
        <w:t xml:space="preserve">ákona predpokladá negatívny aj pozitívny </w:t>
      </w:r>
      <w:r w:rsidR="009F080A" w:rsidRPr="00696780">
        <w:t>vpl</w:t>
      </w:r>
      <w:r w:rsidRPr="00696780">
        <w:t>yv na rozpočet verejnej správy</w:t>
      </w:r>
      <w:r w:rsidR="00F51036">
        <w:t xml:space="preserve">, </w:t>
      </w:r>
      <w:r w:rsidR="00423C63">
        <w:t xml:space="preserve">nepredpokladá vplyv </w:t>
      </w:r>
      <w:r w:rsidR="00F51036">
        <w:t>na podnikateľské prostredie</w:t>
      </w:r>
      <w:r w:rsidR="005F0314" w:rsidRPr="00696780">
        <w:t>.</w:t>
      </w:r>
      <w:r w:rsidR="00F51036">
        <w:t xml:space="preserve"> </w:t>
      </w:r>
      <w:r w:rsidR="009F080A" w:rsidRPr="00696780">
        <w:t>Návrh zákona nemá vplyv na životné prostredie</w:t>
      </w:r>
      <w:r w:rsidRPr="00696780">
        <w:t xml:space="preserve"> ani na informatizáciu spoločnosti</w:t>
      </w:r>
      <w:r w:rsidR="008949D7">
        <w:t>, avšak vyvoláva pozitívne sociálne vplyvy</w:t>
      </w:r>
      <w:r w:rsidR="009F080A" w:rsidRPr="00696780">
        <w:t>.</w:t>
      </w:r>
    </w:p>
    <w:p w:rsidR="009F080A" w:rsidRPr="00696780" w:rsidRDefault="009F080A" w:rsidP="00696780">
      <w:pPr>
        <w:spacing w:before="120" w:line="276" w:lineRule="auto"/>
        <w:ind w:firstLine="709"/>
        <w:jc w:val="both"/>
      </w:pPr>
      <w:r w:rsidRPr="00696780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9F4A5D" w:rsidRPr="00696780" w:rsidRDefault="009F4A5D" w:rsidP="00696780">
      <w:pPr>
        <w:spacing w:before="120" w:line="276" w:lineRule="auto"/>
        <w:ind w:firstLine="709"/>
        <w:jc w:val="both"/>
      </w:pPr>
    </w:p>
    <w:p w:rsidR="008949D7" w:rsidRDefault="008949D7" w:rsidP="00696780">
      <w:pPr>
        <w:pStyle w:val="NormalWeb"/>
        <w:spacing w:before="120" w:beforeAutospacing="0" w:after="0" w:afterAutospacing="0" w:line="276" w:lineRule="auto"/>
        <w:jc w:val="both"/>
        <w:rPr>
          <w:b/>
          <w:bCs/>
        </w:rPr>
      </w:pPr>
    </w:p>
    <w:p w:rsidR="008949D7" w:rsidRDefault="008949D7" w:rsidP="00696780">
      <w:pPr>
        <w:pStyle w:val="NormalWeb"/>
        <w:spacing w:before="120" w:beforeAutospacing="0" w:after="0" w:afterAutospacing="0" w:line="276" w:lineRule="auto"/>
        <w:jc w:val="both"/>
        <w:rPr>
          <w:b/>
          <w:bCs/>
        </w:rPr>
      </w:pPr>
    </w:p>
    <w:p w:rsidR="00706F69" w:rsidRPr="00696780" w:rsidRDefault="00706F69" w:rsidP="00696780">
      <w:pPr>
        <w:pStyle w:val="NormalWeb"/>
        <w:spacing w:before="120" w:beforeAutospacing="0" w:after="0" w:afterAutospacing="0" w:line="276" w:lineRule="auto"/>
        <w:jc w:val="both"/>
      </w:pPr>
      <w:r w:rsidRPr="00696780">
        <w:rPr>
          <w:b/>
          <w:bCs/>
        </w:rPr>
        <w:lastRenderedPageBreak/>
        <w:t>B. Osobitná časť</w:t>
      </w:r>
    </w:p>
    <w:p w:rsidR="00706F69" w:rsidRPr="00696780" w:rsidRDefault="00706F69" w:rsidP="00696780">
      <w:pPr>
        <w:pStyle w:val="NormalWeb"/>
        <w:spacing w:before="120" w:beforeAutospacing="0" w:after="0" w:afterAutospacing="0" w:line="276" w:lineRule="auto"/>
        <w:jc w:val="both"/>
      </w:pPr>
    </w:p>
    <w:p w:rsidR="00706F69" w:rsidRPr="00696780" w:rsidRDefault="00706F69" w:rsidP="00696780">
      <w:pPr>
        <w:pStyle w:val="NormalWeb"/>
        <w:spacing w:before="120" w:beforeAutospacing="0" w:after="0" w:afterAutospacing="0" w:line="276" w:lineRule="auto"/>
        <w:jc w:val="both"/>
        <w:rPr>
          <w:b/>
          <w:bCs/>
        </w:rPr>
      </w:pPr>
      <w:r w:rsidRPr="00696780">
        <w:rPr>
          <w:b/>
          <w:bCs/>
        </w:rPr>
        <w:t xml:space="preserve">K Čl. I </w:t>
      </w:r>
    </w:p>
    <w:p w:rsidR="00473E18" w:rsidRDefault="00473E18" w:rsidP="00473E18">
      <w:pPr>
        <w:pStyle w:val="NormalWeb"/>
        <w:spacing w:before="120" w:beforeAutospacing="0" w:after="0" w:afterAutospacing="0" w:line="276" w:lineRule="auto"/>
        <w:jc w:val="both"/>
        <w:rPr>
          <w:bCs/>
          <w:u w:val="single"/>
        </w:rPr>
      </w:pPr>
      <w:r>
        <w:rPr>
          <w:bCs/>
          <w:u w:val="single"/>
        </w:rPr>
        <w:t>K bodom 1 a 2</w:t>
      </w:r>
    </w:p>
    <w:p w:rsidR="00473E18" w:rsidRDefault="00473E18" w:rsidP="001F7749">
      <w:pPr>
        <w:pStyle w:val="NormalWeb"/>
        <w:spacing w:before="120" w:beforeAutospacing="0" w:after="0" w:afterAutospacing="0" w:line="276" w:lineRule="auto"/>
        <w:ind w:firstLine="708"/>
        <w:jc w:val="both"/>
      </w:pPr>
      <w:r w:rsidRPr="00473E18">
        <w:t xml:space="preserve">Dňa 16. 2. 2019 nadobudol platnosť Čl. 1 a Čl. 2 </w:t>
      </w:r>
      <w:r w:rsidR="00FA66AC">
        <w:rPr>
          <w:bCs/>
        </w:rPr>
        <w:t>n</w:t>
      </w:r>
      <w:r w:rsidRPr="00473E18">
        <w:rPr>
          <w:bCs/>
        </w:rPr>
        <w:t>ariadenia Európskeho parlamentu a Rady (EÚ) 2016/1991 zo 6. júla 2016 o podporovaní voľného pohybu občanov prostredníctvom zjednodušenia požiadaviek na predkladanie určitých verejných listín v Európskej únii a o zmene nariadenia (EÚ) č. 1024/2012</w:t>
      </w:r>
      <w:r w:rsidR="00FA66AC">
        <w:rPr>
          <w:bCs/>
        </w:rPr>
        <w:t xml:space="preserve"> (Ú. v. EÚ L 200, 26. 7. 2016, s. 1)</w:t>
      </w:r>
      <w:r w:rsidRPr="00473E18">
        <w:t>, t. j. príslušné orgány členského štátu vydávajú určité verejné listiny, ktoré sa predkladajú orgánom iného členského štátu a sú oslobodené od vyššieho overenia (Apostila) a zjednodušené sú aj iné formálne náležitosti.</w:t>
      </w:r>
    </w:p>
    <w:p w:rsidR="00473E18" w:rsidRDefault="00473E18" w:rsidP="001F7749">
      <w:pPr>
        <w:pStyle w:val="NormalWeb"/>
        <w:spacing w:before="120" w:beforeAutospacing="0" w:after="0" w:afterAutospacing="0" w:line="276" w:lineRule="auto"/>
        <w:ind w:firstLine="708"/>
        <w:jc w:val="both"/>
        <w:rPr>
          <w:bCs/>
          <w:u w:val="single"/>
        </w:rPr>
      </w:pPr>
      <w:r w:rsidRPr="00473E18">
        <w:t>Podľa Čl. 2 uvedeného nariadenia sa k určeným verejným listinám na žiadosť osoby, ktorá má nárok na získanie verejnej listiny, pripojí viacjazyčný štandardný formulár, vypracovaný v súlade s nariadením. Viacjazyčný štandardný formulár pripojený k verejnej listine sa používa ako pomôcka pri preklade verejnej listiny – zjednodušenie iných formálnych náležitostí, týkajúcich sa prekladov.</w:t>
      </w:r>
    </w:p>
    <w:p w:rsidR="009E4880" w:rsidRPr="00473E18" w:rsidRDefault="00FA66AC" w:rsidP="001F7749">
      <w:pPr>
        <w:pStyle w:val="NormalWeb"/>
        <w:spacing w:before="120" w:beforeAutospacing="0" w:after="0" w:afterAutospacing="0" w:line="276" w:lineRule="auto"/>
        <w:ind w:firstLine="708"/>
        <w:jc w:val="both"/>
        <w:rPr>
          <w:bCs/>
          <w:u w:val="single"/>
        </w:rPr>
      </w:pPr>
      <w:r>
        <w:t>Podľa Čl. 11 n</w:t>
      </w:r>
      <w:r w:rsidR="00473E18" w:rsidRPr="00473E18">
        <w:t>ariadenia v záujme ďalšieho uľahčenia voľného pohy</w:t>
      </w:r>
      <w:r>
        <w:t>bu verejných listín v rámci Európskej únie</w:t>
      </w:r>
      <w:r w:rsidR="00473E18" w:rsidRPr="00473E18">
        <w:t xml:space="preserve"> členské štáty zabezpečia, aby poplatok za získanie viacjazyčného štandardného formulára nepresiahol výrobné náklady viacjazyčného štandardného formulára alebo verejnej listiny,</w:t>
      </w:r>
      <w:r w:rsidR="00473E18" w:rsidRPr="00473E18">
        <w:rPr>
          <w:b/>
        </w:rPr>
        <w:t xml:space="preserve"> </w:t>
      </w:r>
      <w:r w:rsidR="00473E18" w:rsidRPr="00473E18">
        <w:t>ku ktorej je tento formulár pripojený.</w:t>
      </w:r>
    </w:p>
    <w:p w:rsidR="00706F69" w:rsidRPr="00696780" w:rsidRDefault="00473E18" w:rsidP="00696780">
      <w:pPr>
        <w:pStyle w:val="NormalWeb"/>
        <w:spacing w:before="120" w:beforeAutospacing="0" w:after="0" w:afterAutospacing="0" w:line="276" w:lineRule="auto"/>
        <w:jc w:val="both"/>
        <w:rPr>
          <w:bCs/>
          <w:u w:val="single"/>
        </w:rPr>
      </w:pPr>
      <w:r>
        <w:rPr>
          <w:bCs/>
          <w:u w:val="single"/>
        </w:rPr>
        <w:t>K bodom 3 až 6</w:t>
      </w:r>
    </w:p>
    <w:p w:rsidR="00473E18" w:rsidRDefault="00FA66AC" w:rsidP="001F7749">
      <w:pPr>
        <w:pStyle w:val="NormalWeb"/>
        <w:spacing w:before="120" w:beforeAutospacing="0" w:after="0" w:afterAutospacing="0" w:line="276" w:lineRule="auto"/>
        <w:ind w:firstLine="708"/>
        <w:jc w:val="both"/>
      </w:pPr>
      <w:r>
        <w:rPr>
          <w:bCs/>
        </w:rPr>
        <w:t>V programovom vyhlásení vlády SR na roky 2020 – 2024 sa v časti „Š</w:t>
      </w:r>
      <w:r w:rsidR="001F7749">
        <w:rPr>
          <w:bCs/>
        </w:rPr>
        <w:t>tátne občianstvo“ uvádza, že: „</w:t>
      </w:r>
      <w:r w:rsidR="001F7749" w:rsidRPr="001F7749">
        <w:rPr>
          <w:bCs/>
          <w:i/>
        </w:rPr>
        <w:t xml:space="preserve">Vláda SR </w:t>
      </w:r>
      <w:r w:rsidR="001F7749" w:rsidRPr="001F7749">
        <w:rPr>
          <w:i/>
        </w:rPr>
        <w:t>zjednoduší podmienky nadobúdania štátneho občianstva pre Slovákov žijúcich v zahraničí.</w:t>
      </w:r>
      <w:r w:rsidR="001F7749">
        <w:t>“. Praktické skúsenosti preukazujú, že správny poplatok vo výške 700 eur na osobu za udelenie štátneho občianstva je pre viacerých Slovákov žijúcich najmä v štátoch, kde je nižšia životná úroveň (napr. Srbsko alebo Ukrajina), prekážkou k nadobudnutiu štátneho občianstva, najmä ak oň žiada celá rodina. Navyše, osobitná položka tohto správneho poplatku je aj objektívne zdôvodniteľná a opodstatnená, pretože Slovák žijúci v zahraničí ako žiadateľ nemusí preukazovať ovládanie slovenského jazyka, v dôsledku čoho správne konanie trvá kratšie a je tiež personálne a materiálne menej náročné.</w:t>
      </w:r>
    </w:p>
    <w:p w:rsidR="001F7749" w:rsidRDefault="001F7749" w:rsidP="001F7749">
      <w:pPr>
        <w:pStyle w:val="NormalWeb"/>
        <w:spacing w:before="120" w:beforeAutospacing="0" w:after="0" w:afterAutospacing="0" w:line="276" w:lineRule="auto"/>
        <w:ind w:firstLine="708"/>
        <w:jc w:val="both"/>
      </w:pPr>
      <w:r>
        <w:t xml:space="preserve">Na základe uvedeného sa navrhuje zníženie správneho poplatku za nadobudnutie štátneho občianstva pre žiadateľa, ktorý </w:t>
      </w:r>
      <w:r w:rsidRPr="002551D0">
        <w:t>má vydané platné osvedčenie preukazujúce postavenie Slováka žijúceho v</w:t>
      </w:r>
      <w:r>
        <w:t> </w:t>
      </w:r>
      <w:r w:rsidRPr="002551D0">
        <w:t>zahraničí</w:t>
      </w:r>
      <w:r>
        <w:t xml:space="preserve"> zo 700 eur na 400 eur na osobu s účinnosťou od 1. januára 2021.</w:t>
      </w:r>
    </w:p>
    <w:p w:rsidR="001F7749" w:rsidRDefault="001F7749" w:rsidP="001F7749">
      <w:pPr>
        <w:pStyle w:val="NormalWeb"/>
        <w:spacing w:before="120" w:beforeAutospacing="0" w:after="0" w:afterAutospacing="0" w:line="276" w:lineRule="auto"/>
        <w:ind w:firstLine="708"/>
        <w:jc w:val="both"/>
      </w:pPr>
      <w:r>
        <w:t xml:space="preserve">Navyše, správny orgán alebo Ministerstvo zahraničných vecí a európskych záležitosti SR, resp. zastupiteľský úrad Slovenskej republiky v zahraničí môže tento správny poplatok ešte znížiť alebo upustiť od jeho vybratia, ak </w:t>
      </w:r>
      <w:r w:rsidR="00A403B6">
        <w:t>sa na základe písomného potvrdenia Úradu pre Slovákov žijúcich v zahraničí preukáže, že žiadateľ je osobou, ktorá:</w:t>
      </w:r>
    </w:p>
    <w:p w:rsidR="00A403B6" w:rsidRPr="00A403B6" w:rsidRDefault="00A403B6" w:rsidP="00A403B6">
      <w:pPr>
        <w:pStyle w:val="NormalWeb"/>
        <w:numPr>
          <w:ilvl w:val="0"/>
          <w:numId w:val="9"/>
        </w:numPr>
        <w:spacing w:before="120" w:beforeAutospacing="0" w:after="0" w:afterAutospacing="0" w:line="276" w:lineRule="auto"/>
        <w:jc w:val="both"/>
        <w:rPr>
          <w:bCs/>
        </w:rPr>
      </w:pPr>
      <w:r w:rsidRPr="0075039D">
        <w:lastRenderedPageBreak/>
        <w:t>sa významne zaslúžila o prínos pre Slovenskú republiku alebo pre komunitu Slovákov žijúcich v zahraničí, z ktorej pochádza, v oblasti ekonomickej, vedeckej, technickej, kultúrnej, sociálnej alebo športovej</w:t>
      </w:r>
      <w:r>
        <w:t xml:space="preserve"> alebo skutočnosť,</w:t>
      </w:r>
    </w:p>
    <w:p w:rsidR="00A403B6" w:rsidRPr="00A974C7" w:rsidRDefault="00A403B6" w:rsidP="00A403B6">
      <w:pPr>
        <w:pStyle w:val="NormalWeb"/>
        <w:numPr>
          <w:ilvl w:val="0"/>
          <w:numId w:val="9"/>
        </w:numPr>
        <w:spacing w:before="120" w:beforeAutospacing="0" w:after="0" w:afterAutospacing="0" w:line="276" w:lineRule="auto"/>
        <w:jc w:val="both"/>
        <w:rPr>
          <w:bCs/>
        </w:rPr>
      </w:pPr>
      <w:r>
        <w:t>sa dlhodobo angažuje v prospech komunity Slovákov žijúcich v zahraničí.</w:t>
      </w:r>
    </w:p>
    <w:p w:rsidR="00A974C7" w:rsidRDefault="00A974C7" w:rsidP="00A403B6">
      <w:pPr>
        <w:pStyle w:val="NormalWeb"/>
        <w:numPr>
          <w:ilvl w:val="0"/>
          <w:numId w:val="9"/>
        </w:numPr>
        <w:spacing w:before="120" w:beforeAutospacing="0" w:after="0" w:afterAutospacing="0" w:line="276" w:lineRule="auto"/>
        <w:jc w:val="both"/>
        <w:rPr>
          <w:bCs/>
        </w:rPr>
      </w:pPr>
      <w:r>
        <w:rPr>
          <w:bCs/>
        </w:rPr>
        <w:t>je osobou bez štátnej príslušnosti.</w:t>
      </w:r>
    </w:p>
    <w:p w:rsidR="00A974C7" w:rsidRDefault="00A974C7" w:rsidP="00A974C7">
      <w:pPr>
        <w:pStyle w:val="NormalWeb"/>
        <w:spacing w:before="120" w:beforeAutospacing="0" w:after="0" w:afterAutospacing="0" w:line="276" w:lineRule="auto"/>
        <w:ind w:firstLine="708"/>
        <w:jc w:val="both"/>
      </w:pPr>
      <w:r>
        <w:t>Pokiaľ ide o osoby bez štátnej príslušnosti, v zmysle článku</w:t>
      </w:r>
      <w:r w:rsidRPr="00A974C7">
        <w:t xml:space="preserve"> 32 Dohovoru o právnom postavení osôb bez štátnej príslušnosti z ro</w:t>
      </w:r>
      <w:r>
        <w:t>ku 1954, ktorý je záväzný pre Slovenskú republiku od 1.3.2001</w:t>
      </w:r>
      <w:r w:rsidRPr="00A974C7">
        <w:t>: „</w:t>
      </w:r>
      <w:r w:rsidRPr="00A974C7">
        <w:rPr>
          <w:i/>
        </w:rPr>
        <w:t xml:space="preserve">Zmluvné štáty majú uľahčovať, nakoľko je to len možné, asimiláciu a udelenie štátneho občianstva osobám bez štátnej príslušnosti. Konkrétne majú vyvinúť maximálne možné úsilie na urýchlenie konania v tejto záležitosti a v čo najväčšej miere </w:t>
      </w:r>
      <w:r w:rsidRPr="00A974C7">
        <w:rPr>
          <w:i/>
          <w:u w:val="single"/>
        </w:rPr>
        <w:t>redukovať poplatky a náklady takéhoto konania.</w:t>
      </w:r>
      <w:r w:rsidRPr="00A974C7">
        <w:t>”</w:t>
      </w:r>
      <w:r>
        <w:t>.</w:t>
      </w:r>
      <w:r w:rsidRPr="00A974C7">
        <w:t xml:space="preserve"> V záujme zosúlade</w:t>
      </w:r>
      <w:r>
        <w:t>nia vnútroštátnej</w:t>
      </w:r>
      <w:r w:rsidRPr="00A974C7">
        <w:t xml:space="preserve"> právnej úpravy s</w:t>
      </w:r>
      <w:r>
        <w:t xml:space="preserve"> týmto medzinárodným záväzkom Slovenskej republiky sa navrhuje </w:t>
      </w:r>
      <w:r w:rsidRPr="00A974C7">
        <w:t xml:space="preserve">zaradiť osoby bez štátnej príslušnosti ako kategóriu cudzincov, u ktorej bude možné správny poplatok za udelenie štátneho občianstva znížiť </w:t>
      </w:r>
      <w:r>
        <w:t>alebo upustiť od jeho vybratia.</w:t>
      </w:r>
    </w:p>
    <w:p w:rsidR="00A974C7" w:rsidRPr="00A974C7" w:rsidRDefault="00A974C7" w:rsidP="00A974C7">
      <w:pPr>
        <w:pStyle w:val="NormalWeb"/>
        <w:spacing w:before="120" w:beforeAutospacing="0" w:after="0" w:afterAutospacing="0" w:line="276" w:lineRule="auto"/>
        <w:ind w:firstLine="708"/>
        <w:jc w:val="both"/>
        <w:rPr>
          <w:bCs/>
        </w:rPr>
      </w:pPr>
      <w:r>
        <w:t>Úrad pre Slovákov žijúcich v zahraničí bude potvrdzovať len skutočnosti, ktoré sa týkajú osôb, ktoré majú</w:t>
      </w:r>
      <w:r w:rsidRPr="002551D0">
        <w:t xml:space="preserve"> vydané platné osvedčenie preukazujúce postavenie Slováka žijúceho v</w:t>
      </w:r>
      <w:r>
        <w:t> </w:t>
      </w:r>
      <w:r w:rsidRPr="002551D0">
        <w:t>zahraničí</w:t>
      </w:r>
      <w:r>
        <w:t>. Plnenie tejto úlohy mu umožňuje ustanovenie § 4 ods. 6 písm. j)</w:t>
      </w:r>
      <w:r w:rsidR="008B4FFE">
        <w:t xml:space="preserve"> zákona               č. 474/2005 Z. z. </w:t>
      </w:r>
      <w:r w:rsidR="00784BFC">
        <w:t>o Slovákoch žijúcich v zahraničí a o zmene a doplnení niektorých zákonov v znení neskorších predpisov.</w:t>
      </w:r>
    </w:p>
    <w:p w:rsidR="00473E18" w:rsidRPr="00696780" w:rsidRDefault="00706F69" w:rsidP="00473E18">
      <w:pPr>
        <w:pStyle w:val="NormalWeb"/>
        <w:spacing w:before="120" w:beforeAutospacing="0" w:after="0" w:afterAutospacing="0" w:line="276" w:lineRule="auto"/>
        <w:jc w:val="both"/>
        <w:rPr>
          <w:bCs/>
        </w:rPr>
      </w:pPr>
      <w:r w:rsidRPr="00696780">
        <w:rPr>
          <w:bCs/>
        </w:rPr>
        <w:tab/>
      </w:r>
    </w:p>
    <w:p w:rsidR="00706F69" w:rsidRPr="00696780" w:rsidRDefault="00706F69" w:rsidP="00696780">
      <w:pPr>
        <w:pStyle w:val="NormalWeb"/>
        <w:spacing w:before="120" w:beforeAutospacing="0" w:after="0" w:afterAutospacing="0" w:line="276" w:lineRule="auto"/>
        <w:jc w:val="both"/>
        <w:rPr>
          <w:b/>
          <w:bCs/>
        </w:rPr>
      </w:pPr>
      <w:r w:rsidRPr="00696780">
        <w:rPr>
          <w:b/>
          <w:bCs/>
        </w:rPr>
        <w:t>K Čl. II</w:t>
      </w:r>
    </w:p>
    <w:p w:rsidR="00706F69" w:rsidRPr="00696780" w:rsidRDefault="00706F69" w:rsidP="00473E18">
      <w:pPr>
        <w:pStyle w:val="NormalWeb"/>
        <w:spacing w:before="120" w:beforeAutospacing="0" w:after="0" w:afterAutospacing="0" w:line="276" w:lineRule="auto"/>
        <w:jc w:val="both"/>
        <w:rPr>
          <w:b/>
          <w:bCs/>
        </w:rPr>
      </w:pPr>
      <w:r w:rsidRPr="00696780">
        <w:rPr>
          <w:bCs/>
        </w:rPr>
        <w:t>Navrhuje sa účinnosť predkladaného zákona so zohľadnením le</w:t>
      </w:r>
      <w:r w:rsidR="00815EDB">
        <w:rPr>
          <w:bCs/>
        </w:rPr>
        <w:t>gisvakančnej lehoty, a</w:t>
      </w:r>
      <w:r w:rsidR="00473E18">
        <w:rPr>
          <w:bCs/>
        </w:rPr>
        <w:t xml:space="preserve"> to </w:t>
      </w:r>
      <w:r w:rsidR="00311BBC">
        <w:rPr>
          <w:bCs/>
        </w:rPr>
        <w:t xml:space="preserve">od </w:t>
      </w:r>
      <w:r w:rsidR="00473E18">
        <w:rPr>
          <w:bCs/>
        </w:rPr>
        <w:t xml:space="preserve"> 1. januára 2021.</w:t>
      </w:r>
    </w:p>
    <w:p w:rsidR="00706F69" w:rsidRPr="00696780" w:rsidRDefault="00706F69" w:rsidP="00696780">
      <w:pPr>
        <w:pStyle w:val="NormalWeb"/>
        <w:spacing w:before="120" w:beforeAutospacing="0" w:after="0" w:afterAutospacing="0" w:line="276" w:lineRule="auto"/>
        <w:jc w:val="both"/>
        <w:rPr>
          <w:b/>
          <w:bCs/>
        </w:rPr>
      </w:pPr>
    </w:p>
    <w:p w:rsidR="007C2704" w:rsidRPr="00696780" w:rsidRDefault="00AA4420" w:rsidP="00696780">
      <w:pPr>
        <w:pStyle w:val="NormalWeb"/>
        <w:spacing w:before="120" w:beforeAutospacing="0" w:after="0" w:afterAutospacing="0" w:line="276" w:lineRule="auto"/>
        <w:jc w:val="center"/>
      </w:pPr>
      <w:r w:rsidRPr="00696780">
        <w:rPr>
          <w:b/>
          <w:bCs/>
          <w:caps/>
          <w:spacing w:val="30"/>
        </w:rPr>
        <w:br w:type="page"/>
      </w:r>
      <w:r w:rsidR="007C2704" w:rsidRPr="00696780">
        <w:rPr>
          <w:b/>
          <w:bCs/>
          <w:caps/>
          <w:spacing w:val="30"/>
        </w:rPr>
        <w:lastRenderedPageBreak/>
        <w:t>DOLOŽKA ZLUČITEĽNOSTI</w:t>
      </w: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  <w:jc w:val="center"/>
      </w:pPr>
      <w:r w:rsidRPr="00696780">
        <w:rPr>
          <w:b/>
          <w:bCs/>
        </w:rPr>
        <w:t>návrhu zákona</w:t>
      </w:r>
      <w:r w:rsidRPr="00696780">
        <w:t xml:space="preserve"> </w:t>
      </w:r>
      <w:r w:rsidRPr="00696780">
        <w:rPr>
          <w:b/>
          <w:bCs/>
        </w:rPr>
        <w:t>s právom Európskej únie</w:t>
      </w: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  <w:jc w:val="both"/>
      </w:pPr>
      <w:r w:rsidRPr="00696780">
        <w:t> </w:t>
      </w:r>
    </w:p>
    <w:p w:rsidR="007C2704" w:rsidRPr="00696780" w:rsidRDefault="007C2704" w:rsidP="00696780">
      <w:pPr>
        <w:pStyle w:val="NormalWeb"/>
        <w:numPr>
          <w:ilvl w:val="0"/>
          <w:numId w:val="6"/>
        </w:numPr>
        <w:spacing w:before="120" w:beforeAutospacing="0" w:after="0" w:afterAutospacing="0" w:line="276" w:lineRule="auto"/>
        <w:ind w:left="426"/>
        <w:jc w:val="both"/>
      </w:pPr>
      <w:r w:rsidRPr="00696780">
        <w:rPr>
          <w:b/>
          <w:bCs/>
        </w:rPr>
        <w:t>Navrhovateľ zákona:</w:t>
      </w:r>
      <w:r w:rsidR="00B909E7">
        <w:t xml:space="preserve"> skupina poslancov</w:t>
      </w:r>
      <w:r w:rsidRPr="00696780">
        <w:t xml:space="preserve"> Národnej rady Slovenskej republiky</w:t>
      </w: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  <w:jc w:val="both"/>
      </w:pPr>
      <w:r w:rsidRPr="00696780">
        <w:t> </w:t>
      </w:r>
    </w:p>
    <w:p w:rsidR="007C2704" w:rsidRPr="00696780" w:rsidRDefault="007C2704" w:rsidP="00696780">
      <w:pPr>
        <w:pStyle w:val="NormalWeb"/>
        <w:numPr>
          <w:ilvl w:val="0"/>
          <w:numId w:val="6"/>
        </w:numPr>
        <w:spacing w:before="120" w:beforeAutospacing="0" w:after="0" w:afterAutospacing="0" w:line="276" w:lineRule="auto"/>
        <w:ind w:left="426"/>
        <w:jc w:val="both"/>
        <w:rPr>
          <w:bCs/>
        </w:rPr>
      </w:pPr>
      <w:r w:rsidRPr="00696780">
        <w:rPr>
          <w:b/>
          <w:bCs/>
        </w:rPr>
        <w:t>Názov návrhu zákona</w:t>
      </w:r>
      <w:r w:rsidRPr="00696780">
        <w:rPr>
          <w:bCs/>
        </w:rPr>
        <w:t xml:space="preserve">: </w:t>
      </w:r>
      <w:r w:rsidR="00815EDB">
        <w:rPr>
          <w:bCs/>
        </w:rPr>
        <w:t xml:space="preserve">návrh zákona, </w:t>
      </w:r>
      <w:r w:rsidR="00B909E7">
        <w:t xml:space="preserve">ktorým sa </w:t>
      </w:r>
      <w:r w:rsidR="00B909E7" w:rsidRPr="00696780">
        <w:t xml:space="preserve">dopĺňa zákon </w:t>
      </w:r>
      <w:r w:rsidR="00B909E7">
        <w:t xml:space="preserve">Národnej rady Slovenskej republiky </w:t>
      </w:r>
      <w:r w:rsidR="00B909E7" w:rsidRPr="002551D0">
        <w:t>č. 145/1995 Z. z. o správnych poplatkoch</w:t>
      </w:r>
      <w:r w:rsidR="00B909E7" w:rsidRPr="00696780">
        <w:t xml:space="preserve"> </w:t>
      </w:r>
      <w:r w:rsidR="00B909E7">
        <w:t>v znení neskorších predpisov</w:t>
      </w: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  <w:jc w:val="both"/>
        <w:rPr>
          <w:bCs/>
        </w:rPr>
      </w:pPr>
    </w:p>
    <w:p w:rsidR="004264B2" w:rsidRPr="00696780" w:rsidRDefault="004264B2" w:rsidP="00696780">
      <w:pPr>
        <w:pStyle w:val="NormalWeb"/>
        <w:spacing w:before="120" w:beforeAutospacing="0" w:after="0" w:afterAutospacing="0" w:line="276" w:lineRule="auto"/>
        <w:jc w:val="both"/>
        <w:rPr>
          <w:b/>
          <w:bCs/>
        </w:rPr>
      </w:pPr>
      <w:r w:rsidRPr="00696780">
        <w:rPr>
          <w:b/>
          <w:bCs/>
        </w:rPr>
        <w:t>3. Predmet návrhu zákona:</w:t>
      </w:r>
    </w:p>
    <w:p w:rsidR="004264B2" w:rsidRPr="00696780" w:rsidRDefault="004264B2" w:rsidP="0069678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bCs/>
        </w:rPr>
      </w:pPr>
      <w:r w:rsidRPr="00696780">
        <w:rPr>
          <w:bCs/>
        </w:rPr>
        <w:t>je upravený v primárnom práve Európskej únie</w:t>
      </w:r>
      <w:r w:rsidR="00815EDB">
        <w:rPr>
          <w:bCs/>
        </w:rPr>
        <w:t>,</w:t>
      </w:r>
      <w:r w:rsidR="00423C63">
        <w:rPr>
          <w:bCs/>
        </w:rPr>
        <w:t xml:space="preserve"> a to v článku 21 Zmluvy o fungovaní Európskej únie,</w:t>
      </w:r>
    </w:p>
    <w:p w:rsidR="004264B2" w:rsidRPr="00696780" w:rsidRDefault="004264B2" w:rsidP="0069678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bCs/>
        </w:rPr>
      </w:pPr>
      <w:r w:rsidRPr="00696780">
        <w:rPr>
          <w:bCs/>
        </w:rPr>
        <w:t>je upravený v sekundárnom práve Európskej únie,</w:t>
      </w:r>
      <w:r w:rsidR="00423C63">
        <w:rPr>
          <w:bCs/>
        </w:rPr>
        <w:t xml:space="preserve"> a to v nariadení</w:t>
      </w:r>
      <w:r w:rsidR="00423C63" w:rsidRPr="00473E18">
        <w:rPr>
          <w:bCs/>
        </w:rPr>
        <w:t xml:space="preserve"> Európskeho parlamentu a Rady (EÚ) 2016/1991 zo 6. júla 2016 o podporovaní voľného pohybu občanov prostredníctvom zjednodušenia požiadaviek na predkladanie určitých verejných listín v Európskej únii a o zmene nariadenia (EÚ) č. 1024/2012</w:t>
      </w:r>
      <w:r w:rsidR="00423C63">
        <w:rPr>
          <w:bCs/>
        </w:rPr>
        <w:t xml:space="preserve"> (Ú. v. EÚ L 200, 26. 7. 2016, s. 1) – osobitne čl. 1, 2 a 11 tohto nariadenia,</w:t>
      </w:r>
    </w:p>
    <w:p w:rsidR="004264B2" w:rsidRPr="00696780" w:rsidRDefault="004264B2" w:rsidP="0069678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bCs/>
        </w:rPr>
      </w:pPr>
      <w:r w:rsidRPr="00696780">
        <w:rPr>
          <w:bCs/>
        </w:rPr>
        <w:t>nie je obsiahnutý v judikatúre Súdneho dvora Európskej únie.</w:t>
      </w:r>
    </w:p>
    <w:p w:rsidR="004264B2" w:rsidRPr="00696780" w:rsidRDefault="004264B2" w:rsidP="00696780">
      <w:pPr>
        <w:pStyle w:val="NormalWeb"/>
        <w:spacing w:before="120" w:beforeAutospacing="0" w:after="0" w:afterAutospacing="0" w:line="276" w:lineRule="auto"/>
        <w:jc w:val="both"/>
        <w:rPr>
          <w:bCs/>
        </w:rPr>
      </w:pPr>
    </w:p>
    <w:p w:rsidR="000F6F50" w:rsidRPr="000F6F50" w:rsidRDefault="000F6F50" w:rsidP="000F6F50">
      <w:pPr>
        <w:numPr>
          <w:ilvl w:val="3"/>
          <w:numId w:val="10"/>
        </w:num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0F6F50">
        <w:rPr>
          <w:b/>
        </w:rPr>
        <w:t>Záväzky Slovenskej republiky vo vzťahu k Európskej únii:</w:t>
      </w:r>
    </w:p>
    <w:p w:rsidR="000F6F50" w:rsidRPr="000F6F50" w:rsidRDefault="000F6F50" w:rsidP="000F6F50">
      <w:pPr>
        <w:spacing w:before="120"/>
        <w:ind w:left="540" w:hanging="256"/>
        <w:jc w:val="both"/>
      </w:pPr>
      <w:r w:rsidRPr="000F6F50">
        <w:t>a) bezpredmetné,</w:t>
      </w:r>
      <w:r>
        <w:t xml:space="preserve"> keďže nariadenie EÚ je priamo aplikovateľný právny predpis,</w:t>
      </w:r>
    </w:p>
    <w:p w:rsidR="000F6F50" w:rsidRPr="000F6F50" w:rsidRDefault="000F6F50" w:rsidP="000F6F50">
      <w:pPr>
        <w:spacing w:before="120"/>
        <w:ind w:left="539" w:hanging="255"/>
        <w:jc w:val="both"/>
      </w:pPr>
      <w:r w:rsidRPr="000F6F50">
        <w:t>b) v danej oblasti nebol proti Slovenskej republike začatý postup Európskej komisie a ani konanie Súdneho dvora Európskej únie podľa článkov 258 až 260 Zmluvy o fungovaní Európskej únie,</w:t>
      </w:r>
    </w:p>
    <w:p w:rsidR="000F6F50" w:rsidRPr="000F6F50" w:rsidRDefault="000F6F50" w:rsidP="000F6F50">
      <w:pPr>
        <w:spacing w:before="120"/>
        <w:ind w:left="539" w:hanging="255"/>
        <w:jc w:val="both"/>
      </w:pPr>
      <w:r w:rsidRPr="000F6F50">
        <w:t>c) bezpredmetné.</w:t>
      </w:r>
    </w:p>
    <w:p w:rsidR="000F6F50" w:rsidRPr="000F6F50" w:rsidRDefault="000F6F50" w:rsidP="000F6F50">
      <w:pPr>
        <w:spacing w:before="120"/>
        <w:jc w:val="both"/>
        <w:rPr>
          <w:color w:val="000000"/>
        </w:rPr>
      </w:pPr>
    </w:p>
    <w:p w:rsidR="000F6F50" w:rsidRPr="000F6F50" w:rsidRDefault="000F6F50" w:rsidP="000F6F50">
      <w:pPr>
        <w:numPr>
          <w:ilvl w:val="0"/>
          <w:numId w:val="4"/>
        </w:numPr>
        <w:tabs>
          <w:tab w:val="left" w:pos="341"/>
        </w:tabs>
        <w:autoSpaceDE w:val="0"/>
        <w:autoSpaceDN w:val="0"/>
        <w:adjustRightInd w:val="0"/>
        <w:spacing w:before="120"/>
        <w:jc w:val="both"/>
        <w:rPr>
          <w:b/>
          <w:color w:val="000000"/>
        </w:rPr>
      </w:pPr>
      <w:r w:rsidRPr="000F6F50">
        <w:rPr>
          <w:b/>
          <w:color w:val="000000"/>
        </w:rPr>
        <w:t>Návrh zákona je zlučiteľný s právom Európskej únie</w:t>
      </w:r>
    </w:p>
    <w:p w:rsidR="007C2704" w:rsidRPr="000F6F50" w:rsidRDefault="000F6F50" w:rsidP="000F6F50">
      <w:pPr>
        <w:pStyle w:val="NormalWeb"/>
        <w:spacing w:before="120" w:beforeAutospacing="0" w:after="0" w:afterAutospacing="0" w:line="276" w:lineRule="auto"/>
        <w:jc w:val="both"/>
        <w:rPr>
          <w:b/>
          <w:bCs/>
        </w:rPr>
      </w:pPr>
      <w:r w:rsidRPr="000F6F50">
        <w:rPr>
          <w:color w:val="000000"/>
        </w:rPr>
        <w:t>- úplne</w:t>
      </w: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</w:pP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</w:pP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</w:pP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</w:pP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</w:pP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</w:pPr>
    </w:p>
    <w:p w:rsidR="007C2704" w:rsidRPr="00696780" w:rsidRDefault="00AA4420" w:rsidP="00696780">
      <w:pPr>
        <w:pStyle w:val="NormalWeb"/>
        <w:spacing w:before="120" w:beforeAutospacing="0" w:after="0" w:afterAutospacing="0" w:line="276" w:lineRule="auto"/>
        <w:jc w:val="center"/>
      </w:pPr>
      <w:r w:rsidRPr="00696780">
        <w:rPr>
          <w:b/>
          <w:bCs/>
          <w:caps/>
          <w:color w:val="000000"/>
          <w:spacing w:val="30"/>
        </w:rPr>
        <w:br w:type="page"/>
      </w:r>
      <w:r w:rsidR="007C2704" w:rsidRPr="00696780">
        <w:rPr>
          <w:b/>
          <w:bCs/>
          <w:caps/>
          <w:color w:val="000000"/>
          <w:spacing w:val="30"/>
        </w:rPr>
        <w:lastRenderedPageBreak/>
        <w:t>Doložka</w:t>
      </w: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  <w:jc w:val="center"/>
      </w:pPr>
      <w:r w:rsidRPr="00696780">
        <w:rPr>
          <w:b/>
          <w:bCs/>
          <w:color w:val="000000"/>
        </w:rPr>
        <w:t>vybraných vplyvov</w:t>
      </w: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</w:pPr>
      <w:r w:rsidRPr="00696780">
        <w:rPr>
          <w:color w:val="000000"/>
        </w:rPr>
        <w:t> </w:t>
      </w:r>
    </w:p>
    <w:p w:rsidR="007C2704" w:rsidRPr="00696780" w:rsidRDefault="007C2704" w:rsidP="00696780">
      <w:pPr>
        <w:spacing w:before="120" w:line="276" w:lineRule="auto"/>
        <w:jc w:val="both"/>
      </w:pPr>
      <w:r w:rsidRPr="00696780">
        <w:rPr>
          <w:b/>
          <w:bCs/>
          <w:color w:val="000000"/>
        </w:rPr>
        <w:t xml:space="preserve">A.1. Názov materiálu: </w:t>
      </w:r>
      <w:r w:rsidR="000A3002">
        <w:t>n</w:t>
      </w:r>
      <w:r w:rsidR="000A3002" w:rsidRPr="00696780">
        <w:t xml:space="preserve">ávrh zákona, </w:t>
      </w:r>
      <w:r w:rsidR="000A3002">
        <w:t xml:space="preserve">ktorým sa </w:t>
      </w:r>
      <w:r w:rsidR="000A3002" w:rsidRPr="00696780">
        <w:t xml:space="preserve">dopĺňa zákon </w:t>
      </w:r>
      <w:r w:rsidR="000A3002">
        <w:t xml:space="preserve">Národnej rady Slovenskej republiky </w:t>
      </w:r>
      <w:r w:rsidR="000A3002" w:rsidRPr="002551D0">
        <w:t>č. 145/1995 Z. z. o správnych poplatkoch</w:t>
      </w:r>
      <w:r w:rsidR="000A3002" w:rsidRPr="00696780">
        <w:t xml:space="preserve"> </w:t>
      </w:r>
      <w:r w:rsidR="000A3002">
        <w:t>v znení neskorších predpisov</w:t>
      </w:r>
    </w:p>
    <w:p w:rsidR="00423C63" w:rsidRDefault="00423C63" w:rsidP="00696780">
      <w:pPr>
        <w:pStyle w:val="NormalWeb"/>
        <w:spacing w:before="120" w:beforeAutospacing="0" w:after="0" w:afterAutospacing="0" w:line="276" w:lineRule="auto"/>
        <w:jc w:val="both"/>
        <w:rPr>
          <w:b/>
          <w:bCs/>
          <w:color w:val="000000"/>
        </w:rPr>
      </w:pP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  <w:jc w:val="both"/>
      </w:pPr>
      <w:r w:rsidRPr="00696780">
        <w:rPr>
          <w:b/>
          <w:bCs/>
          <w:color w:val="000000"/>
        </w:rPr>
        <w:t>Termín začatia a ukončenia PPK:</w:t>
      </w:r>
      <w:r w:rsidRPr="00696780">
        <w:rPr>
          <w:color w:val="000000"/>
        </w:rPr>
        <w:t xml:space="preserve"> </w:t>
      </w:r>
      <w:r w:rsidRPr="00696780">
        <w:rPr>
          <w:i/>
          <w:iCs/>
          <w:color w:val="000000"/>
        </w:rPr>
        <w:t>bezpredmetné</w:t>
      </w: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  <w:jc w:val="both"/>
      </w:pP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  <w:jc w:val="both"/>
      </w:pPr>
      <w:r w:rsidRPr="00696780">
        <w:rPr>
          <w:b/>
          <w:bCs/>
          <w:color w:val="000000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192"/>
        <w:gridCol w:w="1181"/>
        <w:gridCol w:w="1196"/>
      </w:tblGrid>
      <w:tr w:rsidR="007C2704" w:rsidRPr="00696780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Negatívne </w:t>
            </w:r>
          </w:p>
        </w:tc>
      </w:tr>
      <w:tr w:rsidR="007C2704" w:rsidRPr="00696780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423C63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423C63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</w:tr>
      <w:tr w:rsidR="007C2704" w:rsidRPr="00696780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815EDB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</w:p>
        </w:tc>
      </w:tr>
      <w:tr w:rsidR="007C2704" w:rsidRPr="00696780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 </w:t>
            </w:r>
          </w:p>
        </w:tc>
      </w:tr>
      <w:tr w:rsidR="007C2704" w:rsidRPr="00696780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0A3002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</w:tr>
      <w:tr w:rsidR="007C2704" w:rsidRPr="00696780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</w:tr>
      <w:tr w:rsidR="007C2704" w:rsidRPr="00696780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</w:tr>
      <w:tr w:rsidR="007C2704" w:rsidRPr="00696780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</w:tr>
      <w:tr w:rsidR="007C2704" w:rsidRPr="00696780" w:rsidTr="00F737E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</w:pPr>
            <w:r w:rsidRPr="00696780">
              <w:rPr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9F4A5D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696780" w:rsidRDefault="007C2704" w:rsidP="00696780">
            <w:pPr>
              <w:pStyle w:val="NormalWeb"/>
              <w:spacing w:before="120" w:beforeAutospacing="0" w:after="0" w:afterAutospacing="0" w:line="276" w:lineRule="auto"/>
              <w:jc w:val="center"/>
            </w:pPr>
            <w:r w:rsidRPr="00696780">
              <w:rPr>
                <w:color w:val="000000"/>
              </w:rPr>
              <w:t> </w:t>
            </w:r>
          </w:p>
        </w:tc>
      </w:tr>
    </w:tbl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</w:pPr>
      <w:r w:rsidRPr="00696780">
        <w:rPr>
          <w:color w:val="000000"/>
        </w:rPr>
        <w:t> </w:t>
      </w: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  <w:jc w:val="both"/>
      </w:pPr>
      <w:r w:rsidRPr="00696780">
        <w:rPr>
          <w:b/>
          <w:bCs/>
          <w:color w:val="000000"/>
        </w:rPr>
        <w:t>A.3. Poznámky</w:t>
      </w:r>
    </w:p>
    <w:p w:rsidR="00815EDB" w:rsidRPr="000A3002" w:rsidRDefault="007C2704" w:rsidP="00696780">
      <w:pPr>
        <w:pStyle w:val="NormalWeb"/>
        <w:spacing w:before="120" w:beforeAutospacing="0" w:after="0" w:afterAutospacing="0" w:line="276" w:lineRule="auto"/>
        <w:jc w:val="both"/>
        <w:rPr>
          <w:bCs/>
          <w:i/>
          <w:color w:val="000000"/>
        </w:rPr>
      </w:pPr>
      <w:r w:rsidRPr="00815EDB">
        <w:rPr>
          <w:bCs/>
          <w:i/>
          <w:color w:val="000000"/>
        </w:rPr>
        <w:t xml:space="preserve">Predkladaný návrh zákona </w:t>
      </w:r>
      <w:r w:rsidR="00423C63">
        <w:rPr>
          <w:bCs/>
          <w:i/>
          <w:color w:val="000000"/>
        </w:rPr>
        <w:t xml:space="preserve">môže mať čiastkový negatívny dopad na rozpočet verejnej správy, ktorý bude dôsledkom zníženia terajšieho poplatku za žiadosť o nadobudnutie štátneho občianstva zo 700 eur na 400 eur, ale predpokladá sa skôr celkový pozitívny vplyv na rozpočet verejnej správy vyvolaný väčším záujmom Slovákov žijúcich v zahraničí o štátne občianstvo Slovenskej republiky, čo by malo prevýšiť čiastkové negatívne dopady vyvolané znížením sumy správneho poplatku. Tento vplyv nie je možné presne vyčísliť, keďže sa nedá presne odhadnúť počet žiadateľov v danom rozpočtovom roku vo vzťahu k navrhovanej právnej úprave. </w:t>
      </w:r>
      <w:r w:rsidR="00A974C7" w:rsidRPr="00A974C7">
        <w:rPr>
          <w:bCs/>
          <w:i/>
          <w:color w:val="000000"/>
        </w:rPr>
        <w:t xml:space="preserve">Podobne, </w:t>
      </w:r>
      <w:r w:rsidR="00A974C7" w:rsidRPr="00A974C7">
        <w:rPr>
          <w:i/>
        </w:rPr>
        <w:t>počet osôb bez štátnej príslušnosti, ktorým je ročne udelené štátne občianstvo SR je veľmi nízky (</w:t>
      </w:r>
      <w:r w:rsidR="00784BFC">
        <w:rPr>
          <w:i/>
        </w:rPr>
        <w:t xml:space="preserve">rok </w:t>
      </w:r>
      <w:r w:rsidR="00A974C7" w:rsidRPr="00A974C7">
        <w:rPr>
          <w:i/>
        </w:rPr>
        <w:t xml:space="preserve">2019 – 1, </w:t>
      </w:r>
      <w:r w:rsidR="00784BFC">
        <w:rPr>
          <w:i/>
        </w:rPr>
        <w:t xml:space="preserve">rok </w:t>
      </w:r>
      <w:r w:rsidR="00A974C7" w:rsidRPr="00A974C7">
        <w:rPr>
          <w:i/>
        </w:rPr>
        <w:t xml:space="preserve">2018 – 1, </w:t>
      </w:r>
      <w:r w:rsidR="00784BFC">
        <w:rPr>
          <w:i/>
        </w:rPr>
        <w:t xml:space="preserve">rok </w:t>
      </w:r>
      <w:r w:rsidR="00A974C7" w:rsidRPr="00A974C7">
        <w:rPr>
          <w:i/>
        </w:rPr>
        <w:t xml:space="preserve">2017 – 4, </w:t>
      </w:r>
      <w:r w:rsidR="00784BFC">
        <w:rPr>
          <w:i/>
        </w:rPr>
        <w:t xml:space="preserve">rok </w:t>
      </w:r>
      <w:r w:rsidR="00A974C7" w:rsidRPr="00A974C7">
        <w:rPr>
          <w:i/>
        </w:rPr>
        <w:t xml:space="preserve">2016 – 3, </w:t>
      </w:r>
      <w:r w:rsidR="00784BFC">
        <w:rPr>
          <w:i/>
        </w:rPr>
        <w:t xml:space="preserve">rok </w:t>
      </w:r>
      <w:r w:rsidR="00A974C7" w:rsidRPr="00A974C7">
        <w:rPr>
          <w:i/>
        </w:rPr>
        <w:t xml:space="preserve">2015 – 4, </w:t>
      </w:r>
      <w:r w:rsidR="00784BFC">
        <w:rPr>
          <w:i/>
        </w:rPr>
        <w:t xml:space="preserve">rok </w:t>
      </w:r>
      <w:r w:rsidR="00A974C7" w:rsidRPr="00A974C7">
        <w:rPr>
          <w:i/>
        </w:rPr>
        <w:t>2014 – 1), preto možno uviesť, že tento výpadok príjmu do štátneho rozpočtu, ktorý sa tiež nedá presne vyčísliť, bude zanedbateľného významu.</w:t>
      </w:r>
      <w:r w:rsidR="00A974C7">
        <w:t xml:space="preserve"> </w:t>
      </w:r>
      <w:r w:rsidR="000A3002">
        <w:rPr>
          <w:i/>
        </w:rPr>
        <w:t xml:space="preserve">Návrh zákona nemá dopad </w:t>
      </w:r>
      <w:r w:rsidR="00815EDB" w:rsidRPr="00815EDB">
        <w:rPr>
          <w:i/>
        </w:rPr>
        <w:t>na podnikateľské prostredie. Návrh zákona nemá vplyv na životné prostredie ani n</w:t>
      </w:r>
      <w:r w:rsidR="000A3002">
        <w:rPr>
          <w:i/>
        </w:rPr>
        <w:t xml:space="preserve">a informatizáciu spoločnosti. Návrh zákona však predpokladá pozitívne sociálne vplyvy, osobitne vplyvy na hospodárenie obyvateľstva, a to nielen kvôli zníženiu poplatkov v prospech </w:t>
      </w:r>
      <w:r w:rsidR="000A3002">
        <w:rPr>
          <w:i/>
        </w:rPr>
        <w:lastRenderedPageBreak/>
        <w:t xml:space="preserve">Slovákov žijúcich v zahraničí, ale tiež kvôli zníženiu </w:t>
      </w:r>
      <w:r w:rsidR="000A3002" w:rsidRPr="000A3002">
        <w:rPr>
          <w:i/>
        </w:rPr>
        <w:t>poplatkov za vyhotovenie viacjazyčného štandardného formulára pri matričných dokladoch a dokladoch o pobyte.</w:t>
      </w:r>
    </w:p>
    <w:p w:rsidR="00A974C7" w:rsidRDefault="00A974C7" w:rsidP="00696780">
      <w:pPr>
        <w:pStyle w:val="NormalWeb"/>
        <w:spacing w:before="120" w:beforeAutospacing="0" w:after="0" w:afterAutospacing="0" w:line="276" w:lineRule="auto"/>
        <w:jc w:val="both"/>
        <w:rPr>
          <w:b/>
          <w:bCs/>
          <w:color w:val="000000"/>
        </w:rPr>
      </w:pPr>
    </w:p>
    <w:p w:rsidR="007C2704" w:rsidRPr="00815EDB" w:rsidRDefault="007C2704" w:rsidP="00696780">
      <w:pPr>
        <w:pStyle w:val="NormalWeb"/>
        <w:spacing w:before="120" w:beforeAutospacing="0" w:after="0" w:afterAutospacing="0" w:line="276" w:lineRule="auto"/>
        <w:jc w:val="both"/>
        <w:rPr>
          <w:bCs/>
          <w:i/>
          <w:color w:val="000000"/>
        </w:rPr>
      </w:pPr>
      <w:r w:rsidRPr="00696780">
        <w:rPr>
          <w:b/>
          <w:bCs/>
          <w:color w:val="000000"/>
        </w:rPr>
        <w:t>A.4. Alternatívne riešenia</w:t>
      </w:r>
    </w:p>
    <w:p w:rsidR="007C2704" w:rsidRPr="000A3002" w:rsidRDefault="007C2704" w:rsidP="00696780">
      <w:pPr>
        <w:pStyle w:val="NormalWeb"/>
        <w:spacing w:before="120" w:beforeAutospacing="0" w:after="0" w:afterAutospacing="0" w:line="276" w:lineRule="auto"/>
        <w:jc w:val="both"/>
        <w:rPr>
          <w:i/>
          <w:iCs/>
          <w:color w:val="000000"/>
        </w:rPr>
      </w:pPr>
      <w:r w:rsidRPr="00696780">
        <w:rPr>
          <w:i/>
          <w:iCs/>
          <w:color w:val="000000"/>
        </w:rPr>
        <w:t>bezpredmetné</w:t>
      </w:r>
    </w:p>
    <w:p w:rsidR="00423C63" w:rsidRDefault="00423C63" w:rsidP="00696780">
      <w:pPr>
        <w:pStyle w:val="NormalWeb"/>
        <w:spacing w:before="120" w:beforeAutospacing="0" w:after="0" w:afterAutospacing="0" w:line="276" w:lineRule="auto"/>
        <w:jc w:val="both"/>
        <w:rPr>
          <w:b/>
          <w:bCs/>
          <w:color w:val="000000"/>
        </w:rPr>
      </w:pPr>
    </w:p>
    <w:p w:rsidR="007C2704" w:rsidRPr="00696780" w:rsidRDefault="007C2704" w:rsidP="00696780">
      <w:pPr>
        <w:pStyle w:val="NormalWeb"/>
        <w:spacing w:before="120" w:beforeAutospacing="0" w:after="0" w:afterAutospacing="0" w:line="276" w:lineRule="auto"/>
        <w:jc w:val="both"/>
      </w:pPr>
      <w:r w:rsidRPr="00696780">
        <w:rPr>
          <w:b/>
          <w:bCs/>
          <w:color w:val="000000"/>
        </w:rPr>
        <w:t>A.5. Stanovisko gestorov</w:t>
      </w:r>
    </w:p>
    <w:p w:rsidR="001B1849" w:rsidRPr="00815EDB" w:rsidRDefault="007C2704" w:rsidP="00815EDB">
      <w:pPr>
        <w:pStyle w:val="NormalWeb"/>
        <w:spacing w:before="120" w:beforeAutospacing="0" w:after="0" w:afterAutospacing="0" w:line="276" w:lineRule="auto"/>
        <w:jc w:val="both"/>
      </w:pPr>
      <w:r w:rsidRPr="00696780">
        <w:rPr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sectPr w:rsidR="001B1849" w:rsidRPr="00815EDB" w:rsidSect="00421A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0FD" w:rsidRDefault="00A770FD" w:rsidP="007810BE">
      <w:r>
        <w:separator/>
      </w:r>
    </w:p>
  </w:endnote>
  <w:endnote w:type="continuationSeparator" w:id="0">
    <w:p w:rsidR="00A770FD" w:rsidRDefault="00A770FD" w:rsidP="0078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20" w:rsidRDefault="00AA442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61BC2">
      <w:rPr>
        <w:noProof/>
      </w:rPr>
      <w:t>1</w:t>
    </w:r>
    <w:r>
      <w:fldChar w:fldCharType="end"/>
    </w:r>
  </w:p>
  <w:p w:rsidR="00AA4420" w:rsidRDefault="00AA44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0FD" w:rsidRDefault="00A770FD" w:rsidP="007810BE">
      <w:r>
        <w:separator/>
      </w:r>
    </w:p>
  </w:footnote>
  <w:footnote w:type="continuationSeparator" w:id="0">
    <w:p w:rsidR="00A770FD" w:rsidRDefault="00A770FD" w:rsidP="00781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2EB"/>
    <w:multiLevelType w:val="hybridMultilevel"/>
    <w:tmpl w:val="752CB8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113D1"/>
    <w:multiLevelType w:val="hybridMultilevel"/>
    <w:tmpl w:val="45D8BA8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4D7151"/>
    <w:multiLevelType w:val="hybridMultilevel"/>
    <w:tmpl w:val="8C1A3B50"/>
    <w:lvl w:ilvl="0" w:tplc="C16CCF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6CFB3903"/>
    <w:multiLevelType w:val="hybridMultilevel"/>
    <w:tmpl w:val="B62C5DD0"/>
    <w:lvl w:ilvl="0" w:tplc="720CA5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87ACD"/>
    <w:multiLevelType w:val="hybridMultilevel"/>
    <w:tmpl w:val="AA3680E4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849"/>
    <w:rsid w:val="00013790"/>
    <w:rsid w:val="000A3002"/>
    <w:rsid w:val="000D1A73"/>
    <w:rsid w:val="000D6E98"/>
    <w:rsid w:val="000E634B"/>
    <w:rsid w:val="000F6F50"/>
    <w:rsid w:val="001B1849"/>
    <w:rsid w:val="001F7749"/>
    <w:rsid w:val="0020696C"/>
    <w:rsid w:val="00270D5E"/>
    <w:rsid w:val="00276370"/>
    <w:rsid w:val="002B7167"/>
    <w:rsid w:val="002F3CE2"/>
    <w:rsid w:val="00311BBC"/>
    <w:rsid w:val="003C3147"/>
    <w:rsid w:val="00421A64"/>
    <w:rsid w:val="004221BC"/>
    <w:rsid w:val="00423C63"/>
    <w:rsid w:val="004264B2"/>
    <w:rsid w:val="00473E18"/>
    <w:rsid w:val="00474D57"/>
    <w:rsid w:val="00484751"/>
    <w:rsid w:val="004F07C9"/>
    <w:rsid w:val="00533875"/>
    <w:rsid w:val="00555548"/>
    <w:rsid w:val="005F0314"/>
    <w:rsid w:val="00635DDA"/>
    <w:rsid w:val="0063763F"/>
    <w:rsid w:val="00657D3A"/>
    <w:rsid w:val="00691A3C"/>
    <w:rsid w:val="00696780"/>
    <w:rsid w:val="00706F69"/>
    <w:rsid w:val="00766307"/>
    <w:rsid w:val="007810BE"/>
    <w:rsid w:val="00784BFC"/>
    <w:rsid w:val="007A049D"/>
    <w:rsid w:val="007B30CF"/>
    <w:rsid w:val="007C2704"/>
    <w:rsid w:val="00815EDB"/>
    <w:rsid w:val="008274C0"/>
    <w:rsid w:val="00837BF6"/>
    <w:rsid w:val="00840385"/>
    <w:rsid w:val="008949D7"/>
    <w:rsid w:val="008B275A"/>
    <w:rsid w:val="008B4FFE"/>
    <w:rsid w:val="008C40E0"/>
    <w:rsid w:val="00961BC2"/>
    <w:rsid w:val="00974559"/>
    <w:rsid w:val="00976220"/>
    <w:rsid w:val="009D5C96"/>
    <w:rsid w:val="009E4880"/>
    <w:rsid w:val="009F080A"/>
    <w:rsid w:val="009F4A5D"/>
    <w:rsid w:val="00A36B3B"/>
    <w:rsid w:val="00A403B6"/>
    <w:rsid w:val="00A60270"/>
    <w:rsid w:val="00A726BA"/>
    <w:rsid w:val="00A7396D"/>
    <w:rsid w:val="00A770FD"/>
    <w:rsid w:val="00A8027F"/>
    <w:rsid w:val="00A974C7"/>
    <w:rsid w:val="00AA4420"/>
    <w:rsid w:val="00AC79CE"/>
    <w:rsid w:val="00AF4DFD"/>
    <w:rsid w:val="00AF7C1A"/>
    <w:rsid w:val="00B00A04"/>
    <w:rsid w:val="00B1662B"/>
    <w:rsid w:val="00B32675"/>
    <w:rsid w:val="00B909E7"/>
    <w:rsid w:val="00B92E78"/>
    <w:rsid w:val="00BA27A0"/>
    <w:rsid w:val="00BC1F08"/>
    <w:rsid w:val="00BC24DA"/>
    <w:rsid w:val="00BD4528"/>
    <w:rsid w:val="00BE1D75"/>
    <w:rsid w:val="00C91346"/>
    <w:rsid w:val="00C926F5"/>
    <w:rsid w:val="00D34483"/>
    <w:rsid w:val="00D41A81"/>
    <w:rsid w:val="00D83D94"/>
    <w:rsid w:val="00D852B1"/>
    <w:rsid w:val="00DF0FA5"/>
    <w:rsid w:val="00DF1D35"/>
    <w:rsid w:val="00E0387A"/>
    <w:rsid w:val="00E06317"/>
    <w:rsid w:val="00E157DD"/>
    <w:rsid w:val="00E17C58"/>
    <w:rsid w:val="00E76B0A"/>
    <w:rsid w:val="00E96CD8"/>
    <w:rsid w:val="00F03989"/>
    <w:rsid w:val="00F12F0E"/>
    <w:rsid w:val="00F51036"/>
    <w:rsid w:val="00F737EC"/>
    <w:rsid w:val="00F8338B"/>
    <w:rsid w:val="00F84932"/>
    <w:rsid w:val="00FA6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4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184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1849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B1849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10B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10B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FootnoteReference">
    <w:name w:val="footnote reference"/>
    <w:uiPriority w:val="99"/>
    <w:semiHidden/>
    <w:unhideWhenUsed/>
    <w:rsid w:val="007810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A442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A442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442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A442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D34483"/>
    <w:rPr>
      <w:color w:val="0000FF"/>
      <w:u w:val="single"/>
    </w:rPr>
  </w:style>
  <w:style w:type="character" w:customStyle="1" w:styleId="ablnaChar">
    <w:name w:val="Šablóna Char"/>
    <w:link w:val="ablna"/>
    <w:locked/>
    <w:rsid w:val="00473E18"/>
    <w:rPr>
      <w:sz w:val="24"/>
      <w:szCs w:val="24"/>
      <w:lang w:eastAsia="ar-SA"/>
    </w:rPr>
  </w:style>
  <w:style w:type="paragraph" w:customStyle="1" w:styleId="ablna">
    <w:name w:val="Šablóna"/>
    <w:basedOn w:val="Normal"/>
    <w:link w:val="ablnaChar"/>
    <w:qFormat/>
    <w:rsid w:val="00473E18"/>
    <w:pPr>
      <w:tabs>
        <w:tab w:val="left" w:pos="2880"/>
        <w:tab w:val="left" w:pos="5040"/>
        <w:tab w:val="left" w:pos="7380"/>
      </w:tabs>
      <w:suppressAutoHyphens/>
    </w:pPr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D2D8D-4D0C-4963-BB08-35ECEF4C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1534</Words>
  <Characters>8744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Janči</cp:lastModifiedBy>
  <cp:revision>2</cp:revision>
  <dcterms:created xsi:type="dcterms:W3CDTF">2020-08-27T22:29:00Z</dcterms:created>
  <dcterms:modified xsi:type="dcterms:W3CDTF">2020-08-27T22:29:00Z</dcterms:modified>
</cp:coreProperties>
</file>