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970" w:rsidRPr="009915D3" w:rsidRDefault="00F45D51" w:rsidP="00A915BD">
      <w:pPr>
        <w:spacing w:after="120" w:line="276" w:lineRule="auto"/>
        <w:jc w:val="center"/>
        <w:rPr>
          <w:color w:val="000000"/>
          <w:lang w:eastAsia="sk-SK"/>
        </w:rPr>
      </w:pPr>
      <w:r w:rsidRPr="009915D3">
        <w:rPr>
          <w:b/>
        </w:rPr>
        <w:t>Dôvodová správa</w:t>
      </w:r>
    </w:p>
    <w:p w:rsidR="00F12CD2" w:rsidRPr="009915D3" w:rsidRDefault="00F12CD2" w:rsidP="00A915BD">
      <w:pPr>
        <w:spacing w:after="120" w:line="276" w:lineRule="auto"/>
        <w:jc w:val="both"/>
        <w:rPr>
          <w:b/>
        </w:rPr>
      </w:pPr>
      <w:r w:rsidRPr="009915D3">
        <w:rPr>
          <w:b/>
        </w:rPr>
        <w:t xml:space="preserve">Všeobecná časť </w:t>
      </w:r>
    </w:p>
    <w:p w:rsidR="00372C15" w:rsidRPr="009915D3" w:rsidRDefault="00372C15" w:rsidP="00A915BD">
      <w:pPr>
        <w:spacing w:after="120" w:line="276" w:lineRule="auto"/>
        <w:jc w:val="both"/>
        <w:rPr>
          <w:lang w:eastAsia="sk-SK"/>
        </w:rPr>
      </w:pPr>
    </w:p>
    <w:p w:rsidR="0036716C" w:rsidRPr="009915D3" w:rsidRDefault="000C1A5C" w:rsidP="00A915BD">
      <w:pPr>
        <w:spacing w:after="120" w:line="276" w:lineRule="auto"/>
        <w:jc w:val="both"/>
        <w:rPr>
          <w:lang w:eastAsia="sk-SK"/>
        </w:rPr>
      </w:pPr>
      <w:r w:rsidRPr="009915D3">
        <w:rPr>
          <w:lang w:eastAsia="sk-SK"/>
        </w:rPr>
        <w:tab/>
        <w:t xml:space="preserve">Základnými právnymi aktmi Európskej únie, ktoré upravujú </w:t>
      </w:r>
      <w:r w:rsidR="0036716C" w:rsidRPr="009915D3">
        <w:rPr>
          <w:lang w:eastAsia="sk-SK"/>
        </w:rPr>
        <w:t>riešenie krízových situácií bánk</w:t>
      </w:r>
      <w:r w:rsidRPr="009915D3">
        <w:rPr>
          <w:lang w:eastAsia="sk-SK"/>
        </w:rPr>
        <w:t xml:space="preserve">, </w:t>
      </w:r>
      <w:r w:rsidR="0036716C" w:rsidRPr="009915D3">
        <w:rPr>
          <w:lang w:eastAsia="sk-SK"/>
        </w:rPr>
        <w:t xml:space="preserve">resp. </w:t>
      </w:r>
      <w:r w:rsidR="0036716C" w:rsidRPr="009915D3">
        <w:t xml:space="preserve">rámec pre riešenie krízových situácií bánk na účinné riadenie bankových kríz a zníženie ich negatívneho vplyvu na finančnú stabilitu a verejné financie, </w:t>
      </w:r>
      <w:r w:rsidR="0036716C" w:rsidRPr="009915D3">
        <w:rPr>
          <w:lang w:eastAsia="sk-SK"/>
        </w:rPr>
        <w:t xml:space="preserve">boli doteraz </w:t>
      </w:r>
      <w:r w:rsidR="0022522A">
        <w:rPr>
          <w:lang w:eastAsia="sk-SK"/>
        </w:rPr>
        <w:t>s</w:t>
      </w:r>
      <w:r w:rsidR="0022522A" w:rsidRPr="009915D3">
        <w:rPr>
          <w:lang w:eastAsia="sk-SK"/>
        </w:rPr>
        <w:t xml:space="preserve">mernica </w:t>
      </w:r>
      <w:r w:rsidR="0036716C" w:rsidRPr="009915D3">
        <w:rPr>
          <w:lang w:eastAsia="sk-SK"/>
        </w:rPr>
        <w:t xml:space="preserve">Európskeho parlamentu a Rady </w:t>
      </w:r>
      <w:r w:rsidR="0036716C" w:rsidRPr="009915D3">
        <w:t xml:space="preserve">2014/59/EÚ </w:t>
      </w:r>
      <w:r w:rsidR="005D6083" w:rsidRPr="009915D3">
        <w:t xml:space="preserve">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(Ú. v. EÚ L 173, 12.6.2014) v platnom znení </w:t>
      </w:r>
      <w:r w:rsidR="0036716C" w:rsidRPr="009915D3">
        <w:t>(</w:t>
      </w:r>
      <w:r w:rsidR="006210E3" w:rsidRPr="009915D3">
        <w:rPr>
          <w:color w:val="000000"/>
          <w:lang w:eastAsia="sk-SK"/>
        </w:rPr>
        <w:t>ďalej</w:t>
      </w:r>
      <w:r w:rsidR="006210E3" w:rsidRPr="009915D3">
        <w:rPr>
          <w:color w:val="000000"/>
          <w:spacing w:val="101"/>
          <w:lang w:eastAsia="sk-SK"/>
        </w:rPr>
        <w:t xml:space="preserve"> </w:t>
      </w:r>
      <w:r w:rsidR="006210E3" w:rsidRPr="009915D3">
        <w:rPr>
          <w:color w:val="000000"/>
          <w:lang w:eastAsia="sk-SK"/>
        </w:rPr>
        <w:t>len</w:t>
      </w:r>
      <w:r w:rsidR="006210E3" w:rsidRPr="009915D3">
        <w:t xml:space="preserve"> „</w:t>
      </w:r>
      <w:r w:rsidR="0036716C" w:rsidRPr="009915D3">
        <w:t>BRRD</w:t>
      </w:r>
      <w:r w:rsidR="006210E3" w:rsidRPr="009915D3">
        <w:t>“</w:t>
      </w:r>
      <w:r w:rsidR="0036716C" w:rsidRPr="009915D3">
        <w:t xml:space="preserve">) a </w:t>
      </w:r>
      <w:r w:rsidR="0022522A">
        <w:t>n</w:t>
      </w:r>
      <w:r w:rsidR="0022522A" w:rsidRPr="009915D3">
        <w:t xml:space="preserve">ariadenie </w:t>
      </w:r>
      <w:r w:rsidR="005D6083" w:rsidRPr="009915D3">
        <w:t xml:space="preserve">Európskeho parlamentu a Rady </w:t>
      </w:r>
      <w:r w:rsidR="0036716C" w:rsidRPr="009915D3">
        <w:t>(EÚ) č. 806/2014</w:t>
      </w:r>
      <w:r w:rsidR="005D6083" w:rsidRPr="009915D3">
        <w:t>, ktorým sa stanovujú jednotné pravidlá a jednotný postup riešenia krízových situácií úverových inštitúcií a určitých investičných spoločností v rámci jednotného mechanizmu riešenia krízových situácií a jednotného fondu na riešenie krízových situácií a ktorým sa mení nariadenie (EÚ) č. 1093/2010 (Ú. v. EÚ L 225, 30.7.2014)</w:t>
      </w:r>
      <w:r w:rsidR="0036716C" w:rsidRPr="009915D3">
        <w:t>.</w:t>
      </w:r>
    </w:p>
    <w:p w:rsidR="0036716C" w:rsidRPr="009915D3" w:rsidRDefault="0036716C" w:rsidP="00A915BD">
      <w:pPr>
        <w:spacing w:after="120" w:line="276" w:lineRule="auto"/>
        <w:ind w:firstLine="708"/>
        <w:jc w:val="both"/>
      </w:pPr>
      <w:r w:rsidRPr="009915D3">
        <w:t xml:space="preserve">Tieto opatrenia boli prijaté ako reakcia na finančnú krízu, ktorá vypukla v rokoch 2007 – 2008. Neexistencia vhodných rámcov na riadenie a riešenie krízových situácií vlády po celom svete donútila v dôsledku finančnej krízy zachraňovať banky. Následný vplyv na verejné financie, ako aj nežiaduci stimul socializácie nákladov zlyhania bánk zdôraznil, že je nevyhnutný iný prístup k riadeniu bankových kríz a ochrane finančnej stability. </w:t>
      </w:r>
      <w:r w:rsidR="00843951" w:rsidRPr="009915D3">
        <w:t>Základom</w:t>
      </w:r>
      <w:r w:rsidRPr="009915D3">
        <w:t xml:space="preserve"> nového rámca pre riešenie krízových situácií je „nástroj záchrany pomocou vnútorných zdrojov“, ktorý pozostáva z odpísania dlhu alebo konverzie dlhových pohľadávok alebo iných záväzkov na vlastný kapitál podľa vopred stanovenej hierarchie</w:t>
      </w:r>
      <w:r w:rsidR="00843951" w:rsidRPr="009915D3">
        <w:t xml:space="preserve"> veriteľov</w:t>
      </w:r>
      <w:r w:rsidRPr="009915D3">
        <w:t>. Tento nástroj možno použiť na absorbovanie strát a vnútornú rekapitalizáciu inštitúcie, ktorá zlyháva alebo pravdepodobne zlyhá, s cieľom obnoviť jej životaschopnosť. Namiesto daňovníkov budú preto musieť niesť záťaž zlyhania inštitúcie akcionári a iní veritelia.</w:t>
      </w:r>
    </w:p>
    <w:p w:rsidR="000C1A5C" w:rsidRPr="009915D3" w:rsidRDefault="000C1A5C" w:rsidP="00A915BD">
      <w:pPr>
        <w:spacing w:after="120" w:line="276" w:lineRule="auto"/>
        <w:jc w:val="both"/>
        <w:rPr>
          <w:lang w:eastAsia="sk-SK"/>
        </w:rPr>
      </w:pPr>
      <w:r w:rsidRPr="009915D3">
        <w:rPr>
          <w:spacing w:val="24"/>
          <w:lang w:eastAsia="sk-SK"/>
        </w:rPr>
        <w:tab/>
      </w:r>
      <w:r w:rsidRPr="009915D3">
        <w:rPr>
          <w:lang w:eastAsia="sk-SK"/>
        </w:rPr>
        <w:t>Smernica</w:t>
      </w:r>
      <w:r w:rsidRPr="009915D3">
        <w:rPr>
          <w:spacing w:val="24"/>
          <w:lang w:eastAsia="sk-SK"/>
        </w:rPr>
        <w:t xml:space="preserve"> </w:t>
      </w:r>
      <w:r w:rsidR="0036716C" w:rsidRPr="009915D3">
        <w:rPr>
          <w:lang w:eastAsia="sk-SK"/>
        </w:rPr>
        <w:t>BRRD</w:t>
      </w:r>
      <w:r w:rsidR="00DE0552" w:rsidRPr="009915D3">
        <w:rPr>
          <w:lang w:eastAsia="sk-SK"/>
        </w:rPr>
        <w:t xml:space="preserve"> </w:t>
      </w:r>
      <w:r w:rsidR="0036716C" w:rsidRPr="009915D3">
        <w:rPr>
          <w:lang w:eastAsia="sk-SK"/>
        </w:rPr>
        <w:t>bola implementovaná do zákona</w:t>
      </w:r>
      <w:r w:rsidR="0036716C" w:rsidRPr="009915D3">
        <w:rPr>
          <w:spacing w:val="24"/>
          <w:lang w:eastAsia="sk-SK"/>
        </w:rPr>
        <w:t xml:space="preserve"> </w:t>
      </w:r>
      <w:r w:rsidR="0036716C" w:rsidRPr="009915D3">
        <w:rPr>
          <w:lang w:eastAsia="sk-SK"/>
        </w:rPr>
        <w:t>č.</w:t>
      </w:r>
      <w:r w:rsidR="0036716C" w:rsidRPr="009915D3">
        <w:rPr>
          <w:spacing w:val="24"/>
          <w:lang w:eastAsia="sk-SK"/>
        </w:rPr>
        <w:t> </w:t>
      </w:r>
      <w:r w:rsidR="0036716C" w:rsidRPr="009915D3">
        <w:rPr>
          <w:lang w:eastAsia="sk-SK"/>
        </w:rPr>
        <w:t>371/2014</w:t>
      </w:r>
      <w:r w:rsidR="0036716C" w:rsidRPr="009915D3">
        <w:rPr>
          <w:spacing w:val="24"/>
          <w:lang w:eastAsia="sk-SK"/>
        </w:rPr>
        <w:t xml:space="preserve"> </w:t>
      </w:r>
      <w:r w:rsidR="0036716C" w:rsidRPr="009915D3">
        <w:rPr>
          <w:lang w:eastAsia="sk-SK"/>
        </w:rPr>
        <w:t>Z.</w:t>
      </w:r>
      <w:r w:rsidR="0036716C" w:rsidRPr="009915D3">
        <w:rPr>
          <w:spacing w:val="24"/>
          <w:lang w:eastAsia="sk-SK"/>
        </w:rPr>
        <w:t xml:space="preserve"> </w:t>
      </w:r>
      <w:r w:rsidR="0036716C" w:rsidRPr="009915D3">
        <w:rPr>
          <w:lang w:eastAsia="sk-SK"/>
        </w:rPr>
        <w:t>z.</w:t>
      </w:r>
      <w:r w:rsidR="0036716C" w:rsidRPr="009915D3">
        <w:rPr>
          <w:spacing w:val="24"/>
          <w:lang w:eastAsia="sk-SK"/>
        </w:rPr>
        <w:t xml:space="preserve"> </w:t>
      </w:r>
      <w:r w:rsidR="0036716C" w:rsidRPr="009915D3">
        <w:rPr>
          <w:lang w:eastAsia="sk-SK"/>
        </w:rPr>
        <w:t>o riešení krízových situácií na finančnom trhu a o zmene a doplnení niektorých</w:t>
      </w:r>
      <w:r w:rsidR="0036716C" w:rsidRPr="009915D3">
        <w:rPr>
          <w:spacing w:val="1"/>
          <w:lang w:eastAsia="sk-SK"/>
        </w:rPr>
        <w:t xml:space="preserve"> </w:t>
      </w:r>
      <w:r w:rsidR="0036716C" w:rsidRPr="009915D3">
        <w:rPr>
          <w:lang w:eastAsia="sk-SK"/>
        </w:rPr>
        <w:t>zákonov</w:t>
      </w:r>
      <w:r w:rsidR="0036716C" w:rsidRPr="009915D3">
        <w:rPr>
          <w:spacing w:val="1"/>
          <w:lang w:eastAsia="sk-SK"/>
        </w:rPr>
        <w:t xml:space="preserve"> </w:t>
      </w:r>
      <w:r w:rsidR="0036716C" w:rsidRPr="009915D3">
        <w:rPr>
          <w:lang w:eastAsia="sk-SK"/>
        </w:rPr>
        <w:t>v znení neskorších</w:t>
      </w:r>
      <w:r w:rsidR="0036716C" w:rsidRPr="009915D3">
        <w:rPr>
          <w:spacing w:val="1"/>
          <w:lang w:eastAsia="sk-SK"/>
        </w:rPr>
        <w:t xml:space="preserve"> </w:t>
      </w:r>
      <w:r w:rsidR="0036716C" w:rsidRPr="009915D3">
        <w:rPr>
          <w:lang w:eastAsia="sk-SK"/>
        </w:rPr>
        <w:t>predpisov</w:t>
      </w:r>
      <w:r w:rsidR="000A497F" w:rsidRPr="009915D3">
        <w:rPr>
          <w:lang w:eastAsia="sk-SK"/>
        </w:rPr>
        <w:t xml:space="preserve">, </w:t>
      </w:r>
      <w:r w:rsidRPr="009915D3">
        <w:rPr>
          <w:lang w:eastAsia="sk-SK"/>
        </w:rPr>
        <w:t>do zákona</w:t>
      </w:r>
      <w:r w:rsidRPr="009915D3">
        <w:rPr>
          <w:spacing w:val="24"/>
          <w:lang w:eastAsia="sk-SK"/>
        </w:rPr>
        <w:t xml:space="preserve"> </w:t>
      </w:r>
      <w:r w:rsidRPr="009915D3">
        <w:rPr>
          <w:lang w:eastAsia="sk-SK"/>
        </w:rPr>
        <w:t>č.</w:t>
      </w:r>
      <w:r w:rsidRPr="009915D3">
        <w:rPr>
          <w:spacing w:val="24"/>
          <w:lang w:eastAsia="sk-SK"/>
        </w:rPr>
        <w:t> </w:t>
      </w:r>
      <w:r w:rsidRPr="009915D3">
        <w:rPr>
          <w:lang w:eastAsia="sk-SK"/>
        </w:rPr>
        <w:t>483/2001</w:t>
      </w:r>
      <w:r w:rsidRPr="009915D3">
        <w:rPr>
          <w:spacing w:val="24"/>
          <w:lang w:eastAsia="sk-SK"/>
        </w:rPr>
        <w:t xml:space="preserve"> </w:t>
      </w:r>
      <w:r w:rsidRPr="009915D3">
        <w:rPr>
          <w:lang w:eastAsia="sk-SK"/>
        </w:rPr>
        <w:t>Z.</w:t>
      </w:r>
      <w:r w:rsidRPr="009915D3">
        <w:rPr>
          <w:spacing w:val="24"/>
          <w:lang w:eastAsia="sk-SK"/>
        </w:rPr>
        <w:t xml:space="preserve"> </w:t>
      </w:r>
      <w:r w:rsidRPr="009915D3">
        <w:rPr>
          <w:lang w:eastAsia="sk-SK"/>
        </w:rPr>
        <w:t>z.</w:t>
      </w:r>
      <w:r w:rsidRPr="009915D3">
        <w:rPr>
          <w:spacing w:val="24"/>
          <w:lang w:eastAsia="sk-SK"/>
        </w:rPr>
        <w:t xml:space="preserve"> </w:t>
      </w:r>
      <w:r w:rsidRPr="009915D3">
        <w:rPr>
          <w:lang w:eastAsia="sk-SK"/>
        </w:rPr>
        <w:t>o</w:t>
      </w:r>
      <w:r w:rsidRPr="009915D3">
        <w:rPr>
          <w:spacing w:val="24"/>
          <w:lang w:eastAsia="sk-SK"/>
        </w:rPr>
        <w:t> </w:t>
      </w:r>
      <w:r w:rsidRPr="009915D3">
        <w:rPr>
          <w:lang w:eastAsia="sk-SK"/>
        </w:rPr>
        <w:t>bankách a o zmene a doplnení niektorých</w:t>
      </w:r>
      <w:r w:rsidRPr="009915D3">
        <w:rPr>
          <w:spacing w:val="1"/>
          <w:lang w:eastAsia="sk-SK"/>
        </w:rPr>
        <w:t xml:space="preserve"> </w:t>
      </w:r>
      <w:r w:rsidRPr="009915D3">
        <w:rPr>
          <w:lang w:eastAsia="sk-SK"/>
        </w:rPr>
        <w:t>zákonov</w:t>
      </w:r>
      <w:r w:rsidRPr="009915D3">
        <w:rPr>
          <w:spacing w:val="1"/>
          <w:lang w:eastAsia="sk-SK"/>
        </w:rPr>
        <w:t xml:space="preserve"> </w:t>
      </w:r>
      <w:r w:rsidRPr="009915D3">
        <w:rPr>
          <w:lang w:eastAsia="sk-SK"/>
        </w:rPr>
        <w:t>v znení neskorších</w:t>
      </w:r>
      <w:r w:rsidRPr="009915D3">
        <w:rPr>
          <w:spacing w:val="1"/>
          <w:lang w:eastAsia="sk-SK"/>
        </w:rPr>
        <w:t xml:space="preserve"> </w:t>
      </w:r>
      <w:r w:rsidRPr="009915D3">
        <w:rPr>
          <w:lang w:eastAsia="sk-SK"/>
        </w:rPr>
        <w:t>predpisov</w:t>
      </w:r>
      <w:r w:rsidR="00843951" w:rsidRPr="009915D3">
        <w:rPr>
          <w:lang w:eastAsia="sk-SK"/>
        </w:rPr>
        <w:t>,</w:t>
      </w:r>
      <w:r w:rsidRPr="009915D3">
        <w:rPr>
          <w:spacing w:val="1"/>
          <w:lang w:eastAsia="sk-SK"/>
        </w:rPr>
        <w:t xml:space="preserve"> </w:t>
      </w:r>
      <w:r w:rsidRPr="009915D3">
        <w:rPr>
          <w:lang w:eastAsia="sk-SK"/>
        </w:rPr>
        <w:t>do zákona</w:t>
      </w:r>
      <w:r w:rsidRPr="009915D3">
        <w:rPr>
          <w:spacing w:val="1"/>
          <w:lang w:eastAsia="sk-SK"/>
        </w:rPr>
        <w:t xml:space="preserve"> </w:t>
      </w:r>
      <w:r w:rsidRPr="009915D3">
        <w:rPr>
          <w:lang w:eastAsia="sk-SK"/>
        </w:rPr>
        <w:t>č. 566/2001</w:t>
      </w:r>
      <w:r w:rsidRPr="009915D3">
        <w:rPr>
          <w:spacing w:val="51"/>
          <w:lang w:eastAsia="sk-SK"/>
        </w:rPr>
        <w:t xml:space="preserve"> </w:t>
      </w:r>
      <w:r w:rsidRPr="009915D3">
        <w:rPr>
          <w:lang w:eastAsia="sk-SK"/>
        </w:rPr>
        <w:t>Z.</w:t>
      </w:r>
      <w:r w:rsidRPr="009915D3">
        <w:rPr>
          <w:spacing w:val="51"/>
          <w:lang w:eastAsia="sk-SK"/>
        </w:rPr>
        <w:t xml:space="preserve"> </w:t>
      </w:r>
      <w:r w:rsidRPr="009915D3">
        <w:rPr>
          <w:lang w:eastAsia="sk-SK"/>
        </w:rPr>
        <w:t>z.</w:t>
      </w:r>
      <w:r w:rsidRPr="009915D3">
        <w:rPr>
          <w:spacing w:val="51"/>
          <w:lang w:eastAsia="sk-SK"/>
        </w:rPr>
        <w:t xml:space="preserve"> </w:t>
      </w:r>
      <w:r w:rsidRPr="009915D3">
        <w:rPr>
          <w:lang w:eastAsia="sk-SK"/>
        </w:rPr>
        <w:t>o</w:t>
      </w:r>
      <w:r w:rsidRPr="009915D3">
        <w:rPr>
          <w:spacing w:val="51"/>
          <w:lang w:eastAsia="sk-SK"/>
        </w:rPr>
        <w:t> </w:t>
      </w:r>
      <w:r w:rsidRPr="009915D3">
        <w:rPr>
          <w:lang w:eastAsia="sk-SK"/>
        </w:rPr>
        <w:t>cenných papieroch</w:t>
      </w:r>
      <w:r w:rsidRPr="009915D3">
        <w:rPr>
          <w:spacing w:val="51"/>
          <w:lang w:eastAsia="sk-SK"/>
        </w:rPr>
        <w:t xml:space="preserve"> </w:t>
      </w:r>
      <w:r w:rsidRPr="009915D3">
        <w:rPr>
          <w:lang w:eastAsia="sk-SK"/>
        </w:rPr>
        <w:t>a investičných službách</w:t>
      </w:r>
      <w:r w:rsidRPr="009915D3">
        <w:rPr>
          <w:spacing w:val="51"/>
          <w:lang w:eastAsia="sk-SK"/>
        </w:rPr>
        <w:t xml:space="preserve"> </w:t>
      </w:r>
      <w:r w:rsidRPr="009915D3">
        <w:rPr>
          <w:lang w:eastAsia="sk-SK"/>
        </w:rPr>
        <w:t>a</w:t>
      </w:r>
      <w:r w:rsidRPr="009915D3">
        <w:rPr>
          <w:spacing w:val="51"/>
          <w:lang w:eastAsia="sk-SK"/>
        </w:rPr>
        <w:t> </w:t>
      </w:r>
      <w:r w:rsidRPr="009915D3">
        <w:rPr>
          <w:lang w:eastAsia="sk-SK"/>
        </w:rPr>
        <w:t>o zmene a</w:t>
      </w:r>
      <w:r w:rsidRPr="009915D3">
        <w:rPr>
          <w:spacing w:val="51"/>
          <w:lang w:eastAsia="sk-SK"/>
        </w:rPr>
        <w:t> </w:t>
      </w:r>
      <w:r w:rsidRPr="009915D3">
        <w:rPr>
          <w:lang w:eastAsia="sk-SK"/>
        </w:rPr>
        <w:t>doplnení niektorých zákonov</w:t>
      </w:r>
      <w:r w:rsidRPr="009915D3">
        <w:rPr>
          <w:spacing w:val="94"/>
          <w:lang w:eastAsia="sk-SK"/>
        </w:rPr>
        <w:t xml:space="preserve"> </w:t>
      </w:r>
      <w:r w:rsidRPr="009915D3">
        <w:rPr>
          <w:lang w:eastAsia="sk-SK"/>
        </w:rPr>
        <w:t>v</w:t>
      </w:r>
      <w:r w:rsidRPr="009915D3">
        <w:rPr>
          <w:spacing w:val="94"/>
          <w:lang w:eastAsia="sk-SK"/>
        </w:rPr>
        <w:t> </w:t>
      </w:r>
      <w:r w:rsidRPr="009915D3">
        <w:rPr>
          <w:lang w:eastAsia="sk-SK"/>
        </w:rPr>
        <w:t>znení neskorších</w:t>
      </w:r>
      <w:r w:rsidRPr="009915D3">
        <w:rPr>
          <w:spacing w:val="94"/>
          <w:lang w:eastAsia="sk-SK"/>
        </w:rPr>
        <w:t xml:space="preserve"> </w:t>
      </w:r>
      <w:r w:rsidRPr="009915D3">
        <w:rPr>
          <w:lang w:eastAsia="sk-SK"/>
        </w:rPr>
        <w:t>predpisov</w:t>
      </w:r>
      <w:r w:rsidR="00843951" w:rsidRPr="009915D3">
        <w:rPr>
          <w:lang w:eastAsia="sk-SK"/>
        </w:rPr>
        <w:t>, do zákona Národnej rady Slovenskej republiky č. 118/1996 Z. z</w:t>
      </w:r>
      <w:r w:rsidRPr="009915D3">
        <w:rPr>
          <w:lang w:eastAsia="sk-SK"/>
        </w:rPr>
        <w:t>.</w:t>
      </w:r>
      <w:r w:rsidR="00843951" w:rsidRPr="009915D3">
        <w:rPr>
          <w:lang w:eastAsia="sk-SK"/>
        </w:rPr>
        <w:t xml:space="preserve"> o ochrane vkladov a o zmene a doplnení niektorých zákonov v znení neskorších prepisov, do zákona č. 747/2004 Z. z. o dohľade nad finančným trhom a o zmene a doplnení niektorých zákonov v znení neskorších prepisov a do zákona č. 7/</w:t>
      </w:r>
      <w:r w:rsidR="00BE4D32" w:rsidRPr="009915D3">
        <w:rPr>
          <w:lang w:eastAsia="sk-SK"/>
        </w:rPr>
        <w:t>200</w:t>
      </w:r>
      <w:r w:rsidR="00BE4D32">
        <w:rPr>
          <w:lang w:eastAsia="sk-SK"/>
        </w:rPr>
        <w:t>5</w:t>
      </w:r>
      <w:r w:rsidR="00BE4D32" w:rsidRPr="009915D3">
        <w:rPr>
          <w:lang w:eastAsia="sk-SK"/>
        </w:rPr>
        <w:t xml:space="preserve"> </w:t>
      </w:r>
      <w:r w:rsidR="00843951" w:rsidRPr="009915D3">
        <w:rPr>
          <w:lang w:eastAsia="sk-SK"/>
        </w:rPr>
        <w:t>Z. z. o konkurze a reštrukturalizácii a  o zmene a doplnení niektorých zákonov v znení neskorších prepisov.</w:t>
      </w:r>
    </w:p>
    <w:p w:rsidR="000C1A5C" w:rsidRPr="009915D3" w:rsidRDefault="000C1A5C" w:rsidP="00A915BD">
      <w:pPr>
        <w:spacing w:after="120" w:line="276" w:lineRule="auto"/>
        <w:jc w:val="both"/>
        <w:rPr>
          <w:color w:val="000000"/>
          <w:lang w:eastAsia="sk-SK"/>
        </w:rPr>
      </w:pPr>
      <w:r w:rsidRPr="009915D3">
        <w:rPr>
          <w:color w:val="000000"/>
          <w:lang w:eastAsia="sk-SK"/>
        </w:rPr>
        <w:tab/>
        <w:t>V nadväznosti na vyhodnotenie jednotlivých súčastí regulácie zo strany Bazilejského výboru pre bankový dohľad, ako aj zo strany európskych orgánov sa pristúpilo k ďalšej revízii regulatórneho rámca</w:t>
      </w:r>
      <w:r w:rsidR="002C09AB" w:rsidRPr="009915D3">
        <w:rPr>
          <w:color w:val="000000"/>
          <w:lang w:eastAsia="sk-SK"/>
        </w:rPr>
        <w:t xml:space="preserve">. Európska komisia predložila v roku 2016 rozsiahly balík legislatívnych </w:t>
      </w:r>
      <w:r w:rsidR="002C09AB" w:rsidRPr="009915D3">
        <w:rPr>
          <w:color w:val="000000"/>
          <w:lang w:eastAsia="sk-SK"/>
        </w:rPr>
        <w:lastRenderedPageBreak/>
        <w:t xml:space="preserve">návrhov </w:t>
      </w:r>
      <w:r w:rsidR="00843951" w:rsidRPr="009915D3">
        <w:rPr>
          <w:color w:val="000000"/>
          <w:lang w:eastAsia="sk-SK"/>
        </w:rPr>
        <w:t xml:space="preserve">zameraných na </w:t>
      </w:r>
      <w:r w:rsidR="002C09AB" w:rsidRPr="009915D3">
        <w:rPr>
          <w:color w:val="000000"/>
          <w:lang w:eastAsia="sk-SK"/>
        </w:rPr>
        <w:t xml:space="preserve">znižovanie rizík v bankovom sektore (tzv. Risk Reduction Package), ktorý do značnej miery vychádza z pravidiel v revidovanom štandarde Basel III. </w:t>
      </w:r>
    </w:p>
    <w:p w:rsidR="000A497F" w:rsidRPr="009915D3" w:rsidRDefault="00DE0552" w:rsidP="00A915BD">
      <w:pPr>
        <w:spacing w:line="276" w:lineRule="auto"/>
        <w:jc w:val="both"/>
      </w:pPr>
      <w:r w:rsidRPr="009915D3">
        <w:rPr>
          <w:color w:val="000000"/>
          <w:lang w:eastAsia="sk-SK"/>
        </w:rPr>
        <w:tab/>
        <w:t xml:space="preserve">Revízia </w:t>
      </w:r>
      <w:r w:rsidR="000A497F" w:rsidRPr="009915D3">
        <w:rPr>
          <w:color w:val="000000"/>
          <w:lang w:eastAsia="sk-SK"/>
        </w:rPr>
        <w:t>BRRD</w:t>
      </w:r>
      <w:r w:rsidRPr="009915D3">
        <w:rPr>
          <w:color w:val="000000"/>
          <w:lang w:eastAsia="sk-SK"/>
        </w:rPr>
        <w:t> sa uskutočnil</w:t>
      </w:r>
      <w:r w:rsidR="000A497F" w:rsidRPr="009915D3">
        <w:rPr>
          <w:color w:val="000000"/>
          <w:lang w:eastAsia="sk-SK"/>
        </w:rPr>
        <w:t>a</w:t>
      </w:r>
      <w:r w:rsidRPr="009915D3">
        <w:rPr>
          <w:color w:val="000000"/>
          <w:lang w:eastAsia="sk-SK"/>
        </w:rPr>
        <w:t xml:space="preserve"> prijatím</w:t>
      </w:r>
      <w:r w:rsidR="006C6608" w:rsidRPr="009915D3">
        <w:rPr>
          <w:color w:val="000000"/>
          <w:lang w:eastAsia="sk-SK"/>
        </w:rPr>
        <w:t xml:space="preserve"> </w:t>
      </w:r>
      <w:r w:rsidR="00E10E19" w:rsidRPr="009915D3">
        <w:t>smernic</w:t>
      </w:r>
      <w:r w:rsidR="00A81854" w:rsidRPr="009915D3">
        <w:t>e</w:t>
      </w:r>
      <w:r w:rsidR="00E10E19" w:rsidRPr="009915D3">
        <w:t xml:space="preserve"> Európskeho parlamentu a Rady (EÚ) 2019/879 </w:t>
      </w:r>
      <w:r w:rsidR="000A497F" w:rsidRPr="009915D3">
        <w:t>z 20. mája 2019, ktorou sa mení smernica 2014/59/EÚ, pokiaľ ide o kapacitu úverových inštitúcií a investičných spoločností na absorpciu strát a rekapitalizáciu, a smernica 98/26/ES</w:t>
      </w:r>
      <w:r w:rsidR="00A81854" w:rsidRPr="009915D3">
        <w:t xml:space="preserve"> (Ú. v. L 150, 7.6.2019)</w:t>
      </w:r>
      <w:r w:rsidR="006C6608" w:rsidRPr="009915D3">
        <w:t xml:space="preserve"> (ďalej len smernica „BRRD 2“)</w:t>
      </w:r>
      <w:r w:rsidR="000A497F" w:rsidRPr="009915D3">
        <w:t>,</w:t>
      </w:r>
    </w:p>
    <w:p w:rsidR="000A497F" w:rsidRPr="009915D3" w:rsidRDefault="000A497F" w:rsidP="00A915BD">
      <w:pPr>
        <w:pStyle w:val="Odsekzoznamu"/>
        <w:spacing w:line="276" w:lineRule="auto"/>
      </w:pPr>
    </w:p>
    <w:p w:rsidR="00DE0552" w:rsidRPr="009915D3" w:rsidRDefault="00DE0552" w:rsidP="00A915BD">
      <w:pPr>
        <w:spacing w:after="120" w:line="276" w:lineRule="auto"/>
        <w:jc w:val="both"/>
        <w:rPr>
          <w:color w:val="000000"/>
          <w:lang w:eastAsia="sk-SK"/>
        </w:rPr>
      </w:pPr>
      <w:r w:rsidRPr="009915D3">
        <w:rPr>
          <w:color w:val="000000"/>
          <w:lang w:eastAsia="sk-SK"/>
        </w:rPr>
        <w:tab/>
        <w:t>Návrh</w:t>
      </w:r>
      <w:r w:rsidRPr="009915D3">
        <w:rPr>
          <w:color w:val="000000"/>
          <w:spacing w:val="32"/>
          <w:lang w:eastAsia="sk-SK"/>
        </w:rPr>
        <w:t xml:space="preserve"> </w:t>
      </w:r>
      <w:r w:rsidRPr="009915D3">
        <w:rPr>
          <w:color w:val="000000"/>
          <w:lang w:eastAsia="sk-SK"/>
        </w:rPr>
        <w:t>zákona,</w:t>
      </w:r>
      <w:r w:rsidRPr="009915D3">
        <w:rPr>
          <w:color w:val="000000"/>
          <w:spacing w:val="32"/>
          <w:lang w:eastAsia="sk-SK"/>
        </w:rPr>
        <w:t xml:space="preserve"> </w:t>
      </w:r>
      <w:r w:rsidRPr="009915D3">
        <w:rPr>
          <w:color w:val="000000"/>
          <w:lang w:eastAsia="sk-SK"/>
        </w:rPr>
        <w:t>ktorým</w:t>
      </w:r>
      <w:r w:rsidRPr="009915D3">
        <w:rPr>
          <w:color w:val="000000"/>
          <w:spacing w:val="32"/>
          <w:lang w:eastAsia="sk-SK"/>
        </w:rPr>
        <w:t xml:space="preserve"> </w:t>
      </w:r>
      <w:r w:rsidRPr="009915D3">
        <w:rPr>
          <w:color w:val="000000"/>
          <w:lang w:eastAsia="sk-SK"/>
        </w:rPr>
        <w:t>sa</w:t>
      </w:r>
      <w:r w:rsidRPr="009915D3">
        <w:rPr>
          <w:color w:val="000000"/>
          <w:spacing w:val="32"/>
          <w:lang w:eastAsia="sk-SK"/>
        </w:rPr>
        <w:t xml:space="preserve"> </w:t>
      </w:r>
      <w:r w:rsidRPr="009915D3">
        <w:rPr>
          <w:color w:val="000000"/>
          <w:lang w:eastAsia="sk-SK"/>
        </w:rPr>
        <w:t>mení</w:t>
      </w:r>
      <w:r w:rsidRPr="009915D3">
        <w:rPr>
          <w:color w:val="000000"/>
          <w:spacing w:val="32"/>
          <w:lang w:eastAsia="sk-SK"/>
        </w:rPr>
        <w:t xml:space="preserve"> </w:t>
      </w:r>
      <w:r w:rsidRPr="009915D3">
        <w:rPr>
          <w:color w:val="000000"/>
          <w:lang w:eastAsia="sk-SK"/>
        </w:rPr>
        <w:t>a</w:t>
      </w:r>
      <w:r w:rsidRPr="009915D3">
        <w:rPr>
          <w:color w:val="000000"/>
          <w:spacing w:val="32"/>
          <w:lang w:eastAsia="sk-SK"/>
        </w:rPr>
        <w:t xml:space="preserve"> </w:t>
      </w:r>
      <w:r w:rsidRPr="009915D3">
        <w:rPr>
          <w:color w:val="000000"/>
          <w:lang w:eastAsia="sk-SK"/>
        </w:rPr>
        <w:t>dopĺňa</w:t>
      </w:r>
      <w:r w:rsidRPr="009915D3">
        <w:rPr>
          <w:color w:val="000000"/>
          <w:spacing w:val="32"/>
          <w:lang w:eastAsia="sk-SK"/>
        </w:rPr>
        <w:t xml:space="preserve"> </w:t>
      </w:r>
      <w:r w:rsidRPr="009915D3">
        <w:rPr>
          <w:color w:val="000000"/>
          <w:lang w:eastAsia="sk-SK"/>
        </w:rPr>
        <w:t>zákon</w:t>
      </w:r>
      <w:r w:rsidRPr="009915D3">
        <w:rPr>
          <w:color w:val="000000"/>
          <w:spacing w:val="32"/>
          <w:lang w:eastAsia="sk-SK"/>
        </w:rPr>
        <w:t xml:space="preserve"> </w:t>
      </w:r>
      <w:r w:rsidRPr="009915D3">
        <w:rPr>
          <w:color w:val="000000"/>
          <w:lang w:eastAsia="sk-SK"/>
        </w:rPr>
        <w:t>č.</w:t>
      </w:r>
      <w:r w:rsidRPr="009915D3">
        <w:rPr>
          <w:color w:val="000000"/>
          <w:spacing w:val="32"/>
          <w:lang w:eastAsia="sk-SK"/>
        </w:rPr>
        <w:t xml:space="preserve"> </w:t>
      </w:r>
      <w:r w:rsidR="000A497F" w:rsidRPr="009915D3">
        <w:rPr>
          <w:color w:val="000000"/>
          <w:lang w:eastAsia="sk-SK"/>
        </w:rPr>
        <w:t>371</w:t>
      </w:r>
      <w:r w:rsidRPr="009915D3">
        <w:rPr>
          <w:color w:val="000000"/>
          <w:lang w:eastAsia="sk-SK"/>
        </w:rPr>
        <w:t>/20</w:t>
      </w:r>
      <w:r w:rsidR="000A497F" w:rsidRPr="009915D3">
        <w:rPr>
          <w:color w:val="000000"/>
          <w:lang w:eastAsia="sk-SK"/>
        </w:rPr>
        <w:t>14</w:t>
      </w:r>
      <w:r w:rsidRPr="009915D3">
        <w:rPr>
          <w:color w:val="000000"/>
          <w:spacing w:val="32"/>
          <w:lang w:eastAsia="sk-SK"/>
        </w:rPr>
        <w:t xml:space="preserve"> </w:t>
      </w:r>
      <w:r w:rsidRPr="009915D3">
        <w:rPr>
          <w:color w:val="000000"/>
          <w:lang w:eastAsia="sk-SK"/>
        </w:rPr>
        <w:t>Z.</w:t>
      </w:r>
      <w:r w:rsidRPr="009915D3">
        <w:rPr>
          <w:color w:val="000000"/>
          <w:spacing w:val="32"/>
          <w:lang w:eastAsia="sk-SK"/>
        </w:rPr>
        <w:t xml:space="preserve"> </w:t>
      </w:r>
      <w:r w:rsidRPr="009915D3">
        <w:rPr>
          <w:color w:val="000000"/>
          <w:lang w:eastAsia="sk-SK"/>
        </w:rPr>
        <w:t>z.</w:t>
      </w:r>
      <w:r w:rsidRPr="009915D3">
        <w:rPr>
          <w:color w:val="000000"/>
          <w:spacing w:val="32"/>
          <w:lang w:eastAsia="sk-SK"/>
        </w:rPr>
        <w:t xml:space="preserve"> </w:t>
      </w:r>
      <w:r w:rsidRPr="009915D3">
        <w:rPr>
          <w:color w:val="000000"/>
          <w:lang w:eastAsia="sk-SK"/>
        </w:rPr>
        <w:t>o</w:t>
      </w:r>
      <w:r w:rsidR="000A497F" w:rsidRPr="009915D3">
        <w:rPr>
          <w:color w:val="000000"/>
          <w:spacing w:val="32"/>
          <w:lang w:eastAsia="sk-SK"/>
        </w:rPr>
        <w:t> </w:t>
      </w:r>
      <w:r w:rsidR="000A497F" w:rsidRPr="009915D3">
        <w:rPr>
          <w:color w:val="000000"/>
          <w:lang w:eastAsia="sk-SK"/>
        </w:rPr>
        <w:t>riešení krízových situácií na finančnom trhu</w:t>
      </w:r>
      <w:r w:rsidRPr="009915D3">
        <w:rPr>
          <w:color w:val="000000"/>
          <w:lang w:eastAsia="sk-SK"/>
        </w:rPr>
        <w:t xml:space="preserve"> a</w:t>
      </w:r>
      <w:r w:rsidRPr="009915D3">
        <w:rPr>
          <w:color w:val="000000"/>
          <w:spacing w:val="32"/>
          <w:lang w:eastAsia="sk-SK"/>
        </w:rPr>
        <w:t> </w:t>
      </w:r>
      <w:r w:rsidRPr="009915D3">
        <w:rPr>
          <w:color w:val="000000"/>
          <w:lang w:eastAsia="sk-SK"/>
        </w:rPr>
        <w:t>o zmene a doplnení niektorých</w:t>
      </w:r>
      <w:r w:rsidRPr="009915D3">
        <w:rPr>
          <w:color w:val="000000"/>
          <w:spacing w:val="19"/>
          <w:lang w:eastAsia="sk-SK"/>
        </w:rPr>
        <w:t xml:space="preserve"> </w:t>
      </w:r>
      <w:r w:rsidRPr="009915D3">
        <w:rPr>
          <w:color w:val="000000"/>
          <w:lang w:eastAsia="sk-SK"/>
        </w:rPr>
        <w:t>zákonov</w:t>
      </w:r>
      <w:r w:rsidRPr="009915D3">
        <w:rPr>
          <w:color w:val="000000"/>
          <w:spacing w:val="19"/>
          <w:lang w:eastAsia="sk-SK"/>
        </w:rPr>
        <w:t xml:space="preserve"> </w:t>
      </w:r>
      <w:r w:rsidRPr="009915D3">
        <w:rPr>
          <w:color w:val="000000"/>
          <w:lang w:eastAsia="sk-SK"/>
        </w:rPr>
        <w:t>v</w:t>
      </w:r>
      <w:r w:rsidRPr="009915D3">
        <w:rPr>
          <w:color w:val="000000"/>
          <w:spacing w:val="19"/>
          <w:lang w:eastAsia="sk-SK"/>
        </w:rPr>
        <w:t> </w:t>
      </w:r>
      <w:r w:rsidRPr="009915D3">
        <w:rPr>
          <w:color w:val="000000"/>
          <w:lang w:eastAsia="sk-SK"/>
        </w:rPr>
        <w:t>znení neskorších</w:t>
      </w:r>
      <w:r w:rsidRPr="009915D3">
        <w:rPr>
          <w:color w:val="000000"/>
          <w:spacing w:val="19"/>
          <w:lang w:eastAsia="sk-SK"/>
        </w:rPr>
        <w:t xml:space="preserve"> </w:t>
      </w:r>
      <w:r w:rsidRPr="009915D3">
        <w:rPr>
          <w:color w:val="000000"/>
          <w:lang w:eastAsia="sk-SK"/>
        </w:rPr>
        <w:t>predpisov</w:t>
      </w:r>
      <w:r w:rsidRPr="009915D3">
        <w:rPr>
          <w:color w:val="000000"/>
          <w:spacing w:val="19"/>
          <w:lang w:eastAsia="sk-SK"/>
        </w:rPr>
        <w:t xml:space="preserve"> </w:t>
      </w:r>
      <w:r w:rsidRPr="009915D3">
        <w:rPr>
          <w:color w:val="000000"/>
          <w:lang w:eastAsia="sk-SK"/>
        </w:rPr>
        <w:t>a</w:t>
      </w:r>
      <w:r w:rsidRPr="009915D3">
        <w:rPr>
          <w:color w:val="000000"/>
          <w:spacing w:val="19"/>
          <w:lang w:eastAsia="sk-SK"/>
        </w:rPr>
        <w:t> </w:t>
      </w:r>
      <w:r w:rsidRPr="009915D3">
        <w:rPr>
          <w:color w:val="000000"/>
          <w:lang w:eastAsia="sk-SK"/>
        </w:rPr>
        <w:t>ktorým sa</w:t>
      </w:r>
      <w:r w:rsidR="007D3237">
        <w:rPr>
          <w:color w:val="000000"/>
          <w:lang w:eastAsia="sk-SK"/>
        </w:rPr>
        <w:t xml:space="preserve"> mení a</w:t>
      </w:r>
      <w:r w:rsidRPr="009915D3">
        <w:rPr>
          <w:color w:val="000000"/>
          <w:spacing w:val="19"/>
          <w:lang w:eastAsia="sk-SK"/>
        </w:rPr>
        <w:t xml:space="preserve"> </w:t>
      </w:r>
      <w:r w:rsidRPr="009915D3">
        <w:rPr>
          <w:color w:val="000000"/>
          <w:lang w:eastAsia="sk-SK"/>
        </w:rPr>
        <w:t>dopĺňa zákon</w:t>
      </w:r>
      <w:r w:rsidR="006210E3" w:rsidRPr="009915D3">
        <w:rPr>
          <w:color w:val="000000"/>
          <w:lang w:eastAsia="sk-SK"/>
        </w:rPr>
        <w:t xml:space="preserve"> č. </w:t>
      </w:r>
      <w:r w:rsidR="006210E3" w:rsidRPr="009915D3">
        <w:rPr>
          <w:lang w:eastAsia="sk-SK"/>
        </w:rPr>
        <w:t>7/</w:t>
      </w:r>
      <w:r w:rsidR="007D3237" w:rsidRPr="009915D3">
        <w:rPr>
          <w:lang w:eastAsia="sk-SK"/>
        </w:rPr>
        <w:t>200</w:t>
      </w:r>
      <w:r w:rsidR="007D3237">
        <w:rPr>
          <w:lang w:eastAsia="sk-SK"/>
        </w:rPr>
        <w:t>5</w:t>
      </w:r>
      <w:r w:rsidR="007D3237" w:rsidRPr="009915D3">
        <w:rPr>
          <w:lang w:eastAsia="sk-SK"/>
        </w:rPr>
        <w:t xml:space="preserve"> </w:t>
      </w:r>
      <w:r w:rsidR="006210E3" w:rsidRPr="009915D3">
        <w:rPr>
          <w:lang w:eastAsia="sk-SK"/>
        </w:rPr>
        <w:t>Z. z. o konkurze a reštrukturalizácii a  o zmene a doplnení niektorých zákonov v znení neskorších prepisov</w:t>
      </w:r>
      <w:r w:rsidRPr="009915D3">
        <w:rPr>
          <w:color w:val="000000"/>
          <w:spacing w:val="101"/>
          <w:lang w:eastAsia="sk-SK"/>
        </w:rPr>
        <w:t xml:space="preserve"> </w:t>
      </w:r>
      <w:r w:rsidRPr="009915D3">
        <w:rPr>
          <w:color w:val="000000"/>
          <w:lang w:eastAsia="sk-SK"/>
        </w:rPr>
        <w:t>(ďalej</w:t>
      </w:r>
      <w:r w:rsidRPr="009915D3">
        <w:rPr>
          <w:color w:val="000000"/>
          <w:spacing w:val="101"/>
          <w:lang w:eastAsia="sk-SK"/>
        </w:rPr>
        <w:t xml:space="preserve"> </w:t>
      </w:r>
      <w:r w:rsidRPr="009915D3">
        <w:rPr>
          <w:color w:val="000000"/>
          <w:lang w:eastAsia="sk-SK"/>
        </w:rPr>
        <w:t>len</w:t>
      </w:r>
      <w:r w:rsidRPr="009915D3">
        <w:rPr>
          <w:color w:val="000000"/>
          <w:spacing w:val="101"/>
          <w:lang w:eastAsia="sk-SK"/>
        </w:rPr>
        <w:t xml:space="preserve"> </w:t>
      </w:r>
      <w:r w:rsidRPr="009915D3">
        <w:rPr>
          <w:color w:val="000000"/>
          <w:lang w:eastAsia="sk-SK"/>
        </w:rPr>
        <w:t>„návrh</w:t>
      </w:r>
      <w:r w:rsidRPr="009915D3">
        <w:rPr>
          <w:color w:val="000000"/>
          <w:spacing w:val="101"/>
          <w:lang w:eastAsia="sk-SK"/>
        </w:rPr>
        <w:t xml:space="preserve"> </w:t>
      </w:r>
      <w:r w:rsidRPr="009915D3">
        <w:rPr>
          <w:color w:val="000000"/>
          <w:lang w:eastAsia="sk-SK"/>
        </w:rPr>
        <w:t>zákona“)</w:t>
      </w:r>
      <w:r w:rsidRPr="009915D3">
        <w:rPr>
          <w:color w:val="000000"/>
          <w:spacing w:val="101"/>
          <w:lang w:eastAsia="sk-SK"/>
        </w:rPr>
        <w:t xml:space="preserve"> </w:t>
      </w:r>
      <w:r w:rsidRPr="009915D3">
        <w:rPr>
          <w:color w:val="000000"/>
          <w:lang w:eastAsia="sk-SK"/>
        </w:rPr>
        <w:t>vypracovalo</w:t>
      </w:r>
      <w:r w:rsidRPr="009915D3">
        <w:rPr>
          <w:color w:val="000000"/>
          <w:spacing w:val="101"/>
          <w:lang w:eastAsia="sk-SK"/>
        </w:rPr>
        <w:t xml:space="preserve"> </w:t>
      </w:r>
      <w:r w:rsidRPr="009915D3">
        <w:rPr>
          <w:color w:val="000000"/>
          <w:lang w:eastAsia="sk-SK"/>
        </w:rPr>
        <w:t>Ministerstvo</w:t>
      </w:r>
      <w:r w:rsidRPr="009915D3">
        <w:rPr>
          <w:color w:val="000000"/>
          <w:spacing w:val="101"/>
          <w:lang w:eastAsia="sk-SK"/>
        </w:rPr>
        <w:t xml:space="preserve"> </w:t>
      </w:r>
      <w:r w:rsidRPr="009915D3">
        <w:rPr>
          <w:color w:val="000000"/>
          <w:lang w:eastAsia="sk-SK"/>
        </w:rPr>
        <w:t>financií</w:t>
      </w:r>
      <w:r w:rsidRPr="009915D3">
        <w:rPr>
          <w:color w:val="000000"/>
          <w:spacing w:val="101"/>
          <w:lang w:eastAsia="sk-SK"/>
        </w:rPr>
        <w:t xml:space="preserve"> </w:t>
      </w:r>
      <w:r w:rsidRPr="009915D3">
        <w:rPr>
          <w:color w:val="000000"/>
          <w:lang w:eastAsia="sk-SK"/>
        </w:rPr>
        <w:t>Slovenskej</w:t>
      </w:r>
      <w:r w:rsidRPr="009915D3">
        <w:rPr>
          <w:color w:val="000000"/>
          <w:spacing w:val="101"/>
          <w:lang w:eastAsia="sk-SK"/>
        </w:rPr>
        <w:t xml:space="preserve"> </w:t>
      </w:r>
      <w:r w:rsidRPr="009915D3">
        <w:rPr>
          <w:color w:val="000000"/>
          <w:lang w:eastAsia="sk-SK"/>
        </w:rPr>
        <w:t>republiky</w:t>
      </w:r>
      <w:r w:rsidR="000A497F" w:rsidRPr="009915D3">
        <w:rPr>
          <w:color w:val="000000"/>
          <w:lang w:eastAsia="sk-SK"/>
        </w:rPr>
        <w:t xml:space="preserve"> v spolupráci s Národnou bankou Slovenska</w:t>
      </w:r>
      <w:r w:rsidR="004F08EB" w:rsidRPr="009915D3">
        <w:rPr>
          <w:color w:val="000000"/>
          <w:lang w:eastAsia="sk-SK"/>
        </w:rPr>
        <w:t>.</w:t>
      </w:r>
      <w:r w:rsidRPr="009915D3">
        <w:rPr>
          <w:color w:val="000000"/>
          <w:lang w:eastAsia="sk-SK"/>
        </w:rPr>
        <w:t xml:space="preserve"> </w:t>
      </w:r>
    </w:p>
    <w:p w:rsidR="002B391C" w:rsidRPr="009915D3" w:rsidRDefault="00DE0552" w:rsidP="00A915BD">
      <w:pPr>
        <w:spacing w:after="120" w:line="276" w:lineRule="auto"/>
        <w:jc w:val="both"/>
      </w:pPr>
      <w:r w:rsidRPr="009915D3">
        <w:rPr>
          <w:lang w:eastAsia="sk-SK"/>
        </w:rPr>
        <w:tab/>
        <w:t xml:space="preserve">Návrh zákona sa teda predkladá z dôvodu povinnosti </w:t>
      </w:r>
      <w:r w:rsidR="006C6608" w:rsidRPr="009915D3">
        <w:rPr>
          <w:lang w:eastAsia="sk-SK"/>
        </w:rPr>
        <w:t>prebrať</w:t>
      </w:r>
      <w:r w:rsidRPr="009915D3">
        <w:rPr>
          <w:spacing w:val="104"/>
          <w:lang w:eastAsia="sk-SK"/>
        </w:rPr>
        <w:t xml:space="preserve"> </w:t>
      </w:r>
      <w:r w:rsidRPr="009915D3">
        <w:t xml:space="preserve">smernicu </w:t>
      </w:r>
      <w:r w:rsidR="000A497F" w:rsidRPr="009915D3">
        <w:t>BRRD</w:t>
      </w:r>
      <w:r w:rsidR="006C6608" w:rsidRPr="009915D3">
        <w:t> </w:t>
      </w:r>
      <w:r w:rsidR="000A497F" w:rsidRPr="009915D3">
        <w:t>2</w:t>
      </w:r>
      <w:r w:rsidRPr="009915D3">
        <w:t xml:space="preserve"> do slovenského právneho poriadku</w:t>
      </w:r>
      <w:r w:rsidR="00513F58" w:rsidRPr="009915D3">
        <w:t xml:space="preserve"> </w:t>
      </w:r>
      <w:r w:rsidRPr="009915D3">
        <w:t xml:space="preserve">s cieľom </w:t>
      </w:r>
      <w:r w:rsidR="00FC4F6C" w:rsidRPr="009915D3">
        <w:t xml:space="preserve">znižovania rizík v bankovom sektore, </w:t>
      </w:r>
      <w:r w:rsidRPr="009915D3">
        <w:t>posil</w:t>
      </w:r>
      <w:r w:rsidR="00FC4F6C" w:rsidRPr="009915D3">
        <w:t>ňovania</w:t>
      </w:r>
      <w:r w:rsidRPr="009915D3">
        <w:t xml:space="preserve"> odolnos</w:t>
      </w:r>
      <w:r w:rsidR="00FC4F6C" w:rsidRPr="009915D3">
        <w:t>ti</w:t>
      </w:r>
      <w:r w:rsidRPr="009915D3">
        <w:t xml:space="preserve"> regulovaných subjektov voči prípadným ekonomickým otrasom a tým prispievať k upevneniu </w:t>
      </w:r>
      <w:r w:rsidR="006C6608" w:rsidRPr="009915D3">
        <w:t xml:space="preserve">stability </w:t>
      </w:r>
      <w:r w:rsidRPr="009915D3">
        <w:t xml:space="preserve">finančného systému. </w:t>
      </w:r>
      <w:r w:rsidR="00FC4F6C" w:rsidRPr="009915D3">
        <w:tab/>
      </w:r>
    </w:p>
    <w:p w:rsidR="000A497F" w:rsidRPr="009915D3" w:rsidRDefault="00FC4F6C" w:rsidP="00A915BD">
      <w:pPr>
        <w:spacing w:line="276" w:lineRule="auto"/>
        <w:ind w:firstLine="708"/>
        <w:jc w:val="both"/>
      </w:pPr>
      <w:bookmarkStart w:id="0" w:name="_Hlk42503185"/>
      <w:r w:rsidRPr="009915D3">
        <w:t>Medzi najdôležitejšie zmeny, ktoré zavádza návrh zákona, patria:</w:t>
      </w:r>
      <w:bookmarkEnd w:id="0"/>
    </w:p>
    <w:p w:rsidR="002B391C" w:rsidRPr="009915D3" w:rsidRDefault="000A497F" w:rsidP="00A915BD">
      <w:pPr>
        <w:pStyle w:val="Odsekzoznamu"/>
        <w:numPr>
          <w:ilvl w:val="0"/>
          <w:numId w:val="11"/>
        </w:numPr>
        <w:spacing w:line="276" w:lineRule="auto"/>
        <w:ind w:left="709"/>
        <w:jc w:val="both"/>
        <w:rPr>
          <w:color w:val="000000"/>
          <w:lang w:eastAsia="sk-SK"/>
        </w:rPr>
      </w:pPr>
      <w:r w:rsidRPr="009915D3">
        <w:rPr>
          <w:u w:val="single"/>
        </w:rPr>
        <w:t>Zmeny zabezpečujúce rovnaké podmienky</w:t>
      </w:r>
      <w:r w:rsidRPr="009915D3">
        <w:t xml:space="preserve"> </w:t>
      </w:r>
      <w:r w:rsidR="002B391C" w:rsidRPr="009915D3">
        <w:t xml:space="preserve">– zabezpečenie rovnakých podmienok </w:t>
      </w:r>
      <w:r w:rsidRPr="009915D3">
        <w:t>pre inštitúcie a subjekty us</w:t>
      </w:r>
      <w:r w:rsidR="00471E28" w:rsidRPr="009915D3">
        <w:t>a</w:t>
      </w:r>
      <w:r w:rsidRPr="009915D3">
        <w:t>dené v Európskej únii</w:t>
      </w:r>
      <w:r w:rsidR="00CA4547" w:rsidRPr="009915D3">
        <w:t xml:space="preserve"> </w:t>
      </w:r>
      <w:r w:rsidRPr="009915D3">
        <w:t xml:space="preserve">a na globálnej úrovni </w:t>
      </w:r>
      <w:r w:rsidR="002B391C" w:rsidRPr="009915D3">
        <w:t>v oblasti</w:t>
      </w:r>
      <w:r w:rsidRPr="009915D3">
        <w:t xml:space="preserve"> kritéri</w:t>
      </w:r>
      <w:r w:rsidR="002B391C" w:rsidRPr="009915D3">
        <w:t>í</w:t>
      </w:r>
      <w:r w:rsidRPr="009915D3">
        <w:t xml:space="preserve"> oprávnenosti pre záväzky použiteľné pri záchrane pomocou vnútorných zdrojov stanovenými </w:t>
      </w:r>
      <w:r w:rsidR="00CA4547" w:rsidRPr="009915D3">
        <w:t>v</w:t>
      </w:r>
      <w:r w:rsidRPr="009915D3">
        <w:t xml:space="preserve"> TLAC (normy týkajúce sa hlavných prvkov celkovej kapacity na absorpciu </w:t>
      </w:r>
      <w:r w:rsidR="00B43846" w:rsidRPr="009915D3">
        <w:t>strát a rekapitalizáciu pre g</w:t>
      </w:r>
      <w:r w:rsidRPr="009915D3">
        <w:t>lobálne systémovo významn</w:t>
      </w:r>
      <w:r w:rsidR="00B43846" w:rsidRPr="009915D3">
        <w:t>é</w:t>
      </w:r>
      <w:r w:rsidRPr="009915D3">
        <w:t xml:space="preserve"> inštitúci</w:t>
      </w:r>
      <w:r w:rsidR="00B43846" w:rsidRPr="009915D3">
        <w:t>e</w:t>
      </w:r>
      <w:r w:rsidRPr="009915D3">
        <w:t>)</w:t>
      </w:r>
      <w:r w:rsidR="00CA4547" w:rsidRPr="009915D3">
        <w:t xml:space="preserve"> s požiadavkami pre minimálnu </w:t>
      </w:r>
      <w:r w:rsidR="00B43846" w:rsidRPr="009915D3">
        <w:t>požiadavku</w:t>
      </w:r>
      <w:r w:rsidR="00CA4547" w:rsidRPr="009915D3">
        <w:t xml:space="preserve"> n</w:t>
      </w:r>
      <w:r w:rsidR="00B43846" w:rsidRPr="009915D3">
        <w:t>a</w:t>
      </w:r>
      <w:r w:rsidR="00CA4547" w:rsidRPr="009915D3">
        <w:t xml:space="preserve"> </w:t>
      </w:r>
      <w:r w:rsidR="00B43846" w:rsidRPr="009915D3">
        <w:t>vlastne</w:t>
      </w:r>
      <w:r w:rsidR="00CA4547" w:rsidRPr="009915D3">
        <w:t xml:space="preserve"> </w:t>
      </w:r>
      <w:r w:rsidR="00B43846" w:rsidRPr="009915D3">
        <w:t>zdroje</w:t>
      </w:r>
      <w:r w:rsidR="00CA4547" w:rsidRPr="009915D3">
        <w:t xml:space="preserve"> a oprávnené záväzky (</w:t>
      </w:r>
      <w:r w:rsidR="00B43846" w:rsidRPr="009915D3">
        <w:t>ď</w:t>
      </w:r>
      <w:r w:rsidR="00CA4547" w:rsidRPr="009915D3">
        <w:t>alej l</w:t>
      </w:r>
      <w:r w:rsidR="00B43846" w:rsidRPr="009915D3">
        <w:t>e</w:t>
      </w:r>
      <w:r w:rsidR="00CA4547" w:rsidRPr="009915D3">
        <w:t>n „MREL“)</w:t>
      </w:r>
      <w:r w:rsidRPr="009915D3">
        <w:t>. Navrhovanými zmenami sa uvedie do lepšieho súladu súčasný regulačný rámec s medzinárodným vývojom, aby sa podporila konzistentnosť a porovnateľnosť s jednotlivými jurisdikciami.</w:t>
      </w:r>
      <w:r w:rsidR="00A42E9C" w:rsidRPr="009915D3">
        <w:t xml:space="preserve"> </w:t>
      </w:r>
      <w:r w:rsidRPr="009915D3">
        <w:rPr>
          <w:color w:val="000000"/>
          <w:lang w:eastAsia="sk-SK"/>
        </w:rPr>
        <w:t>Žiadnym podriadením dlhových nástrojov vyžadovaných Radou pre riešenie krízových situácií v prípade MREL by nemala byť dotknutá možnosť čiastočne spĺňať minimálnu požiadavku na TLAC nepodriadenými dlhovými nástrojmi v súlade s nariadením (EÚ) č. 575/2013</w:t>
      </w:r>
      <w:r w:rsidR="00B43846" w:rsidRPr="009915D3">
        <w:rPr>
          <w:color w:val="000000"/>
          <w:lang w:eastAsia="sk-SK"/>
        </w:rPr>
        <w:t xml:space="preserve"> v platnom znení</w:t>
      </w:r>
      <w:r w:rsidRPr="009915D3">
        <w:rPr>
          <w:color w:val="000000"/>
          <w:lang w:eastAsia="sk-SK"/>
        </w:rPr>
        <w:t xml:space="preserve">, ako je povolené normou TLAC. Pre </w:t>
      </w:r>
      <w:r w:rsidR="00B43846" w:rsidRPr="009915D3">
        <w:rPr>
          <w:color w:val="000000"/>
          <w:lang w:eastAsia="sk-SK"/>
        </w:rPr>
        <w:t xml:space="preserve">rezolučné </w:t>
      </w:r>
      <w:r w:rsidRPr="009915D3">
        <w:rPr>
          <w:color w:val="000000"/>
          <w:lang w:eastAsia="sk-SK"/>
        </w:rPr>
        <w:t xml:space="preserve">subjekty, </w:t>
      </w:r>
      <w:r w:rsidR="00B43846" w:rsidRPr="009915D3">
        <w:rPr>
          <w:color w:val="000000"/>
          <w:lang w:eastAsia="sk-SK"/>
        </w:rPr>
        <w:t xml:space="preserve">ktoré sú </w:t>
      </w:r>
      <w:r w:rsidRPr="009915D3">
        <w:rPr>
          <w:color w:val="000000"/>
          <w:lang w:eastAsia="sk-SK"/>
        </w:rPr>
        <w:t xml:space="preserve">zároveň </w:t>
      </w:r>
      <w:r w:rsidR="00B43846" w:rsidRPr="009915D3">
        <w:t>globálne systémovo významnými inštitúciami</w:t>
      </w:r>
      <w:r w:rsidRPr="009915D3">
        <w:rPr>
          <w:color w:val="000000"/>
          <w:lang w:eastAsia="sk-SK"/>
        </w:rPr>
        <w:t xml:space="preserve">, pre </w:t>
      </w:r>
      <w:r w:rsidR="00B43846" w:rsidRPr="009915D3">
        <w:rPr>
          <w:color w:val="000000"/>
          <w:lang w:eastAsia="sk-SK"/>
        </w:rPr>
        <w:t xml:space="preserve">rezolučné </w:t>
      </w:r>
      <w:r w:rsidRPr="009915D3">
        <w:rPr>
          <w:color w:val="000000"/>
          <w:lang w:eastAsia="sk-SK"/>
        </w:rPr>
        <w:t xml:space="preserve">subjekty </w:t>
      </w:r>
      <w:r w:rsidR="00B43846" w:rsidRPr="009915D3">
        <w:rPr>
          <w:color w:val="000000"/>
          <w:lang w:eastAsia="sk-SK"/>
        </w:rPr>
        <w:t xml:space="preserve">rezolučných </w:t>
      </w:r>
      <w:r w:rsidRPr="009915D3">
        <w:rPr>
          <w:color w:val="000000"/>
          <w:lang w:eastAsia="sk-SK"/>
        </w:rPr>
        <w:t xml:space="preserve">skupín s aktívami nad 100 miliárd EUR (banky najvyššieho stupňa), a pre </w:t>
      </w:r>
      <w:r w:rsidR="00B43846" w:rsidRPr="009915D3">
        <w:rPr>
          <w:color w:val="000000"/>
          <w:lang w:eastAsia="sk-SK"/>
        </w:rPr>
        <w:t xml:space="preserve">rezolučné </w:t>
      </w:r>
      <w:r w:rsidRPr="009915D3">
        <w:rPr>
          <w:color w:val="000000"/>
          <w:lang w:eastAsia="sk-SK"/>
        </w:rPr>
        <w:t xml:space="preserve">subjekty určitých menších </w:t>
      </w:r>
      <w:r w:rsidR="00B43846" w:rsidRPr="009915D3">
        <w:rPr>
          <w:color w:val="000000"/>
          <w:lang w:eastAsia="sk-SK"/>
        </w:rPr>
        <w:t xml:space="preserve">rezolučných </w:t>
      </w:r>
      <w:r w:rsidRPr="009915D3">
        <w:rPr>
          <w:color w:val="000000"/>
          <w:lang w:eastAsia="sk-SK"/>
        </w:rPr>
        <w:t>skupín a v súvislosti s ktorými je pravdepodobné, že v prípade zlyhania budú predstavovať systémové riziko, pri zohľadnení prevalencie vkladov a absencie dlhových nástrojov v model</w:t>
      </w:r>
      <w:r w:rsidR="00B43846" w:rsidRPr="009915D3">
        <w:rPr>
          <w:color w:val="000000"/>
          <w:lang w:eastAsia="sk-SK"/>
        </w:rPr>
        <w:t>i</w:t>
      </w:r>
      <w:r w:rsidRPr="009915D3">
        <w:rPr>
          <w:color w:val="000000"/>
          <w:lang w:eastAsia="sk-SK"/>
        </w:rPr>
        <w:t xml:space="preserve"> financovania, obmedzeného prístupu na kapitálové trhy pre oprávnené záväzky a spoliehanie sa na vlastný kapitál Tier 1 s cieľom splniť MREL, bude mať Rada pre riešenie krízových situácií možnosť požadovať, aby sa časť MREL, ktorá sa rovná úrovni absorpcie strát a rekapitalizácie uvedenej v článku 37 ods. 10 a článku 44 ods. 5 smernice 2014/59/EÚ v</w:t>
      </w:r>
      <w:r w:rsidR="0030348B" w:rsidRPr="009915D3">
        <w:rPr>
          <w:color w:val="000000"/>
          <w:lang w:eastAsia="sk-SK"/>
        </w:rPr>
        <w:t xml:space="preserve"> platnom </w:t>
      </w:r>
      <w:r w:rsidRPr="009915D3">
        <w:rPr>
          <w:color w:val="000000"/>
          <w:lang w:eastAsia="sk-SK"/>
        </w:rPr>
        <w:t>znení, plnil</w:t>
      </w:r>
      <w:r w:rsidR="0030348B" w:rsidRPr="009915D3">
        <w:rPr>
          <w:color w:val="000000"/>
          <w:lang w:eastAsia="sk-SK"/>
        </w:rPr>
        <w:t>i</w:t>
      </w:r>
      <w:r w:rsidRPr="009915D3">
        <w:rPr>
          <w:color w:val="000000"/>
          <w:lang w:eastAsia="sk-SK"/>
        </w:rPr>
        <w:t xml:space="preserve"> pomocou vlastných zdrojov a iných podriadených záväzkov vrátane vlastných zdrojov použitých na splnenie požiadavky na kombinovaný vankúš podľa smernice 2013/36/EÚ</w:t>
      </w:r>
      <w:r w:rsidR="0030348B" w:rsidRPr="009915D3">
        <w:rPr>
          <w:color w:val="000000"/>
          <w:lang w:eastAsia="sk-SK"/>
        </w:rPr>
        <w:t xml:space="preserve"> v platnom znení</w:t>
      </w:r>
      <w:r w:rsidRPr="009915D3">
        <w:rPr>
          <w:color w:val="000000"/>
          <w:lang w:eastAsia="sk-SK"/>
        </w:rPr>
        <w:t>.</w:t>
      </w:r>
    </w:p>
    <w:p w:rsidR="002B391C" w:rsidRPr="009915D3" w:rsidRDefault="002B391C" w:rsidP="00A915BD">
      <w:pPr>
        <w:pStyle w:val="Odsekzoznamu"/>
        <w:spacing w:line="276" w:lineRule="auto"/>
        <w:ind w:left="709"/>
        <w:jc w:val="both"/>
        <w:rPr>
          <w:color w:val="000000"/>
          <w:lang w:eastAsia="sk-SK"/>
        </w:rPr>
      </w:pPr>
    </w:p>
    <w:p w:rsidR="002B391C" w:rsidRPr="009915D3" w:rsidRDefault="000A497F" w:rsidP="00A915BD">
      <w:pPr>
        <w:pStyle w:val="Odsekzoznamu"/>
        <w:numPr>
          <w:ilvl w:val="0"/>
          <w:numId w:val="11"/>
        </w:numPr>
        <w:spacing w:line="276" w:lineRule="auto"/>
        <w:ind w:left="709"/>
        <w:jc w:val="both"/>
        <w:rPr>
          <w:color w:val="000000"/>
          <w:lang w:eastAsia="sk-SK"/>
        </w:rPr>
      </w:pPr>
      <w:r w:rsidRPr="009915D3">
        <w:rPr>
          <w:u w:val="single"/>
        </w:rPr>
        <w:t>Zmeny v oblasti plnenia požiadavky MREL</w:t>
      </w:r>
      <w:r w:rsidRPr="009915D3">
        <w:t xml:space="preserve"> </w:t>
      </w:r>
      <w:r w:rsidR="0030348B" w:rsidRPr="009915D3">
        <w:t>–</w:t>
      </w:r>
      <w:r w:rsidRPr="009915D3">
        <w:t xml:space="preserve"> </w:t>
      </w:r>
      <w:r w:rsidRPr="009915D3">
        <w:rPr>
          <w:color w:val="000000"/>
          <w:lang w:eastAsia="sk-SK"/>
        </w:rPr>
        <w:t xml:space="preserve">V súlade s nariadením (EÚ) č. 575/2013 </w:t>
      </w:r>
      <w:r w:rsidR="0030348B" w:rsidRPr="009915D3">
        <w:rPr>
          <w:color w:val="000000"/>
          <w:lang w:eastAsia="sk-SK"/>
        </w:rPr>
        <w:t xml:space="preserve">v platnom znení </w:t>
      </w:r>
      <w:r w:rsidRPr="009915D3">
        <w:rPr>
          <w:color w:val="000000"/>
          <w:lang w:eastAsia="sk-SK"/>
        </w:rPr>
        <w:t xml:space="preserve">inštitúcie alebo subjekty, ktoré sú identifikované ako </w:t>
      </w:r>
      <w:r w:rsidR="0030348B" w:rsidRPr="009915D3">
        <w:rPr>
          <w:color w:val="000000"/>
          <w:lang w:eastAsia="sk-SK"/>
        </w:rPr>
        <w:t xml:space="preserve">rezolučné </w:t>
      </w:r>
      <w:r w:rsidRPr="009915D3">
        <w:rPr>
          <w:color w:val="000000"/>
          <w:lang w:eastAsia="sk-SK"/>
        </w:rPr>
        <w:t>subjekty</w:t>
      </w:r>
      <w:r w:rsidR="0030348B" w:rsidRPr="009915D3">
        <w:rPr>
          <w:color w:val="000000"/>
          <w:lang w:eastAsia="sk-SK"/>
        </w:rPr>
        <w:t xml:space="preserve"> </w:t>
      </w:r>
      <w:r w:rsidRPr="009915D3">
        <w:rPr>
          <w:color w:val="000000"/>
          <w:lang w:eastAsia="sk-SK"/>
        </w:rPr>
        <w:t xml:space="preserve">v zmysle návrhu zákona podliehajú MREL len na konsolidovanej úrovni </w:t>
      </w:r>
      <w:r w:rsidR="0030348B" w:rsidRPr="009915D3">
        <w:rPr>
          <w:color w:val="000000"/>
          <w:lang w:eastAsia="sk-SK"/>
        </w:rPr>
        <w:t xml:space="preserve">rezolučnej </w:t>
      </w:r>
      <w:r w:rsidRPr="009915D3">
        <w:rPr>
          <w:color w:val="000000"/>
          <w:lang w:eastAsia="sk-SK"/>
        </w:rPr>
        <w:t xml:space="preserve">skupiny. To znamená, že </w:t>
      </w:r>
      <w:r w:rsidR="0030348B" w:rsidRPr="009915D3">
        <w:rPr>
          <w:color w:val="000000"/>
          <w:lang w:eastAsia="sk-SK"/>
        </w:rPr>
        <w:t xml:space="preserve">rezolučné </w:t>
      </w:r>
      <w:r w:rsidRPr="009915D3">
        <w:rPr>
          <w:color w:val="000000"/>
          <w:lang w:eastAsia="sk-SK"/>
        </w:rPr>
        <w:t xml:space="preserve">subjekty by s cieľom splniť ich MREL mali mať povinnosť emitovať oprávnené nástroje a položky v prospech externých veriteľov ako tretích strán, na ktorých by sa vzťahovala záchrana pomocou vnútorných zdrojov, ak by </w:t>
      </w:r>
      <w:r w:rsidR="0030348B" w:rsidRPr="009915D3">
        <w:rPr>
          <w:color w:val="000000"/>
          <w:lang w:eastAsia="sk-SK"/>
        </w:rPr>
        <w:t xml:space="preserve">rezolučný </w:t>
      </w:r>
      <w:r w:rsidRPr="009915D3">
        <w:rPr>
          <w:color w:val="000000"/>
          <w:lang w:eastAsia="sk-SK"/>
        </w:rPr>
        <w:t>subjekt vstúpil do riešenia krízovej situácie.</w:t>
      </w:r>
      <w:r w:rsidRPr="009915D3">
        <w:rPr>
          <w:color w:val="444444"/>
          <w:shd w:val="clear" w:color="auto" w:fill="FFFFFF"/>
        </w:rPr>
        <w:t xml:space="preserve"> </w:t>
      </w:r>
      <w:r w:rsidRPr="009915D3">
        <w:rPr>
          <w:color w:val="000000"/>
          <w:lang w:eastAsia="sk-SK"/>
        </w:rPr>
        <w:t xml:space="preserve">Inštitúcie alebo subjekty, ktoré nie sú </w:t>
      </w:r>
      <w:r w:rsidR="0030348B" w:rsidRPr="009915D3">
        <w:rPr>
          <w:color w:val="000000"/>
          <w:lang w:eastAsia="sk-SK"/>
        </w:rPr>
        <w:t xml:space="preserve">rezolučnými </w:t>
      </w:r>
      <w:r w:rsidRPr="009915D3">
        <w:rPr>
          <w:color w:val="000000"/>
          <w:lang w:eastAsia="sk-SK"/>
        </w:rPr>
        <w:t>subjektmi by mali dodržiavať MREL na individuáln</w:t>
      </w:r>
      <w:r w:rsidR="0030348B" w:rsidRPr="009915D3">
        <w:rPr>
          <w:color w:val="000000"/>
          <w:lang w:eastAsia="sk-SK"/>
        </w:rPr>
        <w:t>om</w:t>
      </w:r>
      <w:r w:rsidRPr="009915D3">
        <w:rPr>
          <w:color w:val="000000"/>
          <w:lang w:eastAsia="sk-SK"/>
        </w:rPr>
        <w:t xml:space="preserve"> </w:t>
      </w:r>
      <w:r w:rsidR="0030348B" w:rsidRPr="009915D3">
        <w:rPr>
          <w:color w:val="000000"/>
          <w:lang w:eastAsia="sk-SK"/>
        </w:rPr>
        <w:t>základe</w:t>
      </w:r>
      <w:r w:rsidRPr="009915D3">
        <w:rPr>
          <w:color w:val="000000"/>
          <w:lang w:eastAsia="sk-SK"/>
        </w:rPr>
        <w:t>.</w:t>
      </w:r>
    </w:p>
    <w:p w:rsidR="002B391C" w:rsidRPr="009915D3" w:rsidRDefault="002B391C" w:rsidP="00A915BD">
      <w:pPr>
        <w:pStyle w:val="Odsekzoznamu"/>
        <w:spacing w:line="276" w:lineRule="auto"/>
      </w:pPr>
    </w:p>
    <w:p w:rsidR="002B391C" w:rsidRPr="009915D3" w:rsidRDefault="000A497F" w:rsidP="00A915BD">
      <w:pPr>
        <w:pStyle w:val="Odsekzoznamu"/>
        <w:numPr>
          <w:ilvl w:val="0"/>
          <w:numId w:val="11"/>
        </w:numPr>
        <w:spacing w:line="276" w:lineRule="auto"/>
        <w:ind w:left="709"/>
        <w:jc w:val="both"/>
        <w:rPr>
          <w:color w:val="000000"/>
          <w:lang w:eastAsia="sk-SK"/>
        </w:rPr>
      </w:pPr>
      <w:r w:rsidRPr="009915D3">
        <w:rPr>
          <w:u w:val="single"/>
        </w:rPr>
        <w:t xml:space="preserve">Zmeny zabezpečujúce </w:t>
      </w:r>
      <w:r w:rsidR="002B391C" w:rsidRPr="009915D3">
        <w:rPr>
          <w:u w:val="single"/>
        </w:rPr>
        <w:t xml:space="preserve">vyššiu </w:t>
      </w:r>
      <w:r w:rsidRPr="009915D3">
        <w:rPr>
          <w:u w:val="single"/>
        </w:rPr>
        <w:t>transparentnosť</w:t>
      </w:r>
      <w:r w:rsidRPr="009915D3">
        <w:t xml:space="preserve"> </w:t>
      </w:r>
      <w:r w:rsidR="006064C5" w:rsidRPr="009915D3">
        <w:t>–</w:t>
      </w:r>
      <w:r w:rsidRPr="009915D3">
        <w:t xml:space="preserve"> </w:t>
      </w:r>
      <w:r w:rsidRPr="009915D3">
        <w:rPr>
          <w:color w:val="000000"/>
          <w:lang w:eastAsia="sk-SK"/>
        </w:rPr>
        <w:t xml:space="preserve">V záujme zabezpečenia transparentného uplatňovania MREL budú inštitúcie a subjekty v zmysle návrhu </w:t>
      </w:r>
      <w:bookmarkStart w:id="1" w:name="_Hlk42505072"/>
      <w:r w:rsidRPr="009915D3">
        <w:rPr>
          <w:color w:val="000000"/>
          <w:lang w:eastAsia="sk-SK"/>
        </w:rPr>
        <w:t>podávať správy Rade pre riešenie krízových situácií a pravidelne sprístupňovať verejnosti svoje MREL, úrovne oprávnených záväzkov a záväzkov použiteľných pri záchrane pomocou vnútorných zdrojov, ako aj zloženie týchto záväzkov</w:t>
      </w:r>
      <w:r w:rsidR="00BB0CA1" w:rsidRPr="009915D3">
        <w:rPr>
          <w:color w:val="000000"/>
          <w:lang w:eastAsia="sk-SK"/>
        </w:rPr>
        <w:t>,</w:t>
      </w:r>
      <w:r w:rsidRPr="009915D3">
        <w:rPr>
          <w:color w:val="000000"/>
          <w:lang w:eastAsia="sk-SK"/>
        </w:rPr>
        <w:t xml:space="preserve"> vrátane ich profilu splatnosti a postavenia v bežnom insolvenčnom konaní</w:t>
      </w:r>
      <w:bookmarkEnd w:id="1"/>
      <w:r w:rsidRPr="009915D3">
        <w:rPr>
          <w:color w:val="000000"/>
          <w:lang w:eastAsia="sk-SK"/>
        </w:rPr>
        <w:t>. </w:t>
      </w:r>
    </w:p>
    <w:p w:rsidR="002B391C" w:rsidRPr="009915D3" w:rsidRDefault="002B391C" w:rsidP="00A915BD">
      <w:pPr>
        <w:pStyle w:val="Odsekzoznamu"/>
        <w:spacing w:line="276" w:lineRule="auto"/>
      </w:pPr>
    </w:p>
    <w:p w:rsidR="002B391C" w:rsidRPr="009915D3" w:rsidRDefault="000A497F" w:rsidP="00A915BD">
      <w:pPr>
        <w:pStyle w:val="Odsekzoznamu"/>
        <w:numPr>
          <w:ilvl w:val="0"/>
          <w:numId w:val="11"/>
        </w:numPr>
        <w:spacing w:line="276" w:lineRule="auto"/>
        <w:ind w:left="709"/>
        <w:jc w:val="both"/>
        <w:rPr>
          <w:color w:val="000000"/>
          <w:lang w:eastAsia="sk-SK"/>
        </w:rPr>
      </w:pPr>
      <w:r w:rsidRPr="009915D3">
        <w:rPr>
          <w:u w:val="single"/>
        </w:rPr>
        <w:t>Zmeny týkajúce sa ochrany retailových investorov</w:t>
      </w:r>
      <w:r w:rsidRPr="009915D3">
        <w:t xml:space="preserve"> – </w:t>
      </w:r>
      <w:r w:rsidRPr="009915D3">
        <w:rPr>
          <w:color w:val="000000"/>
          <w:lang w:eastAsia="sk-SK"/>
        </w:rPr>
        <w:t xml:space="preserve">Jedným z cieľov návrhu zákona je predchádzanie vzniku situácie kedy významnú časť nástrojov MREL konkrétnej inštitúcie alebo subjektu držia retailoví investori, ktorí možno nedostali primerané informácie o príslušných rizikách, </w:t>
      </w:r>
      <w:r w:rsidR="00BB0CA1" w:rsidRPr="009915D3">
        <w:rPr>
          <w:color w:val="000000"/>
          <w:lang w:eastAsia="sk-SK"/>
        </w:rPr>
        <w:t xml:space="preserve">čo </w:t>
      </w:r>
      <w:r w:rsidRPr="009915D3">
        <w:rPr>
          <w:color w:val="000000"/>
          <w:lang w:eastAsia="sk-SK"/>
        </w:rPr>
        <w:t xml:space="preserve">môže samo osebe predstavovať prekážku riešiteľnosti krízovej situácie. S cieľom zaistiť, aby retailoví investori neinvestovali nadmerne do určitých dlhových nástrojov, ktoré sú oprávnené pre MREL, sa </w:t>
      </w:r>
      <w:r w:rsidR="00BB0CA1" w:rsidRPr="009915D3">
        <w:rPr>
          <w:color w:val="000000"/>
          <w:lang w:eastAsia="sk-SK"/>
        </w:rPr>
        <w:t>návrh</w:t>
      </w:r>
      <w:r w:rsidRPr="009915D3">
        <w:rPr>
          <w:color w:val="000000"/>
          <w:lang w:eastAsia="sk-SK"/>
        </w:rPr>
        <w:t xml:space="preserve"> zákona snaží zabezpečiť, aby minimálna nominálna hodnota takýchto nástrojov bola relatívne vysoká alebo aby investície do takýchto nástrojov nepredstavovali nadmernú časť portfólia investora. Táto požiadavka sa uplatňuje len na nástroje emitované po dátume transpozície tejto smernice. Táto požiadavka nie je dostatočne pokrytá v smernici 2014/65/EÚ</w:t>
      </w:r>
      <w:r w:rsidR="00BB0CA1" w:rsidRPr="009915D3">
        <w:rPr>
          <w:color w:val="000000"/>
          <w:lang w:eastAsia="sk-SK"/>
        </w:rPr>
        <w:t xml:space="preserve"> v platnom znení</w:t>
      </w:r>
      <w:r w:rsidRPr="009915D3">
        <w:rPr>
          <w:color w:val="000000"/>
          <w:lang w:eastAsia="sk-SK"/>
        </w:rPr>
        <w:t xml:space="preserve">, a preto by sa jej plnenie malo presadzovať podľa </w:t>
      </w:r>
      <w:r w:rsidR="00BB0CA1" w:rsidRPr="009915D3">
        <w:rPr>
          <w:color w:val="000000"/>
          <w:lang w:eastAsia="sk-SK"/>
        </w:rPr>
        <w:t xml:space="preserve">BRRD 2 </w:t>
      </w:r>
      <w:r w:rsidRPr="009915D3">
        <w:rPr>
          <w:color w:val="000000"/>
          <w:lang w:eastAsia="sk-SK"/>
        </w:rPr>
        <w:t>a nemali by ňou byť dotknuté pravidlá ochrany investorov ustanovené v smernici 2014/65/EÚ</w:t>
      </w:r>
      <w:r w:rsidR="00BB0CA1" w:rsidRPr="009915D3">
        <w:rPr>
          <w:color w:val="000000"/>
          <w:lang w:eastAsia="sk-SK"/>
        </w:rPr>
        <w:t xml:space="preserve"> v platnom znení</w:t>
      </w:r>
      <w:r w:rsidRPr="009915D3">
        <w:rPr>
          <w:color w:val="000000"/>
          <w:lang w:eastAsia="sk-SK"/>
        </w:rPr>
        <w:t xml:space="preserve">. </w:t>
      </w:r>
    </w:p>
    <w:p w:rsidR="002B391C" w:rsidRPr="009915D3" w:rsidRDefault="002B391C" w:rsidP="00A915BD">
      <w:pPr>
        <w:pStyle w:val="Odsekzoznamu"/>
        <w:spacing w:line="276" w:lineRule="auto"/>
      </w:pPr>
    </w:p>
    <w:p w:rsidR="000A497F" w:rsidRPr="009915D3" w:rsidRDefault="000A497F" w:rsidP="00A915BD">
      <w:pPr>
        <w:pStyle w:val="Odsekzoznamu"/>
        <w:numPr>
          <w:ilvl w:val="0"/>
          <w:numId w:val="11"/>
        </w:numPr>
        <w:spacing w:line="276" w:lineRule="auto"/>
        <w:ind w:left="709"/>
        <w:jc w:val="both"/>
        <w:rPr>
          <w:color w:val="000000"/>
          <w:lang w:eastAsia="sk-SK"/>
        </w:rPr>
      </w:pPr>
      <w:r w:rsidRPr="009915D3">
        <w:rPr>
          <w:u w:val="single"/>
        </w:rPr>
        <w:t>Zmeny v ochranných opatreniach</w:t>
      </w:r>
      <w:r w:rsidRPr="009915D3">
        <w:t xml:space="preserve"> – </w:t>
      </w:r>
      <w:bookmarkStart w:id="2" w:name="_Hlk42505674"/>
      <w:r w:rsidR="002B391C" w:rsidRPr="009915D3">
        <w:t xml:space="preserve">súčasťou </w:t>
      </w:r>
      <w:r w:rsidRPr="009915D3">
        <w:rPr>
          <w:color w:val="000000"/>
          <w:lang w:eastAsia="sk-SK"/>
        </w:rPr>
        <w:t>novel</w:t>
      </w:r>
      <w:r w:rsidR="002B391C" w:rsidRPr="009915D3">
        <w:rPr>
          <w:color w:val="000000"/>
          <w:lang w:eastAsia="sk-SK"/>
        </w:rPr>
        <w:t>y</w:t>
      </w:r>
      <w:r w:rsidRPr="009915D3">
        <w:rPr>
          <w:color w:val="000000"/>
          <w:lang w:eastAsia="sk-SK"/>
        </w:rPr>
        <w:t xml:space="preserve"> </w:t>
      </w:r>
      <w:r w:rsidR="002B391C" w:rsidRPr="009915D3">
        <w:rPr>
          <w:color w:val="000000"/>
          <w:lang w:eastAsia="sk-SK"/>
        </w:rPr>
        <w:t>je aj novela zákona</w:t>
      </w:r>
      <w:r w:rsidRPr="009915D3">
        <w:rPr>
          <w:color w:val="000000"/>
          <w:spacing w:val="42"/>
          <w:lang w:eastAsia="sk-SK"/>
        </w:rPr>
        <w:t xml:space="preserve"> </w:t>
      </w:r>
      <w:r w:rsidRPr="009915D3">
        <w:rPr>
          <w:color w:val="000000"/>
          <w:lang w:eastAsia="sk-SK"/>
        </w:rPr>
        <w:t>o konkurze</w:t>
      </w:r>
      <w:r w:rsidRPr="009915D3">
        <w:rPr>
          <w:color w:val="000000"/>
          <w:spacing w:val="42"/>
          <w:lang w:eastAsia="sk-SK"/>
        </w:rPr>
        <w:t xml:space="preserve"> </w:t>
      </w:r>
      <w:r w:rsidRPr="009915D3">
        <w:rPr>
          <w:color w:val="000000"/>
          <w:lang w:eastAsia="sk-SK"/>
        </w:rPr>
        <w:t>a</w:t>
      </w:r>
      <w:r w:rsidR="00BB0CA1" w:rsidRPr="009915D3">
        <w:rPr>
          <w:color w:val="000000"/>
          <w:lang w:eastAsia="sk-SK"/>
        </w:rPr>
        <w:t> </w:t>
      </w:r>
      <w:r w:rsidRPr="009915D3">
        <w:rPr>
          <w:color w:val="000000"/>
          <w:lang w:eastAsia="sk-SK"/>
        </w:rPr>
        <w:t>reštrukturalizácii</w:t>
      </w:r>
      <w:r w:rsidR="00BB0CA1" w:rsidRPr="009915D3">
        <w:rPr>
          <w:color w:val="000000"/>
          <w:lang w:eastAsia="sk-SK"/>
        </w:rPr>
        <w:t>, ktor</w:t>
      </w:r>
      <w:r w:rsidR="00BF52CC" w:rsidRPr="009915D3">
        <w:rPr>
          <w:color w:val="000000"/>
          <w:lang w:eastAsia="sk-SK"/>
        </w:rPr>
        <w:t xml:space="preserve">á sa </w:t>
      </w:r>
      <w:r w:rsidRPr="009915D3">
        <w:rPr>
          <w:color w:val="000000"/>
          <w:lang w:eastAsia="sk-SK"/>
        </w:rPr>
        <w:t>týka</w:t>
      </w:r>
      <w:r w:rsidRPr="009915D3">
        <w:rPr>
          <w:color w:val="000000"/>
          <w:spacing w:val="42"/>
          <w:lang w:eastAsia="sk-SK"/>
        </w:rPr>
        <w:t xml:space="preserve"> </w:t>
      </w:r>
      <w:r w:rsidRPr="009915D3">
        <w:rPr>
          <w:color w:val="000000"/>
          <w:lang w:eastAsia="sk-SK"/>
        </w:rPr>
        <w:t>najmä</w:t>
      </w:r>
      <w:r w:rsidRPr="009915D3">
        <w:rPr>
          <w:color w:val="000000"/>
          <w:spacing w:val="42"/>
          <w:lang w:eastAsia="sk-SK"/>
        </w:rPr>
        <w:t xml:space="preserve"> </w:t>
      </w:r>
      <w:r w:rsidRPr="009915D3">
        <w:rPr>
          <w:color w:val="000000"/>
          <w:lang w:eastAsia="sk-SK"/>
        </w:rPr>
        <w:t>konkurzu</w:t>
      </w:r>
      <w:r w:rsidRPr="009915D3">
        <w:rPr>
          <w:color w:val="000000"/>
          <w:spacing w:val="42"/>
          <w:lang w:eastAsia="sk-SK"/>
        </w:rPr>
        <w:t xml:space="preserve"> </w:t>
      </w:r>
      <w:r w:rsidRPr="009915D3">
        <w:rPr>
          <w:color w:val="000000"/>
          <w:lang w:eastAsia="sk-SK"/>
        </w:rPr>
        <w:t>banky</w:t>
      </w:r>
      <w:r w:rsidRPr="009915D3">
        <w:rPr>
          <w:color w:val="000000"/>
          <w:spacing w:val="42"/>
          <w:lang w:eastAsia="sk-SK"/>
        </w:rPr>
        <w:t xml:space="preserve"> </w:t>
      </w:r>
      <w:r w:rsidRPr="009915D3">
        <w:rPr>
          <w:color w:val="000000"/>
          <w:lang w:eastAsia="sk-SK"/>
        </w:rPr>
        <w:t>alebo pobočky</w:t>
      </w:r>
      <w:r w:rsidRPr="009915D3">
        <w:rPr>
          <w:color w:val="000000"/>
          <w:spacing w:val="106"/>
          <w:lang w:eastAsia="sk-SK"/>
        </w:rPr>
        <w:t xml:space="preserve"> </w:t>
      </w:r>
      <w:r w:rsidRPr="009915D3">
        <w:rPr>
          <w:color w:val="000000"/>
          <w:lang w:eastAsia="sk-SK"/>
        </w:rPr>
        <w:t>zahraničnej</w:t>
      </w:r>
      <w:r w:rsidRPr="009915D3">
        <w:rPr>
          <w:color w:val="000000"/>
          <w:spacing w:val="106"/>
          <w:lang w:eastAsia="sk-SK"/>
        </w:rPr>
        <w:t xml:space="preserve"> </w:t>
      </w:r>
      <w:r w:rsidRPr="009915D3">
        <w:rPr>
          <w:color w:val="000000"/>
          <w:lang w:eastAsia="sk-SK"/>
        </w:rPr>
        <w:t>banky</w:t>
      </w:r>
      <w:bookmarkEnd w:id="2"/>
      <w:r w:rsidRPr="009915D3">
        <w:rPr>
          <w:color w:val="000000"/>
          <w:lang w:eastAsia="sk-SK"/>
        </w:rPr>
        <w:t>.</w:t>
      </w:r>
      <w:r w:rsidRPr="009915D3">
        <w:rPr>
          <w:color w:val="000000"/>
          <w:spacing w:val="106"/>
          <w:lang w:eastAsia="sk-SK"/>
        </w:rPr>
        <w:t xml:space="preserve"> </w:t>
      </w:r>
      <w:bookmarkStart w:id="3" w:name="_Hlk42505739"/>
      <w:r w:rsidRPr="009915D3">
        <w:rPr>
          <w:color w:val="000000"/>
          <w:lang w:eastAsia="sk-SK"/>
        </w:rPr>
        <w:t>Cieľom</w:t>
      </w:r>
      <w:r w:rsidRPr="009915D3">
        <w:rPr>
          <w:color w:val="000000"/>
          <w:spacing w:val="106"/>
          <w:lang w:eastAsia="sk-SK"/>
        </w:rPr>
        <w:t xml:space="preserve"> </w:t>
      </w:r>
      <w:r w:rsidRPr="009915D3">
        <w:rPr>
          <w:color w:val="000000"/>
          <w:lang w:eastAsia="sk-SK"/>
        </w:rPr>
        <w:t>navrhovanej</w:t>
      </w:r>
      <w:r w:rsidRPr="009915D3">
        <w:rPr>
          <w:color w:val="000000"/>
          <w:spacing w:val="106"/>
          <w:lang w:eastAsia="sk-SK"/>
        </w:rPr>
        <w:t xml:space="preserve"> </w:t>
      </w:r>
      <w:r w:rsidRPr="009915D3">
        <w:rPr>
          <w:color w:val="000000"/>
          <w:lang w:eastAsia="sk-SK"/>
        </w:rPr>
        <w:t>úpravy</w:t>
      </w:r>
      <w:r w:rsidRPr="009915D3">
        <w:rPr>
          <w:color w:val="000000"/>
          <w:spacing w:val="106"/>
          <w:lang w:eastAsia="sk-SK"/>
        </w:rPr>
        <w:t xml:space="preserve"> </w:t>
      </w:r>
      <w:r w:rsidRPr="009915D3">
        <w:rPr>
          <w:color w:val="000000"/>
          <w:lang w:eastAsia="sk-SK"/>
        </w:rPr>
        <w:t>textu</w:t>
      </w:r>
      <w:r w:rsidRPr="009915D3">
        <w:rPr>
          <w:color w:val="000000"/>
          <w:spacing w:val="106"/>
          <w:lang w:eastAsia="sk-SK"/>
        </w:rPr>
        <w:t xml:space="preserve"> </w:t>
      </w:r>
      <w:r w:rsidRPr="009915D3">
        <w:rPr>
          <w:color w:val="000000"/>
          <w:lang w:eastAsia="sk-SK"/>
        </w:rPr>
        <w:t>zákona</w:t>
      </w:r>
      <w:r w:rsidRPr="009915D3">
        <w:rPr>
          <w:color w:val="000000"/>
          <w:spacing w:val="106"/>
          <w:lang w:eastAsia="sk-SK"/>
        </w:rPr>
        <w:t xml:space="preserve"> </w:t>
      </w:r>
      <w:r w:rsidRPr="009915D3">
        <w:rPr>
          <w:color w:val="000000"/>
          <w:lang w:eastAsia="sk-SK"/>
        </w:rPr>
        <w:t>o konkurze</w:t>
      </w:r>
      <w:r w:rsidRPr="009915D3">
        <w:rPr>
          <w:color w:val="000000"/>
          <w:spacing w:val="106"/>
          <w:lang w:eastAsia="sk-SK"/>
        </w:rPr>
        <w:t xml:space="preserve"> </w:t>
      </w:r>
      <w:r w:rsidRPr="009915D3">
        <w:rPr>
          <w:color w:val="000000"/>
          <w:lang w:eastAsia="sk-SK"/>
        </w:rPr>
        <w:t>je účinné uplatňovanie právomocí znižovať, odpisovať alebo konvertovať položky vlastných zdrojov bez porušenia ochranných opatrení týkajúcich sa veriteľov</w:t>
      </w:r>
      <w:bookmarkEnd w:id="3"/>
      <w:r w:rsidRPr="009915D3">
        <w:rPr>
          <w:color w:val="000000"/>
          <w:lang w:eastAsia="sk-SK"/>
        </w:rPr>
        <w:t xml:space="preserve">, ktoré sú uvedené v tejto smernici, by členské štáty mali zabezpečiť, aby mali pohľadávky vyplývajúce z položiek vlastných zdrojov v bežnom insolvenčnom konaní nižšie postavenie ako akékoľvek iné podriadené pohľadávky. S nástrojmi, ktoré sa ako vlastné zdroje uznali len čiastočne, by sa aj tak malo zaobchádzať ako s pohľadávkami vyplývajúcimi z vlastných zdrojov, a to v celej ich výške. Čiastočné uznanie by mohlo byť výsledkom napríklad uplatňovania ustanovení týkajúcich sa zachovania predchádzajúceho stavu, ktorými sa určitému nástroju čiastočne odoberá uznanie alebo výsledkom uplatňovania </w:t>
      </w:r>
      <w:r w:rsidRPr="009915D3">
        <w:rPr>
          <w:color w:val="000000"/>
          <w:lang w:eastAsia="sk-SK"/>
        </w:rPr>
        <w:lastRenderedPageBreak/>
        <w:t>splátkového kalendára týkajúceho sa nástrojov Tier 2 v nariadení (EÚ) č. 575/2013</w:t>
      </w:r>
      <w:r w:rsidR="0022522A">
        <w:rPr>
          <w:color w:val="000000"/>
          <w:lang w:eastAsia="sk-SK"/>
        </w:rPr>
        <w:t xml:space="preserve"> v platnom znení</w:t>
      </w:r>
      <w:r w:rsidRPr="009915D3">
        <w:rPr>
          <w:color w:val="000000"/>
          <w:lang w:eastAsia="sk-SK"/>
        </w:rPr>
        <w:t>.</w:t>
      </w:r>
    </w:p>
    <w:p w:rsidR="002B391C" w:rsidRPr="009915D3" w:rsidRDefault="002B391C" w:rsidP="00A915BD">
      <w:pPr>
        <w:spacing w:line="276" w:lineRule="auto"/>
        <w:jc w:val="both"/>
      </w:pPr>
    </w:p>
    <w:p w:rsidR="00641970" w:rsidRPr="009915D3" w:rsidRDefault="00641970" w:rsidP="00A915BD">
      <w:pPr>
        <w:spacing w:line="276" w:lineRule="auto"/>
        <w:jc w:val="both"/>
      </w:pPr>
      <w:r w:rsidRPr="009915D3">
        <w:tab/>
        <w:t xml:space="preserve">Súčasťou návrhu sú aj legislatívne úpravy súvisiace s dosiahnutím plnej transpozície </w:t>
      </w:r>
      <w:r w:rsidR="00BF52CC" w:rsidRPr="009915D3">
        <w:t>BRRD</w:t>
      </w:r>
      <w:r w:rsidR="00C64782" w:rsidRPr="009915D3">
        <w:rPr>
          <w:shd w:val="clear" w:color="auto" w:fill="FFFFFF"/>
        </w:rPr>
        <w:t>,</w:t>
      </w:r>
      <w:r w:rsidRPr="009915D3">
        <w:t xml:space="preserve"> ako aj ďalšie úpravy </w:t>
      </w:r>
      <w:r w:rsidR="004F4FE1" w:rsidRPr="009915D3">
        <w:t xml:space="preserve">technického charakteru </w:t>
      </w:r>
      <w:r w:rsidRPr="009915D3">
        <w:t xml:space="preserve">vyplývajúce z aplikačnej praxe. </w:t>
      </w:r>
    </w:p>
    <w:p w:rsidR="00F45D51" w:rsidRPr="009915D3" w:rsidRDefault="00F45D51" w:rsidP="00A915BD">
      <w:pPr>
        <w:spacing w:line="276" w:lineRule="auto"/>
        <w:jc w:val="both"/>
        <w:rPr>
          <w:shd w:val="clear" w:color="auto" w:fill="FFFFFF"/>
        </w:rPr>
      </w:pPr>
    </w:p>
    <w:p w:rsidR="00641970" w:rsidRPr="009915D3" w:rsidRDefault="00641970" w:rsidP="00A915BD">
      <w:pPr>
        <w:spacing w:line="276" w:lineRule="auto"/>
        <w:jc w:val="both"/>
      </w:pPr>
      <w:r w:rsidRPr="009915D3">
        <w:tab/>
        <w:t>Prijatie navrhovaného zákona nebude mať vplyv na rozpočet verejnej správy,</w:t>
      </w:r>
      <w:r w:rsidR="00B14965" w:rsidRPr="009915D3">
        <w:t xml:space="preserve"> pričom bude mať možné negatívne vplyvy na podnikateľské prostredie</w:t>
      </w:r>
      <w:r w:rsidRPr="009915D3">
        <w:t>. Návrh zákona nemá sociálne vplyvy, vplyvy na životné prostredie, na služby verejnej správy pre občana, na informatizáciu a tiež nemá vplyvy na manželstvo, rodičovstvo a rodinu.</w:t>
      </w:r>
    </w:p>
    <w:p w:rsidR="00F45D51" w:rsidRPr="009915D3" w:rsidRDefault="00F45D51" w:rsidP="00A915BD">
      <w:pPr>
        <w:spacing w:line="276" w:lineRule="auto"/>
        <w:jc w:val="both"/>
      </w:pPr>
    </w:p>
    <w:p w:rsidR="00B14965" w:rsidRPr="009915D3" w:rsidRDefault="00641970" w:rsidP="00A915BD">
      <w:pPr>
        <w:spacing w:line="276" w:lineRule="auto"/>
        <w:jc w:val="both"/>
        <w:rPr>
          <w:rStyle w:val="awspan"/>
          <w:color w:val="000000"/>
        </w:rPr>
      </w:pPr>
      <w:r w:rsidRPr="009915D3">
        <w:tab/>
        <w:t>Predložený návrh zákona je v súlade s Ústavou Slovenskej republiky, s ústavnými zákonmi, nálezmi ústavného súdu, inými zákonmi a ostatnými všeobecne záväznými právnymi predpismi Slovenskej republiky, s právom Európskej únie a s medzinárodnými zmluvami, ktorými je Slovenská republika viazaná.</w:t>
      </w:r>
    </w:p>
    <w:p w:rsidR="00A915BD" w:rsidRDefault="00A915BD" w:rsidP="00A915BD">
      <w:pPr>
        <w:spacing w:after="200" w:line="276" w:lineRule="auto"/>
      </w:pPr>
      <w:r>
        <w:br w:type="page"/>
      </w:r>
    </w:p>
    <w:p w:rsidR="00A915BD" w:rsidRPr="00A179AE" w:rsidRDefault="00A915BD" w:rsidP="00A915BD">
      <w:pPr>
        <w:spacing w:line="276" w:lineRule="auto"/>
        <w:jc w:val="center"/>
        <w:rPr>
          <w:b/>
          <w:bCs/>
          <w:sz w:val="28"/>
          <w:szCs w:val="28"/>
        </w:rPr>
      </w:pPr>
      <w:r>
        <w:rPr>
          <w:b/>
          <w:bCs/>
          <w:sz w:val="28"/>
          <w:szCs w:val="28"/>
        </w:rPr>
        <w:lastRenderedPageBreak/>
        <w:t>Doložka vybraných vplyvov</w:t>
      </w:r>
    </w:p>
    <w:p w:rsidR="00A915BD" w:rsidRPr="00B207E0" w:rsidRDefault="00A915BD" w:rsidP="00A915BD">
      <w:pPr>
        <w:pStyle w:val="Odsekzoznamu"/>
        <w:spacing w:line="276" w:lineRule="auto"/>
        <w:ind w:left="426"/>
        <w:rPr>
          <w:b/>
        </w:rPr>
      </w:pPr>
    </w:p>
    <w:tbl>
      <w:tblPr>
        <w:tblStyle w:val="Mriekatabuky"/>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A915BD" w:rsidRPr="00B207E0" w:rsidTr="00524EE1">
        <w:tc>
          <w:tcPr>
            <w:tcW w:w="9180" w:type="dxa"/>
            <w:gridSpan w:val="10"/>
            <w:tcBorders>
              <w:bottom w:val="single" w:sz="4" w:space="0" w:color="FFFFFF" w:themeColor="background1"/>
            </w:tcBorders>
            <w:shd w:val="clear" w:color="auto" w:fill="E2E2E2"/>
          </w:tcPr>
          <w:p w:rsidR="00A915BD" w:rsidRPr="00B207E0" w:rsidRDefault="00A915BD" w:rsidP="00A915BD">
            <w:pPr>
              <w:pStyle w:val="Odsekzoznamu"/>
              <w:numPr>
                <w:ilvl w:val="0"/>
                <w:numId w:val="12"/>
              </w:numPr>
              <w:spacing w:line="276" w:lineRule="auto"/>
              <w:ind w:left="426"/>
              <w:rPr>
                <w:b/>
              </w:rPr>
            </w:pPr>
            <w:r w:rsidRPr="00B207E0">
              <w:rPr>
                <w:b/>
              </w:rPr>
              <w:t>Základné údaje</w:t>
            </w:r>
          </w:p>
        </w:tc>
      </w:tr>
      <w:tr w:rsidR="00A915BD" w:rsidRPr="00B207E0" w:rsidTr="00524EE1">
        <w:tc>
          <w:tcPr>
            <w:tcW w:w="9180" w:type="dxa"/>
            <w:gridSpan w:val="10"/>
            <w:tcBorders>
              <w:bottom w:val="single" w:sz="4" w:space="0" w:color="FFFFFF" w:themeColor="background1"/>
            </w:tcBorders>
            <w:shd w:val="clear" w:color="auto" w:fill="E2E2E2"/>
          </w:tcPr>
          <w:p w:rsidR="00A915BD" w:rsidRPr="00B207E0" w:rsidRDefault="00A915BD" w:rsidP="00A915BD">
            <w:pPr>
              <w:pStyle w:val="Odsekzoznamu"/>
              <w:spacing w:line="276" w:lineRule="auto"/>
              <w:ind w:left="142"/>
              <w:rPr>
                <w:b/>
              </w:rPr>
            </w:pPr>
            <w:r w:rsidRPr="00B207E0">
              <w:rPr>
                <w:b/>
              </w:rPr>
              <w:t>Názov materiálu</w:t>
            </w:r>
          </w:p>
        </w:tc>
      </w:tr>
      <w:tr w:rsidR="00A915BD" w:rsidRPr="00B207E0" w:rsidTr="00524EE1">
        <w:tc>
          <w:tcPr>
            <w:tcW w:w="9180" w:type="dxa"/>
            <w:gridSpan w:val="10"/>
            <w:tcBorders>
              <w:top w:val="single" w:sz="4" w:space="0" w:color="FFFFFF" w:themeColor="background1"/>
              <w:bottom w:val="single" w:sz="4" w:space="0" w:color="auto"/>
            </w:tcBorders>
          </w:tcPr>
          <w:p w:rsidR="00A915BD" w:rsidRPr="00B207E0" w:rsidRDefault="00A915BD" w:rsidP="00A915BD">
            <w:pPr>
              <w:spacing w:line="276" w:lineRule="auto"/>
              <w:jc w:val="both"/>
              <w:rPr>
                <w:sz w:val="22"/>
                <w:szCs w:val="22"/>
              </w:rPr>
            </w:pPr>
            <w:r>
              <w:rPr>
                <w:bCs/>
                <w:sz w:val="22"/>
                <w:szCs w:val="22"/>
              </w:rPr>
              <w:t>Návrh</w:t>
            </w:r>
            <w:r w:rsidRPr="00713CA2">
              <w:rPr>
                <w:bCs/>
                <w:sz w:val="22"/>
                <w:szCs w:val="22"/>
              </w:rPr>
              <w:t xml:space="preserve"> zákona, ktorým sa mení a dopĺňa zákon č. 371/2014 Z. z. o riešení krízových situácií na finančnom trhu a o zmene a doplnení niektorých zákonov v znení neskorších predpisov a ktorým sa</w:t>
            </w:r>
            <w:r>
              <w:rPr>
                <w:bCs/>
                <w:sz w:val="22"/>
                <w:szCs w:val="22"/>
              </w:rPr>
              <w:t xml:space="preserve"> mení a </w:t>
            </w:r>
            <w:r w:rsidRPr="00713CA2">
              <w:rPr>
                <w:bCs/>
                <w:sz w:val="22"/>
                <w:szCs w:val="22"/>
              </w:rPr>
              <w:t>dopĺňa zákon č. 7/2005 Z. z. o konkurze a reštrukturalizácii a o zmene a doplnení niektorých zákonov v znení neskorších predpisov</w:t>
            </w:r>
          </w:p>
        </w:tc>
      </w:tr>
      <w:tr w:rsidR="00A915BD" w:rsidRPr="00B207E0" w:rsidTr="00524EE1">
        <w:tc>
          <w:tcPr>
            <w:tcW w:w="9180" w:type="dxa"/>
            <w:gridSpan w:val="10"/>
            <w:tcBorders>
              <w:top w:val="single" w:sz="4" w:space="0" w:color="auto"/>
              <w:left w:val="single" w:sz="4" w:space="0" w:color="auto"/>
              <w:bottom w:val="single" w:sz="4" w:space="0" w:color="FFFFFF" w:themeColor="background1"/>
            </w:tcBorders>
            <w:shd w:val="clear" w:color="auto" w:fill="E2E2E2"/>
          </w:tcPr>
          <w:p w:rsidR="00A915BD" w:rsidRPr="00B207E0" w:rsidRDefault="00A915BD" w:rsidP="00A915BD">
            <w:pPr>
              <w:pStyle w:val="Odsekzoznamu"/>
              <w:spacing w:line="276" w:lineRule="auto"/>
              <w:ind w:left="142"/>
              <w:rPr>
                <w:b/>
              </w:rPr>
            </w:pPr>
            <w:r w:rsidRPr="00B207E0">
              <w:rPr>
                <w:b/>
              </w:rPr>
              <w:t>Predkladateľ (a spolupredkladateľ)</w:t>
            </w:r>
          </w:p>
        </w:tc>
      </w:tr>
      <w:tr w:rsidR="00A915BD" w:rsidRPr="00B207E0" w:rsidTr="00524EE1">
        <w:tc>
          <w:tcPr>
            <w:tcW w:w="9180" w:type="dxa"/>
            <w:gridSpan w:val="10"/>
            <w:tcBorders>
              <w:top w:val="single" w:sz="4" w:space="0" w:color="FFFFFF" w:themeColor="background1"/>
              <w:left w:val="single" w:sz="4" w:space="0" w:color="auto"/>
              <w:bottom w:val="single" w:sz="4" w:space="0" w:color="auto"/>
            </w:tcBorders>
            <w:shd w:val="clear" w:color="auto" w:fill="FFFFFF" w:themeFill="background1"/>
          </w:tcPr>
          <w:p w:rsidR="00A915BD" w:rsidRDefault="00A915BD" w:rsidP="00A915BD">
            <w:pPr>
              <w:spacing w:line="276" w:lineRule="auto"/>
              <w:rPr>
                <w:sz w:val="22"/>
                <w:szCs w:val="22"/>
              </w:rPr>
            </w:pPr>
            <w:r w:rsidRPr="00B207E0">
              <w:rPr>
                <w:sz w:val="22"/>
                <w:szCs w:val="22"/>
              </w:rPr>
              <w:t>Predkladateľ: Ministerstvo financií Slovenskej republiky</w:t>
            </w:r>
          </w:p>
          <w:p w:rsidR="00A915BD" w:rsidRPr="00B207E0" w:rsidRDefault="00A915BD" w:rsidP="00A915BD">
            <w:pPr>
              <w:spacing w:line="276" w:lineRule="auto"/>
              <w:rPr>
                <w:sz w:val="22"/>
                <w:szCs w:val="22"/>
              </w:rPr>
            </w:pPr>
            <w:r>
              <w:rPr>
                <w:sz w:val="22"/>
                <w:szCs w:val="22"/>
              </w:rPr>
              <w:t xml:space="preserve">                       Národná banka Slovenska</w:t>
            </w:r>
          </w:p>
          <w:p w:rsidR="00A915BD" w:rsidRPr="00B207E0" w:rsidRDefault="00A915BD" w:rsidP="00A915BD">
            <w:pPr>
              <w:spacing w:line="276" w:lineRule="auto"/>
              <w:rPr>
                <w:sz w:val="22"/>
                <w:szCs w:val="22"/>
              </w:rPr>
            </w:pPr>
          </w:p>
        </w:tc>
      </w:tr>
      <w:tr w:rsidR="00A915BD" w:rsidRPr="00B207E0" w:rsidTr="00524EE1">
        <w:tc>
          <w:tcPr>
            <w:tcW w:w="4212" w:type="dxa"/>
            <w:gridSpan w:val="2"/>
            <w:vMerge w:val="restart"/>
            <w:tcBorders>
              <w:top w:val="single" w:sz="4" w:space="0" w:color="auto"/>
              <w:left w:val="single" w:sz="4" w:space="0" w:color="auto"/>
              <w:bottom w:val="single" w:sz="4" w:space="0" w:color="FFFFFF" w:themeColor="background1"/>
            </w:tcBorders>
            <w:shd w:val="clear" w:color="auto" w:fill="E2E2E2"/>
            <w:vAlign w:val="center"/>
          </w:tcPr>
          <w:p w:rsidR="00A915BD" w:rsidRPr="00B207E0" w:rsidRDefault="00A915BD" w:rsidP="00A915BD">
            <w:pPr>
              <w:pStyle w:val="Odsekzoznamu"/>
              <w:spacing w:line="276" w:lineRule="auto"/>
              <w:ind w:left="142"/>
              <w:rPr>
                <w:b/>
              </w:rPr>
            </w:pPr>
            <w:r w:rsidRPr="00B207E0">
              <w:rPr>
                <w:b/>
              </w:rPr>
              <w:t>Charakter predkladaného materiálu</w:t>
            </w:r>
          </w:p>
        </w:tc>
        <w:sdt>
          <w:sdtPr>
            <w:rPr>
              <w:sz w:val="22"/>
              <w:szCs w:val="22"/>
            </w:rPr>
            <w:id w:val="-69890771"/>
            <w14:checkbox>
              <w14:checked w14:val="0"/>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A915BD" w:rsidRPr="00B207E0" w:rsidRDefault="00A915BD" w:rsidP="00A915BD">
                <w:pPr>
                  <w:spacing w:line="276" w:lineRule="auto"/>
                  <w:jc w:val="center"/>
                  <w:rPr>
                    <w:sz w:val="22"/>
                    <w:szCs w:val="22"/>
                  </w:rPr>
                </w:pPr>
                <w:r w:rsidRPr="00B207E0">
                  <w:rPr>
                    <w:rFonts w:ascii="Segoe UI Symbol" w:eastAsia="MS Mincho" w:hAnsi="Segoe UI Symbol" w:cs="Segoe UI Symbol"/>
                    <w:sz w:val="22"/>
                    <w:szCs w:val="22"/>
                  </w:rPr>
                  <w:t>☐</w:t>
                </w:r>
              </w:p>
            </w:tc>
          </w:sdtContent>
        </w:sdt>
        <w:tc>
          <w:tcPr>
            <w:tcW w:w="4263" w:type="dxa"/>
            <w:gridSpan w:val="6"/>
            <w:tcBorders>
              <w:top w:val="single" w:sz="4" w:space="0" w:color="auto"/>
              <w:left w:val="nil"/>
              <w:bottom w:val="single" w:sz="4" w:space="0" w:color="auto"/>
              <w:right w:val="single" w:sz="4" w:space="0" w:color="auto"/>
            </w:tcBorders>
            <w:shd w:val="clear" w:color="auto" w:fill="FFFFFF" w:themeFill="background1"/>
          </w:tcPr>
          <w:p w:rsidR="00A915BD" w:rsidRPr="00B207E0" w:rsidRDefault="00A915BD" w:rsidP="00A915BD">
            <w:pPr>
              <w:spacing w:line="276" w:lineRule="auto"/>
              <w:rPr>
                <w:sz w:val="22"/>
                <w:szCs w:val="22"/>
              </w:rPr>
            </w:pPr>
            <w:r w:rsidRPr="00B207E0">
              <w:rPr>
                <w:sz w:val="22"/>
                <w:szCs w:val="22"/>
              </w:rPr>
              <w:t>Materiál nelegislatívnej povahy</w:t>
            </w:r>
          </w:p>
        </w:tc>
      </w:tr>
      <w:tr w:rsidR="00A915BD" w:rsidRPr="00B207E0" w:rsidTr="00524EE1">
        <w:tc>
          <w:tcPr>
            <w:tcW w:w="4212" w:type="dxa"/>
            <w:gridSpan w:val="2"/>
            <w:vMerge/>
            <w:tcBorders>
              <w:top w:val="nil"/>
              <w:left w:val="single" w:sz="4" w:space="0" w:color="auto"/>
              <w:bottom w:val="single" w:sz="4" w:space="0" w:color="FFFFFF" w:themeColor="background1"/>
            </w:tcBorders>
            <w:shd w:val="clear" w:color="auto" w:fill="E2E2E2"/>
          </w:tcPr>
          <w:p w:rsidR="00A915BD" w:rsidRPr="00B207E0" w:rsidRDefault="00A915BD" w:rsidP="00A915BD">
            <w:pPr>
              <w:spacing w:line="276" w:lineRule="auto"/>
              <w:rPr>
                <w:sz w:val="22"/>
                <w:szCs w:val="22"/>
              </w:rPr>
            </w:pPr>
          </w:p>
        </w:tc>
        <w:sdt>
          <w:sdtPr>
            <w:rPr>
              <w:sz w:val="22"/>
              <w:szCs w:val="22"/>
            </w:rPr>
            <w:id w:val="-145588339"/>
            <w14:checkbox>
              <w14:checked w14:val="1"/>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A915BD" w:rsidRPr="00B207E0" w:rsidRDefault="00A915BD" w:rsidP="00A915BD">
                <w:pPr>
                  <w:spacing w:line="276" w:lineRule="auto"/>
                  <w:jc w:val="center"/>
                  <w:rPr>
                    <w:sz w:val="22"/>
                    <w:szCs w:val="22"/>
                  </w:rPr>
                </w:pPr>
                <w:r w:rsidRPr="00B207E0">
                  <w:rPr>
                    <w:rFonts w:ascii="MS Gothic" w:eastAsia="MS Gothic" w:hAnsi="MS Gothic" w:hint="eastAsia"/>
                    <w:sz w:val="22"/>
                    <w:szCs w:val="22"/>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A915BD" w:rsidRPr="00B207E0" w:rsidRDefault="00A915BD" w:rsidP="00A915BD">
            <w:pPr>
              <w:spacing w:line="276" w:lineRule="auto"/>
              <w:ind w:left="175" w:hanging="175"/>
              <w:rPr>
                <w:sz w:val="22"/>
                <w:szCs w:val="22"/>
              </w:rPr>
            </w:pPr>
            <w:r w:rsidRPr="00B207E0">
              <w:rPr>
                <w:sz w:val="22"/>
                <w:szCs w:val="22"/>
              </w:rPr>
              <w:t>Materiál legislatívnej povahy</w:t>
            </w:r>
          </w:p>
        </w:tc>
      </w:tr>
      <w:tr w:rsidR="00A915BD" w:rsidRPr="00B207E0" w:rsidTr="00524EE1">
        <w:tc>
          <w:tcPr>
            <w:tcW w:w="4212" w:type="dxa"/>
            <w:gridSpan w:val="2"/>
            <w:vMerge/>
            <w:tcBorders>
              <w:top w:val="nil"/>
              <w:left w:val="single" w:sz="4" w:space="0" w:color="auto"/>
              <w:bottom w:val="single" w:sz="4" w:space="0" w:color="auto"/>
            </w:tcBorders>
            <w:shd w:val="clear" w:color="auto" w:fill="E2E2E2"/>
          </w:tcPr>
          <w:p w:rsidR="00A915BD" w:rsidRPr="00B207E0" w:rsidRDefault="00A915BD" w:rsidP="00A915BD">
            <w:pPr>
              <w:spacing w:line="276" w:lineRule="auto"/>
              <w:rPr>
                <w:sz w:val="22"/>
                <w:szCs w:val="22"/>
              </w:rPr>
            </w:pPr>
          </w:p>
        </w:tc>
        <w:sdt>
          <w:sdtPr>
            <w:rPr>
              <w:sz w:val="22"/>
              <w:szCs w:val="22"/>
            </w:rPr>
            <w:id w:val="-1883475976"/>
            <w14:checkbox>
              <w14:checked w14:val="1"/>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A915BD" w:rsidRPr="00B207E0" w:rsidRDefault="00A915BD" w:rsidP="00A915BD">
                <w:pPr>
                  <w:spacing w:line="276" w:lineRule="auto"/>
                  <w:jc w:val="center"/>
                  <w:rPr>
                    <w:sz w:val="22"/>
                    <w:szCs w:val="22"/>
                  </w:rPr>
                </w:pPr>
                <w:r w:rsidRPr="00B207E0">
                  <w:rPr>
                    <w:rFonts w:ascii="MS Gothic" w:eastAsia="MS Gothic" w:hAnsi="MS Gothic" w:hint="eastAsia"/>
                    <w:sz w:val="22"/>
                    <w:szCs w:val="22"/>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A915BD" w:rsidRPr="00B207E0" w:rsidRDefault="00A915BD" w:rsidP="00A915BD">
            <w:pPr>
              <w:spacing w:line="276" w:lineRule="auto"/>
              <w:rPr>
                <w:sz w:val="22"/>
                <w:szCs w:val="22"/>
              </w:rPr>
            </w:pPr>
            <w:r w:rsidRPr="00B207E0">
              <w:rPr>
                <w:sz w:val="22"/>
                <w:szCs w:val="22"/>
              </w:rPr>
              <w:t>Transpozícia práva EÚ</w:t>
            </w:r>
          </w:p>
        </w:tc>
      </w:tr>
      <w:tr w:rsidR="00A915BD" w:rsidRPr="00B207E0" w:rsidTr="00524EE1">
        <w:tc>
          <w:tcPr>
            <w:tcW w:w="9180" w:type="dxa"/>
            <w:gridSpan w:val="10"/>
            <w:tcBorders>
              <w:top w:val="single" w:sz="4" w:space="0" w:color="auto"/>
              <w:left w:val="single" w:sz="4" w:space="0" w:color="auto"/>
              <w:bottom w:val="single" w:sz="4" w:space="0" w:color="FFFFFF" w:themeColor="background1"/>
            </w:tcBorders>
            <w:shd w:val="clear" w:color="auto" w:fill="FFFFFF" w:themeFill="background1"/>
          </w:tcPr>
          <w:p w:rsidR="00A915BD" w:rsidRPr="00B207E0" w:rsidRDefault="00A915BD" w:rsidP="00A915BD">
            <w:pPr>
              <w:spacing w:line="276" w:lineRule="auto"/>
              <w:rPr>
                <w:i/>
                <w:sz w:val="22"/>
                <w:szCs w:val="22"/>
              </w:rPr>
            </w:pPr>
            <w:r w:rsidRPr="00B207E0">
              <w:rPr>
                <w:i/>
                <w:sz w:val="22"/>
                <w:szCs w:val="22"/>
              </w:rPr>
              <w:t>V prípade transpozície uveďte zoznam transponovaných predpisov:</w:t>
            </w:r>
          </w:p>
          <w:p w:rsidR="00A915BD" w:rsidRPr="00B207E0" w:rsidRDefault="00A915BD" w:rsidP="00A915BD">
            <w:pPr>
              <w:spacing w:line="276" w:lineRule="auto"/>
              <w:rPr>
                <w:i/>
                <w:sz w:val="22"/>
                <w:szCs w:val="22"/>
              </w:rPr>
            </w:pPr>
          </w:p>
          <w:p w:rsidR="00A915BD" w:rsidRPr="00934050" w:rsidRDefault="00A915BD" w:rsidP="00A915BD">
            <w:pPr>
              <w:pStyle w:val="Odsekzoznamu"/>
              <w:numPr>
                <w:ilvl w:val="0"/>
                <w:numId w:val="13"/>
              </w:numPr>
              <w:spacing w:after="200" w:line="276" w:lineRule="auto"/>
            </w:pPr>
            <w:r w:rsidRPr="00934050">
              <w:t>smernica Európskeho parlamentu a Rady 2014/</w:t>
            </w:r>
            <w:r>
              <w:t>879</w:t>
            </w:r>
            <w:r w:rsidRPr="00934050">
              <w:t>/EÚ z  20. mája 2019, ktorou sa mení smernica 2014/59/EÚ, pokiaľ ide o kapacitu úverových inštitúcií a investičných spoločností na absorpciu strát a rekapitalizáciu, a smernica 98/26/ES</w:t>
            </w:r>
            <w:r>
              <w:t xml:space="preserve"> </w:t>
            </w:r>
            <w:r w:rsidRPr="00D46171">
              <w:t>(Ú. v. EÚ L 150, 7.6.2019)</w:t>
            </w:r>
            <w:r w:rsidRPr="008706AB">
              <w:t>,</w:t>
            </w:r>
            <w:r w:rsidRPr="00934050">
              <w:t xml:space="preserve"> </w:t>
            </w:r>
          </w:p>
          <w:p w:rsidR="00A915BD" w:rsidRPr="00B207E0" w:rsidRDefault="00A915BD" w:rsidP="00A915BD">
            <w:pPr>
              <w:pStyle w:val="Odsekzoznamu"/>
              <w:numPr>
                <w:ilvl w:val="0"/>
                <w:numId w:val="13"/>
              </w:numPr>
              <w:spacing w:line="276" w:lineRule="auto"/>
              <w:ind w:left="714" w:hanging="357"/>
              <w:rPr>
                <w:b/>
              </w:rPr>
            </w:pPr>
            <w:r w:rsidRPr="00B207E0">
              <w:rPr>
                <w:shd w:val="clear" w:color="auto" w:fill="FFFFFF"/>
              </w:rPr>
              <w:t>transpozičný deficit pri niektorých ustanoveniach smernice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w:t>
            </w:r>
            <w:r>
              <w:rPr>
                <w:shd w:val="clear" w:color="auto" w:fill="FFFFFF"/>
              </w:rPr>
              <w:t xml:space="preserve"> </w:t>
            </w:r>
            <w:r w:rsidRPr="00D46171">
              <w:t>(Ú. v. EÚ L 173, 12.6.2014) v platnom znení</w:t>
            </w:r>
            <w:r>
              <w:t>.</w:t>
            </w:r>
          </w:p>
          <w:p w:rsidR="00A915BD" w:rsidRPr="00B207E0" w:rsidRDefault="00A915BD" w:rsidP="00A915BD">
            <w:pPr>
              <w:spacing w:line="276" w:lineRule="auto"/>
              <w:rPr>
                <w:sz w:val="22"/>
                <w:szCs w:val="22"/>
              </w:rPr>
            </w:pPr>
          </w:p>
        </w:tc>
      </w:tr>
      <w:tr w:rsidR="00A915BD" w:rsidRPr="00B207E0" w:rsidTr="00524EE1">
        <w:tc>
          <w:tcPr>
            <w:tcW w:w="5634" w:type="dxa"/>
            <w:gridSpan w:val="5"/>
            <w:tcBorders>
              <w:top w:val="single" w:sz="4" w:space="0" w:color="000000" w:themeColor="text1"/>
              <w:left w:val="single" w:sz="4" w:space="0" w:color="auto"/>
              <w:bottom w:val="single" w:sz="4" w:space="0" w:color="FFFFFF" w:themeColor="background1"/>
              <w:right w:val="single" w:sz="4" w:space="0" w:color="auto"/>
            </w:tcBorders>
            <w:shd w:val="clear" w:color="auto" w:fill="E2E2E2"/>
          </w:tcPr>
          <w:p w:rsidR="00A915BD" w:rsidRPr="00B207E0" w:rsidRDefault="00A915BD" w:rsidP="00A915BD">
            <w:pPr>
              <w:pStyle w:val="Odsekzoznamu"/>
              <w:spacing w:line="276" w:lineRule="auto"/>
              <w:ind w:left="142"/>
              <w:rPr>
                <w:b/>
              </w:rPr>
            </w:pPr>
            <w:r w:rsidRPr="00B207E0">
              <w:rPr>
                <w:b/>
              </w:rPr>
              <w:t>Termín začiatku a ukončenia PPK</w:t>
            </w:r>
          </w:p>
        </w:tc>
        <w:tc>
          <w:tcPr>
            <w:tcW w:w="3546" w:type="dxa"/>
            <w:gridSpan w:val="5"/>
            <w:tcBorders>
              <w:top w:val="single" w:sz="4" w:space="0" w:color="000000" w:themeColor="text1"/>
              <w:left w:val="single" w:sz="4" w:space="0" w:color="auto"/>
              <w:bottom w:val="single" w:sz="4" w:space="0" w:color="auto"/>
              <w:right w:val="single" w:sz="4" w:space="0" w:color="auto"/>
            </w:tcBorders>
          </w:tcPr>
          <w:p w:rsidR="00A915BD" w:rsidRPr="003A03A1" w:rsidRDefault="00A915BD" w:rsidP="00A915BD">
            <w:pPr>
              <w:spacing w:line="276" w:lineRule="auto"/>
              <w:rPr>
                <w:sz w:val="22"/>
                <w:szCs w:val="22"/>
              </w:rPr>
            </w:pPr>
            <w:r w:rsidRPr="003A03A1">
              <w:rPr>
                <w:sz w:val="22"/>
                <w:szCs w:val="22"/>
              </w:rPr>
              <w:t>začiatok PPK: </w:t>
            </w:r>
            <w:r>
              <w:rPr>
                <w:sz w:val="22"/>
                <w:szCs w:val="22"/>
              </w:rPr>
              <w:t>6</w:t>
            </w:r>
            <w:r w:rsidRPr="003A03A1">
              <w:rPr>
                <w:sz w:val="22"/>
                <w:szCs w:val="22"/>
              </w:rPr>
              <w:t>. 5. 2020</w:t>
            </w:r>
            <w:r w:rsidRPr="003A03A1">
              <w:rPr>
                <w:sz w:val="22"/>
                <w:szCs w:val="22"/>
              </w:rPr>
              <w:br/>
              <w:t>ukončenie PPK: </w:t>
            </w:r>
            <w:r>
              <w:rPr>
                <w:sz w:val="22"/>
                <w:szCs w:val="22"/>
              </w:rPr>
              <w:t>22</w:t>
            </w:r>
            <w:r w:rsidRPr="003A03A1">
              <w:rPr>
                <w:sz w:val="22"/>
                <w:szCs w:val="22"/>
              </w:rPr>
              <w:t>. 5.2020</w:t>
            </w:r>
          </w:p>
          <w:p w:rsidR="00A915BD" w:rsidRPr="003A03A1" w:rsidRDefault="00A915BD" w:rsidP="00A915BD">
            <w:pPr>
              <w:spacing w:line="276" w:lineRule="auto"/>
              <w:rPr>
                <w:sz w:val="22"/>
                <w:szCs w:val="22"/>
              </w:rPr>
            </w:pPr>
          </w:p>
        </w:tc>
      </w:tr>
      <w:tr w:rsidR="00A915BD" w:rsidRPr="00B207E0" w:rsidTr="00524EE1">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A915BD" w:rsidRPr="00B207E0" w:rsidRDefault="00A915BD" w:rsidP="00A915BD">
            <w:pPr>
              <w:pStyle w:val="Odsekzoznamu"/>
              <w:spacing w:line="276" w:lineRule="auto"/>
              <w:ind w:left="142"/>
              <w:rPr>
                <w:b/>
              </w:rPr>
            </w:pPr>
            <w:r w:rsidRPr="00B207E0">
              <w:rPr>
                <w:b/>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cPr>
          <w:p w:rsidR="00A915BD" w:rsidRPr="003A03A1" w:rsidRDefault="00A915BD" w:rsidP="00A915BD">
            <w:pPr>
              <w:spacing w:line="276" w:lineRule="auto"/>
              <w:rPr>
                <w:sz w:val="22"/>
                <w:szCs w:val="22"/>
              </w:rPr>
            </w:pPr>
            <w:r w:rsidRPr="003A03A1">
              <w:rPr>
                <w:sz w:val="22"/>
                <w:szCs w:val="22"/>
              </w:rPr>
              <w:t>máj – jún 2020</w:t>
            </w:r>
          </w:p>
        </w:tc>
      </w:tr>
      <w:tr w:rsidR="00A915BD" w:rsidRPr="00B207E0" w:rsidTr="00524EE1">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A915BD" w:rsidRPr="00B207E0" w:rsidRDefault="00A915BD" w:rsidP="00A915BD">
            <w:pPr>
              <w:pStyle w:val="Odsekzoznamu"/>
              <w:spacing w:line="276" w:lineRule="auto"/>
              <w:ind w:left="142"/>
              <w:rPr>
                <w:b/>
              </w:rPr>
            </w:pPr>
            <w:r w:rsidRPr="00B207E0">
              <w:rPr>
                <w:b/>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cPr>
          <w:p w:rsidR="00A915BD" w:rsidRPr="003A03A1" w:rsidRDefault="00A915BD" w:rsidP="00A915BD">
            <w:pPr>
              <w:spacing w:line="276" w:lineRule="auto"/>
              <w:rPr>
                <w:sz w:val="22"/>
                <w:szCs w:val="22"/>
              </w:rPr>
            </w:pPr>
            <w:r w:rsidRPr="003A03A1">
              <w:rPr>
                <w:sz w:val="22"/>
                <w:szCs w:val="22"/>
              </w:rPr>
              <w:t>jún – júl 2020</w:t>
            </w:r>
          </w:p>
        </w:tc>
      </w:tr>
      <w:tr w:rsidR="00A915BD" w:rsidRPr="00B207E0" w:rsidTr="00524EE1">
        <w:tc>
          <w:tcPr>
            <w:tcW w:w="9180" w:type="dxa"/>
            <w:gridSpan w:val="10"/>
            <w:tcBorders>
              <w:top w:val="single" w:sz="4" w:space="0" w:color="auto"/>
              <w:left w:val="nil"/>
              <w:bottom w:val="single" w:sz="4" w:space="0" w:color="auto"/>
              <w:right w:val="nil"/>
            </w:tcBorders>
            <w:shd w:val="clear" w:color="auto" w:fill="FFFFFF" w:themeFill="background1"/>
          </w:tcPr>
          <w:p w:rsidR="00A915BD" w:rsidRPr="00B207E0" w:rsidRDefault="00A915BD" w:rsidP="00A915BD">
            <w:pPr>
              <w:spacing w:line="276" w:lineRule="auto"/>
              <w:rPr>
                <w:sz w:val="22"/>
                <w:szCs w:val="22"/>
              </w:rPr>
            </w:pPr>
          </w:p>
          <w:p w:rsidR="00A915BD" w:rsidRPr="00B207E0" w:rsidRDefault="00A915BD" w:rsidP="00A915BD">
            <w:pPr>
              <w:spacing w:line="276" w:lineRule="auto"/>
              <w:rPr>
                <w:sz w:val="22"/>
                <w:szCs w:val="22"/>
              </w:rPr>
            </w:pPr>
          </w:p>
        </w:tc>
      </w:tr>
      <w:tr w:rsidR="00A915BD" w:rsidRPr="00B207E0" w:rsidTr="00524EE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A915BD" w:rsidRPr="00B207E0" w:rsidRDefault="00A915BD" w:rsidP="00A915BD">
            <w:pPr>
              <w:pStyle w:val="Odsekzoznamu"/>
              <w:numPr>
                <w:ilvl w:val="0"/>
                <w:numId w:val="12"/>
              </w:numPr>
              <w:spacing w:line="276" w:lineRule="auto"/>
              <w:ind w:left="426"/>
              <w:rPr>
                <w:b/>
              </w:rPr>
            </w:pPr>
            <w:r w:rsidRPr="00B207E0">
              <w:rPr>
                <w:b/>
              </w:rPr>
              <w:t>Definovanie problému</w:t>
            </w:r>
          </w:p>
        </w:tc>
      </w:tr>
      <w:tr w:rsidR="00A915BD" w:rsidRPr="00B207E0" w:rsidTr="00524EE1">
        <w:trPr>
          <w:trHeight w:val="718"/>
        </w:trPr>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A915BD" w:rsidRPr="00B207E0" w:rsidRDefault="00A915BD" w:rsidP="00A915BD">
            <w:pPr>
              <w:spacing w:line="276" w:lineRule="auto"/>
              <w:rPr>
                <w:i/>
                <w:sz w:val="22"/>
                <w:szCs w:val="22"/>
              </w:rPr>
            </w:pPr>
            <w:r w:rsidRPr="00B207E0">
              <w:rPr>
                <w:i/>
                <w:sz w:val="22"/>
                <w:szCs w:val="22"/>
              </w:rPr>
              <w:t>Uveďte základné problémy, na ktoré navrhovaná regulácia reaguje.</w:t>
            </w:r>
          </w:p>
          <w:p w:rsidR="00A915BD" w:rsidRPr="00B207E0" w:rsidRDefault="00A915BD" w:rsidP="00A915BD">
            <w:pPr>
              <w:spacing w:line="276" w:lineRule="auto"/>
              <w:rPr>
                <w:b/>
                <w:sz w:val="22"/>
                <w:szCs w:val="22"/>
              </w:rPr>
            </w:pPr>
          </w:p>
          <w:p w:rsidR="00A915BD" w:rsidRPr="00B207E0" w:rsidRDefault="00A915BD" w:rsidP="00A915BD">
            <w:pPr>
              <w:spacing w:after="120" w:line="276" w:lineRule="auto"/>
              <w:jc w:val="both"/>
              <w:rPr>
                <w:sz w:val="22"/>
                <w:szCs w:val="22"/>
              </w:rPr>
            </w:pPr>
            <w:r w:rsidRPr="00934050">
              <w:rPr>
                <w:sz w:val="22"/>
                <w:szCs w:val="22"/>
              </w:rPr>
              <w:t xml:space="preserve">Dôvodom </w:t>
            </w:r>
            <w:r w:rsidRPr="007D4059">
              <w:rPr>
                <w:sz w:val="22"/>
                <w:szCs w:val="22"/>
              </w:rPr>
              <w:t xml:space="preserve">návrhu zákona, ktorým sa mení a dopĺňa zákon č. 371/2014 Z. z. o riešení krízových situácií na finančnom trhu a o zmene a doplnení niektorých zákonov v znení neskorších predpisov a ktorým sa dopĺňa zákon č. 7/2005 Z. z. o konkurze a reštrukturalizácii a o zmene a doplnení niektorých zákonov v znení neskorších predpisov </w:t>
            </w:r>
            <w:r w:rsidRPr="00934050">
              <w:rPr>
                <w:sz w:val="22"/>
                <w:szCs w:val="22"/>
              </w:rPr>
              <w:t xml:space="preserve">(ďalej len „návrh zákona“) je v prvom rade </w:t>
            </w:r>
            <w:r>
              <w:rPr>
                <w:sz w:val="22"/>
                <w:szCs w:val="22"/>
              </w:rPr>
              <w:t>prebratie</w:t>
            </w:r>
            <w:r w:rsidRPr="00934050">
              <w:rPr>
                <w:sz w:val="22"/>
                <w:szCs w:val="22"/>
              </w:rPr>
              <w:t xml:space="preserve"> smernice Európskeho parlamentu a Rady (EÚ) 2019/87</w:t>
            </w:r>
            <w:r>
              <w:rPr>
                <w:sz w:val="22"/>
                <w:szCs w:val="22"/>
              </w:rPr>
              <w:t>9</w:t>
            </w:r>
            <w:r w:rsidRPr="00934050">
              <w:rPr>
                <w:sz w:val="22"/>
                <w:szCs w:val="22"/>
              </w:rPr>
              <w:t xml:space="preserve"> z 20. mája 2019, ktorou sa mení smernica 2014/59/EÚ, </w:t>
            </w:r>
            <w:r w:rsidRPr="00934050">
              <w:rPr>
                <w:sz w:val="22"/>
                <w:szCs w:val="22"/>
              </w:rPr>
              <w:lastRenderedPageBreak/>
              <w:t>pokiaľ ide o kapacitu úverových inštitúcií a investičných spoločností na absorpciu strát a rekapitalizáciu, a smernica 98/26/ES (ďalej len „BRRD 2“), ktorej hlavným cieľom je znižovanie rizík v bankovom sektore.</w:t>
            </w:r>
            <w:r>
              <w:rPr>
                <w:sz w:val="22"/>
                <w:szCs w:val="22"/>
              </w:rPr>
              <w:t xml:space="preserve"> </w:t>
            </w:r>
          </w:p>
          <w:p w:rsidR="00A915BD" w:rsidRPr="00B207E0" w:rsidRDefault="00A915BD" w:rsidP="00A915BD">
            <w:pPr>
              <w:spacing w:after="120" w:line="276" w:lineRule="auto"/>
              <w:jc w:val="both"/>
              <w:rPr>
                <w:b/>
                <w:sz w:val="22"/>
                <w:szCs w:val="22"/>
              </w:rPr>
            </w:pPr>
            <w:r w:rsidRPr="00B207E0">
              <w:rPr>
                <w:sz w:val="22"/>
                <w:szCs w:val="22"/>
              </w:rPr>
              <w:t>Súčasťou návrhu sú aj legislatívne úpravy spočívajúce v spresnení niektorých platných ustanovení s cieľom reagovať na poznatky a skúsenosti z aplikačnej praxe. Jedná sa o úpravy technického charakteru, ktoré neprinášajú do praktického fungovania zásadné zmeny.</w:t>
            </w:r>
          </w:p>
          <w:p w:rsidR="00A915BD" w:rsidRPr="00B207E0" w:rsidRDefault="00A915BD" w:rsidP="00A915BD">
            <w:pPr>
              <w:spacing w:line="276" w:lineRule="auto"/>
              <w:rPr>
                <w:b/>
                <w:sz w:val="22"/>
                <w:szCs w:val="22"/>
              </w:rPr>
            </w:pPr>
          </w:p>
        </w:tc>
      </w:tr>
      <w:tr w:rsidR="00A915BD" w:rsidRPr="00B207E0" w:rsidTr="00524EE1">
        <w:tc>
          <w:tcPr>
            <w:tcW w:w="9180" w:type="dxa"/>
            <w:gridSpan w:val="10"/>
            <w:tcBorders>
              <w:top w:val="single" w:sz="4" w:space="0" w:color="auto"/>
              <w:left w:val="single" w:sz="4" w:space="0" w:color="auto"/>
              <w:bottom w:val="nil"/>
              <w:right w:val="single" w:sz="4" w:space="0" w:color="auto"/>
            </w:tcBorders>
            <w:shd w:val="clear" w:color="auto" w:fill="E2E2E2"/>
          </w:tcPr>
          <w:p w:rsidR="00A915BD" w:rsidRPr="00B207E0" w:rsidRDefault="00A915BD" w:rsidP="00A915BD">
            <w:pPr>
              <w:pStyle w:val="Odsekzoznamu"/>
              <w:numPr>
                <w:ilvl w:val="0"/>
                <w:numId w:val="12"/>
              </w:numPr>
              <w:spacing w:line="276" w:lineRule="auto"/>
              <w:ind w:left="426"/>
              <w:rPr>
                <w:b/>
              </w:rPr>
            </w:pPr>
            <w:r w:rsidRPr="00B207E0">
              <w:rPr>
                <w:b/>
              </w:rPr>
              <w:lastRenderedPageBreak/>
              <w:t>Ciele a výsledný stav</w:t>
            </w:r>
          </w:p>
        </w:tc>
      </w:tr>
      <w:tr w:rsidR="00A915BD" w:rsidRPr="00B207E0" w:rsidTr="00524EE1">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A915BD" w:rsidRPr="00B207E0" w:rsidRDefault="00A915BD" w:rsidP="00A915BD">
            <w:pPr>
              <w:spacing w:line="276" w:lineRule="auto"/>
              <w:rPr>
                <w:i/>
                <w:sz w:val="22"/>
                <w:szCs w:val="22"/>
              </w:rPr>
            </w:pPr>
            <w:r w:rsidRPr="00B207E0">
              <w:rPr>
                <w:i/>
                <w:sz w:val="22"/>
                <w:szCs w:val="22"/>
              </w:rPr>
              <w:t>Uveďte hlavné ciele navrhovaného predpisu (aký výsledný stav chcete reguláciou dosiahnuť).</w:t>
            </w:r>
          </w:p>
          <w:p w:rsidR="00A915BD" w:rsidRPr="00B207E0" w:rsidRDefault="00A915BD" w:rsidP="00A915BD">
            <w:pPr>
              <w:spacing w:line="276" w:lineRule="auto"/>
              <w:rPr>
                <w:sz w:val="22"/>
                <w:szCs w:val="22"/>
              </w:rPr>
            </w:pPr>
          </w:p>
          <w:p w:rsidR="00A915BD" w:rsidRPr="00B207E0" w:rsidRDefault="00A915BD" w:rsidP="00A915BD">
            <w:pPr>
              <w:spacing w:after="120" w:line="276" w:lineRule="auto"/>
              <w:jc w:val="both"/>
              <w:rPr>
                <w:sz w:val="22"/>
                <w:szCs w:val="22"/>
              </w:rPr>
            </w:pPr>
            <w:r w:rsidRPr="00B207E0">
              <w:rPr>
                <w:sz w:val="22"/>
                <w:szCs w:val="22"/>
              </w:rPr>
              <w:t xml:space="preserve">Hlavným cieľom návrhu zákona je v súlade s cieľmi CDR V snaha o zvyšovanie stability finančného systému a s tým súvisiacu zvyšujúcu sa dôveru klientov vo finančný sektor a služby ním poskytované. </w:t>
            </w:r>
          </w:p>
          <w:p w:rsidR="00A915BD" w:rsidRPr="00B207E0" w:rsidRDefault="00A915BD" w:rsidP="00A915BD">
            <w:pPr>
              <w:spacing w:line="276" w:lineRule="auto"/>
              <w:jc w:val="both"/>
              <w:rPr>
                <w:sz w:val="22"/>
                <w:szCs w:val="22"/>
              </w:rPr>
            </w:pPr>
            <w:r w:rsidRPr="00B207E0">
              <w:rPr>
                <w:sz w:val="22"/>
                <w:szCs w:val="22"/>
              </w:rPr>
              <w:t>Medzi najdôležitejšie zmeny, ktoré zavádza návrh zákona, patria:</w:t>
            </w:r>
          </w:p>
          <w:p w:rsidR="00A915BD" w:rsidRPr="00D86674" w:rsidRDefault="00A915BD" w:rsidP="00A915BD">
            <w:pPr>
              <w:pStyle w:val="Odsekzoznamu"/>
              <w:numPr>
                <w:ilvl w:val="0"/>
                <w:numId w:val="5"/>
              </w:numPr>
              <w:spacing w:after="120" w:line="276" w:lineRule="auto"/>
              <w:jc w:val="both"/>
            </w:pPr>
            <w:r w:rsidRPr="00D86674">
              <w:t>Zmeny zabezpečujúce rovnaké podmienky pre inštitúcie a subjekty usedené v Európskej únii, a to aj na globálnej úrovni, aby zosúladili kritériá oprávnenosti pre záväzky použiteľné pri záchrane pomocou vnútorných zdrojov (MREL) s kritériami stanovenými pre minimálnu požiadavku na TLAC (normy týkajúcej sa hlavných prvkov celkovej kapacity na absorpciu Globálne systémovo významných inštitúcií). Navrhovanými zmenami sa uvedie do lepšieho súladu súčasný regulačný rámec s medzinárodným vývojom, aby sa podporila konzistentnosť a porovnateľnosť s jednotlivými jurisdikciami.</w:t>
            </w:r>
          </w:p>
          <w:p w:rsidR="00A915BD" w:rsidRPr="00D86674" w:rsidRDefault="00A915BD" w:rsidP="00A915BD">
            <w:pPr>
              <w:pStyle w:val="Odsekzoznamu"/>
              <w:numPr>
                <w:ilvl w:val="0"/>
                <w:numId w:val="5"/>
              </w:numPr>
              <w:spacing w:after="120" w:line="276" w:lineRule="auto"/>
              <w:jc w:val="both"/>
            </w:pPr>
            <w:r w:rsidRPr="00D86674">
              <w:t xml:space="preserve">Zmeny v oblasti plnenia požiadavky MREL -  ustanovujú,  že subjekty, ktorých krízová situácia sa rieši, by s cieľom splniť ich MREL mali mať povinnosť emitovať oprávnené nástroje a položky v prospech externých veriteľov ako tretích strán, na ktorých by sa vzťahovala záchrana pomocou vnútorných zdrojov, ak by subjekt, ktorého krízová situácia sa rieši, vstúpil do riešenia krízovej situácie. </w:t>
            </w:r>
          </w:p>
          <w:p w:rsidR="00A915BD" w:rsidRPr="00D86674" w:rsidRDefault="00A915BD" w:rsidP="00A915BD">
            <w:pPr>
              <w:pStyle w:val="Odsekzoznamu"/>
              <w:numPr>
                <w:ilvl w:val="0"/>
                <w:numId w:val="5"/>
              </w:numPr>
              <w:spacing w:after="120" w:line="276" w:lineRule="auto"/>
              <w:jc w:val="both"/>
            </w:pPr>
            <w:r w:rsidRPr="00D86674">
              <w:t xml:space="preserve">Zmeny zabezpečujúce transparentnosť - inštitúcie a subjekty budú v zmysle návrhu podávať správy Rade pre riešenie krízových situácií a  pravidelne sprístupňovať verejnosti svoje MREL, úrovne oprávnených záväzkov a záväzkov použiteľných pri záchrane pomocou vnútorných zdrojov, ako aj zloženie týchto záväzkov vrátane ich profilu splatnosti a postavenia v bežnom insolvenčnom konaní. </w:t>
            </w:r>
          </w:p>
          <w:p w:rsidR="00A915BD" w:rsidRPr="00D86674" w:rsidRDefault="00A915BD" w:rsidP="00A915BD">
            <w:pPr>
              <w:pStyle w:val="Odsekzoznamu"/>
              <w:numPr>
                <w:ilvl w:val="0"/>
                <w:numId w:val="5"/>
              </w:numPr>
              <w:spacing w:after="120" w:line="276" w:lineRule="auto"/>
              <w:jc w:val="both"/>
            </w:pPr>
            <w:r w:rsidRPr="00D86674">
              <w:t xml:space="preserve">Zmeny týkajúce sa ochrany retailových investorov – navrhované zmeny zabezpečujú predchádzanie vzniku situácie, kedy významnú časť nástrojov MREL konkrétnej inštitúcie alebo subjektu držia retailoví investori, ktorí možno nedostali primerané informácie o príslušných rizikách. Návrh zákona zabezpečuje, aby minimálna nominálna hodnota takýchto nástrojov bola relatívne vysoká, alebo aby investície do takýchto nástrojov nepredstavovali nadmernú časť portfólia investora. </w:t>
            </w:r>
          </w:p>
          <w:p w:rsidR="00A915BD" w:rsidRPr="00D86674" w:rsidRDefault="00A915BD" w:rsidP="00A915BD">
            <w:pPr>
              <w:pStyle w:val="Odsekzoznamu"/>
              <w:numPr>
                <w:ilvl w:val="0"/>
                <w:numId w:val="5"/>
              </w:numPr>
              <w:spacing w:after="120" w:line="276" w:lineRule="auto"/>
              <w:jc w:val="both"/>
            </w:pPr>
            <w:r w:rsidRPr="00D86674">
              <w:t xml:space="preserve">Zmeny v ochranných opatreniach – vykonané sú zmeny na uplatňovanie právomocí znižovať, odpisovať alebo konvertovať položky vlastných zdrojov bez porušenia ochranných opatrení týkajúcich sa veriteľov. </w:t>
            </w:r>
          </w:p>
          <w:p w:rsidR="00A915BD" w:rsidRPr="00B207E0" w:rsidRDefault="00A915BD" w:rsidP="00A915BD">
            <w:pPr>
              <w:spacing w:line="276" w:lineRule="auto"/>
              <w:rPr>
                <w:sz w:val="22"/>
                <w:szCs w:val="22"/>
              </w:rPr>
            </w:pPr>
          </w:p>
        </w:tc>
      </w:tr>
      <w:tr w:rsidR="00A915BD" w:rsidRPr="00B207E0" w:rsidTr="00524EE1">
        <w:tc>
          <w:tcPr>
            <w:tcW w:w="9180" w:type="dxa"/>
            <w:gridSpan w:val="10"/>
            <w:tcBorders>
              <w:top w:val="single" w:sz="4" w:space="0" w:color="auto"/>
              <w:left w:val="single" w:sz="4" w:space="0" w:color="auto"/>
              <w:bottom w:val="nil"/>
              <w:right w:val="single" w:sz="4" w:space="0" w:color="auto"/>
            </w:tcBorders>
            <w:shd w:val="clear" w:color="auto" w:fill="E2E2E2"/>
          </w:tcPr>
          <w:p w:rsidR="00A915BD" w:rsidRPr="00B207E0" w:rsidRDefault="00A915BD" w:rsidP="00A915BD">
            <w:pPr>
              <w:pStyle w:val="Odsekzoznamu"/>
              <w:numPr>
                <w:ilvl w:val="0"/>
                <w:numId w:val="12"/>
              </w:numPr>
              <w:spacing w:line="276" w:lineRule="auto"/>
              <w:ind w:left="426"/>
              <w:rPr>
                <w:b/>
              </w:rPr>
            </w:pPr>
            <w:r w:rsidRPr="00B207E0">
              <w:rPr>
                <w:b/>
              </w:rPr>
              <w:t>Dotknuté subjekty</w:t>
            </w:r>
          </w:p>
        </w:tc>
      </w:tr>
      <w:tr w:rsidR="00A915BD" w:rsidRPr="00B207E0" w:rsidTr="00524EE1">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A915BD" w:rsidRPr="00B207E0" w:rsidRDefault="00A915BD" w:rsidP="00A915BD">
            <w:pPr>
              <w:spacing w:line="276" w:lineRule="auto"/>
              <w:rPr>
                <w:i/>
                <w:sz w:val="22"/>
                <w:szCs w:val="22"/>
              </w:rPr>
            </w:pPr>
            <w:r w:rsidRPr="00B207E0">
              <w:rPr>
                <w:i/>
                <w:sz w:val="22"/>
                <w:szCs w:val="22"/>
              </w:rPr>
              <w:t>Uveďte subjekty, ktorých sa zmeny návrhu dotknú priamo aj nepriamo:</w:t>
            </w:r>
          </w:p>
          <w:p w:rsidR="00A915BD" w:rsidRPr="00B207E0" w:rsidRDefault="00A915BD" w:rsidP="00A915BD">
            <w:pPr>
              <w:spacing w:line="276" w:lineRule="auto"/>
              <w:rPr>
                <w:sz w:val="22"/>
                <w:szCs w:val="22"/>
              </w:rPr>
            </w:pPr>
          </w:p>
          <w:p w:rsidR="00A915BD" w:rsidRPr="00B207E0" w:rsidRDefault="00A915BD" w:rsidP="00A915BD">
            <w:pPr>
              <w:spacing w:line="276" w:lineRule="auto"/>
              <w:rPr>
                <w:sz w:val="22"/>
                <w:szCs w:val="22"/>
              </w:rPr>
            </w:pPr>
            <w:r w:rsidRPr="00B207E0">
              <w:rPr>
                <w:sz w:val="22"/>
                <w:szCs w:val="22"/>
              </w:rPr>
              <w:t>banky a pobočky zahraničných bánk (27)</w:t>
            </w:r>
          </w:p>
          <w:p w:rsidR="00A915BD" w:rsidRPr="00B207E0" w:rsidRDefault="00A915BD" w:rsidP="00A915BD">
            <w:pPr>
              <w:spacing w:line="276" w:lineRule="auto"/>
              <w:rPr>
                <w:sz w:val="22"/>
                <w:szCs w:val="22"/>
              </w:rPr>
            </w:pPr>
            <w:r w:rsidRPr="00B207E0">
              <w:rPr>
                <w:sz w:val="22"/>
                <w:szCs w:val="22"/>
              </w:rPr>
              <w:t xml:space="preserve">obchodníci s cennými papiermi a pobočky zahraničných obchodníkov s cennými papiermi </w:t>
            </w:r>
            <w:r w:rsidRPr="00E47012">
              <w:rPr>
                <w:sz w:val="22"/>
                <w:szCs w:val="22"/>
              </w:rPr>
              <w:t>(28</w:t>
            </w:r>
            <w:r w:rsidRPr="00B207E0">
              <w:rPr>
                <w:sz w:val="22"/>
                <w:szCs w:val="22"/>
              </w:rPr>
              <w:t>)</w:t>
            </w:r>
          </w:p>
          <w:p w:rsidR="00A915BD" w:rsidRDefault="00A915BD" w:rsidP="00A915BD">
            <w:pPr>
              <w:spacing w:line="276" w:lineRule="auto"/>
              <w:rPr>
                <w:i/>
                <w:sz w:val="22"/>
                <w:szCs w:val="22"/>
              </w:rPr>
            </w:pPr>
          </w:p>
          <w:p w:rsidR="00A915BD" w:rsidRDefault="00A915BD" w:rsidP="00A915BD">
            <w:pPr>
              <w:spacing w:line="276" w:lineRule="auto"/>
              <w:rPr>
                <w:i/>
                <w:sz w:val="22"/>
                <w:szCs w:val="22"/>
              </w:rPr>
            </w:pPr>
          </w:p>
          <w:p w:rsidR="00A915BD" w:rsidRPr="00B207E0" w:rsidRDefault="00A915BD" w:rsidP="00A915BD">
            <w:pPr>
              <w:spacing w:line="276" w:lineRule="auto"/>
              <w:rPr>
                <w:i/>
                <w:sz w:val="22"/>
                <w:szCs w:val="22"/>
              </w:rPr>
            </w:pPr>
          </w:p>
        </w:tc>
      </w:tr>
      <w:tr w:rsidR="00A915BD" w:rsidRPr="00B207E0" w:rsidTr="00524EE1">
        <w:tc>
          <w:tcPr>
            <w:tcW w:w="9180" w:type="dxa"/>
            <w:gridSpan w:val="10"/>
            <w:tcBorders>
              <w:top w:val="single" w:sz="4" w:space="0" w:color="auto"/>
              <w:left w:val="single" w:sz="4" w:space="0" w:color="auto"/>
              <w:bottom w:val="nil"/>
              <w:right w:val="single" w:sz="4" w:space="0" w:color="auto"/>
            </w:tcBorders>
            <w:shd w:val="clear" w:color="auto" w:fill="E2E2E2"/>
          </w:tcPr>
          <w:p w:rsidR="00A915BD" w:rsidRPr="00B207E0" w:rsidRDefault="00A915BD" w:rsidP="00A915BD">
            <w:pPr>
              <w:pStyle w:val="Odsekzoznamu"/>
              <w:numPr>
                <w:ilvl w:val="0"/>
                <w:numId w:val="12"/>
              </w:numPr>
              <w:spacing w:line="276" w:lineRule="auto"/>
              <w:ind w:left="426"/>
              <w:rPr>
                <w:b/>
              </w:rPr>
            </w:pPr>
            <w:r w:rsidRPr="00B207E0">
              <w:rPr>
                <w:b/>
              </w:rPr>
              <w:lastRenderedPageBreak/>
              <w:t>Alternatívne riešenia</w:t>
            </w:r>
          </w:p>
        </w:tc>
      </w:tr>
      <w:tr w:rsidR="00A915BD" w:rsidRPr="00B207E0" w:rsidTr="00524EE1">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A915BD" w:rsidRPr="00B207E0" w:rsidRDefault="00A915BD" w:rsidP="00A915BD">
            <w:pPr>
              <w:spacing w:line="276" w:lineRule="auto"/>
              <w:rPr>
                <w:i/>
                <w:sz w:val="22"/>
                <w:szCs w:val="22"/>
              </w:rPr>
            </w:pPr>
            <w:r w:rsidRPr="00B207E0">
              <w:rPr>
                <w:i/>
                <w:sz w:val="22"/>
                <w:szCs w:val="22"/>
              </w:rPr>
              <w:t>Aké alternatívne riešenia boli posudzované?</w:t>
            </w:r>
          </w:p>
          <w:p w:rsidR="00A915BD" w:rsidRPr="00B207E0" w:rsidRDefault="00A915BD" w:rsidP="00A915BD">
            <w:pPr>
              <w:spacing w:line="276" w:lineRule="auto"/>
              <w:rPr>
                <w:i/>
                <w:sz w:val="22"/>
                <w:szCs w:val="22"/>
              </w:rPr>
            </w:pPr>
            <w:r w:rsidRPr="00B207E0">
              <w:rPr>
                <w:i/>
                <w:sz w:val="22"/>
                <w:szCs w:val="22"/>
              </w:rPr>
              <w:t>Uveďte, aké alternatívne spôsoby na odstránenie definovaného problému boli identifikované a posudzované.</w:t>
            </w:r>
          </w:p>
          <w:p w:rsidR="00A915BD" w:rsidRPr="00B207E0" w:rsidRDefault="00A915BD" w:rsidP="00A915BD">
            <w:pPr>
              <w:spacing w:line="276" w:lineRule="auto"/>
              <w:rPr>
                <w:i/>
                <w:sz w:val="22"/>
                <w:szCs w:val="22"/>
              </w:rPr>
            </w:pPr>
          </w:p>
          <w:p w:rsidR="00A915BD" w:rsidRPr="00B207E0" w:rsidRDefault="00A915BD" w:rsidP="00A915BD">
            <w:pPr>
              <w:spacing w:line="276" w:lineRule="auto"/>
              <w:rPr>
                <w:sz w:val="22"/>
                <w:szCs w:val="22"/>
              </w:rPr>
            </w:pPr>
            <w:r w:rsidRPr="00B207E0">
              <w:rPr>
                <w:sz w:val="22"/>
                <w:szCs w:val="22"/>
              </w:rPr>
              <w:t>Alternatívne riešenia neboli zvažované.</w:t>
            </w:r>
          </w:p>
          <w:p w:rsidR="00A915BD" w:rsidRPr="00B207E0" w:rsidRDefault="00A915BD" w:rsidP="00A915BD">
            <w:pPr>
              <w:spacing w:line="276" w:lineRule="auto"/>
              <w:rPr>
                <w:i/>
                <w:sz w:val="22"/>
                <w:szCs w:val="22"/>
              </w:rPr>
            </w:pPr>
          </w:p>
        </w:tc>
      </w:tr>
      <w:tr w:rsidR="00A915BD" w:rsidRPr="00B207E0" w:rsidTr="00524EE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A915BD" w:rsidRPr="00B207E0" w:rsidRDefault="00A915BD" w:rsidP="00A915BD">
            <w:pPr>
              <w:pStyle w:val="Odsekzoznamu"/>
              <w:numPr>
                <w:ilvl w:val="0"/>
                <w:numId w:val="12"/>
              </w:numPr>
              <w:spacing w:line="276" w:lineRule="auto"/>
              <w:ind w:left="426"/>
              <w:rPr>
                <w:b/>
              </w:rPr>
            </w:pPr>
            <w:r w:rsidRPr="00B207E0">
              <w:rPr>
                <w:b/>
              </w:rPr>
              <w:t>Vykonávacie predpisy</w:t>
            </w:r>
          </w:p>
        </w:tc>
      </w:tr>
      <w:tr w:rsidR="00A915BD" w:rsidRPr="00B207E0" w:rsidTr="00524EE1">
        <w:tc>
          <w:tcPr>
            <w:tcW w:w="6203" w:type="dxa"/>
            <w:gridSpan w:val="6"/>
            <w:tcBorders>
              <w:top w:val="single" w:sz="4" w:space="0" w:color="FFFFFF" w:themeColor="background1"/>
              <w:left w:val="single" w:sz="4" w:space="0" w:color="auto"/>
              <w:bottom w:val="nil"/>
              <w:right w:val="nil"/>
            </w:tcBorders>
            <w:shd w:val="clear" w:color="auto" w:fill="FFFFFF" w:themeFill="background1"/>
          </w:tcPr>
          <w:p w:rsidR="00A915BD" w:rsidRPr="00B207E0" w:rsidRDefault="00A915BD" w:rsidP="00A915BD">
            <w:pPr>
              <w:spacing w:line="276" w:lineRule="auto"/>
              <w:rPr>
                <w:i/>
                <w:sz w:val="22"/>
                <w:szCs w:val="22"/>
              </w:rPr>
            </w:pPr>
            <w:r w:rsidRPr="00B207E0">
              <w:rPr>
                <w:i/>
                <w:sz w:val="22"/>
                <w:szCs w:val="22"/>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tcPr>
          <w:p w:rsidR="00A915BD" w:rsidRPr="00B207E0" w:rsidRDefault="00A915BD" w:rsidP="00A915BD">
            <w:pPr>
              <w:spacing w:line="276" w:lineRule="auto"/>
              <w:jc w:val="center"/>
              <w:rPr>
                <w:sz w:val="22"/>
                <w:szCs w:val="22"/>
              </w:rPr>
            </w:pPr>
            <w:sdt>
              <w:sdtPr>
                <w:rPr>
                  <w:sz w:val="22"/>
                  <w:szCs w:val="22"/>
                </w:rPr>
                <w:id w:val="-140761164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B207E0">
              <w:rPr>
                <w:sz w:val="22"/>
                <w:szCs w:val="22"/>
              </w:rPr>
              <w:t xml:space="preserve">  Áno</w:t>
            </w:r>
          </w:p>
        </w:tc>
        <w:tc>
          <w:tcPr>
            <w:tcW w:w="1560" w:type="dxa"/>
            <w:gridSpan w:val="2"/>
            <w:tcBorders>
              <w:top w:val="single" w:sz="4" w:space="0" w:color="FFFFFF" w:themeColor="background1"/>
              <w:left w:val="nil"/>
              <w:bottom w:val="nil"/>
              <w:right w:val="single" w:sz="4" w:space="0" w:color="auto"/>
            </w:tcBorders>
            <w:shd w:val="clear" w:color="auto" w:fill="FFFFFF" w:themeFill="background1"/>
          </w:tcPr>
          <w:p w:rsidR="00A915BD" w:rsidRPr="00B207E0" w:rsidRDefault="00A915BD" w:rsidP="00A915BD">
            <w:pPr>
              <w:spacing w:line="276" w:lineRule="auto"/>
              <w:jc w:val="center"/>
              <w:rPr>
                <w:sz w:val="22"/>
                <w:szCs w:val="22"/>
              </w:rPr>
            </w:pPr>
            <w:sdt>
              <w:sdtPr>
                <w:rPr>
                  <w:sz w:val="22"/>
                  <w:szCs w:val="22"/>
                </w:rPr>
                <w:id w:val="-1625842802"/>
                <w14:checkbox>
                  <w14:checked w14:val="1"/>
                  <w14:checkedState w14:val="2612" w14:font="MS Gothic"/>
                  <w14:uncheckedState w14:val="2610" w14:font="MS Gothic"/>
                </w14:checkbox>
              </w:sdtPr>
              <w:sdtContent>
                <w:r>
                  <w:rPr>
                    <w:rFonts w:ascii="MS Gothic" w:eastAsia="MS Gothic" w:hAnsi="MS Gothic" w:hint="eastAsia"/>
                    <w:sz w:val="22"/>
                    <w:szCs w:val="22"/>
                  </w:rPr>
                  <w:t>☒</w:t>
                </w:r>
              </w:sdtContent>
            </w:sdt>
            <w:r w:rsidRPr="00B207E0">
              <w:rPr>
                <w:sz w:val="22"/>
                <w:szCs w:val="22"/>
              </w:rPr>
              <w:t xml:space="preserve">  Nie</w:t>
            </w:r>
          </w:p>
        </w:tc>
      </w:tr>
      <w:tr w:rsidR="00A915BD" w:rsidRPr="00B207E0" w:rsidTr="00524EE1">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A915BD" w:rsidRPr="00B207E0" w:rsidRDefault="00A915BD" w:rsidP="00A915BD">
            <w:pPr>
              <w:spacing w:line="276" w:lineRule="auto"/>
              <w:rPr>
                <w:i/>
                <w:sz w:val="22"/>
                <w:szCs w:val="22"/>
              </w:rPr>
            </w:pPr>
            <w:r w:rsidRPr="00B207E0">
              <w:rPr>
                <w:i/>
                <w:sz w:val="22"/>
                <w:szCs w:val="22"/>
              </w:rPr>
              <w:t>Ak áno, uveďte ktoré oblasti budú nimi upravené, resp. ktorých vykonávacích predpisov sa zmena dotkne:</w:t>
            </w:r>
          </w:p>
          <w:p w:rsidR="00A915BD" w:rsidRPr="00B207E0" w:rsidRDefault="00A915BD" w:rsidP="00A915BD">
            <w:pPr>
              <w:spacing w:line="276" w:lineRule="auto"/>
              <w:rPr>
                <w:sz w:val="22"/>
                <w:szCs w:val="22"/>
              </w:rPr>
            </w:pPr>
          </w:p>
        </w:tc>
      </w:tr>
      <w:tr w:rsidR="00A915BD" w:rsidRPr="00B207E0" w:rsidTr="00524EE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A915BD" w:rsidRPr="00B207E0" w:rsidRDefault="00A915BD" w:rsidP="00A915BD">
            <w:pPr>
              <w:pStyle w:val="Odsekzoznamu"/>
              <w:numPr>
                <w:ilvl w:val="0"/>
                <w:numId w:val="12"/>
              </w:numPr>
              <w:spacing w:line="276" w:lineRule="auto"/>
              <w:ind w:left="426"/>
              <w:rPr>
                <w:b/>
              </w:rPr>
            </w:pPr>
            <w:r w:rsidRPr="00B207E0">
              <w:rPr>
                <w:b/>
              </w:rPr>
              <w:t xml:space="preserve">Transpozícia práva EÚ </w:t>
            </w:r>
          </w:p>
        </w:tc>
      </w:tr>
      <w:tr w:rsidR="00A915BD" w:rsidRPr="00B207E0" w:rsidTr="00524EE1">
        <w:trPr>
          <w:trHeight w:val="157"/>
        </w:trPr>
        <w:tc>
          <w:tcPr>
            <w:tcW w:w="9180" w:type="dxa"/>
            <w:gridSpan w:val="10"/>
            <w:tcBorders>
              <w:top w:val="nil"/>
              <w:left w:val="single" w:sz="4" w:space="0" w:color="000000" w:themeColor="text1"/>
              <w:bottom w:val="nil"/>
              <w:right w:val="single" w:sz="4" w:space="0" w:color="auto"/>
            </w:tcBorders>
            <w:shd w:val="clear" w:color="auto" w:fill="FFFFFF" w:themeFill="background1"/>
          </w:tcPr>
          <w:p w:rsidR="00A915BD" w:rsidRPr="00B207E0" w:rsidRDefault="00A915BD" w:rsidP="00A915BD">
            <w:pPr>
              <w:spacing w:line="276" w:lineRule="auto"/>
              <w:rPr>
                <w:i/>
                <w:sz w:val="22"/>
                <w:szCs w:val="22"/>
              </w:rPr>
            </w:pPr>
            <w:r w:rsidRPr="00B207E0">
              <w:rPr>
                <w:i/>
                <w:sz w:val="22"/>
                <w:szCs w:val="22"/>
              </w:rPr>
              <w:t>Uveďte, v ktorých ustanoveniach ide národná právna úprava nad rámec minimálnych požiadaviek EÚ spolu s odôvodnením.</w:t>
            </w:r>
          </w:p>
          <w:p w:rsidR="00A915BD" w:rsidRPr="00B207E0" w:rsidRDefault="00A915BD" w:rsidP="00A915BD">
            <w:pPr>
              <w:spacing w:line="276" w:lineRule="auto"/>
              <w:rPr>
                <w:i/>
                <w:sz w:val="22"/>
                <w:szCs w:val="22"/>
              </w:rPr>
            </w:pPr>
          </w:p>
          <w:p w:rsidR="00A915BD" w:rsidRPr="00B207E0" w:rsidRDefault="00A915BD" w:rsidP="00A915BD">
            <w:pPr>
              <w:spacing w:line="276" w:lineRule="auto"/>
              <w:rPr>
                <w:sz w:val="22"/>
                <w:szCs w:val="22"/>
              </w:rPr>
            </w:pPr>
            <w:r w:rsidRPr="00B207E0">
              <w:rPr>
                <w:sz w:val="22"/>
                <w:szCs w:val="22"/>
              </w:rPr>
              <w:t>Národná úprava nejde nad rámec minimálnych požiadaviek EÚ.</w:t>
            </w:r>
          </w:p>
        </w:tc>
      </w:tr>
      <w:tr w:rsidR="00A915BD" w:rsidRPr="00B207E0" w:rsidTr="00524EE1">
        <w:trPr>
          <w:trHeight w:val="248"/>
        </w:trPr>
        <w:tc>
          <w:tcPr>
            <w:tcW w:w="9180"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A915BD" w:rsidRPr="00B207E0" w:rsidRDefault="00A915BD" w:rsidP="00A915BD">
            <w:pPr>
              <w:spacing w:line="276" w:lineRule="auto"/>
              <w:jc w:val="center"/>
              <w:rPr>
                <w:sz w:val="22"/>
                <w:szCs w:val="22"/>
              </w:rPr>
            </w:pPr>
          </w:p>
        </w:tc>
      </w:tr>
      <w:tr w:rsidR="00A915BD" w:rsidRPr="00B207E0" w:rsidTr="00524EE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A915BD" w:rsidRPr="00B207E0" w:rsidRDefault="00A915BD" w:rsidP="00A915BD">
            <w:pPr>
              <w:pStyle w:val="Odsekzoznamu"/>
              <w:numPr>
                <w:ilvl w:val="0"/>
                <w:numId w:val="12"/>
              </w:numPr>
              <w:spacing w:line="276" w:lineRule="auto"/>
              <w:ind w:left="426"/>
              <w:rPr>
                <w:b/>
              </w:rPr>
            </w:pPr>
            <w:r w:rsidRPr="00B207E0">
              <w:rPr>
                <w:b/>
              </w:rPr>
              <w:t>Preskúmanie účelnosti**</w:t>
            </w:r>
          </w:p>
        </w:tc>
      </w:tr>
      <w:tr w:rsidR="00A915BD" w:rsidRPr="00B207E0" w:rsidTr="00524EE1">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A915BD" w:rsidRPr="00B207E0" w:rsidRDefault="00A915BD" w:rsidP="00A915BD">
            <w:pPr>
              <w:spacing w:line="276" w:lineRule="auto"/>
              <w:rPr>
                <w:i/>
                <w:sz w:val="22"/>
                <w:szCs w:val="22"/>
              </w:rPr>
            </w:pPr>
            <w:r w:rsidRPr="00B207E0">
              <w:rPr>
                <w:i/>
                <w:sz w:val="22"/>
                <w:szCs w:val="22"/>
              </w:rPr>
              <w:t>Uveďte termín, kedy by malo dôjsť k preskúmaniu účinnosti a účelnosti navrhovaného predpisu.</w:t>
            </w:r>
          </w:p>
          <w:p w:rsidR="00A915BD" w:rsidRPr="00B207E0" w:rsidRDefault="00A915BD" w:rsidP="00A915BD">
            <w:pPr>
              <w:spacing w:line="276" w:lineRule="auto"/>
              <w:rPr>
                <w:i/>
                <w:sz w:val="22"/>
                <w:szCs w:val="22"/>
              </w:rPr>
            </w:pPr>
            <w:r w:rsidRPr="00B207E0">
              <w:rPr>
                <w:i/>
                <w:sz w:val="22"/>
                <w:szCs w:val="22"/>
              </w:rPr>
              <w:t>Uveďte kritériá, na základe ktorých bude preskúmanie vykonané.</w:t>
            </w:r>
          </w:p>
          <w:p w:rsidR="00A915BD" w:rsidRPr="00B207E0" w:rsidRDefault="00A915BD" w:rsidP="00A915BD">
            <w:pPr>
              <w:spacing w:line="276" w:lineRule="auto"/>
              <w:rPr>
                <w:i/>
                <w:sz w:val="22"/>
                <w:szCs w:val="22"/>
              </w:rPr>
            </w:pPr>
          </w:p>
        </w:tc>
      </w:tr>
      <w:tr w:rsidR="00A915BD" w:rsidRPr="00B207E0" w:rsidTr="00524EE1">
        <w:trPr>
          <w:trHeight w:val="715"/>
        </w:trPr>
        <w:tc>
          <w:tcPr>
            <w:tcW w:w="9180" w:type="dxa"/>
            <w:gridSpan w:val="10"/>
            <w:tcBorders>
              <w:top w:val="single" w:sz="4" w:space="0" w:color="auto"/>
              <w:left w:val="nil"/>
              <w:bottom w:val="nil"/>
              <w:right w:val="nil"/>
            </w:tcBorders>
            <w:shd w:val="clear" w:color="auto" w:fill="FFFFFF" w:themeFill="background1"/>
          </w:tcPr>
          <w:p w:rsidR="00A915BD" w:rsidRPr="00B207E0" w:rsidRDefault="00A915BD" w:rsidP="00A915BD">
            <w:pPr>
              <w:spacing w:line="276" w:lineRule="auto"/>
              <w:ind w:left="142" w:hanging="142"/>
              <w:rPr>
                <w:sz w:val="22"/>
                <w:szCs w:val="22"/>
              </w:rPr>
            </w:pPr>
          </w:p>
          <w:p w:rsidR="00A915BD" w:rsidRPr="00B207E0" w:rsidRDefault="00A915BD" w:rsidP="00A915BD">
            <w:pPr>
              <w:spacing w:line="276" w:lineRule="auto"/>
              <w:ind w:left="142" w:hanging="142"/>
              <w:rPr>
                <w:sz w:val="22"/>
                <w:szCs w:val="22"/>
              </w:rPr>
            </w:pPr>
            <w:r w:rsidRPr="00B207E0">
              <w:rPr>
                <w:sz w:val="22"/>
                <w:szCs w:val="22"/>
              </w:rPr>
              <w:t xml:space="preserve">* vyplniť iba v prípade, ak materiál nie je zahrnutý do Plánu práce vlády Slovenskej republiky alebo Plánu        legislatívnych úloh vlády Slovenskej republiky. </w:t>
            </w:r>
          </w:p>
          <w:p w:rsidR="00A915BD" w:rsidRPr="00B207E0" w:rsidRDefault="00A915BD" w:rsidP="00A915BD">
            <w:pPr>
              <w:spacing w:line="276" w:lineRule="auto"/>
              <w:rPr>
                <w:sz w:val="22"/>
                <w:szCs w:val="22"/>
              </w:rPr>
            </w:pPr>
            <w:r w:rsidRPr="00B207E0">
              <w:rPr>
                <w:sz w:val="22"/>
                <w:szCs w:val="22"/>
              </w:rPr>
              <w:t>** nepovinné</w:t>
            </w:r>
          </w:p>
        </w:tc>
      </w:tr>
      <w:tr w:rsidR="00A915BD" w:rsidRPr="00B207E0" w:rsidTr="00524EE1">
        <w:tc>
          <w:tcPr>
            <w:tcW w:w="9180" w:type="dxa"/>
            <w:gridSpan w:val="10"/>
            <w:tcBorders>
              <w:top w:val="nil"/>
              <w:left w:val="nil"/>
              <w:bottom w:val="single" w:sz="4" w:space="0" w:color="auto"/>
              <w:right w:val="nil"/>
            </w:tcBorders>
            <w:shd w:val="clear" w:color="auto" w:fill="FFFFFF" w:themeFill="background1"/>
          </w:tcPr>
          <w:p w:rsidR="00A915BD" w:rsidRPr="00B207E0" w:rsidRDefault="00A915BD" w:rsidP="00A915BD">
            <w:pPr>
              <w:spacing w:line="276" w:lineRule="auto"/>
              <w:rPr>
                <w:b/>
                <w:sz w:val="22"/>
                <w:szCs w:val="22"/>
              </w:rPr>
            </w:pPr>
          </w:p>
        </w:tc>
      </w:tr>
      <w:tr w:rsidR="00A915BD" w:rsidRPr="00B207E0" w:rsidTr="00524EE1">
        <w:trPr>
          <w:trHeight w:val="577"/>
        </w:trPr>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vAlign w:val="center"/>
          </w:tcPr>
          <w:p w:rsidR="00A915BD" w:rsidRPr="00B207E0" w:rsidRDefault="00A915BD" w:rsidP="00A915BD">
            <w:pPr>
              <w:pStyle w:val="Odsekzoznamu"/>
              <w:numPr>
                <w:ilvl w:val="0"/>
                <w:numId w:val="12"/>
              </w:numPr>
              <w:spacing w:line="276" w:lineRule="auto"/>
              <w:ind w:left="426"/>
              <w:rPr>
                <w:b/>
              </w:rPr>
            </w:pPr>
            <w:r w:rsidRPr="00B207E0">
              <w:rPr>
                <w:b/>
              </w:rPr>
              <w:t>Vplyvy navrhovaného materiálu</w:t>
            </w:r>
          </w:p>
        </w:tc>
      </w:tr>
      <w:tr w:rsidR="00A915BD" w:rsidRPr="00B207E0" w:rsidTr="00524EE1">
        <w:tc>
          <w:tcPr>
            <w:tcW w:w="3812" w:type="dxa"/>
            <w:tcBorders>
              <w:top w:val="single" w:sz="4" w:space="0" w:color="auto"/>
              <w:left w:val="single" w:sz="4" w:space="0" w:color="auto"/>
              <w:bottom w:val="nil"/>
              <w:right w:val="single" w:sz="4" w:space="0" w:color="auto"/>
            </w:tcBorders>
            <w:shd w:val="clear" w:color="auto" w:fill="E2E2E2"/>
          </w:tcPr>
          <w:p w:rsidR="00A915BD" w:rsidRPr="00B207E0" w:rsidRDefault="00A915BD" w:rsidP="00A915BD">
            <w:pPr>
              <w:spacing w:line="276" w:lineRule="auto"/>
              <w:rPr>
                <w:b/>
                <w:sz w:val="22"/>
                <w:szCs w:val="22"/>
              </w:rPr>
            </w:pPr>
            <w:r w:rsidRPr="00B207E0">
              <w:rPr>
                <w:b/>
                <w:sz w:val="22"/>
                <w:szCs w:val="22"/>
              </w:rPr>
              <w:t>Vplyvy na rozpočet verejnej správy</w:t>
            </w:r>
          </w:p>
        </w:tc>
        <w:sdt>
          <w:sdtPr>
            <w:rPr>
              <w:b/>
              <w:sz w:val="22"/>
              <w:szCs w:val="22"/>
            </w:rPr>
            <w:id w:val="1121575439"/>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rsidR="00A915BD" w:rsidRPr="00B207E0" w:rsidRDefault="00A915BD" w:rsidP="00A915BD">
                <w:pPr>
                  <w:spacing w:line="276" w:lineRule="auto"/>
                  <w:jc w:val="center"/>
                  <w:rPr>
                    <w:b/>
                    <w:sz w:val="22"/>
                    <w:szCs w:val="22"/>
                  </w:rPr>
                </w:pPr>
                <w:r w:rsidRPr="00B207E0">
                  <w:rPr>
                    <w:rFonts w:ascii="Segoe UI Symbol" w:eastAsia="MS Mincho" w:hAnsi="Segoe UI Symbol" w:cs="Segoe UI Symbol"/>
                    <w:b/>
                    <w:sz w:val="22"/>
                    <w:szCs w:val="22"/>
                  </w:rPr>
                  <w:t>☐</w:t>
                </w:r>
              </w:p>
            </w:tc>
          </w:sdtContent>
        </w:sdt>
        <w:tc>
          <w:tcPr>
            <w:tcW w:w="1281" w:type="dxa"/>
            <w:gridSpan w:val="2"/>
            <w:tcBorders>
              <w:top w:val="single" w:sz="4" w:space="0" w:color="auto"/>
              <w:left w:val="nil"/>
              <w:bottom w:val="single" w:sz="4" w:space="0" w:color="auto"/>
              <w:right w:val="nil"/>
            </w:tcBorders>
          </w:tcPr>
          <w:p w:rsidR="00A915BD" w:rsidRPr="00B207E0" w:rsidRDefault="00A915BD" w:rsidP="00A915BD">
            <w:pPr>
              <w:spacing w:line="276" w:lineRule="auto"/>
              <w:rPr>
                <w:b/>
                <w:sz w:val="22"/>
                <w:szCs w:val="22"/>
              </w:rPr>
            </w:pPr>
            <w:r w:rsidRPr="00B207E0">
              <w:rPr>
                <w:b/>
                <w:sz w:val="22"/>
                <w:szCs w:val="22"/>
              </w:rPr>
              <w:t>Pozitívne</w:t>
            </w:r>
          </w:p>
        </w:tc>
        <w:sdt>
          <w:sdtPr>
            <w:rPr>
              <w:b/>
              <w:sz w:val="22"/>
              <w:szCs w:val="22"/>
            </w:rPr>
            <w:id w:val="-916405887"/>
            <w14:checkbox>
              <w14:checked w14:val="1"/>
              <w14:checkedState w14:val="2612" w14:font="MS Gothic"/>
              <w14:uncheckedState w14:val="2610" w14:font="MS Gothic"/>
            </w14:checkbox>
          </w:sdtPr>
          <w:sdtContent>
            <w:tc>
              <w:tcPr>
                <w:tcW w:w="569" w:type="dxa"/>
                <w:tcBorders>
                  <w:top w:val="single" w:sz="4" w:space="0" w:color="auto"/>
                  <w:left w:val="nil"/>
                  <w:bottom w:val="single" w:sz="4" w:space="0" w:color="auto"/>
                  <w:right w:val="nil"/>
                </w:tcBorders>
              </w:tcPr>
              <w:p w:rsidR="00A915BD" w:rsidRPr="00B207E0" w:rsidRDefault="00A915BD" w:rsidP="00A915BD">
                <w:pPr>
                  <w:spacing w:line="276" w:lineRule="auto"/>
                  <w:jc w:val="center"/>
                  <w:rPr>
                    <w:b/>
                    <w:sz w:val="22"/>
                    <w:szCs w:val="22"/>
                  </w:rPr>
                </w:pPr>
                <w:r w:rsidRPr="00B207E0">
                  <w:rPr>
                    <w:rFonts w:ascii="MS Gothic" w:eastAsia="MS Gothic" w:hAnsi="MS Gothic" w:hint="eastAsia"/>
                    <w:b/>
                    <w:sz w:val="22"/>
                    <w:szCs w:val="22"/>
                  </w:rPr>
                  <w:t>☒</w:t>
                </w:r>
              </w:p>
            </w:tc>
          </w:sdtContent>
        </w:sdt>
        <w:tc>
          <w:tcPr>
            <w:tcW w:w="1133" w:type="dxa"/>
            <w:tcBorders>
              <w:top w:val="single" w:sz="4" w:space="0" w:color="auto"/>
              <w:left w:val="nil"/>
              <w:bottom w:val="single" w:sz="4" w:space="0" w:color="auto"/>
              <w:right w:val="nil"/>
            </w:tcBorders>
          </w:tcPr>
          <w:p w:rsidR="00A915BD" w:rsidRPr="00B207E0" w:rsidRDefault="00A915BD" w:rsidP="00A915BD">
            <w:pPr>
              <w:spacing w:line="276" w:lineRule="auto"/>
              <w:rPr>
                <w:b/>
                <w:sz w:val="22"/>
                <w:szCs w:val="22"/>
              </w:rPr>
            </w:pPr>
            <w:r w:rsidRPr="00B207E0">
              <w:rPr>
                <w:b/>
                <w:sz w:val="22"/>
                <w:szCs w:val="22"/>
              </w:rPr>
              <w:t>Žiadne</w:t>
            </w:r>
          </w:p>
        </w:tc>
        <w:sdt>
          <w:sdtPr>
            <w:rPr>
              <w:b/>
              <w:sz w:val="22"/>
              <w:szCs w:val="22"/>
            </w:rPr>
            <w:id w:val="-853649096"/>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rsidR="00A915BD" w:rsidRPr="00B207E0" w:rsidRDefault="00A915BD" w:rsidP="00A915BD">
                <w:pPr>
                  <w:spacing w:line="276" w:lineRule="auto"/>
                  <w:ind w:left="-107" w:right="-108"/>
                  <w:jc w:val="center"/>
                  <w:rPr>
                    <w:b/>
                    <w:sz w:val="22"/>
                    <w:szCs w:val="22"/>
                  </w:rPr>
                </w:pPr>
                <w:r w:rsidRPr="00B207E0">
                  <w:rPr>
                    <w:rFonts w:ascii="Segoe UI Symbol" w:eastAsia="MS Mincho" w:hAnsi="Segoe UI Symbol" w:cs="Segoe UI Symbol"/>
                    <w:b/>
                    <w:sz w:val="22"/>
                    <w:szCs w:val="22"/>
                  </w:rPr>
                  <w:t>☐</w:t>
                </w:r>
              </w:p>
            </w:tc>
          </w:sdtContent>
        </w:sdt>
        <w:tc>
          <w:tcPr>
            <w:tcW w:w="1297" w:type="dxa"/>
            <w:tcBorders>
              <w:top w:val="single" w:sz="4" w:space="0" w:color="auto"/>
              <w:left w:val="nil"/>
              <w:bottom w:val="single" w:sz="4" w:space="0" w:color="auto"/>
              <w:right w:val="single" w:sz="4" w:space="0" w:color="auto"/>
            </w:tcBorders>
          </w:tcPr>
          <w:p w:rsidR="00A915BD" w:rsidRPr="00B207E0" w:rsidRDefault="00A915BD" w:rsidP="00A915BD">
            <w:pPr>
              <w:spacing w:line="276" w:lineRule="auto"/>
              <w:ind w:left="34"/>
              <w:rPr>
                <w:b/>
                <w:sz w:val="22"/>
                <w:szCs w:val="22"/>
              </w:rPr>
            </w:pPr>
            <w:r w:rsidRPr="00B207E0">
              <w:rPr>
                <w:b/>
                <w:sz w:val="22"/>
                <w:szCs w:val="22"/>
              </w:rPr>
              <w:t>Negatívne</w:t>
            </w:r>
          </w:p>
        </w:tc>
      </w:tr>
      <w:tr w:rsidR="00A915BD" w:rsidRPr="00B207E0" w:rsidTr="00524EE1">
        <w:tc>
          <w:tcPr>
            <w:tcW w:w="3812" w:type="dxa"/>
            <w:tcBorders>
              <w:top w:val="nil"/>
              <w:left w:val="single" w:sz="4" w:space="0" w:color="auto"/>
              <w:bottom w:val="single" w:sz="4" w:space="0" w:color="000000" w:themeColor="text1"/>
              <w:right w:val="single" w:sz="4" w:space="0" w:color="auto"/>
            </w:tcBorders>
            <w:shd w:val="clear" w:color="auto" w:fill="E2E2E2"/>
          </w:tcPr>
          <w:p w:rsidR="00A915BD" w:rsidRPr="00B207E0" w:rsidRDefault="00A915BD" w:rsidP="00A915BD">
            <w:pPr>
              <w:spacing w:line="276" w:lineRule="auto"/>
              <w:rPr>
                <w:sz w:val="22"/>
                <w:szCs w:val="22"/>
              </w:rPr>
            </w:pPr>
            <w:r w:rsidRPr="00B207E0">
              <w:rPr>
                <w:sz w:val="22"/>
                <w:szCs w:val="22"/>
              </w:rPr>
              <w:t xml:space="preserve">    z toho rozpočtovo zabezpečené vplyvy</w:t>
            </w:r>
          </w:p>
        </w:tc>
        <w:sdt>
          <w:sdtPr>
            <w:rPr>
              <w:sz w:val="22"/>
              <w:szCs w:val="22"/>
            </w:rPr>
            <w:id w:val="-2073729125"/>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rsidR="00A915BD" w:rsidRPr="00B207E0" w:rsidRDefault="00A915BD" w:rsidP="00A915BD">
                <w:pPr>
                  <w:spacing w:line="276" w:lineRule="auto"/>
                  <w:jc w:val="center"/>
                  <w:rPr>
                    <w:sz w:val="22"/>
                    <w:szCs w:val="22"/>
                  </w:rPr>
                </w:pPr>
                <w:r w:rsidRPr="00B207E0">
                  <w:rPr>
                    <w:rFonts w:ascii="Segoe UI Symbol" w:eastAsia="MS Mincho" w:hAnsi="Segoe UI Symbol" w:cs="Segoe UI Symbol"/>
                    <w:sz w:val="22"/>
                    <w:szCs w:val="22"/>
                  </w:rPr>
                  <w:t>☐</w:t>
                </w:r>
              </w:p>
            </w:tc>
          </w:sdtContent>
        </w:sdt>
        <w:tc>
          <w:tcPr>
            <w:tcW w:w="1281" w:type="dxa"/>
            <w:gridSpan w:val="2"/>
            <w:tcBorders>
              <w:top w:val="single" w:sz="4" w:space="0" w:color="auto"/>
              <w:left w:val="nil"/>
              <w:bottom w:val="single" w:sz="4" w:space="0" w:color="auto"/>
              <w:right w:val="nil"/>
            </w:tcBorders>
          </w:tcPr>
          <w:p w:rsidR="00A915BD" w:rsidRPr="00B207E0" w:rsidRDefault="00A915BD" w:rsidP="00A915BD">
            <w:pPr>
              <w:spacing w:line="276" w:lineRule="auto"/>
              <w:rPr>
                <w:sz w:val="22"/>
                <w:szCs w:val="22"/>
              </w:rPr>
            </w:pPr>
            <w:r w:rsidRPr="00B207E0">
              <w:rPr>
                <w:sz w:val="22"/>
                <w:szCs w:val="22"/>
              </w:rPr>
              <w:t>Áno</w:t>
            </w:r>
          </w:p>
        </w:tc>
        <w:sdt>
          <w:sdtPr>
            <w:rPr>
              <w:sz w:val="22"/>
              <w:szCs w:val="22"/>
            </w:rPr>
            <w:id w:val="-54388876"/>
            <w14:checkbox>
              <w14:checked w14:val="0"/>
              <w14:checkedState w14:val="2612" w14:font="MS Gothic"/>
              <w14:uncheckedState w14:val="2610" w14:font="MS Gothic"/>
            </w14:checkbox>
          </w:sdtPr>
          <w:sdtContent>
            <w:tc>
              <w:tcPr>
                <w:tcW w:w="569" w:type="dxa"/>
                <w:tcBorders>
                  <w:top w:val="single" w:sz="4" w:space="0" w:color="auto"/>
                  <w:left w:val="nil"/>
                  <w:bottom w:val="single" w:sz="4" w:space="0" w:color="auto"/>
                  <w:right w:val="nil"/>
                </w:tcBorders>
              </w:tcPr>
              <w:p w:rsidR="00A915BD" w:rsidRPr="00B207E0" w:rsidRDefault="00A915BD" w:rsidP="00A915BD">
                <w:pPr>
                  <w:spacing w:line="276" w:lineRule="auto"/>
                  <w:jc w:val="center"/>
                  <w:rPr>
                    <w:sz w:val="22"/>
                    <w:szCs w:val="22"/>
                  </w:rPr>
                </w:pPr>
                <w:r w:rsidRPr="00B207E0">
                  <w:rPr>
                    <w:rFonts w:ascii="MS Gothic" w:eastAsia="MS Gothic" w:hAnsi="MS Gothic" w:hint="eastAsia"/>
                    <w:sz w:val="22"/>
                    <w:szCs w:val="22"/>
                  </w:rPr>
                  <w:t>☐</w:t>
                </w:r>
              </w:p>
            </w:tc>
          </w:sdtContent>
        </w:sdt>
        <w:tc>
          <w:tcPr>
            <w:tcW w:w="1133" w:type="dxa"/>
            <w:tcBorders>
              <w:top w:val="single" w:sz="4" w:space="0" w:color="auto"/>
              <w:left w:val="nil"/>
              <w:bottom w:val="single" w:sz="4" w:space="0" w:color="auto"/>
              <w:right w:val="nil"/>
            </w:tcBorders>
          </w:tcPr>
          <w:p w:rsidR="00A915BD" w:rsidRPr="00B207E0" w:rsidRDefault="00A915BD" w:rsidP="00A915BD">
            <w:pPr>
              <w:spacing w:line="276" w:lineRule="auto"/>
              <w:rPr>
                <w:sz w:val="22"/>
                <w:szCs w:val="22"/>
              </w:rPr>
            </w:pPr>
            <w:r w:rsidRPr="00B207E0">
              <w:rPr>
                <w:sz w:val="22"/>
                <w:szCs w:val="22"/>
              </w:rPr>
              <w:t>Nie</w:t>
            </w:r>
          </w:p>
        </w:tc>
        <w:sdt>
          <w:sdtPr>
            <w:rPr>
              <w:sz w:val="22"/>
              <w:szCs w:val="22"/>
            </w:rPr>
            <w:id w:val="361940775"/>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rsidR="00A915BD" w:rsidRPr="00B207E0" w:rsidRDefault="00A915BD" w:rsidP="00A915BD">
                <w:pPr>
                  <w:spacing w:line="276" w:lineRule="auto"/>
                  <w:ind w:left="-107" w:right="-108"/>
                  <w:jc w:val="center"/>
                  <w:rPr>
                    <w:sz w:val="22"/>
                    <w:szCs w:val="22"/>
                  </w:rPr>
                </w:pPr>
                <w:r w:rsidRPr="00B207E0">
                  <w:rPr>
                    <w:rFonts w:ascii="Segoe UI Symbol" w:eastAsia="MS Mincho" w:hAnsi="Segoe UI Symbol" w:cs="Segoe UI Symbol"/>
                    <w:sz w:val="22"/>
                    <w:szCs w:val="22"/>
                  </w:rPr>
                  <w:t>☐</w:t>
                </w:r>
              </w:p>
            </w:tc>
          </w:sdtContent>
        </w:sdt>
        <w:tc>
          <w:tcPr>
            <w:tcW w:w="1297" w:type="dxa"/>
            <w:tcBorders>
              <w:top w:val="single" w:sz="4" w:space="0" w:color="auto"/>
              <w:left w:val="nil"/>
              <w:bottom w:val="single" w:sz="4" w:space="0" w:color="auto"/>
              <w:right w:val="single" w:sz="4" w:space="0" w:color="auto"/>
            </w:tcBorders>
          </w:tcPr>
          <w:p w:rsidR="00A915BD" w:rsidRPr="00B207E0" w:rsidRDefault="00A915BD" w:rsidP="00A915BD">
            <w:pPr>
              <w:spacing w:line="276" w:lineRule="auto"/>
              <w:ind w:left="34"/>
              <w:rPr>
                <w:sz w:val="22"/>
                <w:szCs w:val="22"/>
              </w:rPr>
            </w:pPr>
            <w:r w:rsidRPr="00B207E0">
              <w:rPr>
                <w:sz w:val="22"/>
                <w:szCs w:val="22"/>
              </w:rPr>
              <w:t>Čiastočne</w:t>
            </w:r>
          </w:p>
        </w:tc>
      </w:tr>
      <w:tr w:rsidR="00A915BD" w:rsidRPr="00B207E0" w:rsidTr="00524EE1">
        <w:tc>
          <w:tcPr>
            <w:tcW w:w="3812" w:type="dxa"/>
            <w:tcBorders>
              <w:top w:val="single" w:sz="4" w:space="0" w:color="000000" w:themeColor="text1"/>
              <w:left w:val="single" w:sz="4" w:space="0" w:color="auto"/>
              <w:bottom w:val="nil"/>
              <w:right w:val="single" w:sz="4" w:space="0" w:color="auto"/>
            </w:tcBorders>
            <w:shd w:val="clear" w:color="auto" w:fill="E2E2E2"/>
          </w:tcPr>
          <w:p w:rsidR="00A915BD" w:rsidRPr="00B207E0" w:rsidRDefault="00A915BD" w:rsidP="00A915BD">
            <w:pPr>
              <w:spacing w:line="276" w:lineRule="auto"/>
              <w:rPr>
                <w:b/>
                <w:sz w:val="22"/>
                <w:szCs w:val="22"/>
              </w:rPr>
            </w:pPr>
            <w:r w:rsidRPr="00B207E0">
              <w:rPr>
                <w:b/>
                <w:sz w:val="22"/>
                <w:szCs w:val="22"/>
              </w:rPr>
              <w:t>Vplyvy na podnikateľské prostredie</w:t>
            </w:r>
          </w:p>
        </w:tc>
        <w:sdt>
          <w:sdtPr>
            <w:rPr>
              <w:b/>
              <w:sz w:val="22"/>
              <w:szCs w:val="22"/>
            </w:rPr>
            <w:id w:val="1328319843"/>
            <w14:checkbox>
              <w14:checked w14:val="1"/>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rsidR="00A915BD" w:rsidRPr="00B207E0" w:rsidRDefault="00A915BD" w:rsidP="00A915BD">
                <w:pPr>
                  <w:spacing w:line="276" w:lineRule="auto"/>
                  <w:jc w:val="center"/>
                  <w:rPr>
                    <w:b/>
                    <w:sz w:val="22"/>
                    <w:szCs w:val="22"/>
                  </w:rPr>
                </w:pPr>
                <w:r>
                  <w:rPr>
                    <w:rFonts w:ascii="MS Gothic" w:eastAsia="MS Gothic" w:hAnsi="MS Gothic" w:hint="eastAsia"/>
                    <w:b/>
                    <w:sz w:val="22"/>
                    <w:szCs w:val="22"/>
                  </w:rPr>
                  <w:t>☒</w:t>
                </w:r>
              </w:p>
            </w:tc>
          </w:sdtContent>
        </w:sdt>
        <w:tc>
          <w:tcPr>
            <w:tcW w:w="1281" w:type="dxa"/>
            <w:gridSpan w:val="2"/>
            <w:tcBorders>
              <w:top w:val="single" w:sz="4" w:space="0" w:color="auto"/>
              <w:left w:val="nil"/>
              <w:bottom w:val="single" w:sz="4" w:space="0" w:color="auto"/>
              <w:right w:val="nil"/>
            </w:tcBorders>
          </w:tcPr>
          <w:p w:rsidR="00A915BD" w:rsidRPr="00B207E0" w:rsidRDefault="00A915BD" w:rsidP="00A915BD">
            <w:pPr>
              <w:spacing w:line="276" w:lineRule="auto"/>
              <w:ind w:right="-108"/>
              <w:rPr>
                <w:b/>
                <w:sz w:val="22"/>
                <w:szCs w:val="22"/>
              </w:rPr>
            </w:pPr>
            <w:r w:rsidRPr="00B207E0">
              <w:rPr>
                <w:b/>
                <w:sz w:val="22"/>
                <w:szCs w:val="22"/>
              </w:rPr>
              <w:t>Pozitívne</w:t>
            </w:r>
          </w:p>
        </w:tc>
        <w:sdt>
          <w:sdtPr>
            <w:rPr>
              <w:b/>
              <w:sz w:val="22"/>
              <w:szCs w:val="22"/>
            </w:rPr>
            <w:id w:val="1564608664"/>
            <w14:checkbox>
              <w14:checked w14:val="0"/>
              <w14:checkedState w14:val="2612" w14:font="MS Gothic"/>
              <w14:uncheckedState w14:val="2610" w14:font="MS Gothic"/>
            </w14:checkbox>
          </w:sdtPr>
          <w:sdtContent>
            <w:tc>
              <w:tcPr>
                <w:tcW w:w="569" w:type="dxa"/>
                <w:tcBorders>
                  <w:top w:val="single" w:sz="4" w:space="0" w:color="auto"/>
                  <w:left w:val="nil"/>
                  <w:bottom w:val="single" w:sz="4" w:space="0" w:color="auto"/>
                  <w:right w:val="nil"/>
                </w:tcBorders>
              </w:tcPr>
              <w:p w:rsidR="00A915BD" w:rsidRPr="00B207E0" w:rsidRDefault="00A915BD" w:rsidP="00A915BD">
                <w:pPr>
                  <w:spacing w:line="276" w:lineRule="auto"/>
                  <w:jc w:val="center"/>
                  <w:rPr>
                    <w:b/>
                    <w:sz w:val="22"/>
                    <w:szCs w:val="22"/>
                  </w:rPr>
                </w:pPr>
                <w:r w:rsidRPr="00B207E0">
                  <w:rPr>
                    <w:rFonts w:ascii="MS Gothic" w:eastAsia="MS Gothic" w:hAnsi="MS Gothic" w:hint="eastAsia"/>
                    <w:b/>
                    <w:sz w:val="22"/>
                    <w:szCs w:val="22"/>
                  </w:rPr>
                  <w:t>☐</w:t>
                </w:r>
              </w:p>
            </w:tc>
          </w:sdtContent>
        </w:sdt>
        <w:tc>
          <w:tcPr>
            <w:tcW w:w="1133" w:type="dxa"/>
            <w:tcBorders>
              <w:top w:val="single" w:sz="4" w:space="0" w:color="auto"/>
              <w:left w:val="nil"/>
              <w:bottom w:val="single" w:sz="4" w:space="0" w:color="auto"/>
              <w:right w:val="nil"/>
            </w:tcBorders>
          </w:tcPr>
          <w:p w:rsidR="00A915BD" w:rsidRPr="00B207E0" w:rsidRDefault="00A915BD" w:rsidP="00A915BD">
            <w:pPr>
              <w:spacing w:line="276" w:lineRule="auto"/>
              <w:rPr>
                <w:b/>
                <w:sz w:val="22"/>
                <w:szCs w:val="22"/>
              </w:rPr>
            </w:pPr>
            <w:r w:rsidRPr="00B207E0">
              <w:rPr>
                <w:b/>
                <w:sz w:val="22"/>
                <w:szCs w:val="22"/>
              </w:rPr>
              <w:t>Žiadne</w:t>
            </w:r>
          </w:p>
        </w:tc>
        <w:sdt>
          <w:sdtPr>
            <w:rPr>
              <w:b/>
              <w:sz w:val="22"/>
              <w:szCs w:val="22"/>
            </w:rPr>
            <w:id w:val="2173546"/>
            <w14:checkbox>
              <w14:checked w14:val="1"/>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rsidR="00A915BD" w:rsidRPr="00B207E0" w:rsidRDefault="00A915BD" w:rsidP="00A915BD">
                <w:pPr>
                  <w:spacing w:line="276" w:lineRule="auto"/>
                  <w:jc w:val="center"/>
                  <w:rPr>
                    <w:b/>
                    <w:sz w:val="22"/>
                    <w:szCs w:val="22"/>
                  </w:rPr>
                </w:pPr>
                <w:r w:rsidRPr="00B207E0">
                  <w:rPr>
                    <w:rFonts w:ascii="MS Gothic" w:eastAsia="MS Gothic" w:hAnsi="MS Gothic" w:hint="eastAsia"/>
                    <w:b/>
                    <w:sz w:val="22"/>
                    <w:szCs w:val="22"/>
                  </w:rPr>
                  <w:t>☒</w:t>
                </w:r>
              </w:p>
            </w:tc>
          </w:sdtContent>
        </w:sdt>
        <w:tc>
          <w:tcPr>
            <w:tcW w:w="1297" w:type="dxa"/>
            <w:tcBorders>
              <w:top w:val="single" w:sz="4" w:space="0" w:color="auto"/>
              <w:left w:val="nil"/>
              <w:bottom w:val="single" w:sz="4" w:space="0" w:color="auto"/>
              <w:right w:val="single" w:sz="4" w:space="0" w:color="auto"/>
            </w:tcBorders>
          </w:tcPr>
          <w:p w:rsidR="00A915BD" w:rsidRPr="00B207E0" w:rsidRDefault="00A915BD" w:rsidP="00A915BD">
            <w:pPr>
              <w:spacing w:line="276" w:lineRule="auto"/>
              <w:ind w:left="54"/>
              <w:rPr>
                <w:b/>
                <w:sz w:val="22"/>
                <w:szCs w:val="22"/>
              </w:rPr>
            </w:pPr>
            <w:r w:rsidRPr="00B207E0">
              <w:rPr>
                <w:b/>
                <w:sz w:val="22"/>
                <w:szCs w:val="22"/>
              </w:rPr>
              <w:t>Negatívne</w:t>
            </w:r>
          </w:p>
        </w:tc>
      </w:tr>
      <w:tr w:rsidR="00A915BD" w:rsidRPr="00B207E0" w:rsidTr="00524EE1">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rsidR="00A915BD" w:rsidRPr="00B207E0" w:rsidRDefault="00A915BD" w:rsidP="00A915BD">
            <w:pPr>
              <w:spacing w:line="276" w:lineRule="auto"/>
              <w:rPr>
                <w:sz w:val="22"/>
                <w:szCs w:val="22"/>
              </w:rPr>
            </w:pPr>
            <w:r w:rsidRPr="00B207E0">
              <w:rPr>
                <w:sz w:val="22"/>
                <w:szCs w:val="22"/>
              </w:rPr>
              <w:t xml:space="preserve">    z toho vplyvy na MSP</w:t>
            </w:r>
          </w:p>
        </w:tc>
        <w:sdt>
          <w:sdtPr>
            <w:rPr>
              <w:sz w:val="22"/>
              <w:szCs w:val="22"/>
            </w:rPr>
            <w:id w:val="1931938095"/>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000000" w:themeColor="text1"/>
                  <w:bottom w:val="single" w:sz="4" w:space="0" w:color="auto"/>
                  <w:right w:val="nil"/>
                </w:tcBorders>
              </w:tcPr>
              <w:p w:rsidR="00A915BD" w:rsidRPr="00B207E0" w:rsidRDefault="00A915BD" w:rsidP="00A915BD">
                <w:pPr>
                  <w:spacing w:line="276" w:lineRule="auto"/>
                  <w:jc w:val="center"/>
                  <w:rPr>
                    <w:sz w:val="22"/>
                    <w:szCs w:val="22"/>
                  </w:rPr>
                </w:pPr>
                <w:r w:rsidRPr="00B207E0">
                  <w:rPr>
                    <w:rFonts w:ascii="Segoe UI Symbol" w:eastAsia="MS Mincho" w:hAnsi="Segoe UI Symbol" w:cs="Segoe UI Symbol"/>
                    <w:sz w:val="22"/>
                    <w:szCs w:val="22"/>
                  </w:rPr>
                  <w:t>☐</w:t>
                </w:r>
              </w:p>
            </w:tc>
          </w:sdtContent>
        </w:sdt>
        <w:tc>
          <w:tcPr>
            <w:tcW w:w="1281" w:type="dxa"/>
            <w:gridSpan w:val="2"/>
            <w:tcBorders>
              <w:top w:val="single" w:sz="4" w:space="0" w:color="auto"/>
              <w:left w:val="nil"/>
              <w:bottom w:val="single" w:sz="4" w:space="0" w:color="auto"/>
              <w:right w:val="nil"/>
            </w:tcBorders>
          </w:tcPr>
          <w:p w:rsidR="00A915BD" w:rsidRPr="00B207E0" w:rsidRDefault="00A915BD" w:rsidP="00A915BD">
            <w:pPr>
              <w:spacing w:line="276" w:lineRule="auto"/>
              <w:ind w:right="-108"/>
              <w:rPr>
                <w:sz w:val="22"/>
                <w:szCs w:val="22"/>
              </w:rPr>
            </w:pPr>
            <w:r w:rsidRPr="00B207E0">
              <w:rPr>
                <w:sz w:val="22"/>
                <w:szCs w:val="22"/>
              </w:rPr>
              <w:t>Pozitívne</w:t>
            </w:r>
          </w:p>
        </w:tc>
        <w:sdt>
          <w:sdtPr>
            <w:rPr>
              <w:sz w:val="22"/>
              <w:szCs w:val="22"/>
            </w:rPr>
            <w:id w:val="-1696063787"/>
            <w14:checkbox>
              <w14:checked w14:val="1"/>
              <w14:checkedState w14:val="2612" w14:font="MS Gothic"/>
              <w14:uncheckedState w14:val="2610" w14:font="MS Gothic"/>
            </w14:checkbox>
          </w:sdtPr>
          <w:sdtContent>
            <w:tc>
              <w:tcPr>
                <w:tcW w:w="569" w:type="dxa"/>
                <w:tcBorders>
                  <w:top w:val="single" w:sz="4" w:space="0" w:color="auto"/>
                  <w:left w:val="nil"/>
                  <w:bottom w:val="single" w:sz="4" w:space="0" w:color="auto"/>
                  <w:right w:val="nil"/>
                </w:tcBorders>
              </w:tcPr>
              <w:p w:rsidR="00A915BD" w:rsidRPr="00B207E0" w:rsidRDefault="00A915BD" w:rsidP="00A915BD">
                <w:pPr>
                  <w:spacing w:line="276" w:lineRule="auto"/>
                  <w:jc w:val="center"/>
                  <w:rPr>
                    <w:sz w:val="22"/>
                    <w:szCs w:val="22"/>
                  </w:rPr>
                </w:pPr>
                <w:r w:rsidRPr="00B207E0">
                  <w:rPr>
                    <w:rFonts w:ascii="MS Gothic" w:eastAsia="MS Gothic" w:hAnsi="MS Gothic" w:hint="eastAsia"/>
                    <w:sz w:val="22"/>
                    <w:szCs w:val="22"/>
                  </w:rPr>
                  <w:t>☒</w:t>
                </w:r>
              </w:p>
            </w:tc>
          </w:sdtContent>
        </w:sdt>
        <w:tc>
          <w:tcPr>
            <w:tcW w:w="1133" w:type="dxa"/>
            <w:tcBorders>
              <w:top w:val="single" w:sz="4" w:space="0" w:color="auto"/>
              <w:left w:val="nil"/>
              <w:bottom w:val="single" w:sz="4" w:space="0" w:color="auto"/>
              <w:right w:val="nil"/>
            </w:tcBorders>
          </w:tcPr>
          <w:p w:rsidR="00A915BD" w:rsidRPr="00B207E0" w:rsidRDefault="00A915BD" w:rsidP="00A915BD">
            <w:pPr>
              <w:spacing w:line="276" w:lineRule="auto"/>
              <w:rPr>
                <w:sz w:val="22"/>
                <w:szCs w:val="22"/>
              </w:rPr>
            </w:pPr>
            <w:r w:rsidRPr="00B207E0">
              <w:rPr>
                <w:sz w:val="22"/>
                <w:szCs w:val="22"/>
              </w:rPr>
              <w:t>Žiadne</w:t>
            </w:r>
          </w:p>
        </w:tc>
        <w:sdt>
          <w:sdtPr>
            <w:rPr>
              <w:sz w:val="22"/>
              <w:szCs w:val="22"/>
            </w:rPr>
            <w:id w:val="671765022"/>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rsidR="00A915BD" w:rsidRPr="00B207E0" w:rsidRDefault="00A915BD" w:rsidP="00A915BD">
                <w:pPr>
                  <w:spacing w:line="276" w:lineRule="auto"/>
                  <w:jc w:val="center"/>
                  <w:rPr>
                    <w:sz w:val="22"/>
                    <w:szCs w:val="22"/>
                  </w:rPr>
                </w:pPr>
                <w:r w:rsidRPr="00B207E0">
                  <w:rPr>
                    <w:rFonts w:ascii="Segoe UI Symbol" w:eastAsia="MS Mincho" w:hAnsi="Segoe UI Symbol" w:cs="Segoe UI Symbol"/>
                    <w:sz w:val="22"/>
                    <w:szCs w:val="22"/>
                  </w:rPr>
                  <w:t>☐</w:t>
                </w:r>
              </w:p>
            </w:tc>
          </w:sdtContent>
        </w:sdt>
        <w:tc>
          <w:tcPr>
            <w:tcW w:w="1297" w:type="dxa"/>
            <w:tcBorders>
              <w:top w:val="single" w:sz="4" w:space="0" w:color="auto"/>
              <w:left w:val="nil"/>
              <w:bottom w:val="single" w:sz="4" w:space="0" w:color="auto"/>
              <w:right w:val="single" w:sz="4" w:space="0" w:color="auto"/>
            </w:tcBorders>
          </w:tcPr>
          <w:p w:rsidR="00A915BD" w:rsidRPr="00B207E0" w:rsidRDefault="00A915BD" w:rsidP="00A915BD">
            <w:pPr>
              <w:spacing w:line="276" w:lineRule="auto"/>
              <w:ind w:left="54"/>
              <w:rPr>
                <w:sz w:val="22"/>
                <w:szCs w:val="22"/>
              </w:rPr>
            </w:pPr>
            <w:r w:rsidRPr="00B207E0">
              <w:rPr>
                <w:sz w:val="22"/>
                <w:szCs w:val="22"/>
              </w:rPr>
              <w:t>Negatívne</w:t>
            </w:r>
          </w:p>
        </w:tc>
      </w:tr>
      <w:tr w:rsidR="00A915BD" w:rsidRPr="00B207E0" w:rsidTr="00524EE1">
        <w:tc>
          <w:tcPr>
            <w:tcW w:w="3812" w:type="dxa"/>
            <w:tcBorders>
              <w:top w:val="single" w:sz="4" w:space="0" w:color="000000" w:themeColor="text1"/>
              <w:left w:val="single" w:sz="4" w:space="0" w:color="auto"/>
              <w:bottom w:val="single" w:sz="4" w:space="0" w:color="auto"/>
              <w:right w:val="single" w:sz="4" w:space="0" w:color="auto"/>
            </w:tcBorders>
            <w:shd w:val="clear" w:color="auto" w:fill="E2E2E2"/>
          </w:tcPr>
          <w:p w:rsidR="00A915BD" w:rsidRPr="00B207E0" w:rsidRDefault="00A915BD" w:rsidP="00A915BD">
            <w:pPr>
              <w:spacing w:line="276" w:lineRule="auto"/>
              <w:rPr>
                <w:b/>
                <w:sz w:val="22"/>
                <w:szCs w:val="22"/>
              </w:rPr>
            </w:pPr>
            <w:r w:rsidRPr="00B207E0">
              <w:rPr>
                <w:b/>
                <w:sz w:val="22"/>
                <w:szCs w:val="22"/>
              </w:rPr>
              <w:t>Sociálne vplyvy</w:t>
            </w:r>
          </w:p>
        </w:tc>
        <w:sdt>
          <w:sdtPr>
            <w:rPr>
              <w:b/>
              <w:sz w:val="22"/>
              <w:szCs w:val="22"/>
            </w:rPr>
            <w:id w:val="449357865"/>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rsidR="00A915BD" w:rsidRPr="00B207E0" w:rsidRDefault="00A915BD" w:rsidP="00A915BD">
                <w:pPr>
                  <w:spacing w:line="276" w:lineRule="auto"/>
                  <w:jc w:val="center"/>
                  <w:rPr>
                    <w:b/>
                    <w:sz w:val="22"/>
                    <w:szCs w:val="22"/>
                  </w:rPr>
                </w:pPr>
                <w:r w:rsidRPr="00B207E0">
                  <w:rPr>
                    <w:rFonts w:ascii="Segoe UI Symbol" w:eastAsia="MS Mincho" w:hAnsi="Segoe UI Symbol" w:cs="Segoe UI Symbol"/>
                    <w:b/>
                    <w:sz w:val="22"/>
                    <w:szCs w:val="22"/>
                  </w:rPr>
                  <w:t>☐</w:t>
                </w:r>
              </w:p>
            </w:tc>
          </w:sdtContent>
        </w:sdt>
        <w:tc>
          <w:tcPr>
            <w:tcW w:w="1281" w:type="dxa"/>
            <w:gridSpan w:val="2"/>
            <w:tcBorders>
              <w:top w:val="single" w:sz="4" w:space="0" w:color="auto"/>
              <w:left w:val="nil"/>
              <w:bottom w:val="single" w:sz="4" w:space="0" w:color="auto"/>
              <w:right w:val="nil"/>
            </w:tcBorders>
          </w:tcPr>
          <w:p w:rsidR="00A915BD" w:rsidRPr="00B207E0" w:rsidRDefault="00A915BD" w:rsidP="00A915BD">
            <w:pPr>
              <w:spacing w:line="276" w:lineRule="auto"/>
              <w:ind w:right="-108"/>
              <w:rPr>
                <w:b/>
                <w:sz w:val="22"/>
                <w:szCs w:val="22"/>
              </w:rPr>
            </w:pPr>
            <w:r w:rsidRPr="00B207E0">
              <w:rPr>
                <w:b/>
                <w:sz w:val="22"/>
                <w:szCs w:val="22"/>
              </w:rPr>
              <w:t>Pozitívne</w:t>
            </w:r>
          </w:p>
        </w:tc>
        <w:sdt>
          <w:sdtPr>
            <w:rPr>
              <w:b/>
              <w:sz w:val="22"/>
              <w:szCs w:val="22"/>
            </w:rPr>
            <w:id w:val="-1719425362"/>
            <w14:checkbox>
              <w14:checked w14:val="1"/>
              <w14:checkedState w14:val="2612" w14:font="MS Gothic"/>
              <w14:uncheckedState w14:val="2610" w14:font="MS Gothic"/>
            </w14:checkbox>
          </w:sdtPr>
          <w:sdtContent>
            <w:tc>
              <w:tcPr>
                <w:tcW w:w="569" w:type="dxa"/>
                <w:tcBorders>
                  <w:top w:val="single" w:sz="4" w:space="0" w:color="auto"/>
                  <w:left w:val="nil"/>
                  <w:bottom w:val="single" w:sz="4" w:space="0" w:color="auto"/>
                  <w:right w:val="nil"/>
                </w:tcBorders>
              </w:tcPr>
              <w:p w:rsidR="00A915BD" w:rsidRPr="00B207E0" w:rsidRDefault="00A915BD" w:rsidP="00A915BD">
                <w:pPr>
                  <w:spacing w:line="276" w:lineRule="auto"/>
                  <w:jc w:val="center"/>
                  <w:rPr>
                    <w:b/>
                    <w:sz w:val="22"/>
                    <w:szCs w:val="22"/>
                  </w:rPr>
                </w:pPr>
                <w:r w:rsidRPr="00B207E0">
                  <w:rPr>
                    <w:rFonts w:ascii="MS Gothic" w:eastAsia="MS Gothic" w:hAnsi="MS Gothic" w:hint="eastAsia"/>
                    <w:b/>
                    <w:sz w:val="22"/>
                    <w:szCs w:val="22"/>
                  </w:rPr>
                  <w:t>☒</w:t>
                </w:r>
              </w:p>
            </w:tc>
          </w:sdtContent>
        </w:sdt>
        <w:tc>
          <w:tcPr>
            <w:tcW w:w="1133" w:type="dxa"/>
            <w:tcBorders>
              <w:top w:val="single" w:sz="4" w:space="0" w:color="auto"/>
              <w:left w:val="nil"/>
              <w:bottom w:val="single" w:sz="4" w:space="0" w:color="auto"/>
              <w:right w:val="nil"/>
            </w:tcBorders>
          </w:tcPr>
          <w:p w:rsidR="00A915BD" w:rsidRPr="00B207E0" w:rsidRDefault="00A915BD" w:rsidP="00A915BD">
            <w:pPr>
              <w:spacing w:line="276" w:lineRule="auto"/>
              <w:rPr>
                <w:b/>
                <w:sz w:val="22"/>
                <w:szCs w:val="22"/>
              </w:rPr>
            </w:pPr>
            <w:r w:rsidRPr="00B207E0">
              <w:rPr>
                <w:b/>
                <w:sz w:val="22"/>
                <w:szCs w:val="22"/>
              </w:rPr>
              <w:t>Žiadne</w:t>
            </w:r>
          </w:p>
        </w:tc>
        <w:sdt>
          <w:sdtPr>
            <w:rPr>
              <w:b/>
              <w:sz w:val="22"/>
              <w:szCs w:val="22"/>
            </w:rPr>
            <w:id w:val="-870833546"/>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rsidR="00A915BD" w:rsidRPr="00B207E0" w:rsidRDefault="00A915BD" w:rsidP="00A915BD">
                <w:pPr>
                  <w:spacing w:line="276" w:lineRule="auto"/>
                  <w:jc w:val="center"/>
                  <w:rPr>
                    <w:b/>
                    <w:sz w:val="22"/>
                    <w:szCs w:val="22"/>
                  </w:rPr>
                </w:pPr>
                <w:r w:rsidRPr="00B207E0">
                  <w:rPr>
                    <w:rFonts w:ascii="Segoe UI Symbol" w:eastAsia="MS Mincho" w:hAnsi="Segoe UI Symbol" w:cs="Segoe UI Symbol"/>
                    <w:b/>
                    <w:sz w:val="22"/>
                    <w:szCs w:val="22"/>
                  </w:rPr>
                  <w:t>☐</w:t>
                </w:r>
              </w:p>
            </w:tc>
          </w:sdtContent>
        </w:sdt>
        <w:tc>
          <w:tcPr>
            <w:tcW w:w="1297" w:type="dxa"/>
            <w:tcBorders>
              <w:top w:val="single" w:sz="4" w:space="0" w:color="auto"/>
              <w:left w:val="nil"/>
              <w:bottom w:val="single" w:sz="4" w:space="0" w:color="auto"/>
              <w:right w:val="single" w:sz="4" w:space="0" w:color="auto"/>
            </w:tcBorders>
          </w:tcPr>
          <w:p w:rsidR="00A915BD" w:rsidRPr="00B207E0" w:rsidRDefault="00A915BD" w:rsidP="00A915BD">
            <w:pPr>
              <w:spacing w:line="276" w:lineRule="auto"/>
              <w:ind w:left="54"/>
              <w:rPr>
                <w:b/>
                <w:sz w:val="22"/>
                <w:szCs w:val="22"/>
              </w:rPr>
            </w:pPr>
            <w:r w:rsidRPr="00B207E0">
              <w:rPr>
                <w:b/>
                <w:sz w:val="22"/>
                <w:szCs w:val="22"/>
              </w:rPr>
              <w:t>Negatívne</w:t>
            </w:r>
          </w:p>
        </w:tc>
      </w:tr>
      <w:tr w:rsidR="00A915BD" w:rsidRPr="00B207E0" w:rsidTr="00524EE1">
        <w:tc>
          <w:tcPr>
            <w:tcW w:w="3812" w:type="dxa"/>
            <w:tcBorders>
              <w:top w:val="single" w:sz="4" w:space="0" w:color="auto"/>
              <w:left w:val="single" w:sz="4" w:space="0" w:color="auto"/>
              <w:bottom w:val="single" w:sz="4" w:space="0" w:color="auto"/>
              <w:right w:val="single" w:sz="4" w:space="0" w:color="auto"/>
            </w:tcBorders>
            <w:shd w:val="clear" w:color="auto" w:fill="E2E2E2"/>
          </w:tcPr>
          <w:p w:rsidR="00A915BD" w:rsidRPr="00B207E0" w:rsidRDefault="00A915BD" w:rsidP="00A915BD">
            <w:pPr>
              <w:spacing w:line="276" w:lineRule="auto"/>
              <w:rPr>
                <w:b/>
                <w:sz w:val="22"/>
                <w:szCs w:val="22"/>
              </w:rPr>
            </w:pPr>
            <w:r w:rsidRPr="00B207E0">
              <w:rPr>
                <w:b/>
                <w:sz w:val="22"/>
                <w:szCs w:val="22"/>
              </w:rPr>
              <w:t>Vplyvy na životné prostredie</w:t>
            </w:r>
          </w:p>
        </w:tc>
        <w:sdt>
          <w:sdtPr>
            <w:rPr>
              <w:b/>
              <w:sz w:val="22"/>
              <w:szCs w:val="22"/>
            </w:rPr>
            <w:id w:val="304755157"/>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rsidR="00A915BD" w:rsidRPr="00B207E0" w:rsidRDefault="00A915BD" w:rsidP="00A915BD">
                <w:pPr>
                  <w:spacing w:line="276" w:lineRule="auto"/>
                  <w:jc w:val="center"/>
                  <w:rPr>
                    <w:b/>
                    <w:sz w:val="22"/>
                    <w:szCs w:val="22"/>
                  </w:rPr>
                </w:pPr>
                <w:r w:rsidRPr="00B207E0">
                  <w:rPr>
                    <w:rFonts w:ascii="Segoe UI Symbol" w:eastAsia="MS Mincho" w:hAnsi="Segoe UI Symbol" w:cs="Segoe UI Symbol"/>
                    <w:b/>
                    <w:sz w:val="22"/>
                    <w:szCs w:val="22"/>
                  </w:rPr>
                  <w:t>☐</w:t>
                </w:r>
              </w:p>
            </w:tc>
          </w:sdtContent>
        </w:sdt>
        <w:tc>
          <w:tcPr>
            <w:tcW w:w="1281" w:type="dxa"/>
            <w:gridSpan w:val="2"/>
            <w:tcBorders>
              <w:top w:val="single" w:sz="4" w:space="0" w:color="auto"/>
              <w:left w:val="nil"/>
              <w:bottom w:val="single" w:sz="4" w:space="0" w:color="auto"/>
              <w:right w:val="nil"/>
            </w:tcBorders>
          </w:tcPr>
          <w:p w:rsidR="00A915BD" w:rsidRPr="00B207E0" w:rsidRDefault="00A915BD" w:rsidP="00A915BD">
            <w:pPr>
              <w:spacing w:line="276" w:lineRule="auto"/>
              <w:ind w:right="-108"/>
              <w:rPr>
                <w:b/>
                <w:sz w:val="22"/>
                <w:szCs w:val="22"/>
              </w:rPr>
            </w:pPr>
            <w:r w:rsidRPr="00B207E0">
              <w:rPr>
                <w:b/>
                <w:sz w:val="22"/>
                <w:szCs w:val="22"/>
              </w:rPr>
              <w:t>Pozitívne</w:t>
            </w:r>
          </w:p>
        </w:tc>
        <w:sdt>
          <w:sdtPr>
            <w:rPr>
              <w:b/>
              <w:sz w:val="22"/>
              <w:szCs w:val="22"/>
            </w:rPr>
            <w:id w:val="235136192"/>
            <w14:checkbox>
              <w14:checked w14:val="1"/>
              <w14:checkedState w14:val="2612" w14:font="MS Gothic"/>
              <w14:uncheckedState w14:val="2610" w14:font="MS Gothic"/>
            </w14:checkbox>
          </w:sdtPr>
          <w:sdtContent>
            <w:tc>
              <w:tcPr>
                <w:tcW w:w="569" w:type="dxa"/>
                <w:tcBorders>
                  <w:top w:val="single" w:sz="4" w:space="0" w:color="auto"/>
                  <w:left w:val="nil"/>
                  <w:bottom w:val="single" w:sz="4" w:space="0" w:color="auto"/>
                  <w:right w:val="nil"/>
                </w:tcBorders>
              </w:tcPr>
              <w:p w:rsidR="00A915BD" w:rsidRPr="00B207E0" w:rsidRDefault="00A915BD" w:rsidP="00A915BD">
                <w:pPr>
                  <w:spacing w:line="276" w:lineRule="auto"/>
                  <w:jc w:val="center"/>
                  <w:rPr>
                    <w:b/>
                    <w:sz w:val="22"/>
                    <w:szCs w:val="22"/>
                  </w:rPr>
                </w:pPr>
                <w:r w:rsidRPr="00B207E0">
                  <w:rPr>
                    <w:rFonts w:ascii="MS Gothic" w:eastAsia="MS Gothic" w:hAnsi="MS Gothic" w:hint="eastAsia"/>
                    <w:b/>
                    <w:sz w:val="22"/>
                    <w:szCs w:val="22"/>
                  </w:rPr>
                  <w:t>☒</w:t>
                </w:r>
              </w:p>
            </w:tc>
          </w:sdtContent>
        </w:sdt>
        <w:tc>
          <w:tcPr>
            <w:tcW w:w="1133" w:type="dxa"/>
            <w:tcBorders>
              <w:top w:val="single" w:sz="4" w:space="0" w:color="auto"/>
              <w:left w:val="nil"/>
              <w:bottom w:val="single" w:sz="4" w:space="0" w:color="auto"/>
              <w:right w:val="nil"/>
            </w:tcBorders>
          </w:tcPr>
          <w:p w:rsidR="00A915BD" w:rsidRPr="00B207E0" w:rsidRDefault="00A915BD" w:rsidP="00A915BD">
            <w:pPr>
              <w:spacing w:line="276" w:lineRule="auto"/>
              <w:rPr>
                <w:b/>
                <w:sz w:val="22"/>
                <w:szCs w:val="22"/>
              </w:rPr>
            </w:pPr>
            <w:r w:rsidRPr="00B207E0">
              <w:rPr>
                <w:b/>
                <w:sz w:val="22"/>
                <w:szCs w:val="22"/>
              </w:rPr>
              <w:t>Žiadne</w:t>
            </w:r>
          </w:p>
        </w:tc>
        <w:sdt>
          <w:sdtPr>
            <w:rPr>
              <w:b/>
              <w:sz w:val="22"/>
              <w:szCs w:val="22"/>
            </w:rPr>
            <w:id w:val="-131020046"/>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rsidR="00A915BD" w:rsidRPr="00B207E0" w:rsidRDefault="00A915BD" w:rsidP="00A915BD">
                <w:pPr>
                  <w:spacing w:line="276" w:lineRule="auto"/>
                  <w:jc w:val="center"/>
                  <w:rPr>
                    <w:b/>
                    <w:sz w:val="22"/>
                    <w:szCs w:val="22"/>
                  </w:rPr>
                </w:pPr>
                <w:r w:rsidRPr="00B207E0">
                  <w:rPr>
                    <w:rFonts w:ascii="Segoe UI Symbol" w:eastAsia="MS Mincho" w:hAnsi="Segoe UI Symbol" w:cs="Segoe UI Symbol"/>
                    <w:b/>
                    <w:sz w:val="22"/>
                    <w:szCs w:val="22"/>
                  </w:rPr>
                  <w:t>☐</w:t>
                </w:r>
              </w:p>
            </w:tc>
          </w:sdtContent>
        </w:sdt>
        <w:tc>
          <w:tcPr>
            <w:tcW w:w="1297" w:type="dxa"/>
            <w:tcBorders>
              <w:top w:val="single" w:sz="4" w:space="0" w:color="auto"/>
              <w:left w:val="nil"/>
              <w:bottom w:val="single" w:sz="4" w:space="0" w:color="auto"/>
              <w:right w:val="single" w:sz="4" w:space="0" w:color="auto"/>
            </w:tcBorders>
          </w:tcPr>
          <w:p w:rsidR="00A915BD" w:rsidRPr="00B207E0" w:rsidRDefault="00A915BD" w:rsidP="00A915BD">
            <w:pPr>
              <w:spacing w:line="276" w:lineRule="auto"/>
              <w:ind w:left="54"/>
              <w:rPr>
                <w:b/>
                <w:sz w:val="22"/>
                <w:szCs w:val="22"/>
              </w:rPr>
            </w:pPr>
            <w:r w:rsidRPr="00B207E0">
              <w:rPr>
                <w:b/>
                <w:sz w:val="22"/>
                <w:szCs w:val="22"/>
              </w:rPr>
              <w:t>Negatívne</w:t>
            </w:r>
          </w:p>
        </w:tc>
      </w:tr>
      <w:tr w:rsidR="00A915BD" w:rsidRPr="00B207E0" w:rsidTr="00524EE1">
        <w:tc>
          <w:tcPr>
            <w:tcW w:w="3812" w:type="dxa"/>
            <w:tcBorders>
              <w:top w:val="single" w:sz="4" w:space="0" w:color="auto"/>
              <w:left w:val="single" w:sz="4" w:space="0" w:color="auto"/>
              <w:bottom w:val="single" w:sz="4" w:space="0" w:color="auto"/>
              <w:right w:val="single" w:sz="4" w:space="0" w:color="auto"/>
            </w:tcBorders>
            <w:shd w:val="clear" w:color="auto" w:fill="E2E2E2"/>
          </w:tcPr>
          <w:p w:rsidR="00A915BD" w:rsidRPr="00B207E0" w:rsidRDefault="00A915BD" w:rsidP="00A915BD">
            <w:pPr>
              <w:spacing w:line="276" w:lineRule="auto"/>
              <w:rPr>
                <w:b/>
                <w:sz w:val="22"/>
                <w:szCs w:val="22"/>
              </w:rPr>
            </w:pPr>
            <w:r w:rsidRPr="00B207E0">
              <w:rPr>
                <w:b/>
                <w:sz w:val="22"/>
                <w:szCs w:val="22"/>
              </w:rPr>
              <w:t>Vplyvy na informatizáciu</w:t>
            </w:r>
          </w:p>
        </w:tc>
        <w:sdt>
          <w:sdtPr>
            <w:rPr>
              <w:b/>
              <w:sz w:val="22"/>
              <w:szCs w:val="22"/>
            </w:rPr>
            <w:id w:val="-940751000"/>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rsidR="00A915BD" w:rsidRPr="00B207E0" w:rsidRDefault="00A915BD" w:rsidP="00A915BD">
                <w:pPr>
                  <w:spacing w:line="276" w:lineRule="auto"/>
                  <w:jc w:val="center"/>
                  <w:rPr>
                    <w:b/>
                    <w:sz w:val="22"/>
                    <w:szCs w:val="22"/>
                  </w:rPr>
                </w:pPr>
                <w:r w:rsidRPr="00B207E0">
                  <w:rPr>
                    <w:rFonts w:ascii="Segoe UI Symbol" w:eastAsia="MS Mincho" w:hAnsi="Segoe UI Symbol" w:cs="Segoe UI Symbol"/>
                    <w:b/>
                    <w:sz w:val="22"/>
                    <w:szCs w:val="22"/>
                  </w:rPr>
                  <w:t>☐</w:t>
                </w:r>
              </w:p>
            </w:tc>
          </w:sdtContent>
        </w:sdt>
        <w:tc>
          <w:tcPr>
            <w:tcW w:w="1281" w:type="dxa"/>
            <w:gridSpan w:val="2"/>
            <w:tcBorders>
              <w:top w:val="single" w:sz="4" w:space="0" w:color="auto"/>
              <w:left w:val="nil"/>
              <w:bottom w:val="single" w:sz="4" w:space="0" w:color="auto"/>
              <w:right w:val="nil"/>
            </w:tcBorders>
          </w:tcPr>
          <w:p w:rsidR="00A915BD" w:rsidRPr="00B207E0" w:rsidRDefault="00A915BD" w:rsidP="00A915BD">
            <w:pPr>
              <w:spacing w:line="276" w:lineRule="auto"/>
              <w:ind w:right="-108"/>
              <w:rPr>
                <w:b/>
                <w:sz w:val="22"/>
                <w:szCs w:val="22"/>
              </w:rPr>
            </w:pPr>
            <w:r w:rsidRPr="00B207E0">
              <w:rPr>
                <w:b/>
                <w:sz w:val="22"/>
                <w:szCs w:val="22"/>
              </w:rPr>
              <w:t>Pozitívne</w:t>
            </w:r>
          </w:p>
        </w:tc>
        <w:sdt>
          <w:sdtPr>
            <w:rPr>
              <w:b/>
              <w:sz w:val="22"/>
              <w:szCs w:val="22"/>
            </w:rPr>
            <w:id w:val="-1126152168"/>
            <w14:checkbox>
              <w14:checked w14:val="1"/>
              <w14:checkedState w14:val="2612" w14:font="MS Gothic"/>
              <w14:uncheckedState w14:val="2610" w14:font="MS Gothic"/>
            </w14:checkbox>
          </w:sdtPr>
          <w:sdtContent>
            <w:tc>
              <w:tcPr>
                <w:tcW w:w="569" w:type="dxa"/>
                <w:tcBorders>
                  <w:top w:val="single" w:sz="4" w:space="0" w:color="auto"/>
                  <w:left w:val="nil"/>
                  <w:bottom w:val="single" w:sz="4" w:space="0" w:color="auto"/>
                  <w:right w:val="nil"/>
                </w:tcBorders>
              </w:tcPr>
              <w:p w:rsidR="00A915BD" w:rsidRPr="00B207E0" w:rsidRDefault="00A915BD" w:rsidP="00A915BD">
                <w:pPr>
                  <w:spacing w:line="276" w:lineRule="auto"/>
                  <w:jc w:val="center"/>
                  <w:rPr>
                    <w:b/>
                    <w:sz w:val="22"/>
                    <w:szCs w:val="22"/>
                  </w:rPr>
                </w:pPr>
                <w:r w:rsidRPr="00B207E0">
                  <w:rPr>
                    <w:rFonts w:ascii="MS Gothic" w:eastAsia="MS Gothic" w:hAnsi="MS Gothic" w:hint="eastAsia"/>
                    <w:b/>
                    <w:sz w:val="22"/>
                    <w:szCs w:val="22"/>
                  </w:rPr>
                  <w:t>☒</w:t>
                </w:r>
              </w:p>
            </w:tc>
          </w:sdtContent>
        </w:sdt>
        <w:tc>
          <w:tcPr>
            <w:tcW w:w="1133" w:type="dxa"/>
            <w:tcBorders>
              <w:top w:val="single" w:sz="4" w:space="0" w:color="auto"/>
              <w:left w:val="nil"/>
              <w:bottom w:val="single" w:sz="4" w:space="0" w:color="auto"/>
              <w:right w:val="nil"/>
            </w:tcBorders>
          </w:tcPr>
          <w:p w:rsidR="00A915BD" w:rsidRPr="00B207E0" w:rsidRDefault="00A915BD" w:rsidP="00A915BD">
            <w:pPr>
              <w:spacing w:line="276" w:lineRule="auto"/>
              <w:rPr>
                <w:b/>
                <w:sz w:val="22"/>
                <w:szCs w:val="22"/>
              </w:rPr>
            </w:pPr>
            <w:r w:rsidRPr="00B207E0">
              <w:rPr>
                <w:b/>
                <w:sz w:val="22"/>
                <w:szCs w:val="22"/>
              </w:rPr>
              <w:t>Žiadne</w:t>
            </w:r>
          </w:p>
        </w:tc>
        <w:sdt>
          <w:sdtPr>
            <w:rPr>
              <w:b/>
              <w:sz w:val="22"/>
              <w:szCs w:val="22"/>
            </w:rPr>
            <w:id w:val="378831873"/>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rsidR="00A915BD" w:rsidRPr="00B207E0" w:rsidRDefault="00A915BD" w:rsidP="00A915BD">
                <w:pPr>
                  <w:spacing w:line="276" w:lineRule="auto"/>
                  <w:jc w:val="center"/>
                  <w:rPr>
                    <w:b/>
                    <w:sz w:val="22"/>
                    <w:szCs w:val="22"/>
                  </w:rPr>
                </w:pPr>
                <w:r w:rsidRPr="00B207E0">
                  <w:rPr>
                    <w:rFonts w:ascii="Segoe UI Symbol" w:eastAsia="MS Mincho" w:hAnsi="Segoe UI Symbol" w:cs="Segoe UI Symbol"/>
                    <w:b/>
                    <w:sz w:val="22"/>
                    <w:szCs w:val="22"/>
                  </w:rPr>
                  <w:t>☐</w:t>
                </w:r>
              </w:p>
            </w:tc>
          </w:sdtContent>
        </w:sdt>
        <w:tc>
          <w:tcPr>
            <w:tcW w:w="1297" w:type="dxa"/>
            <w:tcBorders>
              <w:top w:val="single" w:sz="4" w:space="0" w:color="auto"/>
              <w:left w:val="nil"/>
              <w:bottom w:val="single" w:sz="4" w:space="0" w:color="auto"/>
              <w:right w:val="single" w:sz="4" w:space="0" w:color="auto"/>
            </w:tcBorders>
          </w:tcPr>
          <w:p w:rsidR="00A915BD" w:rsidRPr="00B207E0" w:rsidRDefault="00A915BD" w:rsidP="00A915BD">
            <w:pPr>
              <w:spacing w:line="276" w:lineRule="auto"/>
              <w:ind w:left="54"/>
              <w:rPr>
                <w:b/>
                <w:sz w:val="22"/>
                <w:szCs w:val="22"/>
              </w:rPr>
            </w:pPr>
            <w:r w:rsidRPr="00B207E0">
              <w:rPr>
                <w:b/>
                <w:sz w:val="22"/>
                <w:szCs w:val="22"/>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A915BD" w:rsidRPr="00B207E0" w:rsidTr="00524EE1">
        <w:tc>
          <w:tcPr>
            <w:tcW w:w="3812" w:type="dxa"/>
            <w:tcBorders>
              <w:top w:val="single" w:sz="4" w:space="0" w:color="auto"/>
              <w:left w:val="single" w:sz="4" w:space="0" w:color="auto"/>
              <w:bottom w:val="nil"/>
              <w:right w:val="single" w:sz="4" w:space="0" w:color="auto"/>
            </w:tcBorders>
            <w:shd w:val="clear" w:color="auto" w:fill="E2E2E2"/>
          </w:tcPr>
          <w:p w:rsidR="00A915BD" w:rsidRPr="00B207E0" w:rsidRDefault="00A915BD" w:rsidP="00A915BD">
            <w:pPr>
              <w:spacing w:line="276" w:lineRule="auto"/>
              <w:rPr>
                <w:b/>
                <w:sz w:val="22"/>
                <w:szCs w:val="22"/>
              </w:rPr>
            </w:pPr>
            <w:r w:rsidRPr="00B207E0">
              <w:rPr>
                <w:rFonts w:eastAsia="Calibri"/>
                <w:b/>
                <w:sz w:val="22"/>
                <w:szCs w:val="22"/>
                <w:lang w:eastAsia="en-US"/>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A915BD" w:rsidRPr="00B207E0" w:rsidRDefault="00A915BD" w:rsidP="00A915BD">
            <w:pPr>
              <w:spacing w:line="276" w:lineRule="auto"/>
              <w:jc w:val="center"/>
              <w:rPr>
                <w:rFonts w:eastAsia="MS Mincho"/>
                <w:b/>
                <w:sz w:val="22"/>
                <w:szCs w:val="22"/>
              </w:rPr>
            </w:pPr>
          </w:p>
        </w:tc>
        <w:tc>
          <w:tcPr>
            <w:tcW w:w="1281" w:type="dxa"/>
            <w:tcBorders>
              <w:top w:val="single" w:sz="4" w:space="0" w:color="auto"/>
              <w:left w:val="nil"/>
              <w:bottom w:val="nil"/>
              <w:right w:val="nil"/>
            </w:tcBorders>
            <w:shd w:val="clear" w:color="auto" w:fill="auto"/>
          </w:tcPr>
          <w:p w:rsidR="00A915BD" w:rsidRPr="00B207E0" w:rsidRDefault="00A915BD" w:rsidP="00A915BD">
            <w:pPr>
              <w:spacing w:line="276" w:lineRule="auto"/>
              <w:ind w:right="-108"/>
              <w:rPr>
                <w:b/>
                <w:sz w:val="22"/>
                <w:szCs w:val="22"/>
              </w:rPr>
            </w:pPr>
          </w:p>
        </w:tc>
        <w:tc>
          <w:tcPr>
            <w:tcW w:w="569" w:type="dxa"/>
            <w:tcBorders>
              <w:top w:val="single" w:sz="4" w:space="0" w:color="auto"/>
              <w:left w:val="nil"/>
              <w:bottom w:val="nil"/>
              <w:right w:val="nil"/>
            </w:tcBorders>
            <w:shd w:val="clear" w:color="auto" w:fill="auto"/>
          </w:tcPr>
          <w:p w:rsidR="00A915BD" w:rsidRPr="00B207E0" w:rsidRDefault="00A915BD" w:rsidP="00A915BD">
            <w:pPr>
              <w:spacing w:line="276" w:lineRule="auto"/>
              <w:jc w:val="center"/>
              <w:rPr>
                <w:rFonts w:eastAsia="MS Mincho"/>
                <w:b/>
                <w:sz w:val="22"/>
                <w:szCs w:val="22"/>
              </w:rPr>
            </w:pPr>
          </w:p>
        </w:tc>
        <w:tc>
          <w:tcPr>
            <w:tcW w:w="1133" w:type="dxa"/>
            <w:tcBorders>
              <w:top w:val="single" w:sz="4" w:space="0" w:color="auto"/>
              <w:left w:val="nil"/>
              <w:bottom w:val="nil"/>
              <w:right w:val="nil"/>
            </w:tcBorders>
            <w:shd w:val="clear" w:color="auto" w:fill="auto"/>
          </w:tcPr>
          <w:p w:rsidR="00A915BD" w:rsidRPr="00B207E0" w:rsidRDefault="00A915BD" w:rsidP="00A915BD">
            <w:pPr>
              <w:spacing w:line="276" w:lineRule="auto"/>
              <w:rPr>
                <w:b/>
                <w:sz w:val="22"/>
                <w:szCs w:val="22"/>
              </w:rPr>
            </w:pPr>
          </w:p>
        </w:tc>
        <w:tc>
          <w:tcPr>
            <w:tcW w:w="547" w:type="dxa"/>
            <w:tcBorders>
              <w:top w:val="single" w:sz="4" w:space="0" w:color="auto"/>
              <w:left w:val="nil"/>
              <w:bottom w:val="nil"/>
              <w:right w:val="nil"/>
            </w:tcBorders>
            <w:shd w:val="clear" w:color="auto" w:fill="auto"/>
          </w:tcPr>
          <w:p w:rsidR="00A915BD" w:rsidRPr="00B207E0" w:rsidRDefault="00A915BD" w:rsidP="00A915BD">
            <w:pPr>
              <w:spacing w:line="276" w:lineRule="auto"/>
              <w:jc w:val="center"/>
              <w:rPr>
                <w:rFonts w:eastAsia="MS Mincho"/>
                <w:b/>
                <w:sz w:val="22"/>
                <w:szCs w:val="22"/>
              </w:rPr>
            </w:pPr>
          </w:p>
        </w:tc>
        <w:tc>
          <w:tcPr>
            <w:tcW w:w="1297" w:type="dxa"/>
            <w:tcBorders>
              <w:top w:val="single" w:sz="4" w:space="0" w:color="auto"/>
              <w:left w:val="nil"/>
              <w:bottom w:val="nil"/>
              <w:right w:val="single" w:sz="4" w:space="0" w:color="auto"/>
            </w:tcBorders>
            <w:shd w:val="clear" w:color="auto" w:fill="auto"/>
          </w:tcPr>
          <w:p w:rsidR="00A915BD" w:rsidRPr="00B207E0" w:rsidRDefault="00A915BD" w:rsidP="00A915BD">
            <w:pPr>
              <w:spacing w:line="276" w:lineRule="auto"/>
              <w:ind w:left="54"/>
              <w:rPr>
                <w:b/>
                <w:sz w:val="22"/>
                <w:szCs w:val="22"/>
              </w:rPr>
            </w:pPr>
          </w:p>
        </w:tc>
      </w:tr>
      <w:tr w:rsidR="00A915BD" w:rsidRPr="00B207E0" w:rsidTr="00524EE1">
        <w:tc>
          <w:tcPr>
            <w:tcW w:w="3812" w:type="dxa"/>
            <w:tcBorders>
              <w:top w:val="nil"/>
              <w:left w:val="single" w:sz="4" w:space="0" w:color="auto"/>
              <w:bottom w:val="nil"/>
              <w:right w:val="single" w:sz="4" w:space="0" w:color="auto"/>
            </w:tcBorders>
            <w:shd w:val="clear" w:color="auto" w:fill="E2E2E2"/>
          </w:tcPr>
          <w:p w:rsidR="00A915BD" w:rsidRPr="00B207E0" w:rsidRDefault="00A915BD" w:rsidP="00A915BD">
            <w:pPr>
              <w:spacing w:line="276" w:lineRule="auto"/>
              <w:ind w:left="196" w:hanging="196"/>
              <w:rPr>
                <w:rFonts w:eastAsia="Calibri"/>
                <w:b/>
                <w:sz w:val="22"/>
                <w:szCs w:val="22"/>
                <w:lang w:eastAsia="en-US"/>
              </w:rPr>
            </w:pPr>
            <w:r w:rsidRPr="00B207E0">
              <w:rPr>
                <w:rFonts w:eastAsia="Calibri"/>
                <w:b/>
                <w:sz w:val="22"/>
                <w:szCs w:val="22"/>
                <w:lang w:eastAsia="en-US"/>
              </w:rPr>
              <w:lastRenderedPageBreak/>
              <w:t xml:space="preserve">    vplyvy služieb verejnej správy na občana</w:t>
            </w:r>
          </w:p>
        </w:tc>
        <w:sdt>
          <w:sdtPr>
            <w:rPr>
              <w:b/>
              <w:sz w:val="22"/>
              <w:szCs w:val="22"/>
            </w:rPr>
            <w:id w:val="-1688362683"/>
            <w14:checkbox>
              <w14:checked w14:val="0"/>
              <w14:checkedState w14:val="2612" w14:font="MS Gothic"/>
              <w14:uncheckedState w14:val="2610" w14:font="MS Gothic"/>
            </w14:checkbox>
          </w:sdtPr>
          <w:sdtContent>
            <w:tc>
              <w:tcPr>
                <w:tcW w:w="541" w:type="dxa"/>
                <w:tcBorders>
                  <w:top w:val="nil"/>
                  <w:left w:val="single" w:sz="4" w:space="0" w:color="auto"/>
                  <w:bottom w:val="nil"/>
                  <w:right w:val="nil"/>
                </w:tcBorders>
                <w:shd w:val="clear" w:color="auto" w:fill="auto"/>
              </w:tcPr>
              <w:p w:rsidR="00A915BD" w:rsidRPr="00B207E0" w:rsidRDefault="00A915BD" w:rsidP="00A915BD">
                <w:pPr>
                  <w:spacing w:line="276" w:lineRule="auto"/>
                  <w:jc w:val="center"/>
                  <w:rPr>
                    <w:b/>
                    <w:sz w:val="22"/>
                    <w:szCs w:val="22"/>
                  </w:rPr>
                </w:pPr>
                <w:r w:rsidRPr="00B207E0">
                  <w:rPr>
                    <w:rFonts w:ascii="MS Gothic" w:eastAsia="MS Gothic" w:hAnsi="MS Gothic" w:hint="eastAsia"/>
                    <w:b/>
                    <w:sz w:val="22"/>
                    <w:szCs w:val="22"/>
                  </w:rPr>
                  <w:t>☐</w:t>
                </w:r>
              </w:p>
            </w:tc>
          </w:sdtContent>
        </w:sdt>
        <w:tc>
          <w:tcPr>
            <w:tcW w:w="1281" w:type="dxa"/>
            <w:tcBorders>
              <w:top w:val="nil"/>
              <w:left w:val="nil"/>
              <w:bottom w:val="nil"/>
              <w:right w:val="nil"/>
            </w:tcBorders>
            <w:shd w:val="clear" w:color="auto" w:fill="auto"/>
          </w:tcPr>
          <w:p w:rsidR="00A915BD" w:rsidRPr="00B207E0" w:rsidRDefault="00A915BD" w:rsidP="00A915BD">
            <w:pPr>
              <w:spacing w:line="276" w:lineRule="auto"/>
              <w:ind w:right="-108"/>
              <w:rPr>
                <w:b/>
                <w:sz w:val="22"/>
                <w:szCs w:val="22"/>
              </w:rPr>
            </w:pPr>
            <w:r w:rsidRPr="00B207E0">
              <w:rPr>
                <w:b/>
                <w:sz w:val="22"/>
                <w:szCs w:val="22"/>
              </w:rPr>
              <w:t>Pozitívne</w:t>
            </w:r>
          </w:p>
        </w:tc>
        <w:sdt>
          <w:sdtPr>
            <w:rPr>
              <w:b/>
              <w:sz w:val="22"/>
              <w:szCs w:val="22"/>
            </w:rPr>
            <w:id w:val="884985506"/>
            <w14:checkbox>
              <w14:checked w14:val="1"/>
              <w14:checkedState w14:val="2612" w14:font="MS Gothic"/>
              <w14:uncheckedState w14:val="2610" w14:font="MS Gothic"/>
            </w14:checkbox>
          </w:sdtPr>
          <w:sdtContent>
            <w:tc>
              <w:tcPr>
                <w:tcW w:w="569" w:type="dxa"/>
                <w:tcBorders>
                  <w:top w:val="nil"/>
                  <w:left w:val="nil"/>
                  <w:bottom w:val="nil"/>
                  <w:right w:val="nil"/>
                </w:tcBorders>
                <w:shd w:val="clear" w:color="auto" w:fill="auto"/>
              </w:tcPr>
              <w:p w:rsidR="00A915BD" w:rsidRPr="00B207E0" w:rsidRDefault="00A915BD" w:rsidP="00A915BD">
                <w:pPr>
                  <w:spacing w:line="276" w:lineRule="auto"/>
                  <w:jc w:val="center"/>
                  <w:rPr>
                    <w:b/>
                    <w:sz w:val="22"/>
                    <w:szCs w:val="22"/>
                  </w:rPr>
                </w:pPr>
                <w:r w:rsidRPr="00B207E0">
                  <w:rPr>
                    <w:rFonts w:ascii="MS Gothic" w:eastAsia="MS Gothic" w:hAnsi="MS Gothic" w:hint="eastAsia"/>
                    <w:b/>
                    <w:sz w:val="22"/>
                    <w:szCs w:val="22"/>
                  </w:rPr>
                  <w:t>☒</w:t>
                </w:r>
              </w:p>
            </w:tc>
          </w:sdtContent>
        </w:sdt>
        <w:tc>
          <w:tcPr>
            <w:tcW w:w="1133" w:type="dxa"/>
            <w:tcBorders>
              <w:top w:val="nil"/>
              <w:left w:val="nil"/>
              <w:bottom w:val="nil"/>
              <w:right w:val="nil"/>
            </w:tcBorders>
            <w:shd w:val="clear" w:color="auto" w:fill="auto"/>
          </w:tcPr>
          <w:p w:rsidR="00A915BD" w:rsidRPr="00B207E0" w:rsidRDefault="00A915BD" w:rsidP="00A915BD">
            <w:pPr>
              <w:spacing w:line="276" w:lineRule="auto"/>
              <w:rPr>
                <w:b/>
                <w:sz w:val="22"/>
                <w:szCs w:val="22"/>
              </w:rPr>
            </w:pPr>
            <w:r w:rsidRPr="00B207E0">
              <w:rPr>
                <w:b/>
                <w:sz w:val="22"/>
                <w:szCs w:val="22"/>
              </w:rPr>
              <w:t>Žiadne</w:t>
            </w:r>
          </w:p>
        </w:tc>
        <w:sdt>
          <w:sdtPr>
            <w:rPr>
              <w:b/>
              <w:sz w:val="22"/>
              <w:szCs w:val="22"/>
            </w:rPr>
            <w:id w:val="-2146805846"/>
            <w14:checkbox>
              <w14:checked w14:val="0"/>
              <w14:checkedState w14:val="2612" w14:font="MS Gothic"/>
              <w14:uncheckedState w14:val="2610" w14:font="MS Gothic"/>
            </w14:checkbox>
          </w:sdtPr>
          <w:sdtContent>
            <w:tc>
              <w:tcPr>
                <w:tcW w:w="547" w:type="dxa"/>
                <w:tcBorders>
                  <w:top w:val="nil"/>
                  <w:left w:val="nil"/>
                  <w:bottom w:val="nil"/>
                  <w:right w:val="nil"/>
                </w:tcBorders>
                <w:shd w:val="clear" w:color="auto" w:fill="auto"/>
              </w:tcPr>
              <w:p w:rsidR="00A915BD" w:rsidRPr="00B207E0" w:rsidRDefault="00A915BD" w:rsidP="00A915BD">
                <w:pPr>
                  <w:spacing w:line="276" w:lineRule="auto"/>
                  <w:jc w:val="center"/>
                  <w:rPr>
                    <w:b/>
                    <w:sz w:val="22"/>
                    <w:szCs w:val="22"/>
                  </w:rPr>
                </w:pPr>
                <w:r w:rsidRPr="00B207E0">
                  <w:rPr>
                    <w:rFonts w:ascii="Segoe UI Symbol" w:eastAsia="MS Mincho" w:hAnsi="Segoe UI Symbol" w:cs="Segoe UI Symbol"/>
                    <w:b/>
                    <w:sz w:val="22"/>
                    <w:szCs w:val="22"/>
                  </w:rPr>
                  <w:t>☐</w:t>
                </w:r>
              </w:p>
            </w:tc>
          </w:sdtContent>
        </w:sdt>
        <w:tc>
          <w:tcPr>
            <w:tcW w:w="1297" w:type="dxa"/>
            <w:tcBorders>
              <w:top w:val="nil"/>
              <w:left w:val="nil"/>
              <w:bottom w:val="nil"/>
              <w:right w:val="single" w:sz="4" w:space="0" w:color="auto"/>
            </w:tcBorders>
            <w:shd w:val="clear" w:color="auto" w:fill="auto"/>
          </w:tcPr>
          <w:p w:rsidR="00A915BD" w:rsidRPr="00B207E0" w:rsidRDefault="00A915BD" w:rsidP="00A915BD">
            <w:pPr>
              <w:spacing w:line="276" w:lineRule="auto"/>
              <w:ind w:left="54"/>
              <w:rPr>
                <w:b/>
                <w:sz w:val="22"/>
                <w:szCs w:val="22"/>
              </w:rPr>
            </w:pPr>
            <w:r w:rsidRPr="00B207E0">
              <w:rPr>
                <w:b/>
                <w:sz w:val="22"/>
                <w:szCs w:val="22"/>
              </w:rPr>
              <w:t>Negatívne</w:t>
            </w:r>
          </w:p>
        </w:tc>
      </w:tr>
      <w:tr w:rsidR="00A915BD" w:rsidRPr="00B207E0" w:rsidTr="00524EE1">
        <w:tc>
          <w:tcPr>
            <w:tcW w:w="3812" w:type="dxa"/>
            <w:tcBorders>
              <w:top w:val="nil"/>
              <w:left w:val="single" w:sz="4" w:space="0" w:color="auto"/>
              <w:bottom w:val="single" w:sz="4" w:space="0" w:color="auto"/>
              <w:right w:val="single" w:sz="4" w:space="0" w:color="auto"/>
            </w:tcBorders>
            <w:shd w:val="clear" w:color="auto" w:fill="E2E2E2"/>
          </w:tcPr>
          <w:p w:rsidR="00A915BD" w:rsidRPr="00B207E0" w:rsidRDefault="00A915BD" w:rsidP="00A915BD">
            <w:pPr>
              <w:spacing w:line="276" w:lineRule="auto"/>
              <w:ind w:left="168" w:hanging="168"/>
              <w:rPr>
                <w:rFonts w:eastAsia="Calibri"/>
                <w:b/>
                <w:sz w:val="22"/>
                <w:szCs w:val="22"/>
                <w:lang w:eastAsia="en-US"/>
              </w:rPr>
            </w:pPr>
            <w:r w:rsidRPr="00B207E0">
              <w:rPr>
                <w:rFonts w:eastAsia="Calibri"/>
                <w:b/>
                <w:sz w:val="22"/>
                <w:szCs w:val="22"/>
                <w:lang w:eastAsia="en-US"/>
              </w:rPr>
              <w:t xml:space="preserve">    vplyvy na procesy služieb vo verejnej správe</w:t>
            </w:r>
          </w:p>
        </w:tc>
        <w:sdt>
          <w:sdtPr>
            <w:rPr>
              <w:b/>
              <w:sz w:val="22"/>
              <w:szCs w:val="22"/>
            </w:rPr>
            <w:id w:val="-113984565"/>
            <w14:checkbox>
              <w14:checked w14:val="0"/>
              <w14:checkedState w14:val="2612" w14:font="MS Gothic"/>
              <w14:uncheckedState w14:val="2610" w14:font="MS Gothic"/>
            </w14:checkbox>
          </w:sdtPr>
          <w:sdtContent>
            <w:tc>
              <w:tcPr>
                <w:tcW w:w="541" w:type="dxa"/>
                <w:tcBorders>
                  <w:top w:val="nil"/>
                  <w:left w:val="single" w:sz="4" w:space="0" w:color="auto"/>
                  <w:bottom w:val="single" w:sz="4" w:space="0" w:color="auto"/>
                  <w:right w:val="nil"/>
                </w:tcBorders>
                <w:shd w:val="clear" w:color="auto" w:fill="auto"/>
              </w:tcPr>
              <w:p w:rsidR="00A915BD" w:rsidRPr="00B207E0" w:rsidRDefault="00A915BD" w:rsidP="00A915BD">
                <w:pPr>
                  <w:spacing w:line="276" w:lineRule="auto"/>
                  <w:jc w:val="center"/>
                  <w:rPr>
                    <w:b/>
                    <w:sz w:val="22"/>
                    <w:szCs w:val="22"/>
                  </w:rPr>
                </w:pPr>
                <w:r w:rsidRPr="00B207E0">
                  <w:rPr>
                    <w:rFonts w:ascii="Segoe UI Symbol" w:eastAsia="MS Mincho" w:hAnsi="Segoe UI Symbol" w:cs="Segoe UI Symbol"/>
                    <w:b/>
                    <w:sz w:val="22"/>
                    <w:szCs w:val="22"/>
                  </w:rPr>
                  <w:t>☐</w:t>
                </w:r>
              </w:p>
            </w:tc>
          </w:sdtContent>
        </w:sdt>
        <w:tc>
          <w:tcPr>
            <w:tcW w:w="1281" w:type="dxa"/>
            <w:tcBorders>
              <w:top w:val="nil"/>
              <w:left w:val="nil"/>
              <w:bottom w:val="single" w:sz="4" w:space="0" w:color="auto"/>
              <w:right w:val="nil"/>
            </w:tcBorders>
            <w:shd w:val="clear" w:color="auto" w:fill="auto"/>
          </w:tcPr>
          <w:p w:rsidR="00A915BD" w:rsidRPr="00B207E0" w:rsidRDefault="00A915BD" w:rsidP="00A915BD">
            <w:pPr>
              <w:spacing w:line="276" w:lineRule="auto"/>
              <w:ind w:right="-108"/>
              <w:rPr>
                <w:b/>
                <w:sz w:val="22"/>
                <w:szCs w:val="22"/>
              </w:rPr>
            </w:pPr>
            <w:r w:rsidRPr="00B207E0">
              <w:rPr>
                <w:b/>
                <w:sz w:val="22"/>
                <w:szCs w:val="22"/>
              </w:rPr>
              <w:t>Pozitívne</w:t>
            </w:r>
          </w:p>
        </w:tc>
        <w:sdt>
          <w:sdtPr>
            <w:rPr>
              <w:b/>
              <w:sz w:val="22"/>
              <w:szCs w:val="22"/>
            </w:rPr>
            <w:id w:val="-1325040833"/>
            <w14:checkbox>
              <w14:checked w14:val="1"/>
              <w14:checkedState w14:val="2612" w14:font="MS Gothic"/>
              <w14:uncheckedState w14:val="2610" w14:font="MS Gothic"/>
            </w14:checkbox>
          </w:sdtPr>
          <w:sdtContent>
            <w:tc>
              <w:tcPr>
                <w:tcW w:w="569" w:type="dxa"/>
                <w:tcBorders>
                  <w:top w:val="nil"/>
                  <w:left w:val="nil"/>
                  <w:bottom w:val="single" w:sz="4" w:space="0" w:color="auto"/>
                  <w:right w:val="nil"/>
                </w:tcBorders>
                <w:shd w:val="clear" w:color="auto" w:fill="auto"/>
              </w:tcPr>
              <w:p w:rsidR="00A915BD" w:rsidRPr="00B207E0" w:rsidRDefault="00A915BD" w:rsidP="00A915BD">
                <w:pPr>
                  <w:spacing w:line="276" w:lineRule="auto"/>
                  <w:jc w:val="center"/>
                  <w:rPr>
                    <w:b/>
                    <w:sz w:val="22"/>
                    <w:szCs w:val="22"/>
                  </w:rPr>
                </w:pPr>
                <w:r w:rsidRPr="00B207E0">
                  <w:rPr>
                    <w:rFonts w:ascii="MS Gothic" w:eastAsia="MS Gothic" w:hAnsi="MS Gothic" w:hint="eastAsia"/>
                    <w:b/>
                    <w:sz w:val="22"/>
                    <w:szCs w:val="22"/>
                  </w:rPr>
                  <w:t>☒</w:t>
                </w:r>
              </w:p>
            </w:tc>
          </w:sdtContent>
        </w:sdt>
        <w:tc>
          <w:tcPr>
            <w:tcW w:w="1133" w:type="dxa"/>
            <w:tcBorders>
              <w:top w:val="nil"/>
              <w:left w:val="nil"/>
              <w:bottom w:val="single" w:sz="4" w:space="0" w:color="auto"/>
              <w:right w:val="nil"/>
            </w:tcBorders>
            <w:shd w:val="clear" w:color="auto" w:fill="auto"/>
          </w:tcPr>
          <w:p w:rsidR="00A915BD" w:rsidRPr="00B207E0" w:rsidRDefault="00A915BD" w:rsidP="00A915BD">
            <w:pPr>
              <w:spacing w:line="276" w:lineRule="auto"/>
              <w:rPr>
                <w:b/>
                <w:sz w:val="22"/>
                <w:szCs w:val="22"/>
              </w:rPr>
            </w:pPr>
            <w:r w:rsidRPr="00B207E0">
              <w:rPr>
                <w:b/>
                <w:sz w:val="22"/>
                <w:szCs w:val="22"/>
              </w:rPr>
              <w:t>Žiadne</w:t>
            </w:r>
          </w:p>
        </w:tc>
        <w:sdt>
          <w:sdtPr>
            <w:rPr>
              <w:b/>
              <w:sz w:val="22"/>
              <w:szCs w:val="22"/>
            </w:rPr>
            <w:id w:val="2018029189"/>
            <w14:checkbox>
              <w14:checked w14:val="0"/>
              <w14:checkedState w14:val="2612" w14:font="MS Gothic"/>
              <w14:uncheckedState w14:val="2610" w14:font="MS Gothic"/>
            </w14:checkbox>
          </w:sdtPr>
          <w:sdtContent>
            <w:tc>
              <w:tcPr>
                <w:tcW w:w="547" w:type="dxa"/>
                <w:tcBorders>
                  <w:top w:val="nil"/>
                  <w:left w:val="nil"/>
                  <w:bottom w:val="single" w:sz="4" w:space="0" w:color="auto"/>
                  <w:right w:val="nil"/>
                </w:tcBorders>
                <w:shd w:val="clear" w:color="auto" w:fill="auto"/>
              </w:tcPr>
              <w:p w:rsidR="00A915BD" w:rsidRPr="00B207E0" w:rsidRDefault="00A915BD" w:rsidP="00A915BD">
                <w:pPr>
                  <w:spacing w:line="276" w:lineRule="auto"/>
                  <w:jc w:val="center"/>
                  <w:rPr>
                    <w:b/>
                    <w:sz w:val="22"/>
                    <w:szCs w:val="22"/>
                  </w:rPr>
                </w:pPr>
                <w:r w:rsidRPr="00B207E0">
                  <w:rPr>
                    <w:rFonts w:ascii="Segoe UI Symbol" w:eastAsia="MS Mincho" w:hAnsi="Segoe UI Symbol" w:cs="Segoe UI Symbol"/>
                    <w:b/>
                    <w:sz w:val="22"/>
                    <w:szCs w:val="22"/>
                  </w:rPr>
                  <w:t>☐</w:t>
                </w:r>
              </w:p>
            </w:tc>
          </w:sdtContent>
        </w:sdt>
        <w:tc>
          <w:tcPr>
            <w:tcW w:w="1297" w:type="dxa"/>
            <w:tcBorders>
              <w:top w:val="nil"/>
              <w:left w:val="nil"/>
              <w:bottom w:val="single" w:sz="4" w:space="0" w:color="auto"/>
              <w:right w:val="single" w:sz="4" w:space="0" w:color="auto"/>
            </w:tcBorders>
            <w:shd w:val="clear" w:color="auto" w:fill="auto"/>
          </w:tcPr>
          <w:p w:rsidR="00A915BD" w:rsidRPr="00B207E0" w:rsidRDefault="00A915BD" w:rsidP="00A915BD">
            <w:pPr>
              <w:spacing w:line="276" w:lineRule="auto"/>
              <w:ind w:left="54"/>
              <w:rPr>
                <w:b/>
                <w:sz w:val="22"/>
                <w:szCs w:val="22"/>
              </w:rPr>
            </w:pPr>
            <w:r w:rsidRPr="00B207E0">
              <w:rPr>
                <w:b/>
                <w:sz w:val="22"/>
                <w:szCs w:val="22"/>
              </w:rPr>
              <w:t>Negatívne</w:t>
            </w:r>
          </w:p>
        </w:tc>
      </w:tr>
    </w:tbl>
    <w:p w:rsidR="00A915BD" w:rsidRDefault="00A915BD" w:rsidP="00A915BD">
      <w:pPr>
        <w:spacing w:line="276" w:lineRule="auto"/>
        <w:ind w:right="141"/>
        <w:rPr>
          <w:b/>
          <w:sz w:val="22"/>
          <w:szCs w:val="22"/>
        </w:rPr>
      </w:pPr>
    </w:p>
    <w:p w:rsidR="00A915BD" w:rsidRDefault="00A915BD" w:rsidP="00A915BD">
      <w:pPr>
        <w:spacing w:line="276" w:lineRule="auto"/>
        <w:ind w:right="141"/>
        <w:rPr>
          <w:b/>
          <w:sz w:val="22"/>
          <w:szCs w:val="22"/>
        </w:rPr>
      </w:pPr>
    </w:p>
    <w:p w:rsidR="00A915BD" w:rsidRDefault="00A915BD" w:rsidP="00A915BD">
      <w:pPr>
        <w:spacing w:line="276" w:lineRule="auto"/>
        <w:ind w:right="141"/>
        <w:rPr>
          <w:b/>
          <w:sz w:val="22"/>
          <w:szCs w:val="22"/>
        </w:rPr>
      </w:pPr>
    </w:p>
    <w:p w:rsidR="00A915BD" w:rsidRDefault="00A915BD" w:rsidP="00A915BD">
      <w:pPr>
        <w:spacing w:line="276" w:lineRule="auto"/>
        <w:ind w:right="141"/>
        <w:rPr>
          <w:b/>
          <w:sz w:val="22"/>
          <w:szCs w:val="22"/>
        </w:rPr>
      </w:pPr>
    </w:p>
    <w:tbl>
      <w:tblPr>
        <w:tblStyle w:val="Mriekatabuky"/>
        <w:tblW w:w="9176" w:type="dxa"/>
        <w:tblLayout w:type="fixed"/>
        <w:tblLook w:val="04A0" w:firstRow="1" w:lastRow="0" w:firstColumn="1" w:lastColumn="0" w:noHBand="0" w:noVBand="1"/>
      </w:tblPr>
      <w:tblGrid>
        <w:gridCol w:w="9176"/>
      </w:tblGrid>
      <w:tr w:rsidR="00A915BD" w:rsidRPr="00B207E0" w:rsidTr="00524EE1">
        <w:tc>
          <w:tcPr>
            <w:tcW w:w="9176" w:type="dxa"/>
            <w:tcBorders>
              <w:top w:val="single" w:sz="4" w:space="0" w:color="auto"/>
              <w:left w:val="single" w:sz="4" w:space="0" w:color="auto"/>
              <w:bottom w:val="nil"/>
              <w:right w:val="single" w:sz="4" w:space="0" w:color="auto"/>
            </w:tcBorders>
            <w:shd w:val="clear" w:color="auto" w:fill="E2E2E2"/>
          </w:tcPr>
          <w:p w:rsidR="00A915BD" w:rsidRPr="00B207E0" w:rsidRDefault="00A915BD" w:rsidP="00A915BD">
            <w:pPr>
              <w:pStyle w:val="Odsekzoznamu"/>
              <w:numPr>
                <w:ilvl w:val="0"/>
                <w:numId w:val="12"/>
              </w:numPr>
              <w:spacing w:line="276" w:lineRule="auto"/>
              <w:ind w:left="426"/>
              <w:rPr>
                <w:b/>
              </w:rPr>
            </w:pPr>
            <w:r w:rsidRPr="00B207E0">
              <w:rPr>
                <w:b/>
              </w:rPr>
              <w:t>Poznámky</w:t>
            </w:r>
          </w:p>
        </w:tc>
      </w:tr>
      <w:tr w:rsidR="00A915BD" w:rsidRPr="00B207E0" w:rsidTr="00524EE1">
        <w:trPr>
          <w:trHeight w:val="713"/>
        </w:trPr>
        <w:tc>
          <w:tcPr>
            <w:tcW w:w="9176" w:type="dxa"/>
            <w:tcBorders>
              <w:top w:val="nil"/>
              <w:left w:val="single" w:sz="4" w:space="0" w:color="auto"/>
              <w:bottom w:val="single" w:sz="4" w:space="0" w:color="FFFFFF" w:themeColor="background1"/>
              <w:right w:val="single" w:sz="4" w:space="0" w:color="auto"/>
            </w:tcBorders>
            <w:shd w:val="clear" w:color="auto" w:fill="auto"/>
          </w:tcPr>
          <w:p w:rsidR="00A915BD" w:rsidRPr="00B207E0" w:rsidRDefault="00A915BD" w:rsidP="00A915BD">
            <w:pPr>
              <w:spacing w:line="276" w:lineRule="auto"/>
              <w:rPr>
                <w:i/>
                <w:sz w:val="22"/>
                <w:szCs w:val="22"/>
              </w:rPr>
            </w:pPr>
            <w:r w:rsidRPr="00B207E0">
              <w:rPr>
                <w:i/>
                <w:sz w:val="22"/>
                <w:szCs w:val="22"/>
              </w:rPr>
              <w:t>V prípade potreby uveďte doplňujúce informácie k návrhu.</w:t>
            </w:r>
          </w:p>
          <w:p w:rsidR="00A915BD" w:rsidRPr="00B207E0" w:rsidRDefault="00A915BD" w:rsidP="00A915BD">
            <w:pPr>
              <w:spacing w:line="276" w:lineRule="auto"/>
              <w:rPr>
                <w:sz w:val="22"/>
                <w:szCs w:val="22"/>
              </w:rPr>
            </w:pPr>
          </w:p>
          <w:p w:rsidR="00A915BD" w:rsidRPr="00BB1D0F" w:rsidRDefault="00A915BD" w:rsidP="00A915BD">
            <w:pPr>
              <w:spacing w:line="276" w:lineRule="auto"/>
              <w:jc w:val="both"/>
              <w:rPr>
                <w:sz w:val="22"/>
                <w:szCs w:val="22"/>
              </w:rPr>
            </w:pPr>
            <w:r w:rsidRPr="00BB1D0F">
              <w:rPr>
                <w:color w:val="000000"/>
                <w:sz w:val="22"/>
                <w:szCs w:val="22"/>
              </w:rPr>
              <w:t>Návrh</w:t>
            </w:r>
            <w:r w:rsidRPr="00BB1D0F">
              <w:rPr>
                <w:color w:val="000000"/>
                <w:spacing w:val="-6"/>
                <w:sz w:val="22"/>
                <w:szCs w:val="22"/>
              </w:rPr>
              <w:t xml:space="preserve"> </w:t>
            </w:r>
            <w:r w:rsidRPr="00BB1D0F">
              <w:rPr>
                <w:color w:val="000000"/>
                <w:sz w:val="22"/>
                <w:szCs w:val="22"/>
              </w:rPr>
              <w:t>zákona,</w:t>
            </w:r>
            <w:r w:rsidRPr="00BB1D0F">
              <w:rPr>
                <w:color w:val="000000"/>
                <w:spacing w:val="-6"/>
                <w:sz w:val="22"/>
                <w:szCs w:val="22"/>
              </w:rPr>
              <w:t xml:space="preserve"> </w:t>
            </w:r>
            <w:r w:rsidRPr="00BB1D0F">
              <w:rPr>
                <w:color w:val="000000"/>
                <w:sz w:val="22"/>
                <w:szCs w:val="22"/>
              </w:rPr>
              <w:t>predstavuje</w:t>
            </w:r>
            <w:r w:rsidRPr="00BB1D0F">
              <w:rPr>
                <w:color w:val="000000"/>
                <w:spacing w:val="75"/>
                <w:sz w:val="22"/>
                <w:szCs w:val="22"/>
              </w:rPr>
              <w:t xml:space="preserve"> </w:t>
            </w:r>
            <w:r w:rsidRPr="00BB1D0F">
              <w:rPr>
                <w:color w:val="000000"/>
                <w:sz w:val="22"/>
                <w:szCs w:val="22"/>
              </w:rPr>
              <w:t>komplexnú</w:t>
            </w:r>
            <w:r w:rsidRPr="00BB1D0F">
              <w:rPr>
                <w:color w:val="000000"/>
                <w:spacing w:val="75"/>
                <w:sz w:val="22"/>
                <w:szCs w:val="22"/>
              </w:rPr>
              <w:t xml:space="preserve"> </w:t>
            </w:r>
            <w:r w:rsidRPr="00BB1D0F">
              <w:rPr>
                <w:color w:val="000000"/>
                <w:sz w:val="22"/>
                <w:szCs w:val="22"/>
              </w:rPr>
              <w:t>právnu</w:t>
            </w:r>
            <w:r w:rsidRPr="00BB1D0F">
              <w:rPr>
                <w:color w:val="000000"/>
                <w:spacing w:val="75"/>
                <w:sz w:val="22"/>
                <w:szCs w:val="22"/>
              </w:rPr>
              <w:t xml:space="preserve"> </w:t>
            </w:r>
            <w:r w:rsidRPr="00BB1D0F">
              <w:rPr>
                <w:color w:val="000000"/>
                <w:sz w:val="22"/>
                <w:szCs w:val="22"/>
              </w:rPr>
              <w:t>úpravu</w:t>
            </w:r>
            <w:r w:rsidRPr="00BB1D0F">
              <w:rPr>
                <w:color w:val="000000"/>
                <w:spacing w:val="75"/>
                <w:sz w:val="22"/>
                <w:szCs w:val="22"/>
              </w:rPr>
              <w:t xml:space="preserve"> </w:t>
            </w:r>
            <w:r w:rsidRPr="00BB1D0F">
              <w:rPr>
                <w:color w:val="000000"/>
                <w:sz w:val="22"/>
                <w:szCs w:val="22"/>
              </w:rPr>
              <w:t>rôznych</w:t>
            </w:r>
            <w:r w:rsidRPr="00BB1D0F">
              <w:rPr>
                <w:color w:val="000000"/>
                <w:spacing w:val="75"/>
                <w:sz w:val="22"/>
                <w:szCs w:val="22"/>
              </w:rPr>
              <w:t xml:space="preserve"> </w:t>
            </w:r>
            <w:r w:rsidRPr="00BB1D0F">
              <w:rPr>
                <w:color w:val="000000"/>
                <w:sz w:val="22"/>
                <w:szCs w:val="22"/>
              </w:rPr>
              <w:t>právnych</w:t>
            </w:r>
            <w:r w:rsidRPr="00BB1D0F">
              <w:rPr>
                <w:color w:val="000000"/>
                <w:spacing w:val="75"/>
                <w:sz w:val="22"/>
                <w:szCs w:val="22"/>
              </w:rPr>
              <w:t xml:space="preserve"> </w:t>
            </w:r>
            <w:r w:rsidRPr="00BB1D0F">
              <w:rPr>
                <w:color w:val="000000"/>
                <w:sz w:val="22"/>
                <w:szCs w:val="22"/>
              </w:rPr>
              <w:t>vzťahov</w:t>
            </w:r>
            <w:r w:rsidRPr="00BB1D0F">
              <w:rPr>
                <w:color w:val="000000"/>
                <w:spacing w:val="75"/>
                <w:sz w:val="22"/>
                <w:szCs w:val="22"/>
              </w:rPr>
              <w:t xml:space="preserve"> </w:t>
            </w:r>
            <w:r w:rsidRPr="00BB1D0F">
              <w:rPr>
                <w:color w:val="000000"/>
                <w:sz w:val="22"/>
                <w:szCs w:val="22"/>
              </w:rPr>
              <w:t>na</w:t>
            </w:r>
            <w:r w:rsidRPr="00BB1D0F">
              <w:rPr>
                <w:color w:val="000000"/>
                <w:spacing w:val="75"/>
                <w:sz w:val="22"/>
                <w:szCs w:val="22"/>
              </w:rPr>
              <w:t xml:space="preserve"> </w:t>
            </w:r>
            <w:r w:rsidRPr="00BB1D0F">
              <w:rPr>
                <w:color w:val="000000"/>
                <w:sz w:val="22"/>
                <w:szCs w:val="22"/>
              </w:rPr>
              <w:t>finančnom</w:t>
            </w:r>
            <w:r w:rsidRPr="00BB1D0F">
              <w:rPr>
                <w:color w:val="000000"/>
                <w:spacing w:val="75"/>
                <w:sz w:val="22"/>
                <w:szCs w:val="22"/>
              </w:rPr>
              <w:t xml:space="preserve"> </w:t>
            </w:r>
            <w:r w:rsidRPr="00BB1D0F">
              <w:rPr>
                <w:color w:val="000000"/>
                <w:sz w:val="22"/>
                <w:szCs w:val="22"/>
              </w:rPr>
              <w:t>trhu.</w:t>
            </w:r>
            <w:r w:rsidRPr="00BB1D0F">
              <w:rPr>
                <w:sz w:val="22"/>
                <w:szCs w:val="22"/>
              </w:rPr>
              <w:t xml:space="preserve"> Vzhľadom na relatívne dobrý stav slovenského bankového sektora a už existujúcu požiadavku na vytváranie minimálnych požiadaviek na vlastné zdroje neočakávame výrazné dopady na banky vyplývajúce zo zmien v existujúcich pravidlách. Možno v určitom prípade predpokladať (závisí od situácie na finančných trhoch a rozhodnutia Rady pre riešenie krízových situácií), že zavedenie nových pravidiel vyplývajúcich z návrhu zákona si môže vyžiadať dodatočné náklady na vytváranie dodatočných minimálnych požiadaviek zo strany niektorých regulovaných subjektov, ktoré však nie je možné, aj vzhľadom na súčasnú situáciu, vyčísliť.</w:t>
            </w:r>
          </w:p>
          <w:p w:rsidR="00A915BD" w:rsidRPr="00BB1D0F" w:rsidRDefault="00A915BD" w:rsidP="00A915BD">
            <w:pPr>
              <w:spacing w:line="276" w:lineRule="auto"/>
              <w:jc w:val="both"/>
              <w:rPr>
                <w:sz w:val="22"/>
                <w:szCs w:val="22"/>
              </w:rPr>
            </w:pPr>
          </w:p>
          <w:p w:rsidR="00A915BD" w:rsidRPr="00BB1D0F" w:rsidRDefault="00A915BD" w:rsidP="00A915BD">
            <w:pPr>
              <w:spacing w:line="276" w:lineRule="auto"/>
              <w:jc w:val="both"/>
              <w:rPr>
                <w:color w:val="000000"/>
                <w:sz w:val="22"/>
                <w:szCs w:val="22"/>
              </w:rPr>
            </w:pPr>
            <w:r w:rsidRPr="00BB1D0F">
              <w:rPr>
                <w:color w:val="000000"/>
                <w:sz w:val="22"/>
                <w:szCs w:val="22"/>
              </w:rPr>
              <w:t>V tejto súvislosti je potrebné zdôrazniť, že navrhované zmeny vplývajú na</w:t>
            </w:r>
            <w:r w:rsidRPr="00BB1D0F">
              <w:rPr>
                <w:color w:val="000000"/>
                <w:spacing w:val="-1"/>
                <w:sz w:val="22"/>
                <w:szCs w:val="22"/>
              </w:rPr>
              <w:t xml:space="preserve"> </w:t>
            </w:r>
            <w:r w:rsidRPr="00BB1D0F">
              <w:rPr>
                <w:color w:val="000000"/>
                <w:sz w:val="22"/>
                <w:szCs w:val="22"/>
              </w:rPr>
              <w:t>obmedzenie</w:t>
            </w:r>
            <w:r w:rsidRPr="00BB1D0F">
              <w:rPr>
                <w:color w:val="000000"/>
                <w:spacing w:val="-1"/>
                <w:sz w:val="22"/>
                <w:szCs w:val="22"/>
              </w:rPr>
              <w:t xml:space="preserve"> </w:t>
            </w:r>
            <w:r w:rsidRPr="00BB1D0F">
              <w:rPr>
                <w:color w:val="000000"/>
                <w:sz w:val="22"/>
                <w:szCs w:val="22"/>
              </w:rPr>
              <w:t>rizika</w:t>
            </w:r>
            <w:r w:rsidRPr="00BB1D0F">
              <w:rPr>
                <w:color w:val="000000"/>
                <w:spacing w:val="-1"/>
                <w:sz w:val="22"/>
                <w:szCs w:val="22"/>
              </w:rPr>
              <w:t xml:space="preserve"> </w:t>
            </w:r>
            <w:r w:rsidRPr="00BB1D0F">
              <w:rPr>
                <w:color w:val="000000"/>
                <w:sz w:val="22"/>
                <w:szCs w:val="22"/>
              </w:rPr>
              <w:t>a</w:t>
            </w:r>
            <w:r w:rsidRPr="00BB1D0F">
              <w:rPr>
                <w:color w:val="000000"/>
                <w:spacing w:val="-1"/>
                <w:sz w:val="22"/>
                <w:szCs w:val="22"/>
              </w:rPr>
              <w:t xml:space="preserve"> </w:t>
            </w:r>
            <w:r w:rsidRPr="00BB1D0F">
              <w:rPr>
                <w:color w:val="000000"/>
                <w:sz w:val="22"/>
                <w:szCs w:val="22"/>
              </w:rPr>
              <w:t>predchádzanie</w:t>
            </w:r>
            <w:r w:rsidRPr="00BB1D0F">
              <w:rPr>
                <w:color w:val="000000"/>
                <w:spacing w:val="-1"/>
                <w:sz w:val="22"/>
                <w:szCs w:val="22"/>
              </w:rPr>
              <w:t xml:space="preserve"> </w:t>
            </w:r>
            <w:r w:rsidRPr="00BB1D0F">
              <w:rPr>
                <w:color w:val="000000"/>
                <w:sz w:val="22"/>
                <w:szCs w:val="22"/>
              </w:rPr>
              <w:t>vzniku</w:t>
            </w:r>
            <w:r w:rsidRPr="00BB1D0F">
              <w:rPr>
                <w:color w:val="000000"/>
                <w:spacing w:val="-1"/>
                <w:sz w:val="22"/>
                <w:szCs w:val="22"/>
              </w:rPr>
              <w:t xml:space="preserve"> </w:t>
            </w:r>
            <w:r w:rsidRPr="00BB1D0F">
              <w:rPr>
                <w:color w:val="000000"/>
                <w:sz w:val="22"/>
                <w:szCs w:val="22"/>
              </w:rPr>
              <w:t>krízových</w:t>
            </w:r>
            <w:r w:rsidRPr="00BB1D0F">
              <w:rPr>
                <w:color w:val="000000"/>
                <w:spacing w:val="-1"/>
                <w:sz w:val="22"/>
                <w:szCs w:val="22"/>
              </w:rPr>
              <w:t xml:space="preserve"> </w:t>
            </w:r>
            <w:r w:rsidRPr="00BB1D0F">
              <w:rPr>
                <w:color w:val="000000"/>
                <w:sz w:val="22"/>
                <w:szCs w:val="22"/>
              </w:rPr>
              <w:t>situácií</w:t>
            </w:r>
            <w:r w:rsidRPr="00BB1D0F">
              <w:rPr>
                <w:color w:val="000000"/>
                <w:spacing w:val="-1"/>
                <w:sz w:val="22"/>
                <w:szCs w:val="22"/>
              </w:rPr>
              <w:t xml:space="preserve"> </w:t>
            </w:r>
            <w:r w:rsidRPr="00BB1D0F">
              <w:rPr>
                <w:color w:val="000000"/>
                <w:sz w:val="22"/>
                <w:szCs w:val="22"/>
              </w:rPr>
              <w:t>na</w:t>
            </w:r>
            <w:r w:rsidRPr="00BB1D0F">
              <w:rPr>
                <w:color w:val="000000"/>
                <w:spacing w:val="-1"/>
                <w:sz w:val="22"/>
                <w:szCs w:val="22"/>
              </w:rPr>
              <w:t xml:space="preserve"> </w:t>
            </w:r>
            <w:r w:rsidRPr="00BB1D0F">
              <w:rPr>
                <w:color w:val="000000"/>
                <w:sz w:val="22"/>
                <w:szCs w:val="22"/>
              </w:rPr>
              <w:t>finančnom</w:t>
            </w:r>
            <w:r w:rsidRPr="00BB1D0F">
              <w:rPr>
                <w:color w:val="000000"/>
                <w:spacing w:val="-1"/>
                <w:sz w:val="22"/>
                <w:szCs w:val="22"/>
              </w:rPr>
              <w:t xml:space="preserve"> </w:t>
            </w:r>
            <w:r w:rsidRPr="00BB1D0F">
              <w:rPr>
                <w:color w:val="000000"/>
                <w:sz w:val="22"/>
                <w:szCs w:val="22"/>
              </w:rPr>
              <w:t>trhu. Súbor</w:t>
            </w:r>
            <w:r w:rsidRPr="00BB1D0F">
              <w:rPr>
                <w:color w:val="000000"/>
                <w:spacing w:val="53"/>
                <w:sz w:val="22"/>
                <w:szCs w:val="22"/>
              </w:rPr>
              <w:t xml:space="preserve"> </w:t>
            </w:r>
            <w:r w:rsidRPr="00BB1D0F">
              <w:rPr>
                <w:color w:val="000000"/>
                <w:sz w:val="22"/>
                <w:szCs w:val="22"/>
              </w:rPr>
              <w:t>navrhovaných</w:t>
            </w:r>
            <w:r w:rsidRPr="00BB1D0F">
              <w:rPr>
                <w:color w:val="000000"/>
                <w:spacing w:val="53"/>
                <w:sz w:val="22"/>
                <w:szCs w:val="22"/>
              </w:rPr>
              <w:t xml:space="preserve"> </w:t>
            </w:r>
            <w:r w:rsidRPr="00BB1D0F">
              <w:rPr>
                <w:color w:val="000000"/>
                <w:sz w:val="22"/>
                <w:szCs w:val="22"/>
              </w:rPr>
              <w:t>opatrení</w:t>
            </w:r>
            <w:r w:rsidRPr="00BB1D0F">
              <w:rPr>
                <w:color w:val="000000"/>
                <w:spacing w:val="53"/>
                <w:sz w:val="22"/>
                <w:szCs w:val="22"/>
              </w:rPr>
              <w:t xml:space="preserve"> </w:t>
            </w:r>
            <w:r w:rsidRPr="00BB1D0F">
              <w:rPr>
                <w:color w:val="000000"/>
                <w:sz w:val="22"/>
                <w:szCs w:val="22"/>
              </w:rPr>
              <w:t>zvyšuje</w:t>
            </w:r>
            <w:r w:rsidRPr="00BB1D0F">
              <w:rPr>
                <w:color w:val="000000"/>
                <w:spacing w:val="53"/>
                <w:sz w:val="22"/>
                <w:szCs w:val="22"/>
              </w:rPr>
              <w:t xml:space="preserve"> </w:t>
            </w:r>
            <w:r w:rsidRPr="00BB1D0F">
              <w:rPr>
                <w:color w:val="000000"/>
                <w:sz w:val="22"/>
                <w:szCs w:val="22"/>
              </w:rPr>
              <w:t>efektivitu</w:t>
            </w:r>
            <w:r w:rsidRPr="00BB1D0F">
              <w:rPr>
                <w:color w:val="000000"/>
                <w:spacing w:val="53"/>
                <w:sz w:val="22"/>
                <w:szCs w:val="22"/>
              </w:rPr>
              <w:t xml:space="preserve"> </w:t>
            </w:r>
            <w:r w:rsidRPr="00BB1D0F">
              <w:rPr>
                <w:color w:val="000000"/>
                <w:sz w:val="22"/>
                <w:szCs w:val="22"/>
              </w:rPr>
              <w:t>finančných</w:t>
            </w:r>
            <w:r w:rsidRPr="00BB1D0F">
              <w:rPr>
                <w:color w:val="000000"/>
                <w:spacing w:val="53"/>
                <w:sz w:val="22"/>
                <w:szCs w:val="22"/>
              </w:rPr>
              <w:t xml:space="preserve"> </w:t>
            </w:r>
            <w:r w:rsidRPr="00BB1D0F">
              <w:rPr>
                <w:color w:val="000000"/>
                <w:sz w:val="22"/>
                <w:szCs w:val="22"/>
              </w:rPr>
              <w:t>inštitúcií,</w:t>
            </w:r>
            <w:r w:rsidRPr="00BB1D0F">
              <w:rPr>
                <w:color w:val="000000"/>
                <w:spacing w:val="53"/>
                <w:sz w:val="22"/>
                <w:szCs w:val="22"/>
              </w:rPr>
              <w:t xml:space="preserve"> </w:t>
            </w:r>
            <w:r w:rsidRPr="00BB1D0F">
              <w:rPr>
                <w:color w:val="000000"/>
                <w:sz w:val="22"/>
                <w:szCs w:val="22"/>
              </w:rPr>
              <w:t>čím</w:t>
            </w:r>
            <w:r w:rsidRPr="00BB1D0F">
              <w:rPr>
                <w:color w:val="000000"/>
                <w:spacing w:val="53"/>
                <w:sz w:val="22"/>
                <w:szCs w:val="22"/>
              </w:rPr>
              <w:t xml:space="preserve"> </w:t>
            </w:r>
            <w:r w:rsidRPr="00BB1D0F">
              <w:rPr>
                <w:color w:val="000000"/>
                <w:sz w:val="22"/>
                <w:szCs w:val="22"/>
              </w:rPr>
              <w:t>prispieva</w:t>
            </w:r>
            <w:r w:rsidRPr="00BB1D0F">
              <w:rPr>
                <w:color w:val="000000"/>
                <w:spacing w:val="53"/>
                <w:sz w:val="22"/>
                <w:szCs w:val="22"/>
              </w:rPr>
              <w:t xml:space="preserve"> </w:t>
            </w:r>
            <w:r w:rsidRPr="00BB1D0F">
              <w:rPr>
                <w:color w:val="000000"/>
                <w:sz w:val="22"/>
                <w:szCs w:val="22"/>
              </w:rPr>
              <w:t>k ich odolnosti</w:t>
            </w:r>
            <w:r w:rsidRPr="00BB1D0F">
              <w:rPr>
                <w:color w:val="000000"/>
                <w:spacing w:val="27"/>
                <w:sz w:val="22"/>
                <w:szCs w:val="22"/>
              </w:rPr>
              <w:t xml:space="preserve"> </w:t>
            </w:r>
            <w:r w:rsidRPr="00BB1D0F">
              <w:rPr>
                <w:color w:val="000000"/>
                <w:sz w:val="22"/>
                <w:szCs w:val="22"/>
              </w:rPr>
              <w:t>voči</w:t>
            </w:r>
            <w:r w:rsidRPr="00BB1D0F">
              <w:rPr>
                <w:color w:val="000000"/>
                <w:spacing w:val="27"/>
                <w:sz w:val="22"/>
                <w:szCs w:val="22"/>
              </w:rPr>
              <w:t xml:space="preserve"> </w:t>
            </w:r>
            <w:r w:rsidRPr="00BB1D0F">
              <w:rPr>
                <w:color w:val="000000"/>
                <w:sz w:val="22"/>
                <w:szCs w:val="22"/>
              </w:rPr>
              <w:t>možným</w:t>
            </w:r>
            <w:r w:rsidRPr="00BB1D0F">
              <w:rPr>
                <w:color w:val="000000"/>
                <w:spacing w:val="27"/>
                <w:sz w:val="22"/>
                <w:szCs w:val="22"/>
              </w:rPr>
              <w:t xml:space="preserve"> </w:t>
            </w:r>
            <w:r w:rsidRPr="00BB1D0F">
              <w:rPr>
                <w:color w:val="000000"/>
                <w:sz w:val="22"/>
                <w:szCs w:val="22"/>
              </w:rPr>
              <w:t>krízovým</w:t>
            </w:r>
            <w:r w:rsidRPr="00BB1D0F">
              <w:rPr>
                <w:color w:val="000000"/>
                <w:spacing w:val="27"/>
                <w:sz w:val="22"/>
                <w:szCs w:val="22"/>
              </w:rPr>
              <w:t xml:space="preserve"> </w:t>
            </w:r>
            <w:r w:rsidRPr="00BB1D0F">
              <w:rPr>
                <w:color w:val="000000"/>
                <w:sz w:val="22"/>
                <w:szCs w:val="22"/>
              </w:rPr>
              <w:t>situáciám</w:t>
            </w:r>
            <w:r w:rsidRPr="00BB1D0F">
              <w:rPr>
                <w:color w:val="000000"/>
                <w:spacing w:val="27"/>
                <w:sz w:val="22"/>
                <w:szCs w:val="22"/>
              </w:rPr>
              <w:t xml:space="preserve"> </w:t>
            </w:r>
            <w:r w:rsidRPr="00BB1D0F">
              <w:rPr>
                <w:color w:val="000000"/>
                <w:sz w:val="22"/>
                <w:szCs w:val="22"/>
              </w:rPr>
              <w:t>a prispieva</w:t>
            </w:r>
            <w:r w:rsidRPr="00BB1D0F">
              <w:rPr>
                <w:color w:val="000000"/>
                <w:spacing w:val="27"/>
                <w:sz w:val="22"/>
                <w:szCs w:val="22"/>
              </w:rPr>
              <w:t xml:space="preserve"> </w:t>
            </w:r>
            <w:r w:rsidRPr="00BB1D0F">
              <w:rPr>
                <w:color w:val="000000"/>
                <w:sz w:val="22"/>
                <w:szCs w:val="22"/>
              </w:rPr>
              <w:t>k zvýšeniu</w:t>
            </w:r>
            <w:r w:rsidRPr="00BB1D0F">
              <w:rPr>
                <w:color w:val="000000"/>
                <w:spacing w:val="27"/>
                <w:sz w:val="22"/>
                <w:szCs w:val="22"/>
              </w:rPr>
              <w:t xml:space="preserve"> </w:t>
            </w:r>
            <w:r w:rsidRPr="00BB1D0F">
              <w:rPr>
                <w:color w:val="000000"/>
                <w:sz w:val="22"/>
                <w:szCs w:val="22"/>
              </w:rPr>
              <w:t>stability</w:t>
            </w:r>
            <w:r w:rsidRPr="00BB1D0F">
              <w:rPr>
                <w:color w:val="000000"/>
                <w:spacing w:val="27"/>
                <w:sz w:val="22"/>
                <w:szCs w:val="22"/>
              </w:rPr>
              <w:t xml:space="preserve"> </w:t>
            </w:r>
            <w:r w:rsidRPr="00BB1D0F">
              <w:rPr>
                <w:color w:val="000000"/>
                <w:sz w:val="22"/>
                <w:szCs w:val="22"/>
              </w:rPr>
              <w:t>finančného</w:t>
            </w:r>
            <w:r w:rsidRPr="00BB1D0F">
              <w:rPr>
                <w:color w:val="000000"/>
                <w:spacing w:val="27"/>
                <w:sz w:val="22"/>
                <w:szCs w:val="22"/>
              </w:rPr>
              <w:t xml:space="preserve"> </w:t>
            </w:r>
            <w:r w:rsidRPr="00BB1D0F">
              <w:rPr>
                <w:color w:val="000000"/>
                <w:sz w:val="22"/>
                <w:szCs w:val="22"/>
              </w:rPr>
              <w:t>trhu Slovenskej republiky.</w:t>
            </w:r>
          </w:p>
          <w:p w:rsidR="00A915BD" w:rsidRPr="00B207E0" w:rsidRDefault="00A915BD" w:rsidP="00A915BD">
            <w:pPr>
              <w:spacing w:line="276" w:lineRule="auto"/>
              <w:jc w:val="both"/>
              <w:rPr>
                <w:sz w:val="22"/>
                <w:szCs w:val="22"/>
              </w:rPr>
            </w:pPr>
          </w:p>
          <w:p w:rsidR="00A915BD" w:rsidRPr="00B207E0" w:rsidRDefault="00A915BD" w:rsidP="00A915BD">
            <w:pPr>
              <w:pStyle w:val="Bezriadkovania"/>
              <w:spacing w:before="0" w:after="0"/>
              <w:rPr>
                <w:rFonts w:ascii="Times New Roman" w:hAnsi="Times New Roman"/>
                <w:b/>
              </w:rPr>
            </w:pPr>
          </w:p>
        </w:tc>
      </w:tr>
      <w:tr w:rsidR="00A915BD" w:rsidRPr="00B207E0" w:rsidTr="00524EE1">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A915BD" w:rsidRPr="00B207E0" w:rsidRDefault="00A915BD" w:rsidP="00A915BD">
            <w:pPr>
              <w:pStyle w:val="Odsekzoznamu"/>
              <w:numPr>
                <w:ilvl w:val="0"/>
                <w:numId w:val="12"/>
              </w:numPr>
              <w:spacing w:line="276" w:lineRule="auto"/>
              <w:ind w:left="426"/>
              <w:rPr>
                <w:b/>
              </w:rPr>
            </w:pPr>
            <w:r w:rsidRPr="00B207E0">
              <w:rPr>
                <w:b/>
              </w:rPr>
              <w:t>Kontakt na spracovateľa</w:t>
            </w:r>
          </w:p>
        </w:tc>
      </w:tr>
      <w:tr w:rsidR="00A915BD" w:rsidRPr="00B207E0" w:rsidTr="00524EE1">
        <w:trPr>
          <w:trHeight w:val="586"/>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A915BD" w:rsidRPr="00B207E0" w:rsidRDefault="00A915BD" w:rsidP="00A915BD">
            <w:pPr>
              <w:spacing w:line="276" w:lineRule="auto"/>
              <w:rPr>
                <w:i/>
                <w:sz w:val="22"/>
                <w:szCs w:val="22"/>
              </w:rPr>
            </w:pPr>
            <w:r w:rsidRPr="00B207E0">
              <w:rPr>
                <w:i/>
                <w:sz w:val="22"/>
                <w:szCs w:val="22"/>
              </w:rPr>
              <w:t>Uveďte údaje na kontaktnú osobu, ktorú je možné kontaktovať v súvislosti s posúdením vybraných vplyvov</w:t>
            </w:r>
          </w:p>
          <w:p w:rsidR="00A915BD" w:rsidRPr="00B207E0" w:rsidRDefault="00A915BD" w:rsidP="00A915BD">
            <w:pPr>
              <w:spacing w:line="276" w:lineRule="auto"/>
              <w:rPr>
                <w:i/>
                <w:sz w:val="22"/>
                <w:szCs w:val="22"/>
              </w:rPr>
            </w:pPr>
          </w:p>
          <w:p w:rsidR="00A915BD" w:rsidRPr="00B207E0" w:rsidRDefault="00A915BD" w:rsidP="00A915BD">
            <w:pPr>
              <w:spacing w:line="276" w:lineRule="auto"/>
              <w:rPr>
                <w:sz w:val="22"/>
                <w:szCs w:val="22"/>
              </w:rPr>
            </w:pPr>
            <w:r w:rsidRPr="00B207E0">
              <w:rPr>
                <w:sz w:val="22"/>
                <w:szCs w:val="22"/>
              </w:rPr>
              <w:t xml:space="preserve">Ing. </w:t>
            </w:r>
            <w:r>
              <w:rPr>
                <w:sz w:val="22"/>
                <w:szCs w:val="22"/>
              </w:rPr>
              <w:t>Roman Chandoga, PhD.</w:t>
            </w:r>
          </w:p>
          <w:p w:rsidR="00A915BD" w:rsidRPr="00B207E0" w:rsidRDefault="00A915BD" w:rsidP="00A915BD">
            <w:pPr>
              <w:spacing w:line="276" w:lineRule="auto"/>
              <w:rPr>
                <w:sz w:val="22"/>
                <w:szCs w:val="22"/>
              </w:rPr>
            </w:pPr>
            <w:r w:rsidRPr="00B207E0">
              <w:rPr>
                <w:sz w:val="22"/>
                <w:szCs w:val="22"/>
              </w:rPr>
              <w:t>02/5958 25</w:t>
            </w:r>
            <w:r>
              <w:rPr>
                <w:sz w:val="22"/>
                <w:szCs w:val="22"/>
              </w:rPr>
              <w:t>17</w:t>
            </w:r>
            <w:r w:rsidRPr="00B207E0">
              <w:rPr>
                <w:sz w:val="22"/>
                <w:szCs w:val="22"/>
              </w:rPr>
              <w:t xml:space="preserve">, </w:t>
            </w:r>
            <w:hyperlink r:id="rId7" w:history="1">
              <w:r w:rsidRPr="008A6A46">
                <w:rPr>
                  <w:rStyle w:val="Hypertextovprepojenie"/>
                  <w:sz w:val="22"/>
                  <w:szCs w:val="22"/>
                </w:rPr>
                <w:t>roman.chandoga@mfsr.sk</w:t>
              </w:r>
            </w:hyperlink>
          </w:p>
          <w:p w:rsidR="00A915BD" w:rsidRPr="00B207E0" w:rsidRDefault="00A915BD" w:rsidP="00A915BD">
            <w:pPr>
              <w:spacing w:line="276" w:lineRule="auto"/>
              <w:rPr>
                <w:sz w:val="22"/>
                <w:szCs w:val="22"/>
              </w:rPr>
            </w:pPr>
            <w:r w:rsidRPr="00B207E0">
              <w:rPr>
                <w:sz w:val="22"/>
                <w:szCs w:val="22"/>
              </w:rPr>
              <w:t>Ministerstvo financií Slovenskej republiky</w:t>
            </w:r>
          </w:p>
          <w:p w:rsidR="00A915BD" w:rsidRPr="00B207E0" w:rsidRDefault="00A915BD" w:rsidP="00A915BD">
            <w:pPr>
              <w:spacing w:line="276" w:lineRule="auto"/>
              <w:rPr>
                <w:i/>
                <w:sz w:val="22"/>
                <w:szCs w:val="22"/>
              </w:rPr>
            </w:pPr>
          </w:p>
        </w:tc>
      </w:tr>
      <w:tr w:rsidR="00A915BD" w:rsidRPr="00B207E0" w:rsidTr="00524EE1">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A915BD" w:rsidRPr="00B207E0" w:rsidRDefault="00A915BD" w:rsidP="00A915BD">
            <w:pPr>
              <w:pStyle w:val="Odsekzoznamu"/>
              <w:numPr>
                <w:ilvl w:val="0"/>
                <w:numId w:val="12"/>
              </w:numPr>
              <w:spacing w:line="276" w:lineRule="auto"/>
              <w:ind w:left="426"/>
              <w:rPr>
                <w:b/>
              </w:rPr>
            </w:pPr>
            <w:r w:rsidRPr="00B207E0">
              <w:rPr>
                <w:b/>
              </w:rPr>
              <w:t>Zdroje</w:t>
            </w:r>
          </w:p>
        </w:tc>
      </w:tr>
      <w:tr w:rsidR="00A915BD" w:rsidRPr="00B207E0" w:rsidTr="00524EE1">
        <w:trPr>
          <w:trHeight w:val="401"/>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A915BD" w:rsidRPr="00B207E0" w:rsidRDefault="00A915BD" w:rsidP="00A915BD">
            <w:pPr>
              <w:spacing w:line="276" w:lineRule="auto"/>
              <w:rPr>
                <w:i/>
                <w:sz w:val="22"/>
                <w:szCs w:val="22"/>
              </w:rPr>
            </w:pPr>
            <w:r w:rsidRPr="00B207E0">
              <w:rPr>
                <w:i/>
                <w:sz w:val="22"/>
                <w:szCs w:val="22"/>
              </w:rPr>
              <w:t>Uveďte zdroje (štatistiky, prieskumy, spoluprácu s odborníkmi a iné), z ktorých ste pri vypracovávaní doložky, príp. analýz vplyvov vychádzali.</w:t>
            </w:r>
          </w:p>
          <w:p w:rsidR="00A915BD" w:rsidRPr="00B207E0" w:rsidRDefault="00A915BD" w:rsidP="00A915BD">
            <w:pPr>
              <w:spacing w:line="276" w:lineRule="auto"/>
              <w:rPr>
                <w:b/>
                <w:sz w:val="22"/>
                <w:szCs w:val="22"/>
              </w:rPr>
            </w:pPr>
          </w:p>
        </w:tc>
      </w:tr>
      <w:tr w:rsidR="00A915BD" w:rsidRPr="00B207E0" w:rsidTr="00524EE1">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A915BD" w:rsidRPr="00B207E0" w:rsidRDefault="00A915BD" w:rsidP="00A915BD">
            <w:pPr>
              <w:pStyle w:val="Odsekzoznamu"/>
              <w:numPr>
                <w:ilvl w:val="0"/>
                <w:numId w:val="12"/>
              </w:numPr>
              <w:spacing w:line="276" w:lineRule="auto"/>
              <w:ind w:left="426"/>
              <w:rPr>
                <w:b/>
              </w:rPr>
            </w:pPr>
            <w:r w:rsidRPr="00B207E0">
              <w:rPr>
                <w:b/>
              </w:rPr>
              <w:t>Stanovisko Komisie pre posudzovanie vybraných vplyvov z PPK</w:t>
            </w:r>
          </w:p>
        </w:tc>
      </w:tr>
      <w:tr w:rsidR="00A915BD" w:rsidRPr="00B207E0" w:rsidTr="00524EE1">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A915BD" w:rsidRPr="008446F7" w:rsidRDefault="00A915BD" w:rsidP="00A915BD">
            <w:pPr>
              <w:spacing w:line="276" w:lineRule="auto"/>
              <w:jc w:val="both"/>
              <w:rPr>
                <w:bCs/>
                <w:sz w:val="22"/>
                <w:szCs w:val="22"/>
              </w:rPr>
            </w:pPr>
            <w:r w:rsidRPr="008446F7">
              <w:rPr>
                <w:bCs/>
                <w:sz w:val="22"/>
                <w:szCs w:val="22"/>
              </w:rPr>
              <w:t>Stála pracovná komisia na posudzovanie vybraných vplyvov neuplat</w:t>
            </w:r>
            <w:r>
              <w:rPr>
                <w:bCs/>
                <w:sz w:val="22"/>
                <w:szCs w:val="22"/>
              </w:rPr>
              <w:t>nila</w:t>
            </w:r>
            <w:r w:rsidRPr="008446F7">
              <w:rPr>
                <w:bCs/>
                <w:sz w:val="22"/>
                <w:szCs w:val="22"/>
              </w:rPr>
              <w:t xml:space="preserve"> k materiálu pripomienky a odporúčania a vyjadr</w:t>
            </w:r>
            <w:r>
              <w:rPr>
                <w:bCs/>
                <w:sz w:val="22"/>
                <w:szCs w:val="22"/>
              </w:rPr>
              <w:t>ila</w:t>
            </w:r>
            <w:r w:rsidRPr="008446F7">
              <w:rPr>
                <w:bCs/>
                <w:sz w:val="22"/>
                <w:szCs w:val="22"/>
              </w:rPr>
              <w:t xml:space="preserve"> </w:t>
            </w:r>
            <w:r w:rsidRPr="008446F7">
              <w:rPr>
                <w:b/>
                <w:bCs/>
                <w:sz w:val="22"/>
                <w:szCs w:val="22"/>
              </w:rPr>
              <w:t xml:space="preserve">súhlasné stanovisko </w:t>
            </w:r>
            <w:r w:rsidRPr="008446F7">
              <w:rPr>
                <w:bCs/>
                <w:sz w:val="22"/>
                <w:szCs w:val="22"/>
              </w:rPr>
              <w:t>s materiálom predloženým na predbežné pripomienkové konanie.</w:t>
            </w:r>
          </w:p>
          <w:p w:rsidR="00A915BD" w:rsidRPr="00B207E0" w:rsidRDefault="00A915BD" w:rsidP="00A915BD">
            <w:pPr>
              <w:spacing w:line="276" w:lineRule="auto"/>
              <w:rPr>
                <w:b/>
                <w:sz w:val="22"/>
                <w:szCs w:val="22"/>
              </w:rPr>
            </w:pPr>
          </w:p>
          <w:p w:rsidR="00A915BD" w:rsidRPr="00B207E0" w:rsidRDefault="00A915BD" w:rsidP="00A915BD">
            <w:pPr>
              <w:spacing w:line="276" w:lineRule="auto"/>
              <w:rPr>
                <w:b/>
                <w:sz w:val="22"/>
                <w:szCs w:val="22"/>
              </w:rPr>
            </w:pPr>
          </w:p>
        </w:tc>
      </w:tr>
    </w:tbl>
    <w:p w:rsidR="00A915BD" w:rsidRPr="00B207E0" w:rsidRDefault="00A915BD" w:rsidP="00A915BD">
      <w:pPr>
        <w:spacing w:line="276" w:lineRule="auto"/>
        <w:rPr>
          <w:sz w:val="22"/>
          <w:szCs w:val="22"/>
        </w:rPr>
      </w:pPr>
    </w:p>
    <w:p w:rsidR="00A915BD" w:rsidRDefault="00A915BD" w:rsidP="00A915BD">
      <w:pPr>
        <w:spacing w:after="200" w:line="276" w:lineRule="auto"/>
      </w:pPr>
      <w:r>
        <w:br w:type="page"/>
      </w:r>
    </w:p>
    <w:tbl>
      <w:tblPr>
        <w:tblStyle w:val="Mriekatabuky"/>
        <w:tblW w:w="0" w:type="auto"/>
        <w:tblLook w:val="04A0" w:firstRow="1" w:lastRow="0" w:firstColumn="1" w:lastColumn="0" w:noHBand="0" w:noVBand="1"/>
      </w:tblPr>
      <w:tblGrid>
        <w:gridCol w:w="9062"/>
      </w:tblGrid>
      <w:tr w:rsidR="00A915BD" w:rsidRPr="00F04CCD" w:rsidTr="00524EE1">
        <w:trPr>
          <w:trHeight w:val="567"/>
        </w:trPr>
        <w:tc>
          <w:tcPr>
            <w:tcW w:w="9212" w:type="dxa"/>
            <w:shd w:val="clear" w:color="auto" w:fill="D9D9D9" w:themeFill="background1" w:themeFillShade="D9"/>
          </w:tcPr>
          <w:p w:rsidR="00A915BD" w:rsidRPr="00042C66" w:rsidRDefault="00A915BD" w:rsidP="00A915BD">
            <w:pPr>
              <w:spacing w:line="276" w:lineRule="auto"/>
              <w:jc w:val="center"/>
              <w:rPr>
                <w:b/>
              </w:rPr>
            </w:pPr>
            <w:r w:rsidRPr="008A1252">
              <w:rPr>
                <w:b/>
                <w:sz w:val="28"/>
              </w:rPr>
              <w:lastRenderedPageBreak/>
              <w:t xml:space="preserve">Analýza </w:t>
            </w:r>
            <w:r>
              <w:rPr>
                <w:b/>
                <w:sz w:val="28"/>
              </w:rPr>
              <w:t>v</w:t>
            </w:r>
            <w:r w:rsidRPr="00042C66">
              <w:rPr>
                <w:b/>
                <w:sz w:val="28"/>
              </w:rPr>
              <w:t>plyv</w:t>
            </w:r>
            <w:r>
              <w:rPr>
                <w:b/>
                <w:sz w:val="28"/>
              </w:rPr>
              <w:t>ov</w:t>
            </w:r>
            <w:r w:rsidRPr="00042C66">
              <w:rPr>
                <w:b/>
                <w:sz w:val="28"/>
              </w:rPr>
              <w:t xml:space="preserve"> na podnikateľské prostredie </w:t>
            </w:r>
          </w:p>
          <w:p w:rsidR="00A915BD" w:rsidRPr="00F04CCD" w:rsidRDefault="00A915BD" w:rsidP="00A915BD">
            <w:pPr>
              <w:spacing w:line="276" w:lineRule="auto"/>
              <w:jc w:val="center"/>
              <w:rPr>
                <w:b/>
              </w:rPr>
            </w:pPr>
            <w:r w:rsidRPr="00042C66">
              <w:rPr>
                <w:b/>
              </w:rPr>
              <w:t xml:space="preserve">(vrátane </w:t>
            </w:r>
            <w:r>
              <w:rPr>
                <w:b/>
              </w:rPr>
              <w:t xml:space="preserve">testu </w:t>
            </w:r>
            <w:r w:rsidRPr="00042C66">
              <w:rPr>
                <w:b/>
              </w:rPr>
              <w:t>MSP)</w:t>
            </w:r>
          </w:p>
        </w:tc>
      </w:tr>
      <w:tr w:rsidR="00A915BD" w:rsidRPr="00F04CCD" w:rsidTr="00524EE1">
        <w:trPr>
          <w:trHeight w:val="567"/>
        </w:trPr>
        <w:tc>
          <w:tcPr>
            <w:tcW w:w="9212" w:type="dxa"/>
            <w:shd w:val="clear" w:color="auto" w:fill="D9D9D9" w:themeFill="background1" w:themeFillShade="D9"/>
          </w:tcPr>
          <w:p w:rsidR="00A915BD" w:rsidRPr="00042C66" w:rsidRDefault="00A915BD" w:rsidP="00A915BD">
            <w:pPr>
              <w:spacing w:line="276" w:lineRule="auto"/>
              <w:rPr>
                <w:b/>
              </w:rPr>
            </w:pPr>
            <w:r w:rsidRPr="00042C66">
              <w:rPr>
                <w:b/>
              </w:rPr>
              <w:t>Materiál bude mať vplyv s ohľadom na veľkostnú kategóriu podnikov:</w:t>
            </w:r>
          </w:p>
        </w:tc>
      </w:tr>
      <w:tr w:rsidR="00A915BD" w:rsidRPr="00F04CCD" w:rsidTr="00524EE1">
        <w:trPr>
          <w:trHeight w:val="567"/>
        </w:trPr>
        <w:tc>
          <w:tcPr>
            <w:tcW w:w="9212" w:type="dxa"/>
            <w:shd w:val="clear" w:color="auto" w:fill="auto"/>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390"/>
            </w:tblGrid>
            <w:tr w:rsidR="00A915BD" w:rsidRPr="00F04CCD" w:rsidTr="00524EE1">
              <w:sdt>
                <w:sdtPr>
                  <w:id w:val="43339831"/>
                  <w14:checkbox>
                    <w14:checked w14:val="0"/>
                    <w14:checkedState w14:val="2612" w14:font="MS Gothic"/>
                    <w14:uncheckedState w14:val="2610" w14:font="MS Gothic"/>
                  </w14:checkbox>
                </w:sdtPr>
                <w:sdtContent>
                  <w:tc>
                    <w:tcPr>
                      <w:tcW w:w="436" w:type="dxa"/>
                    </w:tcPr>
                    <w:p w:rsidR="00A915BD" w:rsidRPr="00F04CCD" w:rsidRDefault="00A915BD" w:rsidP="00A915BD">
                      <w:pPr>
                        <w:spacing w:line="276" w:lineRule="auto"/>
                        <w:jc w:val="center"/>
                      </w:pPr>
                      <w:r>
                        <w:rPr>
                          <w:rFonts w:ascii="MS Gothic" w:eastAsia="MS Gothic" w:hAnsi="MS Gothic" w:hint="eastAsia"/>
                        </w:rPr>
                        <w:t>☐</w:t>
                      </w:r>
                    </w:p>
                  </w:tc>
                </w:sdtContent>
              </w:sdt>
              <w:tc>
                <w:tcPr>
                  <w:tcW w:w="8545" w:type="dxa"/>
                </w:tcPr>
                <w:p w:rsidR="00A915BD" w:rsidRPr="00F04CCD" w:rsidRDefault="00A915BD" w:rsidP="00A915BD">
                  <w:pPr>
                    <w:spacing w:line="276" w:lineRule="auto"/>
                    <w:rPr>
                      <w:b/>
                    </w:rPr>
                  </w:pPr>
                  <w:r w:rsidRPr="00F04CCD">
                    <w:rPr>
                      <w:b/>
                    </w:rPr>
                    <w:t xml:space="preserve">iba na MSP (0 - 249 zamestnancov) </w:t>
                  </w:r>
                </w:p>
              </w:tc>
            </w:tr>
            <w:tr w:rsidR="00A915BD" w:rsidRPr="00F04CCD" w:rsidTr="00524EE1">
              <w:sdt>
                <w:sdtPr>
                  <w:id w:val="-79453833"/>
                  <w14:checkbox>
                    <w14:checked w14:val="0"/>
                    <w14:checkedState w14:val="2612" w14:font="MS Gothic"/>
                    <w14:uncheckedState w14:val="2610" w14:font="MS Gothic"/>
                  </w14:checkbox>
                </w:sdtPr>
                <w:sdtContent>
                  <w:tc>
                    <w:tcPr>
                      <w:tcW w:w="436" w:type="dxa"/>
                    </w:tcPr>
                    <w:p w:rsidR="00A915BD" w:rsidRPr="00F04CCD" w:rsidRDefault="00A915BD" w:rsidP="00A915BD">
                      <w:pPr>
                        <w:spacing w:line="276" w:lineRule="auto"/>
                        <w:jc w:val="center"/>
                      </w:pPr>
                      <w:r w:rsidRPr="00F04CCD">
                        <w:rPr>
                          <w:rFonts w:ascii="Segoe UI Symbol" w:eastAsia="MS Mincho" w:hAnsi="Segoe UI Symbol" w:cs="Segoe UI Symbol"/>
                        </w:rPr>
                        <w:t>☐</w:t>
                      </w:r>
                    </w:p>
                  </w:tc>
                </w:sdtContent>
              </w:sdt>
              <w:tc>
                <w:tcPr>
                  <w:tcW w:w="8545" w:type="dxa"/>
                </w:tcPr>
                <w:p w:rsidR="00A915BD" w:rsidRPr="00F04CCD" w:rsidRDefault="00A915BD" w:rsidP="00A915BD">
                  <w:pPr>
                    <w:spacing w:line="276" w:lineRule="auto"/>
                    <w:rPr>
                      <w:b/>
                    </w:rPr>
                  </w:pPr>
                  <w:r w:rsidRPr="00F04CCD">
                    <w:rPr>
                      <w:b/>
                    </w:rPr>
                    <w:t>iba na veľké podniky (250 a viac zamestnancov)</w:t>
                  </w:r>
                </w:p>
              </w:tc>
            </w:tr>
            <w:tr w:rsidR="00A915BD" w:rsidRPr="00F04CCD" w:rsidTr="00524EE1">
              <w:sdt>
                <w:sdtPr>
                  <w:id w:val="1290634502"/>
                  <w14:checkbox>
                    <w14:checked w14:val="1"/>
                    <w14:checkedState w14:val="2612" w14:font="MS Gothic"/>
                    <w14:uncheckedState w14:val="2610" w14:font="MS Gothic"/>
                  </w14:checkbox>
                </w:sdtPr>
                <w:sdtContent>
                  <w:tc>
                    <w:tcPr>
                      <w:tcW w:w="436" w:type="dxa"/>
                    </w:tcPr>
                    <w:p w:rsidR="00A915BD" w:rsidRPr="00F04CCD" w:rsidRDefault="00A915BD" w:rsidP="00A915BD">
                      <w:pPr>
                        <w:spacing w:line="276" w:lineRule="auto"/>
                        <w:jc w:val="center"/>
                      </w:pPr>
                      <w:r>
                        <w:rPr>
                          <w:rFonts w:ascii="MS Gothic" w:eastAsia="MS Gothic" w:hAnsi="MS Gothic" w:hint="eastAsia"/>
                        </w:rPr>
                        <w:t>☒</w:t>
                      </w:r>
                    </w:p>
                  </w:tc>
                </w:sdtContent>
              </w:sdt>
              <w:tc>
                <w:tcPr>
                  <w:tcW w:w="8545" w:type="dxa"/>
                </w:tcPr>
                <w:p w:rsidR="00A915BD" w:rsidRPr="00F04CCD" w:rsidRDefault="00A915BD" w:rsidP="00A915BD">
                  <w:pPr>
                    <w:spacing w:line="276" w:lineRule="auto"/>
                  </w:pPr>
                  <w:r w:rsidRPr="00F04CCD">
                    <w:rPr>
                      <w:b/>
                    </w:rPr>
                    <w:t xml:space="preserve">na všetky </w:t>
                  </w:r>
                  <w:r>
                    <w:rPr>
                      <w:b/>
                    </w:rPr>
                    <w:t>kategórie</w:t>
                  </w:r>
                  <w:r w:rsidRPr="00F04CCD">
                    <w:rPr>
                      <w:b/>
                    </w:rPr>
                    <w:t xml:space="preserve"> podnikov</w:t>
                  </w:r>
                </w:p>
              </w:tc>
            </w:tr>
          </w:tbl>
          <w:p w:rsidR="00A915BD" w:rsidRPr="00F04CCD" w:rsidRDefault="00A915BD" w:rsidP="00A915BD">
            <w:pPr>
              <w:spacing w:line="276" w:lineRule="auto"/>
              <w:rPr>
                <w:b/>
              </w:rPr>
            </w:pPr>
          </w:p>
        </w:tc>
      </w:tr>
      <w:tr w:rsidR="00A915BD" w:rsidRPr="00F04CCD" w:rsidTr="00524EE1">
        <w:tc>
          <w:tcPr>
            <w:tcW w:w="9212" w:type="dxa"/>
            <w:shd w:val="clear" w:color="auto" w:fill="D9D9D9" w:themeFill="background1" w:themeFillShade="D9"/>
          </w:tcPr>
          <w:p w:rsidR="00A915BD" w:rsidRPr="00042C66" w:rsidRDefault="00A915BD" w:rsidP="00A915BD">
            <w:pPr>
              <w:spacing w:line="276" w:lineRule="auto"/>
              <w:rPr>
                <w:b/>
              </w:rPr>
            </w:pPr>
            <w:r>
              <w:rPr>
                <w:b/>
              </w:rPr>
              <w:t>3</w:t>
            </w:r>
            <w:r w:rsidRPr="00042C66">
              <w:rPr>
                <w:b/>
              </w:rPr>
              <w:t>.1 Dotknuté podnikateľské subjekty</w:t>
            </w:r>
          </w:p>
          <w:p w:rsidR="00A915BD" w:rsidRPr="00F04CCD" w:rsidRDefault="00A915BD" w:rsidP="00A915BD">
            <w:pPr>
              <w:spacing w:line="276" w:lineRule="auto"/>
              <w:ind w:left="284"/>
              <w:rPr>
                <w:b/>
              </w:rPr>
            </w:pPr>
            <w:r w:rsidRPr="00042C66">
              <w:t xml:space="preserve"> - </w:t>
            </w:r>
            <w:r w:rsidRPr="00042C66">
              <w:rPr>
                <w:b/>
              </w:rPr>
              <w:t>z toho MSP</w:t>
            </w:r>
          </w:p>
        </w:tc>
      </w:tr>
      <w:tr w:rsidR="00A915BD" w:rsidRPr="00F04CCD" w:rsidTr="00524EE1">
        <w:tc>
          <w:tcPr>
            <w:tcW w:w="9212" w:type="dxa"/>
            <w:tcBorders>
              <w:bottom w:val="single" w:sz="4" w:space="0" w:color="auto"/>
            </w:tcBorders>
          </w:tcPr>
          <w:p w:rsidR="00A915BD" w:rsidRPr="00F04CCD" w:rsidRDefault="00A915BD" w:rsidP="00A915BD">
            <w:pPr>
              <w:spacing w:line="276" w:lineRule="auto"/>
              <w:rPr>
                <w:i/>
              </w:rPr>
            </w:pPr>
            <w:r w:rsidRPr="00F04CCD">
              <w:rPr>
                <w:i/>
              </w:rPr>
              <w:t>Uveďte, aké podnikateľské subjekty budú predkladaným návrhom ovplyvnené.</w:t>
            </w:r>
          </w:p>
          <w:p w:rsidR="00A915BD" w:rsidRPr="00F04CCD" w:rsidRDefault="00A915BD" w:rsidP="00A915BD">
            <w:pPr>
              <w:spacing w:line="276" w:lineRule="auto"/>
              <w:rPr>
                <w:i/>
              </w:rPr>
            </w:pPr>
            <w:r w:rsidRPr="00F04CCD">
              <w:rPr>
                <w:i/>
              </w:rPr>
              <w:t>Aký je ich počet?</w:t>
            </w:r>
          </w:p>
        </w:tc>
      </w:tr>
      <w:tr w:rsidR="00A915BD" w:rsidRPr="00F04CCD" w:rsidTr="00524EE1">
        <w:trPr>
          <w:trHeight w:val="1440"/>
        </w:trPr>
        <w:tc>
          <w:tcPr>
            <w:tcW w:w="9212" w:type="dxa"/>
            <w:tcBorders>
              <w:bottom w:val="single" w:sz="4" w:space="0" w:color="auto"/>
            </w:tcBorders>
          </w:tcPr>
          <w:p w:rsidR="00A915BD" w:rsidRDefault="00A915BD" w:rsidP="00A915BD">
            <w:pPr>
              <w:spacing w:line="276" w:lineRule="auto"/>
              <w:rPr>
                <w:i/>
              </w:rPr>
            </w:pPr>
          </w:p>
          <w:p w:rsidR="00A915BD" w:rsidRPr="00B207E0" w:rsidRDefault="00A915BD" w:rsidP="00A915BD">
            <w:pPr>
              <w:spacing w:line="276" w:lineRule="auto"/>
              <w:rPr>
                <w:sz w:val="22"/>
                <w:szCs w:val="22"/>
              </w:rPr>
            </w:pPr>
            <w:r w:rsidRPr="00B207E0">
              <w:rPr>
                <w:sz w:val="22"/>
                <w:szCs w:val="22"/>
              </w:rPr>
              <w:t>banky a pobočky zahraničných bánk (27)</w:t>
            </w:r>
          </w:p>
          <w:p w:rsidR="00A915BD" w:rsidRPr="00B207E0" w:rsidRDefault="00A915BD" w:rsidP="00A915BD">
            <w:pPr>
              <w:spacing w:line="276" w:lineRule="auto"/>
              <w:rPr>
                <w:sz w:val="22"/>
                <w:szCs w:val="22"/>
              </w:rPr>
            </w:pPr>
            <w:r w:rsidRPr="00B207E0">
              <w:rPr>
                <w:sz w:val="22"/>
                <w:szCs w:val="22"/>
              </w:rPr>
              <w:t>obchodníci s cennými papiermi a pobočky zahraničných obchodníkov s cennými papiermi (</w:t>
            </w:r>
            <w:r w:rsidRPr="00DF7450">
              <w:rPr>
                <w:sz w:val="22"/>
                <w:szCs w:val="22"/>
              </w:rPr>
              <w:t>28</w:t>
            </w:r>
            <w:r w:rsidRPr="00B207E0">
              <w:rPr>
                <w:sz w:val="22"/>
                <w:szCs w:val="22"/>
              </w:rPr>
              <w:t>)</w:t>
            </w:r>
          </w:p>
          <w:p w:rsidR="00A915BD" w:rsidRPr="00F04CCD" w:rsidRDefault="00A915BD" w:rsidP="00A915BD">
            <w:pPr>
              <w:spacing w:line="276" w:lineRule="auto"/>
              <w:rPr>
                <w:i/>
              </w:rPr>
            </w:pPr>
          </w:p>
        </w:tc>
      </w:tr>
      <w:tr w:rsidR="00A915BD" w:rsidRPr="00F04CCD" w:rsidTr="00524EE1">
        <w:trPr>
          <w:trHeight w:val="339"/>
        </w:trPr>
        <w:tc>
          <w:tcPr>
            <w:tcW w:w="9212" w:type="dxa"/>
            <w:tcBorders>
              <w:bottom w:val="single" w:sz="4" w:space="0" w:color="auto"/>
            </w:tcBorders>
            <w:shd w:val="clear" w:color="auto" w:fill="D9D9D9" w:themeFill="background1" w:themeFillShade="D9"/>
          </w:tcPr>
          <w:p w:rsidR="00A915BD" w:rsidRPr="00042C66" w:rsidRDefault="00A915BD" w:rsidP="00A915BD">
            <w:pPr>
              <w:spacing w:line="276" w:lineRule="auto"/>
              <w:rPr>
                <w:b/>
              </w:rPr>
            </w:pPr>
            <w:r>
              <w:rPr>
                <w:b/>
              </w:rPr>
              <w:t>3</w:t>
            </w:r>
            <w:r w:rsidRPr="00042C66">
              <w:rPr>
                <w:b/>
              </w:rPr>
              <w:t>.2 Vyhodnotenie konzultácií</w:t>
            </w:r>
          </w:p>
          <w:p w:rsidR="00A915BD" w:rsidRPr="00F04CCD" w:rsidRDefault="00A915BD" w:rsidP="00A915BD">
            <w:pPr>
              <w:spacing w:line="276" w:lineRule="auto"/>
              <w:rPr>
                <w:b/>
              </w:rPr>
            </w:pPr>
            <w:r w:rsidRPr="00042C66">
              <w:t xml:space="preserve">       - </w:t>
            </w:r>
            <w:r w:rsidRPr="00042C66">
              <w:rPr>
                <w:b/>
              </w:rPr>
              <w:t>z toho MSP</w:t>
            </w:r>
          </w:p>
        </w:tc>
      </w:tr>
      <w:tr w:rsidR="00A915BD" w:rsidRPr="00F04CCD" w:rsidTr="00524EE1">
        <w:trPr>
          <w:trHeight w:val="557"/>
        </w:trPr>
        <w:tc>
          <w:tcPr>
            <w:tcW w:w="9212" w:type="dxa"/>
            <w:tcBorders>
              <w:bottom w:val="single" w:sz="4" w:space="0" w:color="auto"/>
            </w:tcBorders>
          </w:tcPr>
          <w:p w:rsidR="00A915BD" w:rsidRPr="00F04CCD" w:rsidRDefault="00A915BD" w:rsidP="00A915BD">
            <w:pPr>
              <w:spacing w:line="276" w:lineRule="auto"/>
              <w:rPr>
                <w:i/>
              </w:rPr>
            </w:pPr>
            <w:r w:rsidRPr="00F04CCD">
              <w:rPr>
                <w:i/>
              </w:rPr>
              <w:t>Uveďte, akou formou (verejné alebo cielené konzultácie a prečo)</w:t>
            </w:r>
            <w:r>
              <w:rPr>
                <w:i/>
              </w:rPr>
              <w:t xml:space="preserve"> a </w:t>
            </w:r>
            <w:r w:rsidRPr="00F04CCD">
              <w:rPr>
                <w:i/>
              </w:rPr>
              <w:t>s kým bol návrh konzultovaný.</w:t>
            </w:r>
          </w:p>
          <w:p w:rsidR="00A915BD" w:rsidRPr="00F04CCD" w:rsidRDefault="00A915BD" w:rsidP="00A915BD">
            <w:pPr>
              <w:spacing w:line="276" w:lineRule="auto"/>
              <w:rPr>
                <w:i/>
              </w:rPr>
            </w:pPr>
            <w:r w:rsidRPr="00F04CCD">
              <w:rPr>
                <w:i/>
              </w:rPr>
              <w:t>Ako dlho trvali konzultácie?</w:t>
            </w:r>
          </w:p>
          <w:p w:rsidR="00A915BD" w:rsidRPr="000D2622" w:rsidRDefault="00A915BD" w:rsidP="00A915BD">
            <w:pPr>
              <w:spacing w:line="276" w:lineRule="auto"/>
              <w:rPr>
                <w:i/>
              </w:rPr>
            </w:pPr>
            <w:r w:rsidRPr="00F04CCD">
              <w:rPr>
                <w:i/>
              </w:rPr>
              <w:t xml:space="preserve">Uveďte hlavné body konzultácií a výsledky konzultácií. </w:t>
            </w:r>
          </w:p>
        </w:tc>
      </w:tr>
      <w:tr w:rsidR="00A915BD" w:rsidRPr="00F04CCD" w:rsidTr="00524EE1">
        <w:trPr>
          <w:trHeight w:val="1440"/>
        </w:trPr>
        <w:tc>
          <w:tcPr>
            <w:tcW w:w="9212" w:type="dxa"/>
            <w:tcBorders>
              <w:bottom w:val="single" w:sz="4" w:space="0" w:color="auto"/>
            </w:tcBorders>
          </w:tcPr>
          <w:p w:rsidR="00A915BD" w:rsidRDefault="00A915BD" w:rsidP="00A915BD">
            <w:pPr>
              <w:spacing w:line="276" w:lineRule="auto"/>
              <w:jc w:val="both"/>
              <w:rPr>
                <w:i/>
                <w:sz w:val="22"/>
                <w:szCs w:val="22"/>
              </w:rPr>
            </w:pPr>
          </w:p>
          <w:p w:rsidR="00A915BD" w:rsidRDefault="00A915BD" w:rsidP="00A915BD">
            <w:pPr>
              <w:spacing w:line="276" w:lineRule="auto"/>
              <w:jc w:val="both"/>
              <w:rPr>
                <w:sz w:val="22"/>
                <w:szCs w:val="22"/>
              </w:rPr>
            </w:pPr>
            <w:r w:rsidRPr="00DF7450">
              <w:rPr>
                <w:sz w:val="22"/>
                <w:szCs w:val="22"/>
              </w:rPr>
              <w:t xml:space="preserve">Predkladateľ požiadal v súlade s bodom 5.8. Jednotnej metodiky na posudzovanie vybraných vplyvov o konzultáciu </w:t>
            </w:r>
            <w:r>
              <w:rPr>
                <w:sz w:val="22"/>
                <w:szCs w:val="22"/>
              </w:rPr>
              <w:t xml:space="preserve">legislatívneho </w:t>
            </w:r>
            <w:r w:rsidRPr="00E544BE">
              <w:rPr>
                <w:sz w:val="22"/>
                <w:szCs w:val="22"/>
              </w:rPr>
              <w:t xml:space="preserve">návrhu zákona, ktorým sa mení a dopĺňa zákon č. 371/2014 Z. z. o riešení krízových situácií na finančnom trhu a o zmene a doplnení niektorých zákonov v znení neskorších predpisov a ktorým sa </w:t>
            </w:r>
            <w:r>
              <w:rPr>
                <w:sz w:val="22"/>
                <w:szCs w:val="22"/>
              </w:rPr>
              <w:t xml:space="preserve">mení a </w:t>
            </w:r>
            <w:r w:rsidRPr="00E544BE">
              <w:rPr>
                <w:sz w:val="22"/>
                <w:szCs w:val="22"/>
              </w:rPr>
              <w:t>dopĺňa zákon č. 7/2005 Z. z. o konkurze a reštrukturalizácii a o zmene a doplnení niektorých zákonov v znení neskorších predpisov</w:t>
            </w:r>
            <w:r w:rsidRPr="00DF7450">
              <w:rPr>
                <w:sz w:val="22"/>
                <w:szCs w:val="22"/>
              </w:rPr>
              <w:t>, ku ktorému bola zverejnená predbežná informácia pod č. PI/20</w:t>
            </w:r>
            <w:r>
              <w:rPr>
                <w:sz w:val="22"/>
                <w:szCs w:val="22"/>
              </w:rPr>
              <w:t>20</w:t>
            </w:r>
            <w:r w:rsidRPr="00DF7450">
              <w:rPr>
                <w:sz w:val="22"/>
                <w:szCs w:val="22"/>
              </w:rPr>
              <w:t>/</w:t>
            </w:r>
            <w:r>
              <w:rPr>
                <w:sz w:val="22"/>
                <w:szCs w:val="22"/>
              </w:rPr>
              <w:t>15</w:t>
            </w:r>
            <w:r w:rsidRPr="00DF7450">
              <w:rPr>
                <w:sz w:val="22"/>
                <w:szCs w:val="22"/>
              </w:rPr>
              <w:t>, v</w:t>
            </w:r>
            <w:r>
              <w:rPr>
                <w:sz w:val="22"/>
                <w:szCs w:val="22"/>
              </w:rPr>
              <w:t> </w:t>
            </w:r>
            <w:r w:rsidRPr="00DF7450">
              <w:rPr>
                <w:sz w:val="22"/>
                <w:szCs w:val="22"/>
              </w:rPr>
              <w:t>rámci</w:t>
            </w:r>
            <w:r>
              <w:rPr>
                <w:sz w:val="22"/>
                <w:szCs w:val="22"/>
              </w:rPr>
              <w:t xml:space="preserve"> </w:t>
            </w:r>
            <w:r w:rsidRPr="00DF7450">
              <w:rPr>
                <w:sz w:val="22"/>
                <w:szCs w:val="22"/>
              </w:rPr>
              <w:t xml:space="preserve">doby trvania konzultácie, ktorú sme navrhli od </w:t>
            </w:r>
            <w:r>
              <w:rPr>
                <w:sz w:val="22"/>
                <w:szCs w:val="22"/>
              </w:rPr>
              <w:t>30. januára 2020 do 13. februára 2020</w:t>
            </w:r>
            <w:r w:rsidRPr="00DF7450">
              <w:rPr>
                <w:sz w:val="22"/>
                <w:szCs w:val="22"/>
              </w:rPr>
              <w:t xml:space="preserve">. </w:t>
            </w:r>
          </w:p>
          <w:p w:rsidR="00A915BD" w:rsidRPr="00DF7450" w:rsidRDefault="00A915BD" w:rsidP="00A915BD">
            <w:pPr>
              <w:spacing w:line="276" w:lineRule="auto"/>
              <w:jc w:val="both"/>
              <w:rPr>
                <w:i/>
                <w:sz w:val="22"/>
                <w:szCs w:val="22"/>
              </w:rPr>
            </w:pPr>
            <w:r w:rsidRPr="00DF7450">
              <w:rPr>
                <w:sz w:val="22"/>
                <w:szCs w:val="22"/>
              </w:rPr>
              <w:t xml:space="preserve">Išlo o 44 subjektov (združenia zástupcov podnikateľského prostredia vrátane bánk a pobočiek zahraničných bánk). </w:t>
            </w:r>
            <w:r>
              <w:rPr>
                <w:sz w:val="22"/>
                <w:szCs w:val="22"/>
              </w:rPr>
              <w:t xml:space="preserve">K predbežnej informácii sa nevyjadril žiadny subjekt, ani nikto </w:t>
            </w:r>
            <w:r w:rsidRPr="00DF7450">
              <w:rPr>
                <w:sz w:val="22"/>
                <w:szCs w:val="22"/>
              </w:rPr>
              <w:t>nenamietal navrhovanú lehotu, ani neprejavil záujem o konzultáciu.</w:t>
            </w:r>
          </w:p>
          <w:p w:rsidR="00A915BD" w:rsidRDefault="00A915BD" w:rsidP="00A915BD">
            <w:pPr>
              <w:spacing w:line="276" w:lineRule="auto"/>
              <w:jc w:val="both"/>
              <w:rPr>
                <w:i/>
              </w:rPr>
            </w:pPr>
          </w:p>
          <w:p w:rsidR="00A915BD" w:rsidRPr="00F04CCD" w:rsidRDefault="00A915BD" w:rsidP="00A915BD">
            <w:pPr>
              <w:spacing w:line="276" w:lineRule="auto"/>
              <w:rPr>
                <w:i/>
              </w:rPr>
            </w:pPr>
          </w:p>
        </w:tc>
      </w:tr>
      <w:tr w:rsidR="00A915BD" w:rsidRPr="00F04CCD" w:rsidTr="00524EE1">
        <w:tc>
          <w:tcPr>
            <w:tcW w:w="9212" w:type="dxa"/>
            <w:shd w:val="clear" w:color="auto" w:fill="D9D9D9" w:themeFill="background1" w:themeFillShade="D9"/>
          </w:tcPr>
          <w:p w:rsidR="00A915BD" w:rsidRPr="00042C66" w:rsidRDefault="00A915BD" w:rsidP="00A915BD">
            <w:pPr>
              <w:spacing w:line="276" w:lineRule="auto"/>
              <w:rPr>
                <w:b/>
              </w:rPr>
            </w:pPr>
            <w:r>
              <w:rPr>
                <w:b/>
              </w:rPr>
              <w:t>3</w:t>
            </w:r>
            <w:r w:rsidRPr="00042C66">
              <w:rPr>
                <w:b/>
              </w:rPr>
              <w:t>.3 Náklady regulácie</w:t>
            </w:r>
          </w:p>
          <w:p w:rsidR="00A915BD" w:rsidRPr="00F04CCD" w:rsidRDefault="00A915BD" w:rsidP="00A915BD">
            <w:pPr>
              <w:spacing w:line="276" w:lineRule="auto"/>
              <w:rPr>
                <w:b/>
              </w:rPr>
            </w:pPr>
            <w:r w:rsidRPr="00042C66">
              <w:t xml:space="preserve">      - </w:t>
            </w:r>
            <w:r w:rsidRPr="00042C66">
              <w:rPr>
                <w:b/>
              </w:rPr>
              <w:t>z toho MSP</w:t>
            </w:r>
          </w:p>
        </w:tc>
      </w:tr>
      <w:tr w:rsidR="00A915BD" w:rsidRPr="00F04CCD" w:rsidTr="00524EE1">
        <w:tc>
          <w:tcPr>
            <w:tcW w:w="9212" w:type="dxa"/>
            <w:tcBorders>
              <w:bottom w:val="single" w:sz="4" w:space="0" w:color="auto"/>
            </w:tcBorders>
          </w:tcPr>
          <w:p w:rsidR="00A915BD" w:rsidRPr="00F04CCD" w:rsidRDefault="00A915BD" w:rsidP="00A915BD">
            <w:pPr>
              <w:spacing w:line="276" w:lineRule="auto"/>
              <w:rPr>
                <w:b/>
                <w:i/>
              </w:rPr>
            </w:pPr>
            <w:r>
              <w:rPr>
                <w:b/>
                <w:i/>
              </w:rPr>
              <w:t>3</w:t>
            </w:r>
            <w:r w:rsidRPr="00F04CCD">
              <w:rPr>
                <w:b/>
                <w:i/>
              </w:rPr>
              <w:t>.3.1 Priame finančné náklady</w:t>
            </w:r>
          </w:p>
          <w:p w:rsidR="00A915BD" w:rsidRPr="00F04CCD" w:rsidRDefault="00A915BD" w:rsidP="00A915BD">
            <w:pPr>
              <w:spacing w:line="276" w:lineRule="auto"/>
              <w:rPr>
                <w:i/>
              </w:rPr>
            </w:pPr>
            <w:r w:rsidRPr="00F04CCD">
              <w:rPr>
                <w:i/>
              </w:rPr>
              <w:t xml:space="preserve">Dochádza k zvýšeniu/zníženiu priamych finančných nákladov (poplatky, odvody, dane clá...)? Ak áno, popíšte a vyčíslite ich. Uveďte tiež spôsob ich výpočtu. </w:t>
            </w:r>
          </w:p>
        </w:tc>
      </w:tr>
      <w:tr w:rsidR="00A915BD" w:rsidRPr="00F04CCD" w:rsidTr="00524EE1">
        <w:tc>
          <w:tcPr>
            <w:tcW w:w="9212" w:type="dxa"/>
            <w:tcBorders>
              <w:bottom w:val="single" w:sz="4" w:space="0" w:color="auto"/>
            </w:tcBorders>
          </w:tcPr>
          <w:p w:rsidR="00A915BD" w:rsidRDefault="00A915BD" w:rsidP="00A915BD">
            <w:pPr>
              <w:spacing w:line="276" w:lineRule="auto"/>
              <w:rPr>
                <w:b/>
                <w:i/>
              </w:rPr>
            </w:pPr>
          </w:p>
          <w:p w:rsidR="00A915BD" w:rsidRDefault="00A915BD" w:rsidP="00A915BD">
            <w:pPr>
              <w:spacing w:line="276" w:lineRule="auto"/>
              <w:rPr>
                <w:sz w:val="22"/>
                <w:szCs w:val="22"/>
              </w:rPr>
            </w:pPr>
            <w:r>
              <w:rPr>
                <w:sz w:val="22"/>
                <w:szCs w:val="22"/>
              </w:rPr>
              <w:t>Bez vplyvu.</w:t>
            </w:r>
          </w:p>
          <w:p w:rsidR="00A915BD" w:rsidRPr="00F04CCD" w:rsidRDefault="00A915BD" w:rsidP="00A915BD">
            <w:pPr>
              <w:spacing w:line="276" w:lineRule="auto"/>
              <w:rPr>
                <w:b/>
                <w:i/>
              </w:rPr>
            </w:pPr>
          </w:p>
        </w:tc>
      </w:tr>
      <w:tr w:rsidR="00A915BD" w:rsidRPr="00F04CCD" w:rsidTr="00524EE1">
        <w:tc>
          <w:tcPr>
            <w:tcW w:w="9212" w:type="dxa"/>
            <w:tcBorders>
              <w:bottom w:val="single" w:sz="4" w:space="0" w:color="auto"/>
            </w:tcBorders>
          </w:tcPr>
          <w:p w:rsidR="00A915BD" w:rsidRPr="00F04CCD" w:rsidRDefault="00A915BD" w:rsidP="00A915BD">
            <w:pPr>
              <w:spacing w:line="276" w:lineRule="auto"/>
              <w:rPr>
                <w:b/>
                <w:i/>
              </w:rPr>
            </w:pPr>
            <w:r>
              <w:rPr>
                <w:b/>
                <w:i/>
              </w:rPr>
              <w:t>3</w:t>
            </w:r>
            <w:r w:rsidRPr="00F04CCD">
              <w:rPr>
                <w:b/>
                <w:i/>
              </w:rPr>
              <w:t>.3.2 Nepriame finančné náklady</w:t>
            </w:r>
          </w:p>
          <w:p w:rsidR="00A915BD" w:rsidRPr="00F04CCD" w:rsidRDefault="00A915BD" w:rsidP="00A915BD">
            <w:pPr>
              <w:spacing w:line="276" w:lineRule="auto"/>
              <w:rPr>
                <w:i/>
              </w:rPr>
            </w:pPr>
            <w:r w:rsidRPr="00F04CCD">
              <w:rPr>
                <w:i/>
              </w:rPr>
              <w:lastRenderedPageBreak/>
              <w:t xml:space="preserve">Vyžaduje si predkladaný návrh dodatočné náklady na nákup tovarov alebo služieb? </w:t>
            </w:r>
            <w:r>
              <w:rPr>
                <w:i/>
              </w:rPr>
              <w:t xml:space="preserve">Zvyšuje predkladaný návrh náklady súvisiace so zamestnávaním? </w:t>
            </w:r>
            <w:r w:rsidRPr="00F04CCD">
              <w:rPr>
                <w:i/>
              </w:rPr>
              <w:t>Ak áno, popíšte a vyčíslite ich. Uveďte tiež spôsob ich výpočtu.</w:t>
            </w:r>
          </w:p>
        </w:tc>
      </w:tr>
      <w:tr w:rsidR="00A915BD" w:rsidRPr="00F04CCD" w:rsidTr="00524EE1">
        <w:tc>
          <w:tcPr>
            <w:tcW w:w="9212" w:type="dxa"/>
            <w:tcBorders>
              <w:bottom w:val="single" w:sz="4" w:space="0" w:color="auto"/>
            </w:tcBorders>
          </w:tcPr>
          <w:p w:rsidR="00A915BD" w:rsidRDefault="00A915BD" w:rsidP="00A915BD">
            <w:pPr>
              <w:spacing w:line="276" w:lineRule="auto"/>
              <w:rPr>
                <w:b/>
                <w:i/>
              </w:rPr>
            </w:pPr>
          </w:p>
          <w:p w:rsidR="00A915BD" w:rsidRPr="00BB1D0F" w:rsidRDefault="00A915BD" w:rsidP="00A915BD">
            <w:pPr>
              <w:spacing w:line="276" w:lineRule="auto"/>
              <w:jc w:val="both"/>
              <w:rPr>
                <w:sz w:val="22"/>
                <w:szCs w:val="22"/>
              </w:rPr>
            </w:pPr>
            <w:r w:rsidRPr="00BB1D0F">
              <w:rPr>
                <w:color w:val="000000"/>
                <w:sz w:val="22"/>
                <w:szCs w:val="22"/>
              </w:rPr>
              <w:t>Návrh</w:t>
            </w:r>
            <w:r w:rsidRPr="00BB1D0F">
              <w:rPr>
                <w:color w:val="000000"/>
                <w:spacing w:val="-6"/>
                <w:sz w:val="22"/>
                <w:szCs w:val="22"/>
              </w:rPr>
              <w:t xml:space="preserve"> </w:t>
            </w:r>
            <w:r w:rsidRPr="00BB1D0F">
              <w:rPr>
                <w:color w:val="000000"/>
                <w:sz w:val="22"/>
                <w:szCs w:val="22"/>
              </w:rPr>
              <w:t>novela</w:t>
            </w:r>
            <w:r w:rsidRPr="00BB1D0F">
              <w:rPr>
                <w:color w:val="000000"/>
                <w:spacing w:val="-6"/>
                <w:sz w:val="22"/>
                <w:szCs w:val="22"/>
              </w:rPr>
              <w:t xml:space="preserve"> </w:t>
            </w:r>
            <w:r w:rsidRPr="00BB1D0F">
              <w:rPr>
                <w:color w:val="000000"/>
                <w:sz w:val="22"/>
                <w:szCs w:val="22"/>
              </w:rPr>
              <w:t>zákona,</w:t>
            </w:r>
            <w:r w:rsidRPr="00BB1D0F">
              <w:rPr>
                <w:color w:val="000000"/>
                <w:spacing w:val="-6"/>
                <w:sz w:val="22"/>
                <w:szCs w:val="22"/>
              </w:rPr>
              <w:t xml:space="preserve"> </w:t>
            </w:r>
            <w:r w:rsidRPr="00BB1D0F">
              <w:rPr>
                <w:color w:val="000000"/>
                <w:sz w:val="22"/>
                <w:szCs w:val="22"/>
              </w:rPr>
              <w:t>predstavuje</w:t>
            </w:r>
            <w:r w:rsidRPr="00BB1D0F">
              <w:rPr>
                <w:color w:val="000000"/>
                <w:spacing w:val="75"/>
                <w:sz w:val="22"/>
                <w:szCs w:val="22"/>
              </w:rPr>
              <w:t xml:space="preserve"> </w:t>
            </w:r>
            <w:r w:rsidRPr="00BB1D0F">
              <w:rPr>
                <w:color w:val="000000"/>
                <w:sz w:val="22"/>
                <w:szCs w:val="22"/>
              </w:rPr>
              <w:t>komplexnú</w:t>
            </w:r>
            <w:r w:rsidRPr="00BB1D0F">
              <w:rPr>
                <w:color w:val="000000"/>
                <w:spacing w:val="75"/>
                <w:sz w:val="22"/>
                <w:szCs w:val="22"/>
              </w:rPr>
              <w:t xml:space="preserve"> </w:t>
            </w:r>
            <w:r w:rsidRPr="00BB1D0F">
              <w:rPr>
                <w:color w:val="000000"/>
                <w:sz w:val="22"/>
                <w:szCs w:val="22"/>
              </w:rPr>
              <w:t>právnu</w:t>
            </w:r>
            <w:r w:rsidRPr="00BB1D0F">
              <w:rPr>
                <w:color w:val="000000"/>
                <w:spacing w:val="75"/>
                <w:sz w:val="22"/>
                <w:szCs w:val="22"/>
              </w:rPr>
              <w:t xml:space="preserve"> </w:t>
            </w:r>
            <w:r w:rsidRPr="00BB1D0F">
              <w:rPr>
                <w:color w:val="000000"/>
                <w:sz w:val="22"/>
                <w:szCs w:val="22"/>
              </w:rPr>
              <w:t>úpravu</w:t>
            </w:r>
            <w:r w:rsidRPr="00BB1D0F">
              <w:rPr>
                <w:color w:val="000000"/>
                <w:spacing w:val="75"/>
                <w:sz w:val="22"/>
                <w:szCs w:val="22"/>
              </w:rPr>
              <w:t xml:space="preserve"> </w:t>
            </w:r>
            <w:r w:rsidRPr="00BB1D0F">
              <w:rPr>
                <w:color w:val="000000"/>
                <w:sz w:val="22"/>
                <w:szCs w:val="22"/>
              </w:rPr>
              <w:t>rôznych</w:t>
            </w:r>
            <w:r w:rsidRPr="00BB1D0F">
              <w:rPr>
                <w:color w:val="000000"/>
                <w:spacing w:val="75"/>
                <w:sz w:val="22"/>
                <w:szCs w:val="22"/>
              </w:rPr>
              <w:t xml:space="preserve"> </w:t>
            </w:r>
            <w:r w:rsidRPr="00BB1D0F">
              <w:rPr>
                <w:color w:val="000000"/>
                <w:sz w:val="22"/>
                <w:szCs w:val="22"/>
              </w:rPr>
              <w:t>právnych</w:t>
            </w:r>
            <w:r w:rsidRPr="00BB1D0F">
              <w:rPr>
                <w:color w:val="000000"/>
                <w:spacing w:val="75"/>
                <w:sz w:val="22"/>
                <w:szCs w:val="22"/>
              </w:rPr>
              <w:t xml:space="preserve"> </w:t>
            </w:r>
            <w:r w:rsidRPr="00BB1D0F">
              <w:rPr>
                <w:color w:val="000000"/>
                <w:sz w:val="22"/>
                <w:szCs w:val="22"/>
              </w:rPr>
              <w:t>vzťahov</w:t>
            </w:r>
            <w:r w:rsidRPr="00BB1D0F">
              <w:rPr>
                <w:color w:val="000000"/>
                <w:spacing w:val="75"/>
                <w:sz w:val="22"/>
                <w:szCs w:val="22"/>
              </w:rPr>
              <w:t xml:space="preserve"> </w:t>
            </w:r>
            <w:r w:rsidRPr="00BB1D0F">
              <w:rPr>
                <w:color w:val="000000"/>
                <w:sz w:val="22"/>
                <w:szCs w:val="22"/>
              </w:rPr>
              <w:t>na</w:t>
            </w:r>
            <w:r w:rsidRPr="00BB1D0F">
              <w:rPr>
                <w:color w:val="000000"/>
                <w:spacing w:val="75"/>
                <w:sz w:val="22"/>
                <w:szCs w:val="22"/>
              </w:rPr>
              <w:t xml:space="preserve"> </w:t>
            </w:r>
            <w:r w:rsidRPr="00BB1D0F">
              <w:rPr>
                <w:color w:val="000000"/>
                <w:sz w:val="22"/>
                <w:szCs w:val="22"/>
              </w:rPr>
              <w:t>finančnom</w:t>
            </w:r>
            <w:r w:rsidRPr="00BB1D0F">
              <w:rPr>
                <w:color w:val="000000"/>
                <w:spacing w:val="75"/>
                <w:sz w:val="22"/>
                <w:szCs w:val="22"/>
              </w:rPr>
              <w:t xml:space="preserve"> </w:t>
            </w:r>
            <w:r w:rsidRPr="00BB1D0F">
              <w:rPr>
                <w:color w:val="000000"/>
                <w:sz w:val="22"/>
                <w:szCs w:val="22"/>
              </w:rPr>
              <w:t>trhu.</w:t>
            </w:r>
            <w:r w:rsidRPr="00BB1D0F">
              <w:rPr>
                <w:sz w:val="22"/>
                <w:szCs w:val="22"/>
              </w:rPr>
              <w:t xml:space="preserve"> Vzhľadom na relatívne dobrý stav slovenského bankového sektora a už existujúcu požiadavku na vytváranie minimálnych požiadaviek na vlastné zdroje neočakávame výrazné dopady na banky vyplývajúce zo zmien v existujúcich pravidlách. Možno v určitom prípade predpokladať (závisí od situácie na finančných trhoch a rozhodnutia Rady pre riešenie krízových situácií), že zavedenie nových pravidiel vyplývajúcich z návrhu zákona si môže vyžiadať dodatočné náklady na vytváranie dodatočných minimálnych požiadaviek zo strany niektorých regulovaných subjektov, ktoré však nie je možné, aj vzhľadom na súčasnú situáciu, vyčísliť.</w:t>
            </w:r>
          </w:p>
          <w:p w:rsidR="00A915BD" w:rsidRPr="00BB1D0F" w:rsidRDefault="00A915BD" w:rsidP="00A915BD">
            <w:pPr>
              <w:spacing w:line="276" w:lineRule="auto"/>
              <w:jc w:val="both"/>
              <w:rPr>
                <w:sz w:val="22"/>
                <w:szCs w:val="22"/>
              </w:rPr>
            </w:pPr>
          </w:p>
          <w:p w:rsidR="00A915BD" w:rsidRPr="00BB1D0F" w:rsidRDefault="00A915BD" w:rsidP="00A915BD">
            <w:pPr>
              <w:spacing w:line="276" w:lineRule="auto"/>
              <w:jc w:val="both"/>
              <w:rPr>
                <w:color w:val="000000"/>
                <w:sz w:val="22"/>
                <w:szCs w:val="22"/>
              </w:rPr>
            </w:pPr>
            <w:r w:rsidRPr="00BB1D0F">
              <w:rPr>
                <w:color w:val="000000"/>
                <w:sz w:val="22"/>
                <w:szCs w:val="22"/>
              </w:rPr>
              <w:t>V tejto súvislosti je potrebné zdôrazniť, že navrhované zmeny vplývajú na</w:t>
            </w:r>
            <w:r w:rsidRPr="00BB1D0F">
              <w:rPr>
                <w:color w:val="000000"/>
                <w:spacing w:val="-1"/>
                <w:sz w:val="22"/>
                <w:szCs w:val="22"/>
              </w:rPr>
              <w:t xml:space="preserve"> </w:t>
            </w:r>
            <w:r w:rsidRPr="00BB1D0F">
              <w:rPr>
                <w:color w:val="000000"/>
                <w:sz w:val="22"/>
                <w:szCs w:val="22"/>
              </w:rPr>
              <w:t>obmedzenie</w:t>
            </w:r>
            <w:r w:rsidRPr="00BB1D0F">
              <w:rPr>
                <w:color w:val="000000"/>
                <w:spacing w:val="-1"/>
                <w:sz w:val="22"/>
                <w:szCs w:val="22"/>
              </w:rPr>
              <w:t xml:space="preserve"> </w:t>
            </w:r>
            <w:r w:rsidRPr="00BB1D0F">
              <w:rPr>
                <w:color w:val="000000"/>
                <w:sz w:val="22"/>
                <w:szCs w:val="22"/>
              </w:rPr>
              <w:t>rizika</w:t>
            </w:r>
            <w:r w:rsidRPr="00BB1D0F">
              <w:rPr>
                <w:color w:val="000000"/>
                <w:spacing w:val="-1"/>
                <w:sz w:val="22"/>
                <w:szCs w:val="22"/>
              </w:rPr>
              <w:t xml:space="preserve"> </w:t>
            </w:r>
            <w:r w:rsidRPr="00BB1D0F">
              <w:rPr>
                <w:color w:val="000000"/>
                <w:sz w:val="22"/>
                <w:szCs w:val="22"/>
              </w:rPr>
              <w:t>a</w:t>
            </w:r>
            <w:r w:rsidRPr="00BB1D0F">
              <w:rPr>
                <w:color w:val="000000"/>
                <w:spacing w:val="-1"/>
                <w:sz w:val="22"/>
                <w:szCs w:val="22"/>
              </w:rPr>
              <w:t xml:space="preserve"> </w:t>
            </w:r>
            <w:r w:rsidRPr="00BB1D0F">
              <w:rPr>
                <w:color w:val="000000"/>
                <w:sz w:val="22"/>
                <w:szCs w:val="22"/>
              </w:rPr>
              <w:t>predchádzanie</w:t>
            </w:r>
            <w:r w:rsidRPr="00BB1D0F">
              <w:rPr>
                <w:color w:val="000000"/>
                <w:spacing w:val="-1"/>
                <w:sz w:val="22"/>
                <w:szCs w:val="22"/>
              </w:rPr>
              <w:t xml:space="preserve"> </w:t>
            </w:r>
            <w:r w:rsidRPr="00BB1D0F">
              <w:rPr>
                <w:color w:val="000000"/>
                <w:sz w:val="22"/>
                <w:szCs w:val="22"/>
              </w:rPr>
              <w:t>vzniku</w:t>
            </w:r>
            <w:r w:rsidRPr="00BB1D0F">
              <w:rPr>
                <w:color w:val="000000"/>
                <w:spacing w:val="-1"/>
                <w:sz w:val="22"/>
                <w:szCs w:val="22"/>
              </w:rPr>
              <w:t xml:space="preserve"> </w:t>
            </w:r>
            <w:r w:rsidRPr="00BB1D0F">
              <w:rPr>
                <w:color w:val="000000"/>
                <w:sz w:val="22"/>
                <w:szCs w:val="22"/>
              </w:rPr>
              <w:t>krízových</w:t>
            </w:r>
            <w:r w:rsidRPr="00BB1D0F">
              <w:rPr>
                <w:color w:val="000000"/>
                <w:spacing w:val="-1"/>
                <w:sz w:val="22"/>
                <w:szCs w:val="22"/>
              </w:rPr>
              <w:t xml:space="preserve"> </w:t>
            </w:r>
            <w:r w:rsidRPr="00BB1D0F">
              <w:rPr>
                <w:color w:val="000000"/>
                <w:sz w:val="22"/>
                <w:szCs w:val="22"/>
              </w:rPr>
              <w:t>situácií</w:t>
            </w:r>
            <w:r w:rsidRPr="00BB1D0F">
              <w:rPr>
                <w:color w:val="000000"/>
                <w:spacing w:val="-1"/>
                <w:sz w:val="22"/>
                <w:szCs w:val="22"/>
              </w:rPr>
              <w:t xml:space="preserve"> </w:t>
            </w:r>
            <w:r w:rsidRPr="00BB1D0F">
              <w:rPr>
                <w:color w:val="000000"/>
                <w:sz w:val="22"/>
                <w:szCs w:val="22"/>
              </w:rPr>
              <w:t>na</w:t>
            </w:r>
            <w:r w:rsidRPr="00BB1D0F">
              <w:rPr>
                <w:color w:val="000000"/>
                <w:spacing w:val="-1"/>
                <w:sz w:val="22"/>
                <w:szCs w:val="22"/>
              </w:rPr>
              <w:t xml:space="preserve"> </w:t>
            </w:r>
            <w:r w:rsidRPr="00BB1D0F">
              <w:rPr>
                <w:color w:val="000000"/>
                <w:sz w:val="22"/>
                <w:szCs w:val="22"/>
              </w:rPr>
              <w:t>finančnom</w:t>
            </w:r>
            <w:r w:rsidRPr="00BB1D0F">
              <w:rPr>
                <w:color w:val="000000"/>
                <w:spacing w:val="-1"/>
                <w:sz w:val="22"/>
                <w:szCs w:val="22"/>
              </w:rPr>
              <w:t xml:space="preserve"> </w:t>
            </w:r>
            <w:r w:rsidRPr="00BB1D0F">
              <w:rPr>
                <w:color w:val="000000"/>
                <w:sz w:val="22"/>
                <w:szCs w:val="22"/>
              </w:rPr>
              <w:t>trhu. Súbor</w:t>
            </w:r>
            <w:r w:rsidRPr="00BB1D0F">
              <w:rPr>
                <w:color w:val="000000"/>
                <w:spacing w:val="53"/>
                <w:sz w:val="22"/>
                <w:szCs w:val="22"/>
              </w:rPr>
              <w:t xml:space="preserve"> </w:t>
            </w:r>
            <w:r w:rsidRPr="00BB1D0F">
              <w:rPr>
                <w:color w:val="000000"/>
                <w:sz w:val="22"/>
                <w:szCs w:val="22"/>
              </w:rPr>
              <w:t>navrhovaných</w:t>
            </w:r>
            <w:r w:rsidRPr="00BB1D0F">
              <w:rPr>
                <w:color w:val="000000"/>
                <w:spacing w:val="53"/>
                <w:sz w:val="22"/>
                <w:szCs w:val="22"/>
              </w:rPr>
              <w:t xml:space="preserve"> </w:t>
            </w:r>
            <w:r w:rsidRPr="00BB1D0F">
              <w:rPr>
                <w:color w:val="000000"/>
                <w:sz w:val="22"/>
                <w:szCs w:val="22"/>
              </w:rPr>
              <w:t>opatrení</w:t>
            </w:r>
            <w:r w:rsidRPr="00BB1D0F">
              <w:rPr>
                <w:color w:val="000000"/>
                <w:spacing w:val="53"/>
                <w:sz w:val="22"/>
                <w:szCs w:val="22"/>
              </w:rPr>
              <w:t xml:space="preserve"> </w:t>
            </w:r>
            <w:r w:rsidRPr="00BB1D0F">
              <w:rPr>
                <w:color w:val="000000"/>
                <w:sz w:val="22"/>
                <w:szCs w:val="22"/>
              </w:rPr>
              <w:t>zvyšuje</w:t>
            </w:r>
            <w:r w:rsidRPr="00BB1D0F">
              <w:rPr>
                <w:color w:val="000000"/>
                <w:spacing w:val="53"/>
                <w:sz w:val="22"/>
                <w:szCs w:val="22"/>
              </w:rPr>
              <w:t xml:space="preserve"> </w:t>
            </w:r>
            <w:r w:rsidRPr="00BB1D0F">
              <w:rPr>
                <w:color w:val="000000"/>
                <w:sz w:val="22"/>
                <w:szCs w:val="22"/>
              </w:rPr>
              <w:t>efektivitu</w:t>
            </w:r>
            <w:r w:rsidRPr="00BB1D0F">
              <w:rPr>
                <w:color w:val="000000"/>
                <w:spacing w:val="53"/>
                <w:sz w:val="22"/>
                <w:szCs w:val="22"/>
              </w:rPr>
              <w:t xml:space="preserve"> </w:t>
            </w:r>
            <w:r w:rsidRPr="00BB1D0F">
              <w:rPr>
                <w:color w:val="000000"/>
                <w:sz w:val="22"/>
                <w:szCs w:val="22"/>
              </w:rPr>
              <w:t>finančných</w:t>
            </w:r>
            <w:r w:rsidRPr="00BB1D0F">
              <w:rPr>
                <w:color w:val="000000"/>
                <w:spacing w:val="53"/>
                <w:sz w:val="22"/>
                <w:szCs w:val="22"/>
              </w:rPr>
              <w:t xml:space="preserve"> </w:t>
            </w:r>
            <w:r w:rsidRPr="00BB1D0F">
              <w:rPr>
                <w:color w:val="000000"/>
                <w:sz w:val="22"/>
                <w:szCs w:val="22"/>
              </w:rPr>
              <w:t>inštitúcií,</w:t>
            </w:r>
            <w:r w:rsidRPr="00BB1D0F">
              <w:rPr>
                <w:color w:val="000000"/>
                <w:spacing w:val="53"/>
                <w:sz w:val="22"/>
                <w:szCs w:val="22"/>
              </w:rPr>
              <w:t xml:space="preserve"> </w:t>
            </w:r>
            <w:r w:rsidRPr="00BB1D0F">
              <w:rPr>
                <w:color w:val="000000"/>
                <w:sz w:val="22"/>
                <w:szCs w:val="22"/>
              </w:rPr>
              <w:t>čím</w:t>
            </w:r>
            <w:r w:rsidRPr="00BB1D0F">
              <w:rPr>
                <w:color w:val="000000"/>
                <w:spacing w:val="53"/>
                <w:sz w:val="22"/>
                <w:szCs w:val="22"/>
              </w:rPr>
              <w:t xml:space="preserve"> </w:t>
            </w:r>
            <w:r w:rsidRPr="00BB1D0F">
              <w:rPr>
                <w:color w:val="000000"/>
                <w:sz w:val="22"/>
                <w:szCs w:val="22"/>
              </w:rPr>
              <w:t>prispieva</w:t>
            </w:r>
            <w:r w:rsidRPr="00BB1D0F">
              <w:rPr>
                <w:color w:val="000000"/>
                <w:spacing w:val="53"/>
                <w:sz w:val="22"/>
                <w:szCs w:val="22"/>
              </w:rPr>
              <w:t xml:space="preserve"> </w:t>
            </w:r>
            <w:r w:rsidRPr="00BB1D0F">
              <w:rPr>
                <w:color w:val="000000"/>
                <w:sz w:val="22"/>
                <w:szCs w:val="22"/>
              </w:rPr>
              <w:t>k ich odolnosti</w:t>
            </w:r>
            <w:r w:rsidRPr="00BB1D0F">
              <w:rPr>
                <w:color w:val="000000"/>
                <w:spacing w:val="27"/>
                <w:sz w:val="22"/>
                <w:szCs w:val="22"/>
              </w:rPr>
              <w:t xml:space="preserve"> </w:t>
            </w:r>
            <w:r w:rsidRPr="00BB1D0F">
              <w:rPr>
                <w:color w:val="000000"/>
                <w:sz w:val="22"/>
                <w:szCs w:val="22"/>
              </w:rPr>
              <w:t>voči</w:t>
            </w:r>
            <w:r w:rsidRPr="00BB1D0F">
              <w:rPr>
                <w:color w:val="000000"/>
                <w:spacing w:val="27"/>
                <w:sz w:val="22"/>
                <w:szCs w:val="22"/>
              </w:rPr>
              <w:t xml:space="preserve"> </w:t>
            </w:r>
            <w:r w:rsidRPr="00BB1D0F">
              <w:rPr>
                <w:color w:val="000000"/>
                <w:sz w:val="22"/>
                <w:szCs w:val="22"/>
              </w:rPr>
              <w:t>možným</w:t>
            </w:r>
            <w:r w:rsidRPr="00BB1D0F">
              <w:rPr>
                <w:color w:val="000000"/>
                <w:spacing w:val="27"/>
                <w:sz w:val="22"/>
                <w:szCs w:val="22"/>
              </w:rPr>
              <w:t xml:space="preserve"> </w:t>
            </w:r>
            <w:r w:rsidRPr="00BB1D0F">
              <w:rPr>
                <w:color w:val="000000"/>
                <w:sz w:val="22"/>
                <w:szCs w:val="22"/>
              </w:rPr>
              <w:t>krízovým</w:t>
            </w:r>
            <w:r w:rsidRPr="00BB1D0F">
              <w:rPr>
                <w:color w:val="000000"/>
                <w:spacing w:val="27"/>
                <w:sz w:val="22"/>
                <w:szCs w:val="22"/>
              </w:rPr>
              <w:t xml:space="preserve"> </w:t>
            </w:r>
            <w:r w:rsidRPr="00BB1D0F">
              <w:rPr>
                <w:color w:val="000000"/>
                <w:sz w:val="22"/>
                <w:szCs w:val="22"/>
              </w:rPr>
              <w:t>situáciám</w:t>
            </w:r>
            <w:r w:rsidRPr="00BB1D0F">
              <w:rPr>
                <w:color w:val="000000"/>
                <w:spacing w:val="27"/>
                <w:sz w:val="22"/>
                <w:szCs w:val="22"/>
              </w:rPr>
              <w:t xml:space="preserve"> </w:t>
            </w:r>
            <w:r w:rsidRPr="00BB1D0F">
              <w:rPr>
                <w:color w:val="000000"/>
                <w:sz w:val="22"/>
                <w:szCs w:val="22"/>
              </w:rPr>
              <w:t>a prispieva</w:t>
            </w:r>
            <w:r w:rsidRPr="00BB1D0F">
              <w:rPr>
                <w:color w:val="000000"/>
                <w:spacing w:val="27"/>
                <w:sz w:val="22"/>
                <w:szCs w:val="22"/>
              </w:rPr>
              <w:t xml:space="preserve"> </w:t>
            </w:r>
            <w:r w:rsidRPr="00BB1D0F">
              <w:rPr>
                <w:color w:val="000000"/>
                <w:sz w:val="22"/>
                <w:szCs w:val="22"/>
              </w:rPr>
              <w:t>k zvýšeniu</w:t>
            </w:r>
            <w:r w:rsidRPr="00BB1D0F">
              <w:rPr>
                <w:color w:val="000000"/>
                <w:spacing w:val="27"/>
                <w:sz w:val="22"/>
                <w:szCs w:val="22"/>
              </w:rPr>
              <w:t xml:space="preserve"> </w:t>
            </w:r>
            <w:r w:rsidRPr="00BB1D0F">
              <w:rPr>
                <w:color w:val="000000"/>
                <w:sz w:val="22"/>
                <w:szCs w:val="22"/>
              </w:rPr>
              <w:t>stability</w:t>
            </w:r>
            <w:r w:rsidRPr="00BB1D0F">
              <w:rPr>
                <w:color w:val="000000"/>
                <w:spacing w:val="27"/>
                <w:sz w:val="22"/>
                <w:szCs w:val="22"/>
              </w:rPr>
              <w:t xml:space="preserve"> </w:t>
            </w:r>
            <w:r w:rsidRPr="00BB1D0F">
              <w:rPr>
                <w:color w:val="000000"/>
                <w:sz w:val="22"/>
                <w:szCs w:val="22"/>
              </w:rPr>
              <w:t>finančného</w:t>
            </w:r>
            <w:r w:rsidRPr="00BB1D0F">
              <w:rPr>
                <w:color w:val="000000"/>
                <w:spacing w:val="27"/>
                <w:sz w:val="22"/>
                <w:szCs w:val="22"/>
              </w:rPr>
              <w:t xml:space="preserve"> </w:t>
            </w:r>
            <w:r w:rsidRPr="00BB1D0F">
              <w:rPr>
                <w:color w:val="000000"/>
                <w:sz w:val="22"/>
                <w:szCs w:val="22"/>
              </w:rPr>
              <w:t>trhu Slovenskej republiky.</w:t>
            </w:r>
          </w:p>
          <w:p w:rsidR="00A915BD" w:rsidRPr="00EF53FA" w:rsidRDefault="00A915BD" w:rsidP="00A915BD">
            <w:pPr>
              <w:spacing w:line="276" w:lineRule="auto"/>
              <w:jc w:val="both"/>
              <w:rPr>
                <w:sz w:val="22"/>
                <w:szCs w:val="22"/>
              </w:rPr>
            </w:pPr>
          </w:p>
          <w:p w:rsidR="00A915BD" w:rsidRPr="00F04CCD" w:rsidRDefault="00A915BD" w:rsidP="00A915BD">
            <w:pPr>
              <w:spacing w:line="276" w:lineRule="auto"/>
              <w:rPr>
                <w:b/>
                <w:i/>
              </w:rPr>
            </w:pPr>
          </w:p>
        </w:tc>
      </w:tr>
      <w:tr w:rsidR="00A915BD" w:rsidRPr="00F04CCD" w:rsidTr="00524EE1">
        <w:tc>
          <w:tcPr>
            <w:tcW w:w="9212" w:type="dxa"/>
            <w:tcBorders>
              <w:bottom w:val="single" w:sz="4" w:space="0" w:color="auto"/>
            </w:tcBorders>
          </w:tcPr>
          <w:p w:rsidR="00A915BD" w:rsidRPr="00F04CCD" w:rsidRDefault="00A915BD" w:rsidP="00A915BD">
            <w:pPr>
              <w:spacing w:line="276" w:lineRule="auto"/>
              <w:rPr>
                <w:b/>
                <w:i/>
              </w:rPr>
            </w:pPr>
            <w:r>
              <w:rPr>
                <w:b/>
                <w:i/>
              </w:rPr>
              <w:t>3</w:t>
            </w:r>
            <w:r w:rsidRPr="00F04CCD">
              <w:rPr>
                <w:b/>
                <w:i/>
              </w:rPr>
              <w:t>.3.3 Administratívne náklady</w:t>
            </w:r>
          </w:p>
          <w:p w:rsidR="00A915BD" w:rsidRPr="00F04CCD" w:rsidRDefault="00A915BD" w:rsidP="00A915BD">
            <w:pPr>
              <w:spacing w:line="276" w:lineRule="auto"/>
              <w:rPr>
                <w:i/>
              </w:rPr>
            </w:pPr>
            <w:r w:rsidRPr="00F04CCD">
              <w:rPr>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A915BD" w:rsidRPr="00F04CCD" w:rsidTr="00524EE1">
        <w:tc>
          <w:tcPr>
            <w:tcW w:w="9212" w:type="dxa"/>
            <w:tcBorders>
              <w:bottom w:val="single" w:sz="4" w:space="0" w:color="auto"/>
            </w:tcBorders>
          </w:tcPr>
          <w:p w:rsidR="00A915BD" w:rsidRPr="00EF53FA" w:rsidRDefault="00A915BD" w:rsidP="00A915BD">
            <w:pPr>
              <w:spacing w:line="276" w:lineRule="auto"/>
              <w:rPr>
                <w:b/>
                <w:i/>
                <w:sz w:val="22"/>
                <w:szCs w:val="22"/>
              </w:rPr>
            </w:pPr>
          </w:p>
          <w:p w:rsidR="00A915BD" w:rsidRPr="00EF53FA" w:rsidRDefault="00A915BD" w:rsidP="00A915BD">
            <w:pPr>
              <w:spacing w:line="276" w:lineRule="auto"/>
              <w:rPr>
                <w:sz w:val="22"/>
                <w:szCs w:val="22"/>
              </w:rPr>
            </w:pPr>
            <w:r>
              <w:rPr>
                <w:sz w:val="22"/>
                <w:szCs w:val="22"/>
              </w:rPr>
              <w:t>Bez vplyvu.</w:t>
            </w:r>
          </w:p>
          <w:p w:rsidR="00A915BD" w:rsidRPr="004A7D55" w:rsidRDefault="00A915BD" w:rsidP="00A915BD">
            <w:pPr>
              <w:spacing w:line="276" w:lineRule="auto"/>
            </w:pPr>
          </w:p>
          <w:p w:rsidR="00A915BD" w:rsidRPr="00F04CCD" w:rsidRDefault="00A915BD" w:rsidP="00A915BD">
            <w:pPr>
              <w:spacing w:line="276" w:lineRule="auto"/>
              <w:rPr>
                <w:b/>
                <w:i/>
              </w:rPr>
            </w:pPr>
          </w:p>
        </w:tc>
      </w:tr>
      <w:tr w:rsidR="00A915BD" w:rsidRPr="00F04CCD" w:rsidTr="00524EE1">
        <w:trPr>
          <w:trHeight w:val="2318"/>
        </w:trPr>
        <w:tc>
          <w:tcPr>
            <w:tcW w:w="9212" w:type="dxa"/>
            <w:tcBorders>
              <w:bottom w:val="single" w:sz="4" w:space="0" w:color="auto"/>
            </w:tcBorders>
          </w:tcPr>
          <w:p w:rsidR="00A915BD" w:rsidRPr="00F04CCD" w:rsidRDefault="00A915BD" w:rsidP="00A915BD">
            <w:pPr>
              <w:spacing w:line="276" w:lineRule="auto"/>
              <w:rPr>
                <w:i/>
              </w:rPr>
            </w:pPr>
            <w:r>
              <w:rPr>
                <w:b/>
                <w:i/>
              </w:rPr>
              <w:t>3</w:t>
            </w:r>
            <w:r w:rsidRPr="00F04CCD">
              <w:rPr>
                <w:b/>
                <w:i/>
              </w:rPr>
              <w:t>.3.4 Súhrnná tabuľka nákladov regulácie</w:t>
            </w:r>
          </w:p>
          <w:p w:rsidR="00A915BD" w:rsidRPr="00F04CCD" w:rsidRDefault="00A915BD" w:rsidP="00A915BD">
            <w:pPr>
              <w:spacing w:line="276" w:lineRule="auto"/>
              <w:rPr>
                <w:i/>
              </w:rPr>
            </w:pPr>
          </w:p>
          <w:tbl>
            <w:tblPr>
              <w:tblStyle w:val="Mriekatabuky"/>
              <w:tblW w:w="0" w:type="auto"/>
              <w:tblLook w:val="04A0" w:firstRow="1" w:lastRow="0" w:firstColumn="1" w:lastColumn="0" w:noHBand="0" w:noVBand="1"/>
            </w:tblPr>
            <w:tblGrid>
              <w:gridCol w:w="2951"/>
              <w:gridCol w:w="2939"/>
              <w:gridCol w:w="2946"/>
            </w:tblGrid>
            <w:tr w:rsidR="00A915BD" w:rsidRPr="00F04CCD" w:rsidTr="00524EE1">
              <w:tc>
                <w:tcPr>
                  <w:tcW w:w="2993" w:type="dxa"/>
                </w:tcPr>
                <w:p w:rsidR="00A915BD" w:rsidRPr="00F04CCD" w:rsidRDefault="00A915BD" w:rsidP="00A915BD">
                  <w:pPr>
                    <w:spacing w:line="276" w:lineRule="auto"/>
                    <w:rPr>
                      <w:i/>
                    </w:rPr>
                  </w:pPr>
                </w:p>
              </w:tc>
              <w:tc>
                <w:tcPr>
                  <w:tcW w:w="2994" w:type="dxa"/>
                </w:tcPr>
                <w:p w:rsidR="00A915BD" w:rsidRPr="00F04CCD" w:rsidRDefault="00A915BD" w:rsidP="00A915BD">
                  <w:pPr>
                    <w:spacing w:line="276" w:lineRule="auto"/>
                    <w:jc w:val="center"/>
                    <w:rPr>
                      <w:i/>
                    </w:rPr>
                  </w:pPr>
                  <w:r w:rsidRPr="00F04CCD">
                    <w:rPr>
                      <w:i/>
                    </w:rPr>
                    <w:t>Náklady na 1 podnikateľa</w:t>
                  </w:r>
                </w:p>
              </w:tc>
              <w:tc>
                <w:tcPr>
                  <w:tcW w:w="2994" w:type="dxa"/>
                </w:tcPr>
                <w:p w:rsidR="00A915BD" w:rsidRPr="00F04CCD" w:rsidRDefault="00A915BD" w:rsidP="00A915BD">
                  <w:pPr>
                    <w:spacing w:line="276" w:lineRule="auto"/>
                    <w:jc w:val="center"/>
                    <w:rPr>
                      <w:i/>
                    </w:rPr>
                  </w:pPr>
                  <w:r w:rsidRPr="00F04CCD">
                    <w:rPr>
                      <w:i/>
                    </w:rPr>
                    <w:t>Náklady na celé podnikateľské prostredie</w:t>
                  </w:r>
                </w:p>
              </w:tc>
            </w:tr>
            <w:tr w:rsidR="00A915BD" w:rsidRPr="00F04CCD" w:rsidTr="00524EE1">
              <w:tc>
                <w:tcPr>
                  <w:tcW w:w="2993" w:type="dxa"/>
                </w:tcPr>
                <w:p w:rsidR="00A915BD" w:rsidRPr="00F04CCD" w:rsidRDefault="00A915BD" w:rsidP="00A915BD">
                  <w:pPr>
                    <w:spacing w:line="276" w:lineRule="auto"/>
                    <w:rPr>
                      <w:i/>
                    </w:rPr>
                  </w:pPr>
                  <w:r w:rsidRPr="00F04CCD">
                    <w:rPr>
                      <w:i/>
                    </w:rPr>
                    <w:t>Priame finančné náklady</w:t>
                  </w:r>
                </w:p>
              </w:tc>
              <w:tc>
                <w:tcPr>
                  <w:tcW w:w="2994" w:type="dxa"/>
                </w:tcPr>
                <w:p w:rsidR="00A915BD" w:rsidRPr="00F04CCD" w:rsidRDefault="00A915BD" w:rsidP="00A915BD">
                  <w:pPr>
                    <w:spacing w:line="276" w:lineRule="auto"/>
                    <w:jc w:val="center"/>
                    <w:rPr>
                      <w:i/>
                    </w:rPr>
                  </w:pPr>
                  <w:r w:rsidRPr="00F04CCD">
                    <w:rPr>
                      <w:i/>
                    </w:rPr>
                    <w:t>0</w:t>
                  </w:r>
                </w:p>
              </w:tc>
              <w:tc>
                <w:tcPr>
                  <w:tcW w:w="2994" w:type="dxa"/>
                </w:tcPr>
                <w:p w:rsidR="00A915BD" w:rsidRPr="00F04CCD" w:rsidRDefault="00A915BD" w:rsidP="00A915BD">
                  <w:pPr>
                    <w:spacing w:line="276" w:lineRule="auto"/>
                    <w:jc w:val="center"/>
                    <w:rPr>
                      <w:i/>
                    </w:rPr>
                  </w:pPr>
                  <w:r w:rsidRPr="00F04CCD">
                    <w:rPr>
                      <w:i/>
                    </w:rPr>
                    <w:t>0</w:t>
                  </w:r>
                </w:p>
              </w:tc>
            </w:tr>
            <w:tr w:rsidR="00A915BD" w:rsidRPr="00F04CCD" w:rsidTr="00524EE1">
              <w:tc>
                <w:tcPr>
                  <w:tcW w:w="2993" w:type="dxa"/>
                </w:tcPr>
                <w:p w:rsidR="00A915BD" w:rsidRPr="00F04CCD" w:rsidRDefault="00A915BD" w:rsidP="00A915BD">
                  <w:pPr>
                    <w:spacing w:line="276" w:lineRule="auto"/>
                    <w:rPr>
                      <w:i/>
                    </w:rPr>
                  </w:pPr>
                  <w:r w:rsidRPr="00F04CCD">
                    <w:rPr>
                      <w:i/>
                    </w:rPr>
                    <w:t>Nepriame finančné náklady</w:t>
                  </w:r>
                </w:p>
              </w:tc>
              <w:tc>
                <w:tcPr>
                  <w:tcW w:w="2994" w:type="dxa"/>
                </w:tcPr>
                <w:p w:rsidR="00A915BD" w:rsidRPr="00F04CCD" w:rsidRDefault="00A915BD" w:rsidP="00A915BD">
                  <w:pPr>
                    <w:spacing w:line="276" w:lineRule="auto"/>
                    <w:jc w:val="center"/>
                    <w:rPr>
                      <w:i/>
                    </w:rPr>
                  </w:pPr>
                  <w:r w:rsidRPr="00F04CCD">
                    <w:rPr>
                      <w:i/>
                    </w:rPr>
                    <w:t>0</w:t>
                  </w:r>
                </w:p>
              </w:tc>
              <w:tc>
                <w:tcPr>
                  <w:tcW w:w="2994" w:type="dxa"/>
                </w:tcPr>
                <w:p w:rsidR="00A915BD" w:rsidRPr="00F04CCD" w:rsidRDefault="00A915BD" w:rsidP="00A915BD">
                  <w:pPr>
                    <w:spacing w:line="276" w:lineRule="auto"/>
                    <w:jc w:val="center"/>
                    <w:rPr>
                      <w:i/>
                    </w:rPr>
                  </w:pPr>
                  <w:r w:rsidRPr="00F04CCD">
                    <w:rPr>
                      <w:i/>
                    </w:rPr>
                    <w:t>0</w:t>
                  </w:r>
                </w:p>
              </w:tc>
            </w:tr>
            <w:tr w:rsidR="00A915BD" w:rsidRPr="00F04CCD" w:rsidTr="00524EE1">
              <w:tc>
                <w:tcPr>
                  <w:tcW w:w="2993" w:type="dxa"/>
                </w:tcPr>
                <w:p w:rsidR="00A915BD" w:rsidRPr="00F04CCD" w:rsidRDefault="00A915BD" w:rsidP="00A915BD">
                  <w:pPr>
                    <w:spacing w:line="276" w:lineRule="auto"/>
                    <w:rPr>
                      <w:i/>
                    </w:rPr>
                  </w:pPr>
                  <w:r w:rsidRPr="00F04CCD">
                    <w:rPr>
                      <w:i/>
                    </w:rPr>
                    <w:t>Administratívne náklady</w:t>
                  </w:r>
                </w:p>
              </w:tc>
              <w:tc>
                <w:tcPr>
                  <w:tcW w:w="2994" w:type="dxa"/>
                </w:tcPr>
                <w:p w:rsidR="00A915BD" w:rsidRPr="00F04CCD" w:rsidRDefault="00A915BD" w:rsidP="00A915BD">
                  <w:pPr>
                    <w:spacing w:line="276" w:lineRule="auto"/>
                    <w:jc w:val="center"/>
                    <w:rPr>
                      <w:i/>
                    </w:rPr>
                  </w:pPr>
                  <w:r w:rsidRPr="00F04CCD">
                    <w:rPr>
                      <w:i/>
                    </w:rPr>
                    <w:t>0</w:t>
                  </w:r>
                </w:p>
              </w:tc>
              <w:tc>
                <w:tcPr>
                  <w:tcW w:w="2994" w:type="dxa"/>
                </w:tcPr>
                <w:p w:rsidR="00A915BD" w:rsidRPr="00F04CCD" w:rsidRDefault="00A915BD" w:rsidP="00A915BD">
                  <w:pPr>
                    <w:spacing w:line="276" w:lineRule="auto"/>
                    <w:jc w:val="center"/>
                    <w:rPr>
                      <w:i/>
                    </w:rPr>
                  </w:pPr>
                  <w:r w:rsidRPr="00F04CCD">
                    <w:rPr>
                      <w:i/>
                    </w:rPr>
                    <w:t>0</w:t>
                  </w:r>
                </w:p>
              </w:tc>
            </w:tr>
            <w:tr w:rsidR="00A915BD" w:rsidRPr="00F04CCD" w:rsidTr="00524EE1">
              <w:tc>
                <w:tcPr>
                  <w:tcW w:w="2993" w:type="dxa"/>
                </w:tcPr>
                <w:p w:rsidR="00A915BD" w:rsidRPr="00F04CCD" w:rsidRDefault="00A915BD" w:rsidP="00A915BD">
                  <w:pPr>
                    <w:spacing w:line="276" w:lineRule="auto"/>
                    <w:rPr>
                      <w:b/>
                      <w:i/>
                    </w:rPr>
                  </w:pPr>
                  <w:r w:rsidRPr="00F04CCD">
                    <w:rPr>
                      <w:b/>
                      <w:i/>
                    </w:rPr>
                    <w:t>Celkové náklady regulácie</w:t>
                  </w:r>
                </w:p>
              </w:tc>
              <w:tc>
                <w:tcPr>
                  <w:tcW w:w="2994" w:type="dxa"/>
                </w:tcPr>
                <w:p w:rsidR="00A915BD" w:rsidRPr="00F04CCD" w:rsidRDefault="00A915BD" w:rsidP="00A915BD">
                  <w:pPr>
                    <w:spacing w:line="276" w:lineRule="auto"/>
                    <w:jc w:val="center"/>
                    <w:rPr>
                      <w:b/>
                      <w:i/>
                    </w:rPr>
                  </w:pPr>
                  <w:r w:rsidRPr="00F04CCD">
                    <w:rPr>
                      <w:b/>
                      <w:i/>
                    </w:rPr>
                    <w:t>0</w:t>
                  </w:r>
                </w:p>
              </w:tc>
              <w:tc>
                <w:tcPr>
                  <w:tcW w:w="2994" w:type="dxa"/>
                </w:tcPr>
                <w:p w:rsidR="00A915BD" w:rsidRPr="00F04CCD" w:rsidRDefault="00A915BD" w:rsidP="00A915BD">
                  <w:pPr>
                    <w:spacing w:line="276" w:lineRule="auto"/>
                    <w:jc w:val="center"/>
                    <w:rPr>
                      <w:b/>
                      <w:i/>
                    </w:rPr>
                  </w:pPr>
                  <w:r w:rsidRPr="00F04CCD">
                    <w:rPr>
                      <w:b/>
                      <w:i/>
                    </w:rPr>
                    <w:t>0</w:t>
                  </w:r>
                </w:p>
              </w:tc>
            </w:tr>
          </w:tbl>
          <w:p w:rsidR="00A915BD" w:rsidRPr="00F04CCD" w:rsidRDefault="00A915BD" w:rsidP="00A915BD">
            <w:pPr>
              <w:spacing w:line="276" w:lineRule="auto"/>
              <w:rPr>
                <w:i/>
              </w:rPr>
            </w:pPr>
          </w:p>
        </w:tc>
      </w:tr>
      <w:tr w:rsidR="00A915BD" w:rsidRPr="00F04CCD" w:rsidTr="00524EE1">
        <w:tc>
          <w:tcPr>
            <w:tcW w:w="9212" w:type="dxa"/>
            <w:shd w:val="clear" w:color="auto" w:fill="D9D9D9" w:themeFill="background1" w:themeFillShade="D9"/>
          </w:tcPr>
          <w:p w:rsidR="00A915BD" w:rsidRPr="00042C66" w:rsidRDefault="00A915BD" w:rsidP="00A915BD">
            <w:pPr>
              <w:spacing w:line="276" w:lineRule="auto"/>
              <w:rPr>
                <w:b/>
              </w:rPr>
            </w:pPr>
            <w:r>
              <w:rPr>
                <w:b/>
              </w:rPr>
              <w:t>3</w:t>
            </w:r>
            <w:r w:rsidRPr="00042C66">
              <w:rPr>
                <w:b/>
              </w:rPr>
              <w:t>.4 Konkurencieschopnosť a správanie sa podnikov na trhu</w:t>
            </w:r>
          </w:p>
          <w:p w:rsidR="00A915BD" w:rsidRPr="00F04CCD" w:rsidRDefault="00A915BD" w:rsidP="00A915BD">
            <w:pPr>
              <w:spacing w:line="276" w:lineRule="auto"/>
            </w:pPr>
            <w:r w:rsidRPr="00042C66">
              <w:rPr>
                <w:b/>
              </w:rPr>
              <w:t xml:space="preserve">       </w:t>
            </w:r>
            <w:r w:rsidRPr="00042C66">
              <w:t xml:space="preserve">- </w:t>
            </w:r>
            <w:r w:rsidRPr="00042C66">
              <w:rPr>
                <w:b/>
              </w:rPr>
              <w:t>z toho MSP</w:t>
            </w:r>
          </w:p>
        </w:tc>
      </w:tr>
      <w:tr w:rsidR="00A915BD" w:rsidRPr="00F04CCD" w:rsidTr="00524EE1">
        <w:tc>
          <w:tcPr>
            <w:tcW w:w="9212" w:type="dxa"/>
            <w:tcBorders>
              <w:bottom w:val="single" w:sz="4" w:space="0" w:color="auto"/>
            </w:tcBorders>
          </w:tcPr>
          <w:p w:rsidR="00A915BD" w:rsidRPr="00F04CCD" w:rsidRDefault="00A915BD" w:rsidP="00A915BD">
            <w:pPr>
              <w:spacing w:line="276" w:lineRule="auto"/>
              <w:rPr>
                <w:i/>
              </w:rPr>
            </w:pPr>
            <w:r w:rsidRPr="00F04CCD">
              <w:rPr>
                <w:i/>
              </w:rPr>
              <w:t xml:space="preserve">Dochádza k vytvoreniu bariér pre vstup na trh pre nových dodávateľov alebo poskytovateľov služieb? </w:t>
            </w:r>
            <w:r>
              <w:rPr>
                <w:i/>
              </w:rPr>
              <w:t xml:space="preserve">Bude mať navrhovaná zmena za následok </w:t>
            </w:r>
            <w:r w:rsidRPr="00F04CCD">
              <w:rPr>
                <w:i/>
              </w:rPr>
              <w:t>prísnejšiu reguláciu správania sa niektorých podnikov? Bude sa s niektorými podnikmi alebo produktmi zaobchádzať v porovnateľnej situácii rôzne (špeciálne režimy pre mikro, malé a stredné podniky tzv. MSP)? Ak áno, popíšte.</w:t>
            </w:r>
          </w:p>
          <w:p w:rsidR="00A915BD" w:rsidRPr="00F04CCD" w:rsidRDefault="00A915BD" w:rsidP="00A915BD">
            <w:pPr>
              <w:spacing w:line="276" w:lineRule="auto"/>
              <w:rPr>
                <w:i/>
              </w:rPr>
            </w:pPr>
            <w:r w:rsidRPr="00F04CCD">
              <w:rPr>
                <w:i/>
              </w:rPr>
              <w:lastRenderedPageBreak/>
              <w:t>Aký vplyv bude mať navrhovaná zmena na obchodné bariéry? Bude mať vplyv na vyvolanie cezhraničných investícií (príliv /odliv zahraničných investícií resp. uplatnenie slovenských podnikov na zahraničných trhoch)? Ak áno, popíšte.</w:t>
            </w:r>
          </w:p>
          <w:p w:rsidR="00A915BD" w:rsidRPr="00F04CCD" w:rsidRDefault="00A915BD" w:rsidP="00A915BD">
            <w:pPr>
              <w:spacing w:line="276" w:lineRule="auto"/>
              <w:rPr>
                <w:i/>
              </w:rPr>
            </w:pPr>
            <w:r w:rsidRPr="00F04CCD">
              <w:rPr>
                <w:i/>
              </w:rPr>
              <w:t>Ako ovplyvní cenu alebo dostupnosť základných zdrojov (suroviny, mechanizmy, pracovná sila, energie atď.)?</w:t>
            </w:r>
          </w:p>
          <w:p w:rsidR="00A915BD" w:rsidRPr="00F04CCD" w:rsidRDefault="00A915BD" w:rsidP="00A915BD">
            <w:pPr>
              <w:spacing w:line="276" w:lineRule="auto"/>
              <w:rPr>
                <w:i/>
              </w:rPr>
            </w:pPr>
            <w:r w:rsidRPr="00F04CCD">
              <w:rPr>
                <w:i/>
              </w:rPr>
              <w:t>Ovplyvňuje prístup k financiám? Ak áno, ako?</w:t>
            </w:r>
          </w:p>
        </w:tc>
      </w:tr>
      <w:tr w:rsidR="00A915BD" w:rsidRPr="00F04CCD" w:rsidTr="00524EE1">
        <w:trPr>
          <w:trHeight w:val="1282"/>
        </w:trPr>
        <w:tc>
          <w:tcPr>
            <w:tcW w:w="9212" w:type="dxa"/>
            <w:tcBorders>
              <w:bottom w:val="single" w:sz="4" w:space="0" w:color="auto"/>
            </w:tcBorders>
          </w:tcPr>
          <w:p w:rsidR="00A915BD" w:rsidRPr="00EF53FA" w:rsidRDefault="00A915BD" w:rsidP="00A915BD">
            <w:pPr>
              <w:spacing w:line="276" w:lineRule="auto"/>
              <w:rPr>
                <w:i/>
                <w:sz w:val="22"/>
                <w:szCs w:val="22"/>
              </w:rPr>
            </w:pPr>
          </w:p>
          <w:p w:rsidR="00A915BD" w:rsidRPr="00EF53FA" w:rsidRDefault="00A915BD" w:rsidP="00A915BD">
            <w:pPr>
              <w:spacing w:line="276" w:lineRule="auto"/>
              <w:rPr>
                <w:i/>
                <w:sz w:val="22"/>
                <w:szCs w:val="22"/>
              </w:rPr>
            </w:pPr>
            <w:r w:rsidRPr="00EF53FA">
              <w:rPr>
                <w:sz w:val="22"/>
                <w:szCs w:val="22"/>
              </w:rPr>
              <w:t xml:space="preserve">Nedochádza  k vplyvu na konkurencieschopnosť a správanie sa podnikov na trhu. </w:t>
            </w:r>
          </w:p>
        </w:tc>
      </w:tr>
      <w:tr w:rsidR="00A915BD" w:rsidRPr="00F04CCD" w:rsidTr="00524EE1">
        <w:tc>
          <w:tcPr>
            <w:tcW w:w="9212" w:type="dxa"/>
            <w:shd w:val="clear" w:color="auto" w:fill="D9D9D9" w:themeFill="background1" w:themeFillShade="D9"/>
          </w:tcPr>
          <w:p w:rsidR="00A915BD" w:rsidRPr="00042C66" w:rsidRDefault="00A915BD" w:rsidP="00A915BD">
            <w:pPr>
              <w:spacing w:line="276" w:lineRule="auto"/>
              <w:rPr>
                <w:b/>
              </w:rPr>
            </w:pPr>
            <w:r>
              <w:rPr>
                <w:b/>
              </w:rPr>
              <w:t>3</w:t>
            </w:r>
            <w:r w:rsidRPr="00042C66">
              <w:rPr>
                <w:b/>
              </w:rPr>
              <w:t xml:space="preserve">.5 Inovácie </w:t>
            </w:r>
          </w:p>
          <w:p w:rsidR="00A915BD" w:rsidRPr="00F04CCD" w:rsidRDefault="00A915BD" w:rsidP="00A915BD">
            <w:pPr>
              <w:spacing w:line="276" w:lineRule="auto"/>
              <w:rPr>
                <w:b/>
              </w:rPr>
            </w:pPr>
            <w:r w:rsidRPr="00042C66">
              <w:t xml:space="preserve">       - </w:t>
            </w:r>
            <w:r w:rsidRPr="00042C66">
              <w:rPr>
                <w:b/>
              </w:rPr>
              <w:t>z toho MSP</w:t>
            </w:r>
          </w:p>
        </w:tc>
      </w:tr>
      <w:tr w:rsidR="00A915BD" w:rsidRPr="00F04CCD" w:rsidTr="00524EE1">
        <w:tc>
          <w:tcPr>
            <w:tcW w:w="9212" w:type="dxa"/>
          </w:tcPr>
          <w:p w:rsidR="00A915BD" w:rsidRPr="00F04CCD" w:rsidRDefault="00A915BD" w:rsidP="00A915BD">
            <w:pPr>
              <w:spacing w:line="276" w:lineRule="auto"/>
              <w:rPr>
                <w:i/>
              </w:rPr>
            </w:pPr>
            <w:r w:rsidRPr="00F04CCD">
              <w:rPr>
                <w:i/>
              </w:rPr>
              <w:t>Uveďte, ako podporuje navrhovaná zmena inovácie.</w:t>
            </w:r>
          </w:p>
          <w:p w:rsidR="00A915BD" w:rsidRPr="00F04CCD" w:rsidRDefault="00A915BD" w:rsidP="00A915BD">
            <w:pPr>
              <w:spacing w:line="276" w:lineRule="auto"/>
              <w:rPr>
                <w:i/>
              </w:rPr>
            </w:pPr>
            <w:r w:rsidRPr="00F04CCD">
              <w:rPr>
                <w:i/>
              </w:rPr>
              <w:t>Zjednodušuje uvedenie alebo rozšírenie nových výrobných metód, technológií a výrobkov na trh?</w:t>
            </w:r>
          </w:p>
          <w:p w:rsidR="00A915BD" w:rsidRPr="00F04CCD" w:rsidRDefault="00A915BD" w:rsidP="00A915BD">
            <w:pPr>
              <w:spacing w:line="276" w:lineRule="auto"/>
              <w:rPr>
                <w:i/>
              </w:rPr>
            </w:pPr>
            <w:r w:rsidRPr="00F04CCD">
              <w:rPr>
                <w:i/>
              </w:rPr>
              <w:t xml:space="preserve">Uveďte, ako vplýva navrhovaná zmena na </w:t>
            </w:r>
            <w:r>
              <w:rPr>
                <w:i/>
              </w:rPr>
              <w:t xml:space="preserve">jednotlivé </w:t>
            </w:r>
            <w:r w:rsidRPr="00F04CCD">
              <w:rPr>
                <w:i/>
              </w:rPr>
              <w:t>práva duševného vlastníctva (</w:t>
            </w:r>
            <w:r>
              <w:rPr>
                <w:i/>
              </w:rPr>
              <w:t xml:space="preserve">napr. </w:t>
            </w:r>
            <w:r w:rsidRPr="00F04CCD">
              <w:rPr>
                <w:i/>
              </w:rPr>
              <w:t xml:space="preserve">patenty, ochranné známky, </w:t>
            </w:r>
            <w:r>
              <w:rPr>
                <w:i/>
              </w:rPr>
              <w:t>autorské práva</w:t>
            </w:r>
            <w:r w:rsidRPr="00F04CCD">
              <w:rPr>
                <w:i/>
              </w:rPr>
              <w:t>, vlastníctvo know-how).</w:t>
            </w:r>
          </w:p>
          <w:p w:rsidR="00A915BD" w:rsidRDefault="00A915BD" w:rsidP="00A915BD">
            <w:pPr>
              <w:spacing w:line="276" w:lineRule="auto"/>
              <w:rPr>
                <w:i/>
              </w:rPr>
            </w:pPr>
            <w:r w:rsidRPr="00F04CCD">
              <w:rPr>
                <w:i/>
              </w:rPr>
              <w:t>Podporuje vyššiu efektivitu výroby/využívania zdrojov? Ak áno, ako?</w:t>
            </w:r>
          </w:p>
          <w:p w:rsidR="00A915BD" w:rsidRPr="00F04CCD" w:rsidRDefault="00A915BD" w:rsidP="00A915BD">
            <w:pPr>
              <w:spacing w:line="276" w:lineRule="auto"/>
            </w:pPr>
            <w:r w:rsidRPr="00154881">
              <w:rPr>
                <w:i/>
              </w:rPr>
              <w:t>Vytvorí zmena nové pracovné miesta pre zamestnancov výskumu a vývoja v</w:t>
            </w:r>
            <w:r>
              <w:rPr>
                <w:i/>
              </w:rPr>
              <w:t> </w:t>
            </w:r>
            <w:r w:rsidRPr="00154881">
              <w:rPr>
                <w:i/>
              </w:rPr>
              <w:t>SR</w:t>
            </w:r>
            <w:r>
              <w:rPr>
                <w:i/>
              </w:rPr>
              <w:t>?</w:t>
            </w:r>
          </w:p>
        </w:tc>
      </w:tr>
      <w:tr w:rsidR="00A915BD" w:rsidRPr="00F04CCD" w:rsidTr="00524EE1">
        <w:trPr>
          <w:trHeight w:val="1747"/>
        </w:trPr>
        <w:tc>
          <w:tcPr>
            <w:tcW w:w="9212" w:type="dxa"/>
          </w:tcPr>
          <w:p w:rsidR="00A915BD" w:rsidRPr="00EF53FA" w:rsidRDefault="00A915BD" w:rsidP="00A915BD">
            <w:pPr>
              <w:spacing w:line="276" w:lineRule="auto"/>
              <w:rPr>
                <w:i/>
                <w:sz w:val="22"/>
                <w:szCs w:val="22"/>
              </w:rPr>
            </w:pPr>
          </w:p>
          <w:p w:rsidR="00A915BD" w:rsidRPr="00F04CCD" w:rsidRDefault="00A915BD" w:rsidP="00A915BD">
            <w:pPr>
              <w:spacing w:line="276" w:lineRule="auto"/>
              <w:rPr>
                <w:i/>
              </w:rPr>
            </w:pPr>
            <w:r w:rsidRPr="00EF53FA">
              <w:rPr>
                <w:sz w:val="22"/>
                <w:szCs w:val="22"/>
              </w:rPr>
              <w:t>Nedochádza k vplyvu na inovácie.</w:t>
            </w:r>
            <w:r w:rsidRPr="0051340B">
              <w:t xml:space="preserve">  </w:t>
            </w:r>
          </w:p>
        </w:tc>
      </w:tr>
    </w:tbl>
    <w:p w:rsidR="00A915BD" w:rsidRDefault="00A915BD" w:rsidP="00A915BD">
      <w:pPr>
        <w:spacing w:line="276" w:lineRule="auto"/>
      </w:pPr>
    </w:p>
    <w:p w:rsidR="00A915BD" w:rsidRDefault="00A915BD" w:rsidP="00A915BD">
      <w:pPr>
        <w:spacing w:after="200" w:line="276" w:lineRule="auto"/>
      </w:pPr>
      <w:r>
        <w:br w:type="page"/>
      </w:r>
    </w:p>
    <w:p w:rsidR="00A915BD" w:rsidRPr="001B378C" w:rsidRDefault="00A915BD" w:rsidP="00A915BD">
      <w:pPr>
        <w:spacing w:line="276" w:lineRule="auto"/>
        <w:jc w:val="center"/>
        <w:rPr>
          <w:b/>
          <w:bCs/>
          <w:color w:val="000000"/>
          <w:lang w:eastAsia="sk-SK"/>
        </w:rPr>
      </w:pPr>
      <w:r w:rsidRPr="001B378C">
        <w:rPr>
          <w:b/>
          <w:bCs/>
          <w:color w:val="000000"/>
          <w:lang w:eastAsia="sk-SK"/>
        </w:rPr>
        <w:lastRenderedPageBreak/>
        <w:t>DOLOŽKA ZLUČITEĽNOSTI</w:t>
      </w:r>
    </w:p>
    <w:p w:rsidR="00A915BD" w:rsidRPr="001B378C" w:rsidRDefault="00A915BD" w:rsidP="00A915BD">
      <w:pPr>
        <w:spacing w:line="276" w:lineRule="auto"/>
        <w:jc w:val="center"/>
        <w:rPr>
          <w:color w:val="000000"/>
          <w:sz w:val="27"/>
          <w:szCs w:val="27"/>
          <w:lang w:eastAsia="sk-SK"/>
        </w:rPr>
      </w:pPr>
    </w:p>
    <w:p w:rsidR="00A915BD" w:rsidRPr="001B378C" w:rsidRDefault="00A915BD" w:rsidP="00A915BD">
      <w:pPr>
        <w:spacing w:line="276" w:lineRule="auto"/>
        <w:jc w:val="center"/>
        <w:rPr>
          <w:b/>
          <w:bCs/>
          <w:color w:val="000000"/>
          <w:lang w:eastAsia="sk-SK"/>
        </w:rPr>
      </w:pPr>
      <w:r w:rsidRPr="001B378C">
        <w:rPr>
          <w:b/>
          <w:bCs/>
          <w:color w:val="000000"/>
          <w:lang w:eastAsia="sk-SK"/>
        </w:rPr>
        <w:t>návrhu zákona</w:t>
      </w:r>
      <w:r>
        <w:rPr>
          <w:b/>
          <w:bCs/>
          <w:color w:val="000000"/>
          <w:lang w:eastAsia="sk-SK"/>
        </w:rPr>
        <w:t xml:space="preserve"> s právom Európskej únie</w:t>
      </w:r>
    </w:p>
    <w:p w:rsidR="00A915BD" w:rsidRPr="001B378C" w:rsidRDefault="00A915BD" w:rsidP="00A915BD">
      <w:pPr>
        <w:spacing w:line="276" w:lineRule="auto"/>
        <w:rPr>
          <w:color w:val="000000"/>
          <w:sz w:val="27"/>
          <w:szCs w:val="27"/>
          <w:lang w:eastAsia="sk-SK"/>
        </w:rPr>
      </w:pPr>
    </w:p>
    <w:p w:rsidR="00A915BD" w:rsidRPr="001B378C" w:rsidRDefault="00A915BD" w:rsidP="00A915BD">
      <w:pPr>
        <w:spacing w:line="276" w:lineRule="auto"/>
        <w:rPr>
          <w:color w:val="000000"/>
          <w:sz w:val="27"/>
          <w:szCs w:val="27"/>
          <w:lang w:eastAsia="sk-SK"/>
        </w:rPr>
      </w:pPr>
    </w:p>
    <w:p w:rsidR="00A915BD" w:rsidRPr="001B378C" w:rsidRDefault="00A915BD" w:rsidP="00A915BD">
      <w:pPr>
        <w:pStyle w:val="Odsekzoznamu"/>
        <w:numPr>
          <w:ilvl w:val="0"/>
          <w:numId w:val="14"/>
        </w:numPr>
        <w:spacing w:line="276" w:lineRule="auto"/>
        <w:ind w:left="426" w:hanging="426"/>
        <w:rPr>
          <w:color w:val="000000"/>
          <w:sz w:val="27"/>
          <w:szCs w:val="27"/>
          <w:lang w:eastAsia="sk-SK"/>
        </w:rPr>
      </w:pPr>
      <w:r w:rsidRPr="001B378C">
        <w:rPr>
          <w:b/>
          <w:bCs/>
          <w:color w:val="000000"/>
          <w:lang w:eastAsia="sk-SK"/>
        </w:rPr>
        <w:t>Navrhovateľ zákona:</w:t>
      </w:r>
    </w:p>
    <w:p w:rsidR="00A915BD" w:rsidRPr="001B378C" w:rsidRDefault="00A915BD" w:rsidP="00A915BD">
      <w:pPr>
        <w:spacing w:line="276" w:lineRule="auto"/>
        <w:rPr>
          <w:color w:val="000000"/>
          <w:lang w:eastAsia="sk-SK"/>
        </w:rPr>
      </w:pPr>
      <w:r>
        <w:rPr>
          <w:color w:val="000000"/>
          <w:lang w:eastAsia="sk-SK"/>
        </w:rPr>
        <w:t>Ministerstvo financií Slovenskej republiky</w:t>
      </w:r>
      <w:r w:rsidRPr="001B378C">
        <w:rPr>
          <w:color w:val="000000"/>
          <w:lang w:eastAsia="sk-SK"/>
        </w:rPr>
        <w:t>.</w:t>
      </w:r>
    </w:p>
    <w:p w:rsidR="00A915BD" w:rsidRPr="001B378C" w:rsidRDefault="00A915BD" w:rsidP="00A915BD">
      <w:pPr>
        <w:spacing w:line="276" w:lineRule="auto"/>
        <w:rPr>
          <w:color w:val="000000"/>
          <w:sz w:val="27"/>
          <w:szCs w:val="27"/>
          <w:lang w:eastAsia="sk-SK"/>
        </w:rPr>
      </w:pPr>
    </w:p>
    <w:p w:rsidR="00A915BD" w:rsidRPr="001B378C" w:rsidRDefault="00A915BD" w:rsidP="00A915BD">
      <w:pPr>
        <w:pStyle w:val="Odsekzoznamu"/>
        <w:numPr>
          <w:ilvl w:val="0"/>
          <w:numId w:val="14"/>
        </w:numPr>
        <w:spacing w:line="276" w:lineRule="auto"/>
        <w:ind w:left="426" w:hanging="426"/>
        <w:rPr>
          <w:color w:val="000000"/>
          <w:sz w:val="27"/>
          <w:szCs w:val="27"/>
          <w:lang w:eastAsia="sk-SK"/>
        </w:rPr>
      </w:pPr>
      <w:r w:rsidRPr="001B378C">
        <w:rPr>
          <w:b/>
          <w:bCs/>
          <w:color w:val="000000"/>
          <w:lang w:eastAsia="sk-SK"/>
        </w:rPr>
        <w:t>Názov návrhu zákona:</w:t>
      </w:r>
    </w:p>
    <w:p w:rsidR="00A915BD" w:rsidRPr="001B378C" w:rsidRDefault="00A915BD" w:rsidP="00A915BD">
      <w:pPr>
        <w:spacing w:line="276" w:lineRule="auto"/>
        <w:rPr>
          <w:color w:val="000000"/>
          <w:lang w:eastAsia="sk-SK"/>
        </w:rPr>
      </w:pPr>
      <w:r w:rsidRPr="001B378C">
        <w:rPr>
          <w:color w:val="000000"/>
          <w:lang w:eastAsia="sk-SK"/>
        </w:rPr>
        <w:t xml:space="preserve">Návrh zákona, ktorým sa mení a dopĺňa zákon č. 371/2014 Z. z. o riešení krízových situácií na finančnom trhu a o zmene a doplnení niektorých zákonov v znení neskorších predpisov a ktorým sa </w:t>
      </w:r>
      <w:r>
        <w:rPr>
          <w:color w:val="000000"/>
          <w:lang w:eastAsia="sk-SK"/>
        </w:rPr>
        <w:t xml:space="preserve">mení a </w:t>
      </w:r>
      <w:r w:rsidRPr="001B378C">
        <w:rPr>
          <w:color w:val="000000"/>
          <w:lang w:eastAsia="sk-SK"/>
        </w:rPr>
        <w:t>dopĺňa zákon č. 7/2005 Z. z. o konkurze a reštrukturalizácii a o zmene a doplnení niektorých zákonov v znení neskorších predpisov.</w:t>
      </w:r>
    </w:p>
    <w:p w:rsidR="00A915BD" w:rsidRPr="001B378C" w:rsidRDefault="00A915BD" w:rsidP="00A915BD">
      <w:pPr>
        <w:spacing w:line="276" w:lineRule="auto"/>
        <w:rPr>
          <w:color w:val="000000"/>
          <w:sz w:val="27"/>
          <w:szCs w:val="27"/>
          <w:lang w:eastAsia="sk-SK"/>
        </w:rPr>
      </w:pPr>
    </w:p>
    <w:p w:rsidR="00A915BD" w:rsidRPr="001B378C" w:rsidRDefault="00A915BD" w:rsidP="00A915BD">
      <w:pPr>
        <w:pStyle w:val="Odsekzoznamu"/>
        <w:numPr>
          <w:ilvl w:val="0"/>
          <w:numId w:val="14"/>
        </w:numPr>
        <w:spacing w:line="276" w:lineRule="auto"/>
        <w:ind w:left="426" w:hanging="426"/>
        <w:rPr>
          <w:color w:val="000000"/>
          <w:sz w:val="27"/>
          <w:szCs w:val="27"/>
          <w:lang w:eastAsia="sk-SK"/>
        </w:rPr>
      </w:pPr>
      <w:r w:rsidRPr="001B378C">
        <w:rPr>
          <w:b/>
          <w:bCs/>
          <w:color w:val="000000"/>
          <w:lang w:eastAsia="sk-SK"/>
        </w:rPr>
        <w:t>Predmet návrhu zákona je upravený v práve Európskej únie:</w:t>
      </w:r>
    </w:p>
    <w:p w:rsidR="00A915BD" w:rsidRPr="001B378C" w:rsidRDefault="00A915BD" w:rsidP="00A915BD">
      <w:pPr>
        <w:pStyle w:val="Odsekzoznamu"/>
        <w:numPr>
          <w:ilvl w:val="0"/>
          <w:numId w:val="15"/>
        </w:numPr>
        <w:spacing w:line="276" w:lineRule="auto"/>
        <w:rPr>
          <w:color w:val="000000"/>
          <w:lang w:eastAsia="sk-SK"/>
        </w:rPr>
      </w:pPr>
      <w:r w:rsidRPr="001B378C">
        <w:rPr>
          <w:color w:val="000000"/>
          <w:lang w:eastAsia="sk-SK"/>
        </w:rPr>
        <w:t>v primárnom práve</w:t>
      </w:r>
    </w:p>
    <w:p w:rsidR="00A915BD" w:rsidRPr="00241A55" w:rsidRDefault="00A915BD" w:rsidP="00A915BD">
      <w:pPr>
        <w:pStyle w:val="Odsekzoznamu"/>
        <w:numPr>
          <w:ilvl w:val="0"/>
          <w:numId w:val="19"/>
        </w:numPr>
        <w:spacing w:after="200" w:line="276" w:lineRule="auto"/>
        <w:rPr>
          <w:color w:val="000000"/>
          <w:lang w:eastAsia="sk-SK"/>
        </w:rPr>
      </w:pPr>
      <w:r w:rsidRPr="001B378C">
        <w:rPr>
          <w:color w:val="000000"/>
          <w:lang w:eastAsia="sk-SK"/>
        </w:rPr>
        <w:t xml:space="preserve">čl. 4, čl. 26 ods. 2, čl. 56 až 66, čl. 107 až 109, čl. 114 Zmluvy o fungovaní Európskej </w:t>
      </w:r>
      <w:r w:rsidRPr="00241A55">
        <w:rPr>
          <w:color w:val="000000"/>
          <w:lang w:eastAsia="sk-SK"/>
        </w:rPr>
        <w:t xml:space="preserve">únie </w:t>
      </w:r>
      <w:r w:rsidRPr="00241A55">
        <w:t>(Konsolidované znenie) (Ú. v. EÚ C 202, 7.6.2016)</w:t>
      </w:r>
      <w:r w:rsidRPr="00241A55">
        <w:rPr>
          <w:color w:val="000000"/>
          <w:lang w:eastAsia="sk-SK"/>
        </w:rPr>
        <w:t>.</w:t>
      </w:r>
    </w:p>
    <w:p w:rsidR="00A915BD" w:rsidRPr="001B378C" w:rsidRDefault="00A915BD" w:rsidP="00A915BD">
      <w:pPr>
        <w:pStyle w:val="Odsekzoznamu"/>
        <w:spacing w:line="276" w:lineRule="auto"/>
        <w:rPr>
          <w:color w:val="000000"/>
          <w:lang w:eastAsia="sk-SK"/>
        </w:rPr>
      </w:pPr>
    </w:p>
    <w:p w:rsidR="00A915BD" w:rsidRPr="001B378C" w:rsidRDefault="00A915BD" w:rsidP="00A915BD">
      <w:pPr>
        <w:pStyle w:val="Odsekzoznamu"/>
        <w:numPr>
          <w:ilvl w:val="0"/>
          <w:numId w:val="15"/>
        </w:numPr>
        <w:spacing w:line="276" w:lineRule="auto"/>
        <w:rPr>
          <w:color w:val="000000"/>
          <w:lang w:eastAsia="sk-SK"/>
        </w:rPr>
      </w:pPr>
      <w:r w:rsidRPr="001B378C">
        <w:rPr>
          <w:color w:val="000000"/>
          <w:lang w:eastAsia="sk-SK"/>
        </w:rPr>
        <w:t>v sekundárnom práve</w:t>
      </w:r>
    </w:p>
    <w:p w:rsidR="00A915BD" w:rsidRPr="001B378C" w:rsidRDefault="00A915BD" w:rsidP="00A915BD">
      <w:pPr>
        <w:pStyle w:val="Odsekzoznamu"/>
        <w:spacing w:line="276" w:lineRule="auto"/>
        <w:rPr>
          <w:color w:val="000000"/>
          <w:lang w:eastAsia="sk-SK"/>
        </w:rPr>
      </w:pPr>
    </w:p>
    <w:p w:rsidR="00A915BD" w:rsidRPr="001B378C" w:rsidRDefault="00A915BD" w:rsidP="00A915BD">
      <w:pPr>
        <w:pStyle w:val="Odsekzoznamu"/>
        <w:numPr>
          <w:ilvl w:val="0"/>
          <w:numId w:val="16"/>
        </w:numPr>
        <w:spacing w:line="276" w:lineRule="auto"/>
        <w:ind w:left="1066" w:hanging="357"/>
        <w:jc w:val="both"/>
        <w:rPr>
          <w:rStyle w:val="Zvraznenie"/>
          <w:iCs w:val="0"/>
          <w:lang w:eastAsia="sk-SK"/>
        </w:rPr>
      </w:pPr>
      <w:r w:rsidRPr="001B378C">
        <w:rPr>
          <w:shd w:val="clear" w:color="auto" w:fill="FFFFFF"/>
        </w:rPr>
        <w:t>smernica Európskeho parlamentu a Rady (EÚ) 2019/879 z 20. mája 2019, ktorou sa mení smernica 2014/59/EÚ, pokiaľ ide o kapacitu úverových inštitúcií a investičných spoločností na absorpciu strát a rekapitalizáciu, a smernica 98/26/ES (</w:t>
      </w:r>
      <w:r w:rsidRPr="001B378C">
        <w:rPr>
          <w:rStyle w:val="Zvraznenie"/>
          <w:shd w:val="clear" w:color="auto" w:fill="FFFFFF"/>
        </w:rPr>
        <w:t xml:space="preserve">Ú. v. EÚ L 150, 7.6.2019), gestor: </w:t>
      </w:r>
      <w:r w:rsidRPr="001B378C">
        <w:rPr>
          <w:iCs/>
        </w:rPr>
        <w:t xml:space="preserve">MF SR, </w:t>
      </w:r>
      <w:r w:rsidRPr="001B378C">
        <w:rPr>
          <w:iCs/>
          <w:noProof/>
        </w:rPr>
        <w:t>spolugestor: NBS,</w:t>
      </w:r>
    </w:p>
    <w:p w:rsidR="00A915BD" w:rsidRPr="001B378C" w:rsidRDefault="00A915BD" w:rsidP="00A915BD">
      <w:pPr>
        <w:pStyle w:val="Odsekzoznamu"/>
        <w:spacing w:line="276" w:lineRule="auto"/>
        <w:ind w:left="1066"/>
        <w:jc w:val="both"/>
        <w:rPr>
          <w:i/>
          <w:lang w:eastAsia="sk-SK"/>
        </w:rPr>
      </w:pPr>
    </w:p>
    <w:p w:rsidR="00A915BD" w:rsidRPr="001B378C" w:rsidRDefault="00A915BD" w:rsidP="00A915BD">
      <w:pPr>
        <w:pStyle w:val="Odsekzoznamu"/>
        <w:numPr>
          <w:ilvl w:val="0"/>
          <w:numId w:val="16"/>
        </w:numPr>
        <w:spacing w:line="276" w:lineRule="auto"/>
        <w:ind w:left="1066" w:hanging="357"/>
        <w:jc w:val="both"/>
        <w:rPr>
          <w:lang w:eastAsia="sk-SK"/>
        </w:rPr>
      </w:pPr>
      <w:r w:rsidRPr="001B378C">
        <w:rPr>
          <w:lang w:eastAsia="sk-SK"/>
        </w:rPr>
        <w:t xml:space="preserve">smernica </w:t>
      </w:r>
      <w:r w:rsidRPr="001B378C">
        <w:rPr>
          <w:shd w:val="clear" w:color="auto" w:fill="FFFFFF"/>
        </w:rPr>
        <w:t>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w:t>
      </w:r>
      <w:r w:rsidRPr="001B378C">
        <w:rPr>
          <w:lang w:eastAsia="sk-SK"/>
        </w:rPr>
        <w:t xml:space="preserve"> (</w:t>
      </w:r>
      <w:r w:rsidRPr="001B378C">
        <w:rPr>
          <w:rStyle w:val="Zvraznenie"/>
          <w:shd w:val="clear" w:color="auto" w:fill="FFFFFF"/>
        </w:rPr>
        <w:t>Ú. v. EÚ L 173, 12.6.2014)</w:t>
      </w:r>
      <w:r w:rsidRPr="001B378C">
        <w:rPr>
          <w:lang w:eastAsia="sk-SK"/>
        </w:rPr>
        <w:t xml:space="preserve"> v platnom znení, </w:t>
      </w:r>
      <w:r w:rsidRPr="001B378C">
        <w:rPr>
          <w:rStyle w:val="Zvraznenie"/>
          <w:shd w:val="clear" w:color="auto" w:fill="FFFFFF"/>
        </w:rPr>
        <w:t xml:space="preserve">gestor: </w:t>
      </w:r>
      <w:r w:rsidRPr="001B378C">
        <w:rPr>
          <w:iCs/>
        </w:rPr>
        <w:t xml:space="preserve">MF SR, </w:t>
      </w:r>
      <w:r w:rsidRPr="001B378C">
        <w:rPr>
          <w:iCs/>
          <w:noProof/>
        </w:rPr>
        <w:t>spolugestor: NBS,</w:t>
      </w:r>
    </w:p>
    <w:p w:rsidR="00A915BD" w:rsidRPr="001B378C" w:rsidRDefault="00A915BD" w:rsidP="00A915BD">
      <w:pPr>
        <w:pStyle w:val="Odsekzoznamu"/>
        <w:spacing w:line="276" w:lineRule="auto"/>
        <w:ind w:left="1066"/>
        <w:jc w:val="both"/>
        <w:rPr>
          <w:lang w:eastAsia="sk-SK"/>
        </w:rPr>
      </w:pPr>
    </w:p>
    <w:p w:rsidR="00A915BD" w:rsidRPr="001B378C" w:rsidRDefault="00A915BD" w:rsidP="00A915BD">
      <w:pPr>
        <w:pStyle w:val="Odsekzoznamu"/>
        <w:numPr>
          <w:ilvl w:val="0"/>
          <w:numId w:val="16"/>
        </w:numPr>
        <w:spacing w:line="276" w:lineRule="auto"/>
        <w:ind w:left="1066" w:hanging="357"/>
        <w:jc w:val="both"/>
        <w:rPr>
          <w:lang w:eastAsia="sk-SK"/>
        </w:rPr>
      </w:pPr>
      <w:r w:rsidRPr="001B378C">
        <w:rPr>
          <w:lang w:eastAsia="sk-SK"/>
        </w:rPr>
        <w:t xml:space="preserve">nariadenie Európskeho parlamentu a Rady (EÚ) č. 1093/2010 z  24. novembra 2010, ktorým sa zriaďuje Európsky orgán dohľadu (Európsky orgán pre bankovníctvo) a ktorým sa mení a dopĺňa rozhodnutie č. 716/2009/ES a zrušuje rozhodnutie Komisie 2009/78/ES (Ú. v. EÚ L 331, 15.12.2010) v platnom znení, </w:t>
      </w:r>
      <w:r w:rsidRPr="001B378C">
        <w:t xml:space="preserve">gestor: </w:t>
      </w:r>
      <w:r w:rsidRPr="001B378C">
        <w:rPr>
          <w:iCs/>
        </w:rPr>
        <w:t>MF SR, NBS,</w:t>
      </w:r>
    </w:p>
    <w:p w:rsidR="00A915BD" w:rsidRPr="001B378C" w:rsidRDefault="00A915BD" w:rsidP="00A915BD">
      <w:pPr>
        <w:pStyle w:val="Odsekzoznamu"/>
        <w:spacing w:line="276" w:lineRule="auto"/>
        <w:ind w:left="1066"/>
        <w:jc w:val="both"/>
        <w:rPr>
          <w:color w:val="000000"/>
          <w:lang w:eastAsia="sk-SK"/>
        </w:rPr>
      </w:pPr>
    </w:p>
    <w:p w:rsidR="00A915BD" w:rsidRPr="001B378C" w:rsidRDefault="00A915BD" w:rsidP="00A915BD">
      <w:pPr>
        <w:pStyle w:val="Odsekzoznamu"/>
        <w:numPr>
          <w:ilvl w:val="0"/>
          <w:numId w:val="16"/>
        </w:numPr>
        <w:spacing w:line="276" w:lineRule="auto"/>
        <w:ind w:left="1066" w:hanging="357"/>
        <w:jc w:val="both"/>
        <w:rPr>
          <w:rStyle w:val="Zvraznenie"/>
          <w:i w:val="0"/>
          <w:iCs w:val="0"/>
          <w:color w:val="000000"/>
          <w:lang w:eastAsia="sk-SK"/>
        </w:rPr>
      </w:pPr>
      <w:r w:rsidRPr="001B378C">
        <w:rPr>
          <w:color w:val="000000"/>
          <w:lang w:eastAsia="sk-SK"/>
        </w:rPr>
        <w:t xml:space="preserve">nariadenie Európskeho parlamentu a Rady (EÚ) č. 648/2012 zo 4. júla 2012 o mimoburzových derivátoch, centrálnych protistranách a archívoch obchodných údajov (Ú. v. EÚ L 201, 27.7.2012) v platnom znení, </w:t>
      </w:r>
      <w:r w:rsidRPr="001B378C">
        <w:t xml:space="preserve">gestor: </w:t>
      </w:r>
      <w:r w:rsidRPr="001B378C">
        <w:rPr>
          <w:iCs/>
        </w:rPr>
        <w:t>MF SR, NBS,</w:t>
      </w:r>
    </w:p>
    <w:p w:rsidR="00A915BD" w:rsidRPr="001B378C" w:rsidRDefault="00A915BD" w:rsidP="00A915BD">
      <w:pPr>
        <w:pStyle w:val="Odsekzoznamu"/>
        <w:spacing w:line="276" w:lineRule="auto"/>
        <w:ind w:left="1066"/>
        <w:jc w:val="both"/>
        <w:rPr>
          <w:color w:val="000000"/>
          <w:lang w:eastAsia="sk-SK"/>
        </w:rPr>
      </w:pPr>
    </w:p>
    <w:p w:rsidR="00A915BD" w:rsidRPr="001B378C" w:rsidRDefault="00A915BD" w:rsidP="00A915BD">
      <w:pPr>
        <w:pStyle w:val="Odsekzoznamu"/>
        <w:numPr>
          <w:ilvl w:val="0"/>
          <w:numId w:val="16"/>
        </w:numPr>
        <w:spacing w:line="276" w:lineRule="auto"/>
        <w:jc w:val="both"/>
        <w:rPr>
          <w:lang w:eastAsia="sk-SK"/>
        </w:rPr>
      </w:pPr>
      <w:r w:rsidRPr="001B378C">
        <w:rPr>
          <w:color w:val="000000"/>
          <w:lang w:eastAsia="sk-SK"/>
        </w:rPr>
        <w:lastRenderedPageBreak/>
        <w:t xml:space="preserve">nariadenie Európskeho parlamentu a Rady (EÚ) č. 806/2014 z 15. júla 2014, ktorým sa stanovujú jednotné pravidlá a jednotný postup riešenia krízových situácií úverových inštitúcií a určitých investičných spoločností v rámci jednotného mechanizmu riešenia krízových situácií a jednotného fondu na riešenie krízových situácií a ktorým sa mení nariadenie (EÚ) č. 1093/2010 </w:t>
      </w:r>
      <w:r w:rsidRPr="001B378C">
        <w:t>(Ú. v. EÚ L 225, 30.7.2014), gestor: MF SR, NBS,</w:t>
      </w:r>
    </w:p>
    <w:p w:rsidR="00A915BD" w:rsidRPr="001B378C" w:rsidRDefault="00A915BD" w:rsidP="00A915BD">
      <w:pPr>
        <w:spacing w:line="276" w:lineRule="auto"/>
        <w:jc w:val="both"/>
        <w:rPr>
          <w:lang w:eastAsia="sk-SK"/>
        </w:rPr>
      </w:pPr>
    </w:p>
    <w:p w:rsidR="00A915BD" w:rsidRPr="001B378C" w:rsidRDefault="00A915BD" w:rsidP="00A915BD">
      <w:pPr>
        <w:pStyle w:val="Odsekzoznamu"/>
        <w:numPr>
          <w:ilvl w:val="0"/>
          <w:numId w:val="16"/>
        </w:numPr>
        <w:spacing w:line="276" w:lineRule="auto"/>
        <w:jc w:val="both"/>
        <w:rPr>
          <w:lang w:eastAsia="sk-SK"/>
        </w:rPr>
      </w:pPr>
      <w:r w:rsidRPr="001B378C">
        <w:rPr>
          <w:color w:val="000000"/>
          <w:lang w:eastAsia="sk-SK"/>
        </w:rPr>
        <w:t>nariadenie Európskeho parlamentu a Rady (EÚ) č. 575/2013 z 26. júna 2013 o prudenciálnych požiadavkách na úverové inštitúcie a investičné spoločnosti a o zmene nariadenia (EÚ) č. 648/2012 (Ú. v. EÚ L 176, 27.6.2013) v platnom znení,</w:t>
      </w:r>
      <w:r w:rsidRPr="001B378C">
        <w:rPr>
          <w:rStyle w:val="Zvraznenie"/>
          <w:shd w:val="clear" w:color="auto" w:fill="FFFFFF"/>
        </w:rPr>
        <w:t xml:space="preserve"> </w:t>
      </w:r>
      <w:r w:rsidRPr="001B378C">
        <w:t>gestor: MF SR, NBS.</w:t>
      </w:r>
    </w:p>
    <w:p w:rsidR="00A915BD" w:rsidRPr="001B378C" w:rsidRDefault="00A915BD" w:rsidP="00A915BD">
      <w:pPr>
        <w:spacing w:line="276" w:lineRule="auto"/>
        <w:rPr>
          <w:color w:val="000000"/>
          <w:lang w:eastAsia="sk-SK"/>
        </w:rPr>
      </w:pPr>
    </w:p>
    <w:p w:rsidR="00A915BD" w:rsidRPr="001B378C" w:rsidRDefault="00A915BD" w:rsidP="00A915BD">
      <w:pPr>
        <w:pStyle w:val="Odsekzoznamu"/>
        <w:numPr>
          <w:ilvl w:val="0"/>
          <w:numId w:val="15"/>
        </w:numPr>
        <w:spacing w:line="276" w:lineRule="auto"/>
        <w:rPr>
          <w:color w:val="000000"/>
          <w:lang w:eastAsia="sk-SK"/>
        </w:rPr>
      </w:pPr>
      <w:r w:rsidRPr="001B378C">
        <w:rPr>
          <w:color w:val="000000"/>
          <w:lang w:eastAsia="sk-SK"/>
        </w:rPr>
        <w:t>v judikatúre Súdneho dvora Európskej únie</w:t>
      </w:r>
    </w:p>
    <w:p w:rsidR="00A915BD" w:rsidRPr="001B378C" w:rsidRDefault="00A915BD" w:rsidP="00A915BD">
      <w:pPr>
        <w:pStyle w:val="Odsekzoznamu"/>
        <w:spacing w:line="276" w:lineRule="auto"/>
        <w:rPr>
          <w:color w:val="000000"/>
          <w:lang w:eastAsia="sk-SK"/>
        </w:rPr>
      </w:pPr>
    </w:p>
    <w:p w:rsidR="00A915BD" w:rsidRPr="001B378C" w:rsidRDefault="00A915BD" w:rsidP="00A915BD">
      <w:pPr>
        <w:pStyle w:val="Odsekzoznamu"/>
        <w:numPr>
          <w:ilvl w:val="0"/>
          <w:numId w:val="16"/>
        </w:numPr>
        <w:spacing w:line="276" w:lineRule="auto"/>
        <w:jc w:val="both"/>
        <w:rPr>
          <w:color w:val="000000"/>
          <w:lang w:eastAsia="sk-SK"/>
        </w:rPr>
      </w:pPr>
      <w:r w:rsidRPr="001B378C">
        <w:rPr>
          <w:lang w:eastAsia="sk-SK"/>
        </w:rPr>
        <w:t>rozsudok</w:t>
      </w:r>
      <w:r w:rsidRPr="001B378C">
        <w:rPr>
          <w:spacing w:val="7"/>
          <w:lang w:eastAsia="sk-SK"/>
        </w:rPr>
        <w:t xml:space="preserve"> </w:t>
      </w:r>
      <w:r w:rsidRPr="001B378C">
        <w:rPr>
          <w:lang w:eastAsia="sk-SK"/>
        </w:rPr>
        <w:t>Súdneho</w:t>
      </w:r>
      <w:r w:rsidRPr="001B378C">
        <w:rPr>
          <w:spacing w:val="7"/>
          <w:lang w:eastAsia="sk-SK"/>
        </w:rPr>
        <w:t xml:space="preserve"> </w:t>
      </w:r>
      <w:r w:rsidRPr="001B378C">
        <w:rPr>
          <w:lang w:eastAsia="sk-SK"/>
        </w:rPr>
        <w:t>dvora</w:t>
      </w:r>
      <w:r w:rsidRPr="001B378C">
        <w:rPr>
          <w:spacing w:val="7"/>
          <w:lang w:eastAsia="sk-SK"/>
        </w:rPr>
        <w:t xml:space="preserve"> </w:t>
      </w:r>
      <w:r w:rsidRPr="001B378C">
        <w:rPr>
          <w:lang w:eastAsia="sk-SK"/>
        </w:rPr>
        <w:t>vo</w:t>
      </w:r>
      <w:r w:rsidRPr="001B378C">
        <w:rPr>
          <w:spacing w:val="7"/>
          <w:lang w:eastAsia="sk-SK"/>
        </w:rPr>
        <w:t xml:space="preserve"> </w:t>
      </w:r>
      <w:r w:rsidRPr="001B378C">
        <w:rPr>
          <w:lang w:eastAsia="sk-SK"/>
        </w:rPr>
        <w:t xml:space="preserve">veci </w:t>
      </w:r>
      <w:r w:rsidRPr="001B378C">
        <w:rPr>
          <w:color w:val="000000"/>
        </w:rPr>
        <w:t>C</w:t>
      </w:r>
      <w:r w:rsidRPr="001B378C">
        <w:rPr>
          <w:color w:val="000000"/>
        </w:rPr>
        <w:noBreakHyphen/>
        <w:t xml:space="preserve">414/18, </w:t>
      </w:r>
      <w:r w:rsidRPr="001B378C">
        <w:rPr>
          <w:bCs/>
          <w:color w:val="000000"/>
        </w:rPr>
        <w:t xml:space="preserve">Iccrea Banca SpA Istituto Centrale del Credito Cooperativo proti Banca d’Italia, </w:t>
      </w:r>
      <w:r w:rsidRPr="001B378C">
        <w:rPr>
          <w:lang w:eastAsia="sk-SK"/>
        </w:rPr>
        <w:t>[2019].</w:t>
      </w:r>
    </w:p>
    <w:p w:rsidR="00A915BD" w:rsidRPr="001B378C" w:rsidRDefault="00A915BD" w:rsidP="00A915BD">
      <w:pPr>
        <w:pStyle w:val="Odsekzoznamu"/>
        <w:spacing w:line="276" w:lineRule="auto"/>
        <w:ind w:left="1068"/>
        <w:jc w:val="both"/>
        <w:rPr>
          <w:color w:val="000000"/>
          <w:lang w:eastAsia="sk-SK"/>
        </w:rPr>
      </w:pPr>
    </w:p>
    <w:p w:rsidR="00A915BD" w:rsidRPr="001B378C" w:rsidRDefault="00A915BD" w:rsidP="00A915BD">
      <w:pPr>
        <w:spacing w:line="276" w:lineRule="auto"/>
        <w:ind w:left="426"/>
        <w:jc w:val="both"/>
        <w:rPr>
          <w:bCs/>
        </w:rPr>
      </w:pPr>
      <w:r w:rsidRPr="001B378C">
        <w:rPr>
          <w:b/>
          <w:bCs/>
        </w:rPr>
        <w:t>Výrok rozhodnutia</w:t>
      </w:r>
      <w:r w:rsidRPr="001B378C">
        <w:rPr>
          <w:bCs/>
        </w:rPr>
        <w:t>:</w:t>
      </w:r>
    </w:p>
    <w:p w:rsidR="00A915BD" w:rsidRPr="001B378C" w:rsidRDefault="00A915BD" w:rsidP="00A915BD">
      <w:pPr>
        <w:spacing w:line="276" w:lineRule="auto"/>
        <w:ind w:left="426"/>
        <w:jc w:val="both"/>
        <w:rPr>
          <w:bCs/>
        </w:rPr>
      </w:pPr>
    </w:p>
    <w:p w:rsidR="00A915BD" w:rsidRPr="001B378C" w:rsidRDefault="00A915BD" w:rsidP="00A915BD">
      <w:pPr>
        <w:spacing w:line="276" w:lineRule="auto"/>
        <w:ind w:left="426"/>
        <w:jc w:val="both"/>
        <w:rPr>
          <w:bCs/>
        </w:rPr>
      </w:pPr>
      <w:r w:rsidRPr="001B378C">
        <w:rPr>
          <w:bCs/>
        </w:rPr>
        <w:t>Článok 103 ods. 2 smernice Európskeho parlamentu a Rady </w:t>
      </w:r>
      <w:bookmarkStart w:id="4" w:name="ctx18"/>
      <w:r w:rsidRPr="001B378C">
        <w:rPr>
          <w:bCs/>
        </w:rPr>
        <w:t>2014/59</w:t>
      </w:r>
      <w:bookmarkEnd w:id="4"/>
      <w:r w:rsidRPr="001B378C">
        <w:rPr>
          <w:bCs/>
        </w:rPr>
        <w:t>/EÚ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a článok 5 ods. 1 písm. a) a f) delegovaného nariadenia Komisie (EÚ) 2015/63 z 21. októbra 2014, ktorým sa dopĺňa smernica Európskeho parlamentu a Rady </w:t>
      </w:r>
      <w:bookmarkStart w:id="5" w:name="ctx19"/>
      <w:r w:rsidRPr="001B378C">
        <w:rPr>
          <w:bCs/>
        </w:rPr>
        <w:t>2014/59</w:t>
      </w:r>
      <w:bookmarkEnd w:id="5"/>
      <w:r w:rsidRPr="001B378C">
        <w:rPr>
          <w:bCs/>
        </w:rPr>
        <w:t>/EÚ, pokiaľ ide o príspevky </w:t>
      </w:r>
      <w:r w:rsidRPr="001B378C">
        <w:rPr>
          <w:bCs/>
          <w:i/>
          <w:iCs/>
        </w:rPr>
        <w:t>ex  ante </w:t>
      </w:r>
      <w:r w:rsidRPr="001B378C">
        <w:rPr>
          <w:bCs/>
        </w:rPr>
        <w:t>do mechanizmov financovania riešenia krízových situácií, sa majú vykladať v tom zmysle, že záväzky, ktoré sú výsledkom transakcií medzi bankou druhého stupňa a členmi skupiny, ktorú tvorí s družstevnými bankami, ktorým poskytuje rôzne služby bez toho, aby ich kontrolovala, a nepokrývajúce úvery poskytnuté na nesúťažnom a neziskovom základe s cieľom podporiť ciele verejnej politiky ústrednej alebo regionálnej štátnej správy členského štátu, nie sú vylúčené z výpočtu príspevkov do vnútroštátneho fondu na riešenie krízových situácií uvedených v tomto článku 103 ods. 2.</w:t>
      </w:r>
    </w:p>
    <w:p w:rsidR="00A915BD" w:rsidRPr="001B378C" w:rsidRDefault="00A915BD" w:rsidP="00A915BD">
      <w:pPr>
        <w:spacing w:line="276" w:lineRule="auto"/>
        <w:ind w:left="426"/>
        <w:jc w:val="both"/>
        <w:rPr>
          <w:bCs/>
        </w:rPr>
      </w:pPr>
    </w:p>
    <w:p w:rsidR="00A915BD" w:rsidRPr="001B378C" w:rsidRDefault="00A915BD" w:rsidP="00A915BD">
      <w:pPr>
        <w:pStyle w:val="Odsekzoznamu"/>
        <w:numPr>
          <w:ilvl w:val="0"/>
          <w:numId w:val="16"/>
        </w:numPr>
        <w:spacing w:line="276" w:lineRule="auto"/>
        <w:jc w:val="both"/>
        <w:rPr>
          <w:lang w:eastAsia="sk-SK"/>
        </w:rPr>
      </w:pPr>
      <w:r w:rsidRPr="001B378C">
        <w:rPr>
          <w:lang w:eastAsia="sk-SK"/>
        </w:rPr>
        <w:t>rozsudok</w:t>
      </w:r>
      <w:r w:rsidRPr="001B378C">
        <w:rPr>
          <w:spacing w:val="7"/>
          <w:lang w:eastAsia="sk-SK"/>
        </w:rPr>
        <w:t xml:space="preserve"> </w:t>
      </w:r>
      <w:r w:rsidRPr="001B378C">
        <w:rPr>
          <w:lang w:eastAsia="sk-SK"/>
        </w:rPr>
        <w:t>Súdneho</w:t>
      </w:r>
      <w:r w:rsidRPr="001B378C">
        <w:rPr>
          <w:spacing w:val="7"/>
          <w:lang w:eastAsia="sk-SK"/>
        </w:rPr>
        <w:t xml:space="preserve"> </w:t>
      </w:r>
      <w:r w:rsidRPr="001B378C">
        <w:rPr>
          <w:lang w:eastAsia="sk-SK"/>
        </w:rPr>
        <w:t>dvora</w:t>
      </w:r>
      <w:r w:rsidRPr="001B378C">
        <w:rPr>
          <w:spacing w:val="7"/>
          <w:lang w:eastAsia="sk-SK"/>
        </w:rPr>
        <w:t xml:space="preserve"> </w:t>
      </w:r>
      <w:r w:rsidRPr="001B378C">
        <w:rPr>
          <w:lang w:eastAsia="sk-SK"/>
        </w:rPr>
        <w:t>vo</w:t>
      </w:r>
      <w:r w:rsidRPr="001B378C">
        <w:rPr>
          <w:spacing w:val="7"/>
          <w:lang w:eastAsia="sk-SK"/>
        </w:rPr>
        <w:t xml:space="preserve"> </w:t>
      </w:r>
      <w:r w:rsidRPr="001B378C">
        <w:rPr>
          <w:lang w:eastAsia="sk-SK"/>
        </w:rPr>
        <w:t>veci</w:t>
      </w:r>
      <w:r w:rsidRPr="001B378C">
        <w:rPr>
          <w:color w:val="000000"/>
        </w:rPr>
        <w:t> C</w:t>
      </w:r>
      <w:r w:rsidRPr="001B378C">
        <w:rPr>
          <w:color w:val="000000"/>
        </w:rPr>
        <w:noBreakHyphen/>
        <w:t xml:space="preserve">255/18, </w:t>
      </w:r>
      <w:r w:rsidRPr="001B378C">
        <w:rPr>
          <w:bCs/>
          <w:color w:val="000000"/>
        </w:rPr>
        <w:t xml:space="preserve">State Street Bank International GmbH proti Banca d’Italia za účasti Banco delle Tre Venezie SpA, </w:t>
      </w:r>
      <w:r w:rsidRPr="001B378C">
        <w:rPr>
          <w:lang w:eastAsia="sk-SK"/>
        </w:rPr>
        <w:t>[2019].</w:t>
      </w:r>
    </w:p>
    <w:p w:rsidR="00A915BD" w:rsidRPr="001B378C" w:rsidRDefault="00A915BD" w:rsidP="00A915BD">
      <w:pPr>
        <w:pStyle w:val="Odsekzoznamu"/>
        <w:spacing w:line="276" w:lineRule="auto"/>
        <w:ind w:left="1068"/>
        <w:jc w:val="both"/>
        <w:rPr>
          <w:lang w:eastAsia="sk-SK"/>
        </w:rPr>
      </w:pPr>
    </w:p>
    <w:p w:rsidR="00A915BD" w:rsidRPr="001B378C" w:rsidRDefault="00A915BD" w:rsidP="00A915BD">
      <w:pPr>
        <w:spacing w:line="276" w:lineRule="auto"/>
        <w:ind w:left="426"/>
        <w:jc w:val="both"/>
        <w:rPr>
          <w:bCs/>
        </w:rPr>
      </w:pPr>
      <w:r w:rsidRPr="001B378C">
        <w:rPr>
          <w:b/>
          <w:bCs/>
        </w:rPr>
        <w:t>Výrok rozhodnutia</w:t>
      </w:r>
      <w:r w:rsidRPr="001B378C">
        <w:rPr>
          <w:bCs/>
        </w:rPr>
        <w:t>:</w:t>
      </w:r>
    </w:p>
    <w:p w:rsidR="00A915BD" w:rsidRPr="001B378C" w:rsidRDefault="00A915BD" w:rsidP="00A915BD">
      <w:pPr>
        <w:pStyle w:val="c08dispositif"/>
        <w:spacing w:after="240" w:afterAutospacing="0" w:line="276" w:lineRule="auto"/>
        <w:ind w:left="426"/>
        <w:jc w:val="both"/>
        <w:rPr>
          <w:bCs/>
        </w:rPr>
      </w:pPr>
      <w:r w:rsidRPr="001B378C">
        <w:rPr>
          <w:bCs/>
        </w:rPr>
        <w:t>1. Pojem „zmena štatútu“ v zmysle článku 12 ods. 2 delegovaného nariadenia Komisie (EÚ) 2015/63 z 21. októbra 2014, ktorým sa dopĺňa smernica Európskeho parlamentu a Rady </w:t>
      </w:r>
      <w:bookmarkStart w:id="6" w:name="ctx21"/>
      <w:r w:rsidRPr="001B378C">
        <w:rPr>
          <w:bCs/>
        </w:rPr>
        <w:t>2014/59</w:t>
      </w:r>
      <w:bookmarkEnd w:id="6"/>
      <w:r w:rsidRPr="001B378C">
        <w:rPr>
          <w:bCs/>
        </w:rPr>
        <w:t>/EÚ, pokiaľ ide o príspevky </w:t>
      </w:r>
      <w:r w:rsidRPr="001B378C">
        <w:rPr>
          <w:bCs/>
          <w:i/>
          <w:iCs/>
        </w:rPr>
        <w:t>ex  ante </w:t>
      </w:r>
      <w:r w:rsidRPr="001B378C">
        <w:rPr>
          <w:bCs/>
        </w:rPr>
        <w:t xml:space="preserve">do mechanizmov financovania riešenia krízových situácií, sa má vykladať v tom zmysle, že zahŕňa takú operáciu, o akú </w:t>
      </w:r>
      <w:r w:rsidRPr="001B378C">
        <w:rPr>
          <w:bCs/>
        </w:rPr>
        <w:lastRenderedPageBreak/>
        <w:t>ide vo veci samej, v súvislosti s ktorou inštitúcia prestane v priebehu roka podliehať dohľadu národného orgánu pre riešenie krízových situácií v nadväznosti na cezhraničné zlúčenie s jej materskou spoločnosťou, a že v dôsledku toho táto operácia nemá vplyv na povinnosť tejto inštitúcie uhradiť všetky pravidelné príspevky splatné za príslušný príspevkový rok.</w:t>
      </w:r>
    </w:p>
    <w:p w:rsidR="00A915BD" w:rsidRPr="001B378C" w:rsidRDefault="00A915BD" w:rsidP="00A915BD">
      <w:pPr>
        <w:pStyle w:val="c08dispositif"/>
        <w:spacing w:after="240" w:afterAutospacing="0" w:line="276" w:lineRule="auto"/>
        <w:ind w:left="426"/>
        <w:jc w:val="both"/>
        <w:rPr>
          <w:bCs/>
        </w:rPr>
      </w:pPr>
      <w:r w:rsidRPr="001B378C">
        <w:rPr>
          <w:bCs/>
        </w:rPr>
        <w:t>2. Článok 12 ods. 2 delegovaného nariadenia 2015/63 sa má vykladať v tom zmysle, že sa uplatňuje na situáciu, v ktorej k cezhraničnému zlúčeniu inštitúcie so sídlom v členskom štáte s jej materskou spoločnosťou so sídlom v inom členskom štáte a následnému zániku tejto inštitúcie došlo počas roka 2015, hoci vnútroštátny orgán pre riešenie krízových situácií ani štátny fond neboli prvým členským štátom ešte formálne vytvorené a príspevky ešte neboli vypočítané.</w:t>
      </w:r>
    </w:p>
    <w:p w:rsidR="00A915BD" w:rsidRPr="001B378C" w:rsidRDefault="00A915BD" w:rsidP="00A915BD">
      <w:pPr>
        <w:pStyle w:val="c08dispositif"/>
        <w:spacing w:after="240" w:afterAutospacing="0" w:line="276" w:lineRule="auto"/>
        <w:ind w:left="426"/>
        <w:jc w:val="both"/>
        <w:rPr>
          <w:bCs/>
        </w:rPr>
      </w:pPr>
      <w:r w:rsidRPr="001B378C">
        <w:rPr>
          <w:bCs/>
        </w:rPr>
        <w:t>3. Článok 104 smernice Európskeho parlamentu a Rady </w:t>
      </w:r>
      <w:bookmarkStart w:id="7" w:name="ctx22"/>
      <w:r w:rsidRPr="001B378C">
        <w:rPr>
          <w:bCs/>
        </w:rPr>
        <w:t>2014/59</w:t>
      </w:r>
      <w:bookmarkEnd w:id="7"/>
      <w:r w:rsidRPr="001B378C">
        <w:rPr>
          <w:bCs/>
        </w:rPr>
        <w:t>/EÚ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sa má vykladať v tom zmysle, že inštitúcia so sídlom v členskom štáte, ktorá sa zlúčila s materskou spoločnosťou so sídlom v inom členskom štáte pred zavedením mimoriadneho príspevku vnútroštátnym orgánom pre riešenie krízových situácií prvého členského štátu, nie je povinná uhradiť tento príspevok.</w:t>
      </w:r>
    </w:p>
    <w:p w:rsidR="00A915BD" w:rsidRPr="001B378C" w:rsidRDefault="00A915BD" w:rsidP="00A915BD">
      <w:pPr>
        <w:spacing w:line="276" w:lineRule="auto"/>
        <w:rPr>
          <w:b/>
          <w:bCs/>
          <w:color w:val="000000"/>
          <w:lang w:eastAsia="sk-SK"/>
        </w:rPr>
      </w:pPr>
    </w:p>
    <w:p w:rsidR="00A915BD" w:rsidRPr="001B378C" w:rsidRDefault="00A915BD" w:rsidP="00A915BD">
      <w:pPr>
        <w:pStyle w:val="Odsekzoznamu"/>
        <w:numPr>
          <w:ilvl w:val="0"/>
          <w:numId w:val="14"/>
        </w:numPr>
        <w:spacing w:line="276" w:lineRule="auto"/>
        <w:ind w:left="426" w:hanging="426"/>
        <w:rPr>
          <w:color w:val="000000"/>
          <w:sz w:val="27"/>
          <w:szCs w:val="27"/>
          <w:lang w:eastAsia="sk-SK"/>
        </w:rPr>
      </w:pPr>
      <w:r w:rsidRPr="001B378C">
        <w:rPr>
          <w:b/>
          <w:bCs/>
          <w:color w:val="000000"/>
          <w:lang w:eastAsia="sk-SK"/>
        </w:rPr>
        <w:t>Záväzky Slovenskej republiky vo vzťahu k Európskej únii:</w:t>
      </w:r>
    </w:p>
    <w:p w:rsidR="00A915BD" w:rsidRPr="001B378C" w:rsidRDefault="00A915BD" w:rsidP="00A915BD">
      <w:pPr>
        <w:pStyle w:val="Odsekzoznamu"/>
        <w:numPr>
          <w:ilvl w:val="0"/>
          <w:numId w:val="17"/>
        </w:numPr>
        <w:spacing w:line="276" w:lineRule="auto"/>
        <w:jc w:val="both"/>
        <w:rPr>
          <w:color w:val="000000"/>
          <w:lang w:eastAsia="sk-SK"/>
        </w:rPr>
      </w:pPr>
      <w:r w:rsidRPr="001B378C">
        <w:rPr>
          <w:color w:val="000000"/>
          <w:lang w:eastAsia="sk-SK"/>
        </w:rPr>
        <w:t>Lehota</w:t>
      </w:r>
      <w:r w:rsidRPr="001B378C">
        <w:rPr>
          <w:color w:val="000000"/>
          <w:spacing w:val="82"/>
          <w:lang w:eastAsia="sk-SK"/>
        </w:rPr>
        <w:t xml:space="preserve"> </w:t>
      </w:r>
      <w:r w:rsidRPr="001B378C">
        <w:rPr>
          <w:color w:val="000000"/>
          <w:lang w:eastAsia="sk-SK"/>
        </w:rPr>
        <w:t>na</w:t>
      </w:r>
      <w:r w:rsidRPr="001B378C">
        <w:rPr>
          <w:color w:val="000000"/>
          <w:spacing w:val="82"/>
          <w:lang w:eastAsia="sk-SK"/>
        </w:rPr>
        <w:t xml:space="preserve"> </w:t>
      </w:r>
      <w:r w:rsidRPr="001B378C">
        <w:rPr>
          <w:color w:val="000000"/>
          <w:lang w:eastAsia="sk-SK"/>
        </w:rPr>
        <w:t>prebratie</w:t>
      </w:r>
      <w:r w:rsidRPr="001B378C">
        <w:rPr>
          <w:color w:val="000000"/>
          <w:spacing w:val="82"/>
          <w:lang w:eastAsia="sk-SK"/>
        </w:rPr>
        <w:t xml:space="preserve"> </w:t>
      </w:r>
      <w:r w:rsidRPr="001B378C">
        <w:rPr>
          <w:color w:val="000000"/>
          <w:lang w:eastAsia="sk-SK"/>
        </w:rPr>
        <w:t>smernice</w:t>
      </w:r>
      <w:r w:rsidRPr="001B378C">
        <w:rPr>
          <w:color w:val="000000"/>
          <w:spacing w:val="82"/>
          <w:lang w:eastAsia="sk-SK"/>
        </w:rPr>
        <w:t xml:space="preserve"> </w:t>
      </w:r>
      <w:r w:rsidRPr="001B378C">
        <w:rPr>
          <w:color w:val="000000"/>
          <w:lang w:eastAsia="sk-SK"/>
        </w:rPr>
        <w:t>2019/879/EÚ je</w:t>
      </w:r>
      <w:r w:rsidRPr="001B378C">
        <w:rPr>
          <w:color w:val="000000"/>
          <w:spacing w:val="82"/>
          <w:lang w:eastAsia="sk-SK"/>
        </w:rPr>
        <w:t xml:space="preserve"> </w:t>
      </w:r>
      <w:r w:rsidRPr="001B378C">
        <w:rPr>
          <w:color w:val="000000"/>
          <w:lang w:eastAsia="sk-SK"/>
        </w:rPr>
        <w:t>stanovená</w:t>
      </w:r>
      <w:r w:rsidRPr="001B378C">
        <w:rPr>
          <w:color w:val="000000"/>
          <w:spacing w:val="82"/>
          <w:lang w:eastAsia="sk-SK"/>
        </w:rPr>
        <w:t xml:space="preserve"> </w:t>
      </w:r>
      <w:r w:rsidRPr="001B378C">
        <w:rPr>
          <w:color w:val="000000"/>
          <w:lang w:eastAsia="sk-SK"/>
        </w:rPr>
        <w:t>do</w:t>
      </w:r>
      <w:r w:rsidRPr="001B378C">
        <w:rPr>
          <w:color w:val="000000"/>
          <w:spacing w:val="82"/>
          <w:lang w:eastAsia="sk-SK"/>
        </w:rPr>
        <w:t xml:space="preserve"> </w:t>
      </w:r>
      <w:r w:rsidRPr="001B378C">
        <w:rPr>
          <w:color w:val="000000"/>
          <w:lang w:eastAsia="sk-SK"/>
        </w:rPr>
        <w:t>28. decembra 2020.</w:t>
      </w:r>
    </w:p>
    <w:p w:rsidR="00A915BD" w:rsidRPr="001B378C" w:rsidRDefault="00A915BD" w:rsidP="00A915BD">
      <w:pPr>
        <w:pStyle w:val="Odsekzoznamu"/>
        <w:spacing w:line="276" w:lineRule="auto"/>
        <w:jc w:val="both"/>
        <w:rPr>
          <w:color w:val="000000"/>
          <w:lang w:eastAsia="sk-SK"/>
        </w:rPr>
      </w:pPr>
    </w:p>
    <w:p w:rsidR="00A915BD" w:rsidRPr="001B378C" w:rsidRDefault="00A915BD" w:rsidP="00A915BD">
      <w:pPr>
        <w:pStyle w:val="Odsekzoznamu"/>
        <w:spacing w:line="276" w:lineRule="auto"/>
        <w:jc w:val="both"/>
        <w:rPr>
          <w:color w:val="000000"/>
          <w:lang w:eastAsia="sk-SK"/>
        </w:rPr>
      </w:pPr>
      <w:r w:rsidRPr="001B378C">
        <w:rPr>
          <w:color w:val="000000"/>
          <w:lang w:eastAsia="sk-SK"/>
        </w:rPr>
        <w:t>Lehota</w:t>
      </w:r>
      <w:r w:rsidRPr="001B378C">
        <w:rPr>
          <w:color w:val="000000"/>
          <w:spacing w:val="82"/>
          <w:lang w:eastAsia="sk-SK"/>
        </w:rPr>
        <w:t xml:space="preserve"> </w:t>
      </w:r>
      <w:r w:rsidRPr="001B378C">
        <w:rPr>
          <w:color w:val="000000"/>
          <w:lang w:eastAsia="sk-SK"/>
        </w:rPr>
        <w:t>na</w:t>
      </w:r>
      <w:r w:rsidRPr="001B378C">
        <w:rPr>
          <w:color w:val="000000"/>
          <w:spacing w:val="82"/>
          <w:lang w:eastAsia="sk-SK"/>
        </w:rPr>
        <w:t xml:space="preserve"> </w:t>
      </w:r>
      <w:r w:rsidRPr="001B378C">
        <w:rPr>
          <w:color w:val="000000"/>
          <w:lang w:eastAsia="sk-SK"/>
        </w:rPr>
        <w:t>prebratie</w:t>
      </w:r>
      <w:r w:rsidRPr="001B378C">
        <w:rPr>
          <w:color w:val="000000"/>
          <w:spacing w:val="82"/>
          <w:lang w:eastAsia="sk-SK"/>
        </w:rPr>
        <w:t xml:space="preserve"> </w:t>
      </w:r>
      <w:r w:rsidRPr="001B378C">
        <w:rPr>
          <w:color w:val="000000"/>
          <w:lang w:eastAsia="sk-SK"/>
        </w:rPr>
        <w:t>smernice</w:t>
      </w:r>
      <w:r w:rsidRPr="001B378C">
        <w:rPr>
          <w:color w:val="000000"/>
          <w:spacing w:val="82"/>
          <w:lang w:eastAsia="sk-SK"/>
        </w:rPr>
        <w:t xml:space="preserve"> </w:t>
      </w:r>
      <w:r w:rsidRPr="001B378C">
        <w:rPr>
          <w:color w:val="000000"/>
          <w:lang w:eastAsia="sk-SK"/>
        </w:rPr>
        <w:t xml:space="preserve">2014/59/EÚ </w:t>
      </w:r>
      <w:r w:rsidRPr="001B378C">
        <w:rPr>
          <w:lang w:eastAsia="sk-SK"/>
        </w:rPr>
        <w:t>bola</w:t>
      </w:r>
      <w:r w:rsidRPr="001B378C">
        <w:rPr>
          <w:spacing w:val="82"/>
          <w:lang w:eastAsia="sk-SK"/>
        </w:rPr>
        <w:t xml:space="preserve"> </w:t>
      </w:r>
      <w:r w:rsidRPr="001B378C">
        <w:rPr>
          <w:lang w:eastAsia="sk-SK"/>
        </w:rPr>
        <w:t>stanovená</w:t>
      </w:r>
      <w:r w:rsidRPr="001B378C">
        <w:rPr>
          <w:spacing w:val="82"/>
          <w:lang w:eastAsia="sk-SK"/>
        </w:rPr>
        <w:t xml:space="preserve"> </w:t>
      </w:r>
      <w:r w:rsidRPr="001B378C">
        <w:rPr>
          <w:lang w:eastAsia="sk-SK"/>
        </w:rPr>
        <w:t>do</w:t>
      </w:r>
      <w:r w:rsidRPr="001B378C">
        <w:rPr>
          <w:spacing w:val="82"/>
          <w:lang w:eastAsia="sk-SK"/>
        </w:rPr>
        <w:t xml:space="preserve"> </w:t>
      </w:r>
      <w:r w:rsidRPr="001B378C">
        <w:rPr>
          <w:shd w:val="clear" w:color="auto" w:fill="FFFFFF"/>
        </w:rPr>
        <w:t>31. decembra 2014</w:t>
      </w:r>
      <w:r w:rsidRPr="001B378C">
        <w:rPr>
          <w:color w:val="444444"/>
          <w:shd w:val="clear" w:color="auto" w:fill="FFFFFF"/>
        </w:rPr>
        <w:t>.</w:t>
      </w:r>
    </w:p>
    <w:p w:rsidR="00A915BD" w:rsidRPr="001B378C" w:rsidRDefault="00A915BD" w:rsidP="00A915BD">
      <w:pPr>
        <w:pStyle w:val="Odsekzoznamu"/>
        <w:spacing w:line="276" w:lineRule="auto"/>
        <w:rPr>
          <w:color w:val="000000"/>
          <w:lang w:eastAsia="sk-SK"/>
        </w:rPr>
      </w:pPr>
    </w:p>
    <w:p w:rsidR="00A915BD" w:rsidRPr="001B378C" w:rsidRDefault="00A915BD" w:rsidP="00A915BD">
      <w:pPr>
        <w:pStyle w:val="Odsekzoznamu"/>
        <w:numPr>
          <w:ilvl w:val="0"/>
          <w:numId w:val="17"/>
        </w:numPr>
        <w:spacing w:line="276" w:lineRule="auto"/>
        <w:jc w:val="both"/>
        <w:rPr>
          <w:lang w:eastAsia="sk-SK"/>
        </w:rPr>
      </w:pPr>
      <w:r w:rsidRPr="001B378C">
        <w:t>Proti SR nebolo začaté konanie v rámci „EÚ Pilot“, ani nebol začatý postup EK ako aj nebolo začaté konanie Súdneho dvora EÚ proti SR podľa čl. 258 až 260 Zmluvy o fungovaní Európskej únie.</w:t>
      </w:r>
    </w:p>
    <w:p w:rsidR="00A915BD" w:rsidRPr="001B378C" w:rsidRDefault="00A915BD" w:rsidP="00A915BD">
      <w:pPr>
        <w:pStyle w:val="Odsekzoznamu"/>
        <w:spacing w:line="276" w:lineRule="auto"/>
        <w:rPr>
          <w:lang w:eastAsia="sk-SK"/>
        </w:rPr>
      </w:pPr>
    </w:p>
    <w:p w:rsidR="00A915BD" w:rsidRPr="001B378C" w:rsidRDefault="00A915BD" w:rsidP="00A915BD">
      <w:pPr>
        <w:pStyle w:val="Odsekzoznamu"/>
        <w:numPr>
          <w:ilvl w:val="0"/>
          <w:numId w:val="17"/>
        </w:numPr>
        <w:spacing w:line="276" w:lineRule="auto"/>
        <w:jc w:val="both"/>
        <w:rPr>
          <w:color w:val="000000"/>
          <w:lang w:eastAsia="sk-SK"/>
        </w:rPr>
      </w:pPr>
      <w:r w:rsidRPr="001B378C">
        <w:rPr>
          <w:bCs/>
        </w:rPr>
        <w:t>Smernica 2014/59/EÚ bola prebratá do zákona č. 371/2014 Z. z. o riešení krízových situácií na finančnom trhu o zmene a doplnení niektorých zákonov v znení neskorších predpisov, do zákona č. 483/2001 Z. z. o bankách a o zmene a doplnení niektorých zákonov v znení neskorších predpisov, do zákona č. 566/2001 Z. z. o cenných papieroch a investičných službách a o zmene a doplnení niektorých zákonov (zákon o cenných papieroch) v znení neskorších predpisov</w:t>
      </w:r>
      <w:r>
        <w:rPr>
          <w:bCs/>
        </w:rPr>
        <w:t xml:space="preserve">, </w:t>
      </w:r>
      <w:r>
        <w:rPr>
          <w:rFonts w:ascii="Times" w:hAnsi="Times" w:cs="Times"/>
          <w:sz w:val="25"/>
          <w:szCs w:val="25"/>
        </w:rPr>
        <w:t>do zákona Národnej rady Slovenskej republiky č. 118/1996 Z. z. o ochrane vkladov a o zmene a doplnení niektorých zákonov v znení neskorších predpisov, do zákona č. 747/2004 Z. z. o dohľade nad finančným trhom a o zmene a doplnení niektorých zákonov v znení neskorších predpisov a do zákona č. 7/2005 Z. z. o konkurze a reštrukturalizácii a o zmene a doplnení niektorých zákonov v znení neskorších predpisov</w:t>
      </w:r>
      <w:r w:rsidRPr="001B378C">
        <w:t>.</w:t>
      </w:r>
    </w:p>
    <w:p w:rsidR="00A915BD" w:rsidRPr="001B378C" w:rsidRDefault="00A915BD" w:rsidP="00A915BD">
      <w:pPr>
        <w:spacing w:line="276" w:lineRule="auto"/>
        <w:jc w:val="both"/>
        <w:rPr>
          <w:color w:val="000000"/>
          <w:lang w:eastAsia="sk-SK"/>
        </w:rPr>
      </w:pPr>
    </w:p>
    <w:p w:rsidR="00A915BD" w:rsidRPr="001B378C" w:rsidRDefault="00A915BD" w:rsidP="00A915BD">
      <w:pPr>
        <w:pStyle w:val="Odsekzoznamu"/>
        <w:numPr>
          <w:ilvl w:val="0"/>
          <w:numId w:val="14"/>
        </w:numPr>
        <w:spacing w:line="276" w:lineRule="auto"/>
        <w:ind w:left="426" w:hanging="426"/>
        <w:rPr>
          <w:color w:val="000000"/>
          <w:sz w:val="27"/>
          <w:szCs w:val="27"/>
          <w:lang w:eastAsia="sk-SK"/>
        </w:rPr>
      </w:pPr>
      <w:r w:rsidRPr="001B378C">
        <w:rPr>
          <w:b/>
          <w:bCs/>
          <w:color w:val="000000"/>
          <w:lang w:eastAsia="sk-SK"/>
        </w:rPr>
        <w:t>Návrh zákona je zlučiteľný s právom Európskej únie:</w:t>
      </w:r>
    </w:p>
    <w:p w:rsidR="00A915BD" w:rsidRPr="001B378C" w:rsidRDefault="00A915BD" w:rsidP="00A915BD">
      <w:pPr>
        <w:pStyle w:val="Odsekzoznamu"/>
        <w:numPr>
          <w:ilvl w:val="0"/>
          <w:numId w:val="18"/>
        </w:numPr>
        <w:spacing w:line="276" w:lineRule="auto"/>
        <w:jc w:val="both"/>
        <w:rPr>
          <w:color w:val="000000"/>
          <w:lang w:eastAsia="sk-SK"/>
        </w:rPr>
      </w:pPr>
      <w:r w:rsidRPr="001B378C">
        <w:rPr>
          <w:color w:val="000000"/>
          <w:lang w:eastAsia="sk-SK"/>
        </w:rPr>
        <w:t>úplne.</w:t>
      </w:r>
    </w:p>
    <w:p w:rsidR="00A915BD" w:rsidRPr="00FC287C" w:rsidRDefault="00A915BD" w:rsidP="00A915BD">
      <w:pPr>
        <w:spacing w:line="276" w:lineRule="auto"/>
      </w:pPr>
    </w:p>
    <w:p w:rsidR="00A915BD" w:rsidRDefault="00A915BD" w:rsidP="00A915BD">
      <w:pPr>
        <w:spacing w:after="200" w:line="276" w:lineRule="auto"/>
      </w:pPr>
      <w:r>
        <w:br w:type="page"/>
      </w:r>
    </w:p>
    <w:p w:rsidR="00A915BD" w:rsidRPr="00C34B2F" w:rsidRDefault="00A915BD" w:rsidP="00A915BD">
      <w:pPr>
        <w:spacing w:line="276" w:lineRule="auto"/>
        <w:jc w:val="center"/>
        <w:rPr>
          <w:color w:val="000000"/>
          <w:lang w:eastAsia="sk-SK"/>
        </w:rPr>
      </w:pPr>
      <w:r w:rsidRPr="00C34B2F">
        <w:rPr>
          <w:b/>
          <w:bCs/>
          <w:color w:val="000000"/>
          <w:lang w:eastAsia="sk-SK"/>
        </w:rPr>
        <w:lastRenderedPageBreak/>
        <w:t xml:space="preserve">Dôvodová správa </w:t>
      </w:r>
    </w:p>
    <w:p w:rsidR="00A915BD" w:rsidRPr="00C34B2F" w:rsidRDefault="00A915BD" w:rsidP="00A915BD">
      <w:pPr>
        <w:spacing w:line="276" w:lineRule="auto"/>
        <w:jc w:val="both"/>
        <w:rPr>
          <w:b/>
          <w:bCs/>
          <w:color w:val="000000"/>
          <w:lang w:eastAsia="sk-SK"/>
        </w:rPr>
      </w:pPr>
    </w:p>
    <w:p w:rsidR="00A915BD" w:rsidRPr="00C34B2F" w:rsidRDefault="00A915BD" w:rsidP="00A915BD">
      <w:pPr>
        <w:spacing w:line="276" w:lineRule="auto"/>
        <w:jc w:val="both"/>
        <w:rPr>
          <w:color w:val="000000"/>
          <w:lang w:eastAsia="sk-SK"/>
        </w:rPr>
      </w:pPr>
      <w:r w:rsidRPr="00C34B2F">
        <w:rPr>
          <w:b/>
          <w:bCs/>
          <w:color w:val="000000"/>
          <w:lang w:eastAsia="sk-SK"/>
        </w:rPr>
        <w:t>Osobitná časť</w:t>
      </w:r>
    </w:p>
    <w:p w:rsidR="00A915BD" w:rsidRPr="00C34B2F" w:rsidRDefault="00A915BD" w:rsidP="00A915BD">
      <w:pPr>
        <w:spacing w:line="276" w:lineRule="auto"/>
        <w:rPr>
          <w:b/>
        </w:rPr>
      </w:pPr>
    </w:p>
    <w:p w:rsidR="00A915BD" w:rsidRPr="00C34B2F" w:rsidRDefault="00A915BD" w:rsidP="00A915BD">
      <w:pPr>
        <w:spacing w:line="276" w:lineRule="auto"/>
        <w:rPr>
          <w:b/>
        </w:rPr>
      </w:pPr>
      <w:r w:rsidRPr="00C34B2F">
        <w:rPr>
          <w:b/>
        </w:rPr>
        <w:t>Čl. I.</w:t>
      </w:r>
    </w:p>
    <w:p w:rsidR="00A915BD" w:rsidRPr="00C34B2F" w:rsidRDefault="00A915BD" w:rsidP="00A915BD">
      <w:pPr>
        <w:spacing w:line="276" w:lineRule="auto"/>
      </w:pPr>
      <w:r w:rsidRPr="00C34B2F">
        <w:t xml:space="preserve">K bodu 1 </w:t>
      </w:r>
    </w:p>
    <w:p w:rsidR="00A915BD" w:rsidRPr="00C34B2F" w:rsidRDefault="00A915BD" w:rsidP="00A915BD">
      <w:pPr>
        <w:spacing w:line="276" w:lineRule="auto"/>
        <w:jc w:val="both"/>
      </w:pPr>
      <w:r w:rsidRPr="00C34B2F">
        <w:t>Ide o doplnenie definície, ktorou sa transponuje novodoplnený čl. 2 ods. 1, bod 5a smernice (EÚ) 2019/879.</w:t>
      </w:r>
    </w:p>
    <w:p w:rsidR="00A915BD" w:rsidRPr="00C34B2F" w:rsidRDefault="00A915BD" w:rsidP="00A915BD">
      <w:pPr>
        <w:spacing w:line="276" w:lineRule="auto"/>
      </w:pPr>
    </w:p>
    <w:p w:rsidR="00A915BD" w:rsidRPr="00C34B2F" w:rsidRDefault="00A915BD" w:rsidP="00A915BD">
      <w:pPr>
        <w:spacing w:line="276" w:lineRule="auto"/>
      </w:pPr>
      <w:r w:rsidRPr="00C34B2F">
        <w:t xml:space="preserve">K bodu 2 </w:t>
      </w:r>
    </w:p>
    <w:p w:rsidR="00A915BD" w:rsidRPr="00C34B2F" w:rsidRDefault="00A915BD" w:rsidP="00A915BD">
      <w:pPr>
        <w:spacing w:line="276" w:lineRule="auto"/>
      </w:pPr>
      <w:r w:rsidRPr="00C34B2F">
        <w:t>Ide o doplnenie definície, ktorou sa transponuje novodoplnené ustanovenie čl. 2 ods. 1, bod 68a smernice (EÚ) 2019/879.</w:t>
      </w:r>
    </w:p>
    <w:p w:rsidR="00A915BD" w:rsidRPr="00C34B2F" w:rsidRDefault="00A915BD" w:rsidP="00A915BD">
      <w:pPr>
        <w:spacing w:line="276" w:lineRule="auto"/>
      </w:pPr>
    </w:p>
    <w:p w:rsidR="00A915BD" w:rsidRPr="00C34B2F" w:rsidRDefault="00A915BD" w:rsidP="00A915BD">
      <w:pPr>
        <w:spacing w:line="276" w:lineRule="auto"/>
      </w:pPr>
      <w:r w:rsidRPr="00C34B2F">
        <w:t xml:space="preserve">K bodom 3 a 4 </w:t>
      </w:r>
    </w:p>
    <w:p w:rsidR="00A915BD" w:rsidRPr="00C34B2F" w:rsidRDefault="00A915BD" w:rsidP="00A915BD">
      <w:pPr>
        <w:spacing w:line="276" w:lineRule="auto"/>
      </w:pPr>
      <w:r w:rsidRPr="00C34B2F">
        <w:t>Ide o doplnenie nových definícii, ktorými sa transponujú ustanovenia čl. 2 ods. 1, body 71a a 71b  smernice (EÚ) 2019/879.</w:t>
      </w:r>
    </w:p>
    <w:p w:rsidR="00A915BD" w:rsidRPr="00C34B2F" w:rsidRDefault="00A915BD" w:rsidP="00A915BD">
      <w:pPr>
        <w:spacing w:line="276" w:lineRule="auto"/>
      </w:pPr>
    </w:p>
    <w:p w:rsidR="00A915BD" w:rsidRPr="00C34B2F" w:rsidRDefault="00A915BD" w:rsidP="00A915BD">
      <w:pPr>
        <w:spacing w:line="276" w:lineRule="auto"/>
      </w:pPr>
      <w:r w:rsidRPr="00C34B2F">
        <w:t xml:space="preserve">K bodu 5 </w:t>
      </w:r>
    </w:p>
    <w:p w:rsidR="00A915BD" w:rsidRPr="00C34B2F" w:rsidRDefault="00A915BD" w:rsidP="00A915BD">
      <w:pPr>
        <w:spacing w:line="276" w:lineRule="auto"/>
        <w:jc w:val="both"/>
        <w:rPr>
          <w:bCs/>
        </w:rPr>
      </w:pPr>
      <w:r w:rsidRPr="00C34B2F">
        <w:rPr>
          <w:bCs/>
        </w:rPr>
        <w:t>Ide o transpozíciu čl. 2 ods. 1 bodov 83a, až 83c, 109</w:t>
      </w:r>
      <w:r w:rsidRPr="00C34B2F">
        <w:t xml:space="preserve"> smernice (EÚ) 2019/879</w:t>
      </w:r>
      <w:r w:rsidRPr="00C34B2F">
        <w:rPr>
          <w:bCs/>
        </w:rPr>
        <w:t>. Zavádza sa definícia rezolučného subjektu a rezolučnej skupiny.</w:t>
      </w:r>
    </w:p>
    <w:p w:rsidR="00A915BD" w:rsidRPr="00C34B2F" w:rsidRDefault="00A915BD" w:rsidP="00A915BD">
      <w:pPr>
        <w:spacing w:line="276" w:lineRule="auto"/>
        <w:rPr>
          <w:bCs/>
        </w:rPr>
      </w:pPr>
    </w:p>
    <w:p w:rsidR="00A915BD" w:rsidRPr="00C34B2F" w:rsidRDefault="00A915BD" w:rsidP="00A915BD">
      <w:pPr>
        <w:spacing w:line="276" w:lineRule="auto"/>
        <w:rPr>
          <w:bCs/>
        </w:rPr>
      </w:pPr>
      <w:r w:rsidRPr="00C34B2F">
        <w:rPr>
          <w:bCs/>
        </w:rPr>
        <w:t xml:space="preserve">K bodu 6 </w:t>
      </w:r>
    </w:p>
    <w:p w:rsidR="00A915BD" w:rsidRPr="00C34B2F" w:rsidRDefault="00A915BD" w:rsidP="00A915BD">
      <w:pPr>
        <w:spacing w:line="276" w:lineRule="auto"/>
        <w:jc w:val="both"/>
      </w:pPr>
      <w:r w:rsidRPr="00C34B2F">
        <w:rPr>
          <w:bCs/>
        </w:rPr>
        <w:t>Pôvodné ustanovenie sa vypúšťa z dôvodu nesúladu s čl. 45 ods. 10 písm. b) smernice 2014/59/EÚ v platnom znení. Nové znenie § 5 ods. 6 reaguje na potrebu praktickej úpravy oprávnení súvisiacich s fungovaním Rady pre riešenie krízových situácií vo vzťahu k Jednotnej rade podľa čl. 42 nariadenia (EÚ) č. 806/2014. Jednotnú radu tvoria zástupcovia jednotlivých členských štátov. Podľa čl.43 ods. 1 písm. c) nariadenia (EÚ) č. 806/2014 každý členský štát vymenuje člena Jednotnej rady, ktorý zastupuje jeho vnútroštátne orgány pre riešenie krízových situácií v Jednotnej rade. Ku dňu predloženia návrhu zákona je členom v Jednotnej rade predseda rady, ktorý podľa § 6 ods. 1 zákona vykonáva činnosť štatutárneho orgánu. Uvedený stav nezohľadňuje potrebu pružného a flexibilného fungovania rady a preto navrhujeme, aby týmto zástupcom mohol byť aj iný člen rady, najmä výkonný člen rady, ak sa na tom zhodne rada v pléne.       </w:t>
      </w:r>
    </w:p>
    <w:p w:rsidR="00A915BD" w:rsidRPr="00C34B2F" w:rsidRDefault="00A915BD" w:rsidP="00A915BD">
      <w:pPr>
        <w:spacing w:line="276" w:lineRule="auto"/>
        <w:jc w:val="both"/>
        <w:rPr>
          <w:bCs/>
        </w:rPr>
      </w:pPr>
    </w:p>
    <w:p w:rsidR="00A915BD" w:rsidRPr="00C34B2F" w:rsidRDefault="00A915BD" w:rsidP="00A915BD">
      <w:pPr>
        <w:spacing w:line="276" w:lineRule="auto"/>
        <w:jc w:val="both"/>
        <w:rPr>
          <w:bCs/>
        </w:rPr>
      </w:pPr>
      <w:r w:rsidRPr="00C34B2F">
        <w:rPr>
          <w:bCs/>
        </w:rPr>
        <w:t xml:space="preserve">K bodu 7 </w:t>
      </w:r>
    </w:p>
    <w:p w:rsidR="00A915BD" w:rsidRPr="00C34B2F" w:rsidRDefault="00A915BD" w:rsidP="00A915BD">
      <w:pPr>
        <w:spacing w:line="276" w:lineRule="auto"/>
        <w:jc w:val="both"/>
      </w:pPr>
      <w:r w:rsidRPr="00C34B2F">
        <w:t>Ide o legislatívno-technickú zmenu, ide o zadefinovanie pojmu „minimálna požiadavka“.</w:t>
      </w:r>
    </w:p>
    <w:p w:rsidR="00A915BD" w:rsidRPr="00C34B2F" w:rsidRDefault="00A915BD" w:rsidP="00A915BD">
      <w:pPr>
        <w:spacing w:line="276" w:lineRule="auto"/>
        <w:jc w:val="both"/>
        <w:rPr>
          <w:bCs/>
        </w:rPr>
      </w:pPr>
    </w:p>
    <w:p w:rsidR="00A915BD" w:rsidRPr="00C34B2F" w:rsidRDefault="00A915BD" w:rsidP="00A915BD">
      <w:pPr>
        <w:spacing w:line="276" w:lineRule="auto"/>
        <w:jc w:val="both"/>
        <w:rPr>
          <w:bCs/>
        </w:rPr>
      </w:pPr>
      <w:r w:rsidRPr="00C34B2F">
        <w:rPr>
          <w:bCs/>
        </w:rPr>
        <w:t>K bodu 8</w:t>
      </w:r>
    </w:p>
    <w:p w:rsidR="00A915BD" w:rsidRPr="00C34B2F" w:rsidRDefault="00A915BD" w:rsidP="00A915BD">
      <w:pPr>
        <w:pStyle w:val="TableContents"/>
        <w:spacing w:line="276" w:lineRule="auto"/>
        <w:jc w:val="both"/>
        <w:rPr>
          <w:rFonts w:eastAsiaTheme="minorEastAsia" w:cs="Times New Roman"/>
          <w:bCs/>
        </w:rPr>
      </w:pPr>
      <w:r w:rsidRPr="00C34B2F">
        <w:rPr>
          <w:rFonts w:eastAsiaTheme="minorEastAsia" w:cs="Times New Roman"/>
          <w:bCs/>
        </w:rPr>
        <w:t>Ide o transpozíciu čl. 33a</w:t>
      </w:r>
      <w:r w:rsidRPr="00C34B2F">
        <w:rPr>
          <w:rFonts w:cs="Times New Roman"/>
        </w:rPr>
        <w:t xml:space="preserve"> smernice (EÚ) 2019/879</w:t>
      </w:r>
      <w:r w:rsidRPr="00C34B2F">
        <w:rPr>
          <w:rFonts w:eastAsiaTheme="minorEastAsia" w:cs="Times New Roman"/>
          <w:bCs/>
        </w:rPr>
        <w:t xml:space="preserve">. Navrhované ustanovenia rozširujú právomoci rady o oprávnenie vydať rozhodnutie na základe, ktorého dôjde k pozastaveniu niektorých platieb alebo povinností zo zmlúv, ktorých zmluvnou stranou je vybraná inštitúcia alebo osoba podľa § 1 ods. 1 písm. b) až d) zákona, a to v čase pred začatím rezolučného konania. Navrhované moratórium môže byť stanovené len na obmedzený čas, a to od okamihu určenia, že vybraná inštitúcia zlyháva alebo pravdepodobne zlyhá, ak nie je okamžite dostupné </w:t>
      </w:r>
      <w:r w:rsidRPr="00C34B2F">
        <w:rPr>
          <w:rFonts w:eastAsiaTheme="minorEastAsia" w:cs="Times New Roman"/>
          <w:bCs/>
        </w:rPr>
        <w:lastRenderedPageBreak/>
        <w:t>opatrenie súkromného sektora, ktoré by podľa rady zabránilo zlyhaniu inštitúcie alebo osoby podľa ods. § 1 ods. 3 v primeranom časovom rámci, a ak sa využitie tejto právomoci považuje za potrebné na to, aby sa zabránilo ďalšiemu zhoršovaniu finančnej situácie inštitúcie alebo osoby podľa § 1 ods. 3 písm. b) až d) zákona. Opatrením súkromného sektore sa rozumie akékoľvek akcia so strany súkromného sektoru,  ktorej vykonaním by bolo možné odvrátiť zlyhanie inštitúcie napr. poskytnutie úveru inou inštitúciou, prevzatie časti portfólia, predaj časti podniku a pod. vrátane opatrení systému inštitucionálneho zabezpečenia.  Výkon právomoci pozastaviť niektoré zmluvné záväzky má pomôcť rade pri rozhodovaní, či je vyriešenie krízovej situácie vo verejnom záujme, aký rezolučný nástroj má na riešenie krízovej situácie použiť, a pri zabezpečení účinného uplatnenia jedného alebo viacerých rezolučných nástrojov. Obdobie moratória je obmedzené na najviac dva pracovné dni.</w:t>
      </w:r>
    </w:p>
    <w:p w:rsidR="00A915BD" w:rsidRPr="00C34B2F" w:rsidRDefault="00A915BD" w:rsidP="00A915BD">
      <w:pPr>
        <w:pStyle w:val="TableContents"/>
        <w:spacing w:line="276" w:lineRule="auto"/>
        <w:jc w:val="both"/>
        <w:rPr>
          <w:rFonts w:eastAsiaTheme="minorEastAsia" w:cs="Times New Roman"/>
          <w:bCs/>
        </w:rPr>
      </w:pPr>
      <w:r w:rsidRPr="00C34B2F">
        <w:rPr>
          <w:rFonts w:eastAsiaTheme="minorEastAsia" w:cs="Times New Roman"/>
          <w:bCs/>
        </w:rPr>
        <w:t xml:space="preserve">Právomoc pozastaviť určité zmluvné záväzky je rada povinná uplatňovať primerane s ohľadom na okolnosti každého individuálneho prípadu. Rada je tiež povinná jednoznačne vymedziť rozsah v akom majú byť zmluvné záväzky pozastavené. </w:t>
      </w:r>
    </w:p>
    <w:p w:rsidR="00A915BD" w:rsidRPr="00C34B2F" w:rsidRDefault="00A915BD" w:rsidP="00A915BD">
      <w:pPr>
        <w:pStyle w:val="TableContents"/>
        <w:spacing w:line="276" w:lineRule="auto"/>
        <w:jc w:val="both"/>
        <w:rPr>
          <w:rFonts w:eastAsiaTheme="minorEastAsia" w:cs="Times New Roman"/>
          <w:bCs/>
        </w:rPr>
      </w:pPr>
      <w:r w:rsidRPr="00C34B2F">
        <w:rPr>
          <w:rFonts w:eastAsiaTheme="minorEastAsia" w:cs="Times New Roman"/>
          <w:bCs/>
        </w:rPr>
        <w:t xml:space="preserve">Návrh ustanovenia § 8a ods. 2 jednoznačne stanovuje, ktoré plnenia sú vylúčené z právomoci rady pozastaviť určité zmluvné záväzky. </w:t>
      </w:r>
    </w:p>
    <w:p w:rsidR="00A915BD" w:rsidRPr="00C34B2F" w:rsidRDefault="00A915BD" w:rsidP="00A915BD">
      <w:pPr>
        <w:pStyle w:val="TableContents"/>
        <w:spacing w:line="276" w:lineRule="auto"/>
        <w:jc w:val="both"/>
        <w:rPr>
          <w:rFonts w:eastAsiaTheme="minorEastAsia" w:cs="Times New Roman"/>
          <w:bCs/>
        </w:rPr>
      </w:pPr>
      <w:r w:rsidRPr="00C34B2F">
        <w:rPr>
          <w:rFonts w:eastAsiaTheme="minorEastAsia" w:cs="Times New Roman"/>
          <w:bCs/>
        </w:rPr>
        <w:t>Ak sa má pozastavenie plnenia vzťahovať na chránené vklady,  osobitne na kryté vklady, rada je povinná mimoriadne starostlivo posúdiť vhodnosť uplatnenia uvedenej právomoci, najmä s ohľadom na riziko vážneho narušenia fungovania finančných trhov. Ak sa právomoc pozastaviť určité zmluvné záväzky vykoná vo vzťahu ku krytým vkladom, tieto sa nepovažujú za nedostupné na účely podľa zákona o ochrane vkladov. V snahe predísť finančným ťažkostiam vkladateľov sa rade ukladá oprávnenie určiť výšku sumy, ktorá bude pre vkladateľov dostupná na dennej báze.</w:t>
      </w:r>
    </w:p>
    <w:p w:rsidR="00A915BD" w:rsidRPr="00C34B2F" w:rsidRDefault="00A915BD" w:rsidP="00A915BD">
      <w:pPr>
        <w:pStyle w:val="TableContents"/>
        <w:spacing w:line="276" w:lineRule="auto"/>
        <w:jc w:val="both"/>
        <w:rPr>
          <w:rFonts w:eastAsiaTheme="minorEastAsia" w:cs="Times New Roman"/>
          <w:bCs/>
        </w:rPr>
      </w:pPr>
    </w:p>
    <w:p w:rsidR="00A915BD" w:rsidRPr="00C34B2F" w:rsidRDefault="00A915BD" w:rsidP="00A915BD">
      <w:pPr>
        <w:spacing w:line="276" w:lineRule="auto"/>
        <w:jc w:val="both"/>
      </w:pPr>
      <w:r w:rsidRPr="00C34B2F">
        <w:t xml:space="preserve">K bodom 9 a 10 </w:t>
      </w:r>
    </w:p>
    <w:p w:rsidR="00A915BD" w:rsidRPr="00C34B2F" w:rsidRDefault="00A915BD" w:rsidP="00A915BD">
      <w:pPr>
        <w:spacing w:line="276" w:lineRule="auto"/>
        <w:jc w:val="both"/>
      </w:pPr>
      <w:r w:rsidRPr="00C34B2F">
        <w:t>Ide o transpozíciu čl. 63 ods. 1 smernice (EÚ) 2019/879, upravujú sa definície.</w:t>
      </w:r>
    </w:p>
    <w:p w:rsidR="00A915BD" w:rsidRPr="00C34B2F" w:rsidRDefault="00A915BD" w:rsidP="00A915BD">
      <w:pPr>
        <w:spacing w:line="276" w:lineRule="auto"/>
        <w:jc w:val="both"/>
      </w:pPr>
    </w:p>
    <w:p w:rsidR="00A915BD" w:rsidRPr="00C34B2F" w:rsidRDefault="00A915BD" w:rsidP="00A915BD">
      <w:pPr>
        <w:spacing w:line="276" w:lineRule="auto"/>
        <w:jc w:val="both"/>
      </w:pPr>
      <w:r w:rsidRPr="00C34B2F">
        <w:t xml:space="preserve">K bodu 11 </w:t>
      </w:r>
    </w:p>
    <w:p w:rsidR="00A915BD" w:rsidRPr="00C34B2F" w:rsidRDefault="00A915BD" w:rsidP="00A915BD">
      <w:pPr>
        <w:spacing w:line="276" w:lineRule="auto"/>
        <w:jc w:val="both"/>
      </w:pPr>
      <w:r w:rsidRPr="00C34B2F">
        <w:t>Ide o transpozíciu čl. 68 ods. 3 smernice (EÚ) 2019/879, ide o zmenu pojmoslovia.</w:t>
      </w:r>
    </w:p>
    <w:p w:rsidR="00A915BD" w:rsidRPr="00C34B2F" w:rsidRDefault="00A915BD" w:rsidP="00A915BD">
      <w:pPr>
        <w:spacing w:line="276" w:lineRule="auto"/>
        <w:jc w:val="both"/>
      </w:pPr>
    </w:p>
    <w:p w:rsidR="00A915BD" w:rsidRPr="00C34B2F" w:rsidRDefault="00A915BD" w:rsidP="00A915BD">
      <w:pPr>
        <w:spacing w:line="276" w:lineRule="auto"/>
        <w:jc w:val="both"/>
      </w:pPr>
      <w:r w:rsidRPr="00C34B2F">
        <w:t>K bodu 12</w:t>
      </w:r>
    </w:p>
    <w:p w:rsidR="00A915BD" w:rsidRPr="00C34B2F" w:rsidRDefault="00A915BD" w:rsidP="00A915BD">
      <w:pPr>
        <w:spacing w:line="276" w:lineRule="auto"/>
        <w:jc w:val="both"/>
      </w:pPr>
      <w:r w:rsidRPr="00C34B2F">
        <w:t>Ide o transpozíciu čl. 68 ods. 5 smernice (EÚ) 2019/879.</w:t>
      </w:r>
    </w:p>
    <w:p w:rsidR="00A915BD" w:rsidRPr="00C34B2F" w:rsidRDefault="00A915BD" w:rsidP="00A915BD">
      <w:pPr>
        <w:spacing w:line="276" w:lineRule="auto"/>
        <w:jc w:val="both"/>
      </w:pPr>
    </w:p>
    <w:p w:rsidR="00A915BD" w:rsidRPr="00C34B2F" w:rsidRDefault="00A915BD" w:rsidP="00A915BD">
      <w:pPr>
        <w:spacing w:line="276" w:lineRule="auto"/>
        <w:jc w:val="both"/>
      </w:pPr>
      <w:r w:rsidRPr="00C34B2F">
        <w:t xml:space="preserve">K bodu 13 </w:t>
      </w:r>
    </w:p>
    <w:p w:rsidR="00A915BD" w:rsidRPr="00C34B2F" w:rsidRDefault="00A915BD" w:rsidP="00A915BD">
      <w:pPr>
        <w:spacing w:line="276" w:lineRule="auto"/>
        <w:jc w:val="both"/>
      </w:pPr>
      <w:r w:rsidRPr="00C34B2F">
        <w:t>Ide o legislatívno-technickú zmenu, upravujú sa odkazy.</w:t>
      </w:r>
    </w:p>
    <w:p w:rsidR="00A915BD" w:rsidRPr="00C34B2F" w:rsidRDefault="00A915BD" w:rsidP="00A915BD">
      <w:pPr>
        <w:spacing w:line="276" w:lineRule="auto"/>
        <w:jc w:val="both"/>
      </w:pPr>
    </w:p>
    <w:p w:rsidR="00A915BD" w:rsidRPr="00C34B2F" w:rsidRDefault="00A915BD" w:rsidP="00A915BD">
      <w:pPr>
        <w:spacing w:line="276" w:lineRule="auto"/>
        <w:jc w:val="both"/>
      </w:pPr>
      <w:r w:rsidRPr="00C34B2F">
        <w:t xml:space="preserve">K bodu 14 </w:t>
      </w:r>
    </w:p>
    <w:p w:rsidR="00A915BD" w:rsidRPr="00C34B2F" w:rsidRDefault="00A915BD" w:rsidP="00A915BD">
      <w:pPr>
        <w:spacing w:line="276" w:lineRule="auto"/>
        <w:jc w:val="both"/>
      </w:pPr>
      <w:r w:rsidRPr="00C34B2F">
        <w:t>Ide o legislatívno-technickú zmenu, ide o zmenu pojmoslovia.</w:t>
      </w:r>
    </w:p>
    <w:p w:rsidR="00A915BD" w:rsidRPr="00C34B2F" w:rsidRDefault="00A915BD" w:rsidP="00A915BD">
      <w:pPr>
        <w:spacing w:line="276" w:lineRule="auto"/>
        <w:jc w:val="both"/>
      </w:pPr>
    </w:p>
    <w:p w:rsidR="00A915BD" w:rsidRPr="00C34B2F" w:rsidRDefault="00A915BD" w:rsidP="00A915BD">
      <w:pPr>
        <w:spacing w:line="276" w:lineRule="auto"/>
        <w:jc w:val="both"/>
      </w:pPr>
      <w:r w:rsidRPr="00C34B2F">
        <w:t>K bodu 15</w:t>
      </w:r>
    </w:p>
    <w:p w:rsidR="00A915BD" w:rsidRPr="00C34B2F" w:rsidRDefault="00A915BD" w:rsidP="00A915BD">
      <w:pPr>
        <w:spacing w:line="276" w:lineRule="auto"/>
        <w:jc w:val="both"/>
      </w:pPr>
      <w:r w:rsidRPr="00C34B2F">
        <w:t>Vložené ustanovenie slúži na podporu výkonu kapitalizácie vo vzťahu k infraštruktúram finančného trhu.</w:t>
      </w:r>
    </w:p>
    <w:p w:rsidR="00A915BD" w:rsidRPr="00C34B2F" w:rsidRDefault="00A915BD" w:rsidP="00A915BD">
      <w:pPr>
        <w:spacing w:line="276" w:lineRule="auto"/>
        <w:jc w:val="both"/>
      </w:pPr>
    </w:p>
    <w:p w:rsidR="00A915BD" w:rsidRPr="00C34B2F" w:rsidRDefault="00A915BD" w:rsidP="00A915BD">
      <w:pPr>
        <w:spacing w:line="276" w:lineRule="auto"/>
        <w:jc w:val="both"/>
      </w:pPr>
      <w:r w:rsidRPr="00C34B2F">
        <w:t xml:space="preserve">K bodu 16 </w:t>
      </w:r>
    </w:p>
    <w:p w:rsidR="00A915BD" w:rsidRPr="00C34B2F" w:rsidRDefault="00A915BD" w:rsidP="00A915BD">
      <w:pPr>
        <w:spacing w:line="276" w:lineRule="auto"/>
        <w:jc w:val="both"/>
      </w:pPr>
      <w:bookmarkStart w:id="8" w:name="_Hlk34124554"/>
      <w:r w:rsidRPr="00C34B2F">
        <w:lastRenderedPageBreak/>
        <w:t>Ide o transpozíciu čl. 69</w:t>
      </w:r>
      <w:bookmarkEnd w:id="8"/>
      <w:r w:rsidRPr="00C34B2F">
        <w:t xml:space="preserve"> smernice (EÚ) 2019/879, upravujú sa definície.</w:t>
      </w:r>
    </w:p>
    <w:p w:rsidR="00A915BD" w:rsidRPr="00C34B2F" w:rsidRDefault="00A915BD" w:rsidP="00A915BD">
      <w:pPr>
        <w:spacing w:line="276" w:lineRule="auto"/>
        <w:jc w:val="both"/>
      </w:pPr>
    </w:p>
    <w:p w:rsidR="00A915BD" w:rsidRPr="00C34B2F" w:rsidRDefault="00A915BD" w:rsidP="00A915BD">
      <w:pPr>
        <w:spacing w:line="276" w:lineRule="auto"/>
        <w:jc w:val="both"/>
      </w:pPr>
      <w:r w:rsidRPr="00C34B2F">
        <w:t xml:space="preserve">K bodu 17 </w:t>
      </w:r>
    </w:p>
    <w:p w:rsidR="00A915BD" w:rsidRPr="00C34B2F" w:rsidRDefault="00A915BD" w:rsidP="00A915BD">
      <w:pPr>
        <w:spacing w:line="276" w:lineRule="auto"/>
        <w:jc w:val="both"/>
      </w:pPr>
      <w:r w:rsidRPr="00C34B2F">
        <w:t>Ide o legislatívno-technickú zmenu, ide o nahradenie a vypustenie niektorých slov.</w:t>
      </w:r>
    </w:p>
    <w:p w:rsidR="00A915BD" w:rsidRPr="00C34B2F" w:rsidRDefault="00A915BD" w:rsidP="00A915BD">
      <w:pPr>
        <w:spacing w:line="276" w:lineRule="auto"/>
        <w:jc w:val="both"/>
      </w:pPr>
    </w:p>
    <w:p w:rsidR="00A915BD" w:rsidRPr="00C34B2F" w:rsidRDefault="00A915BD" w:rsidP="00A915BD">
      <w:pPr>
        <w:spacing w:line="276" w:lineRule="auto"/>
        <w:jc w:val="both"/>
      </w:pPr>
      <w:r w:rsidRPr="00C34B2F">
        <w:t xml:space="preserve">K bodu 18 </w:t>
      </w:r>
    </w:p>
    <w:p w:rsidR="00A915BD" w:rsidRPr="00C34B2F" w:rsidRDefault="00A915BD" w:rsidP="00A915BD">
      <w:pPr>
        <w:spacing w:line="276" w:lineRule="auto"/>
        <w:jc w:val="both"/>
      </w:pPr>
      <w:bookmarkStart w:id="9" w:name="_Hlk34123661"/>
      <w:r w:rsidRPr="00C34B2F">
        <w:t xml:space="preserve">Ide o transpozíciu čl. 69 smernice (EÚ) 2019/879, </w:t>
      </w:r>
      <w:bookmarkEnd w:id="9"/>
      <w:r w:rsidRPr="00C34B2F">
        <w:t>špecifikujú sa obmedzenia právomoci rady odložiť plnenie niektorých záväzkov.</w:t>
      </w:r>
    </w:p>
    <w:p w:rsidR="00A915BD" w:rsidRPr="00C34B2F" w:rsidRDefault="00A915BD" w:rsidP="00A915BD">
      <w:pPr>
        <w:spacing w:line="276" w:lineRule="auto"/>
        <w:jc w:val="both"/>
      </w:pPr>
    </w:p>
    <w:p w:rsidR="00A915BD" w:rsidRPr="00C34B2F" w:rsidRDefault="00A915BD" w:rsidP="00A915BD">
      <w:pPr>
        <w:spacing w:line="276" w:lineRule="auto"/>
        <w:jc w:val="both"/>
      </w:pPr>
      <w:r w:rsidRPr="00C34B2F">
        <w:t xml:space="preserve">K bodu 19 </w:t>
      </w:r>
    </w:p>
    <w:p w:rsidR="00A915BD" w:rsidRPr="00C34B2F" w:rsidRDefault="00A915BD" w:rsidP="00A915BD">
      <w:pPr>
        <w:spacing w:line="276" w:lineRule="auto"/>
        <w:jc w:val="both"/>
      </w:pPr>
      <w:bookmarkStart w:id="10" w:name="_Hlk34123526"/>
      <w:r w:rsidRPr="00C34B2F">
        <w:t>Ide o transpozíciu čl. 70 ods. 2</w:t>
      </w:r>
      <w:bookmarkEnd w:id="10"/>
      <w:r w:rsidRPr="00C34B2F">
        <w:t xml:space="preserve"> smernice (EÚ) 2019/879, špecifikujú sa obmedzenia právomoci obmedziť výkon zabezpečovacích práv. </w:t>
      </w:r>
    </w:p>
    <w:p w:rsidR="00A915BD" w:rsidRPr="00C34B2F" w:rsidRDefault="00A915BD" w:rsidP="00A915BD">
      <w:pPr>
        <w:spacing w:line="276" w:lineRule="auto"/>
        <w:jc w:val="both"/>
      </w:pPr>
    </w:p>
    <w:p w:rsidR="00A915BD" w:rsidRPr="00C34B2F" w:rsidRDefault="00A915BD" w:rsidP="00A915BD">
      <w:pPr>
        <w:spacing w:line="276" w:lineRule="auto"/>
        <w:jc w:val="both"/>
      </w:pPr>
      <w:r w:rsidRPr="00C34B2F">
        <w:t xml:space="preserve">K bodu 20 </w:t>
      </w:r>
    </w:p>
    <w:p w:rsidR="00A915BD" w:rsidRPr="00C34B2F" w:rsidRDefault="00A915BD" w:rsidP="00A915BD">
      <w:pPr>
        <w:spacing w:line="276" w:lineRule="auto"/>
        <w:jc w:val="both"/>
      </w:pPr>
      <w:bookmarkStart w:id="11" w:name="_Hlk34124748"/>
      <w:bookmarkStart w:id="12" w:name="_Hlk34123370"/>
      <w:r w:rsidRPr="00C34B2F">
        <w:t>Ide o transpozíciu čl. 71 ods. 3</w:t>
      </w:r>
      <w:bookmarkEnd w:id="11"/>
      <w:r w:rsidRPr="00C34B2F">
        <w:t xml:space="preserve"> smernice (EÚ) 2019/879, špecifikujú sa výluku z uplatnenia pozastavenia. </w:t>
      </w:r>
    </w:p>
    <w:bookmarkEnd w:id="12"/>
    <w:p w:rsidR="00A915BD" w:rsidRPr="00C34B2F" w:rsidRDefault="00A915BD" w:rsidP="00A915BD">
      <w:pPr>
        <w:spacing w:line="276" w:lineRule="auto"/>
        <w:jc w:val="both"/>
      </w:pPr>
    </w:p>
    <w:p w:rsidR="00A915BD" w:rsidRPr="00C34B2F" w:rsidRDefault="00A915BD" w:rsidP="00A915BD">
      <w:pPr>
        <w:spacing w:line="276" w:lineRule="auto"/>
        <w:jc w:val="both"/>
      </w:pPr>
      <w:r w:rsidRPr="00C34B2F">
        <w:t xml:space="preserve">K bodu 21 </w:t>
      </w:r>
    </w:p>
    <w:p w:rsidR="00A915BD" w:rsidRPr="00C34B2F" w:rsidRDefault="00A915BD" w:rsidP="00A915BD">
      <w:pPr>
        <w:spacing w:line="276" w:lineRule="auto"/>
        <w:jc w:val="both"/>
      </w:pPr>
      <w:r w:rsidRPr="00C34B2F">
        <w:t>Ide o transpozíciu novo doplneného čl. 16a smernice (EÚ) 2019/879. Rada dostáva novú právomoc zakázať osobe podľa §1 ods. 3 zákona č. 371/2014 Z. z. o riešení krízových situácií na o riešení krízových situácií na finančnom trhu a o zmene a doplnení niektorých zákonov v znení neskorších predpisov ( ďalej len „zákon“) rozdeľovanie výnosov nad maximálnu rozdeliteľnú sumu. Táto právomoc má napomôcť tomu, aby osoba podľa § 1 ods. 3 zákona, ktorá nedodržiava požiadavku na kombinovaný vankúš ak sa posudzuje dodatočne k minimálnej požiadavke na vlastné zdroje a oprávnené záväzky (ďalej len „MREL“), čo najskôr začala opäť dodržiavať túto požiadavku. Pri výpočte maximálne rozdeliteľnej sumy sa znížením hodnoty maximálnej rozdeliteľnej sumy o sumu vyplývajúcu z úkonov uvedených v odseku 1 sa rozumie zníženie o sumu</w:t>
      </w:r>
      <w:r w:rsidRPr="00C34B2F">
        <w:rPr>
          <w:color w:val="444444"/>
          <w:sz w:val="27"/>
          <w:szCs w:val="27"/>
          <w:shd w:val="clear" w:color="auto" w:fill="FFFFFF"/>
        </w:rPr>
        <w:t xml:space="preserve"> </w:t>
      </w:r>
      <w:r w:rsidRPr="00C34B2F">
        <w:t>ktoréhokoľvek z opatrení uvedených v odseku 1 písm. a), b) alebo c).</w:t>
      </w:r>
    </w:p>
    <w:p w:rsidR="00A915BD" w:rsidRPr="00C34B2F" w:rsidRDefault="00A915BD" w:rsidP="00A915BD">
      <w:pPr>
        <w:spacing w:line="276" w:lineRule="auto"/>
      </w:pPr>
    </w:p>
    <w:p w:rsidR="00A915BD" w:rsidRPr="00C34B2F" w:rsidRDefault="00A915BD" w:rsidP="00A915BD">
      <w:pPr>
        <w:spacing w:line="276" w:lineRule="auto"/>
        <w:jc w:val="both"/>
      </w:pPr>
      <w:r w:rsidRPr="00C34B2F">
        <w:t xml:space="preserve">K bodu 22 </w:t>
      </w:r>
    </w:p>
    <w:p w:rsidR="00A915BD" w:rsidRPr="00C34B2F" w:rsidRDefault="00A915BD" w:rsidP="00A915BD">
      <w:pPr>
        <w:spacing w:line="276" w:lineRule="auto"/>
        <w:jc w:val="both"/>
      </w:pPr>
      <w:bookmarkStart w:id="13" w:name="_Hlk34123247"/>
      <w:r w:rsidRPr="00C34B2F">
        <w:t>Ide o transpozíciu čl. 71a</w:t>
      </w:r>
      <w:bookmarkEnd w:id="13"/>
      <w:r w:rsidRPr="00C34B2F">
        <w:t xml:space="preserve"> smernice (EÚ) 2019/879, vkladajú sa ustanovenia o právomoci prerušiť proces riešenia krízovej situácie. </w:t>
      </w:r>
    </w:p>
    <w:p w:rsidR="00A915BD" w:rsidRPr="00C34B2F" w:rsidRDefault="00A915BD" w:rsidP="00A915BD">
      <w:pPr>
        <w:spacing w:line="276" w:lineRule="auto"/>
        <w:jc w:val="both"/>
      </w:pPr>
    </w:p>
    <w:p w:rsidR="00A915BD" w:rsidRPr="00C34B2F" w:rsidRDefault="00A915BD" w:rsidP="00A915BD">
      <w:pPr>
        <w:spacing w:line="276" w:lineRule="auto"/>
      </w:pPr>
      <w:r w:rsidRPr="00C34B2F">
        <w:t>K bodu 23</w:t>
      </w:r>
    </w:p>
    <w:p w:rsidR="00A915BD" w:rsidRPr="00C34B2F" w:rsidRDefault="00A915BD" w:rsidP="00A915BD">
      <w:pPr>
        <w:spacing w:line="276" w:lineRule="auto"/>
        <w:jc w:val="both"/>
      </w:pPr>
      <w:r w:rsidRPr="00C34B2F">
        <w:t>Ide o transpozíciu čl. 66 ods. 4 smernice (EÚ) 2019/879, upravujú sa definície.</w:t>
      </w:r>
    </w:p>
    <w:p w:rsidR="00A915BD" w:rsidRPr="00C34B2F" w:rsidRDefault="00A915BD" w:rsidP="00A915BD">
      <w:pPr>
        <w:pStyle w:val="TableContents"/>
        <w:spacing w:line="276" w:lineRule="auto"/>
        <w:jc w:val="both"/>
        <w:rPr>
          <w:rFonts w:eastAsiaTheme="minorEastAsia" w:cs="Times New Roman"/>
          <w:bCs/>
        </w:rPr>
      </w:pPr>
    </w:p>
    <w:p w:rsidR="00A915BD" w:rsidRPr="00C34B2F" w:rsidRDefault="00A915BD" w:rsidP="00A915BD">
      <w:pPr>
        <w:pStyle w:val="TableContents"/>
        <w:spacing w:line="276" w:lineRule="auto"/>
        <w:jc w:val="both"/>
        <w:rPr>
          <w:rFonts w:eastAsiaTheme="minorEastAsia" w:cs="Times New Roman"/>
          <w:bCs/>
        </w:rPr>
      </w:pPr>
      <w:r w:rsidRPr="00C34B2F">
        <w:rPr>
          <w:rFonts w:eastAsiaTheme="minorEastAsia" w:cs="Times New Roman"/>
          <w:bCs/>
        </w:rPr>
        <w:t>K bodom 24 a 25</w:t>
      </w:r>
    </w:p>
    <w:p w:rsidR="00A915BD" w:rsidRPr="00C34B2F" w:rsidRDefault="00A915BD" w:rsidP="00A915BD">
      <w:pPr>
        <w:pStyle w:val="TableContents"/>
        <w:spacing w:line="276" w:lineRule="auto"/>
        <w:jc w:val="both"/>
        <w:rPr>
          <w:rFonts w:eastAsiaTheme="minorEastAsia" w:cs="Times New Roman"/>
          <w:bCs/>
        </w:rPr>
      </w:pPr>
      <w:r w:rsidRPr="00C34B2F">
        <w:rPr>
          <w:rFonts w:eastAsiaTheme="minorEastAsia" w:cs="Times New Roman"/>
          <w:bCs/>
        </w:rPr>
        <w:t xml:space="preserve">Ide o transpozičné ustanovenie. Transpozíciou čl. 10 ods. 6 </w:t>
      </w:r>
      <w:r w:rsidRPr="00C34B2F">
        <w:rPr>
          <w:rFonts w:cs="Times New Roman"/>
        </w:rPr>
        <w:t>smernice (EÚ) 2019/879</w:t>
      </w:r>
      <w:r w:rsidRPr="00C34B2F">
        <w:rPr>
          <w:rFonts w:eastAsiaTheme="minorEastAsia" w:cs="Times New Roman"/>
          <w:bCs/>
        </w:rPr>
        <w:t xml:space="preserve"> sa rozširujú dôvody pre aktualizovanie plánu, a to o nasledovné prípady. Vykonanie opatrenia na riešenie krízových situácií a vykonanie odpisu a konverzie kapitálových nástrojov.</w:t>
      </w:r>
    </w:p>
    <w:p w:rsidR="00A915BD" w:rsidRPr="00C34B2F" w:rsidRDefault="00A915BD" w:rsidP="00A915BD">
      <w:pPr>
        <w:pStyle w:val="TableContents"/>
        <w:spacing w:line="276" w:lineRule="auto"/>
        <w:jc w:val="both"/>
        <w:rPr>
          <w:rFonts w:eastAsiaTheme="minorEastAsia" w:cs="Times New Roman"/>
          <w:bCs/>
        </w:rPr>
      </w:pPr>
    </w:p>
    <w:p w:rsidR="00A915BD" w:rsidRPr="00C34B2F" w:rsidRDefault="00A915BD" w:rsidP="00A915BD">
      <w:pPr>
        <w:pStyle w:val="TableContents"/>
        <w:spacing w:line="276" w:lineRule="auto"/>
        <w:jc w:val="both"/>
        <w:rPr>
          <w:rFonts w:eastAsiaTheme="minorEastAsia" w:cs="Times New Roman"/>
          <w:bCs/>
        </w:rPr>
      </w:pPr>
      <w:r w:rsidRPr="00C34B2F">
        <w:rPr>
          <w:rFonts w:eastAsiaTheme="minorEastAsia" w:cs="Times New Roman"/>
          <w:bCs/>
        </w:rPr>
        <w:t xml:space="preserve">K bodu 26 </w:t>
      </w:r>
    </w:p>
    <w:p w:rsidR="00A915BD" w:rsidRPr="00C34B2F" w:rsidRDefault="00A915BD" w:rsidP="00A915BD">
      <w:pPr>
        <w:pStyle w:val="TableContents"/>
        <w:spacing w:line="276" w:lineRule="auto"/>
        <w:jc w:val="both"/>
        <w:rPr>
          <w:rFonts w:eastAsiaTheme="minorEastAsia" w:cs="Times New Roman"/>
          <w:bCs/>
        </w:rPr>
      </w:pPr>
      <w:r w:rsidRPr="00C34B2F">
        <w:rPr>
          <w:rFonts w:eastAsiaTheme="minorEastAsia" w:cs="Times New Roman"/>
          <w:bCs/>
        </w:rPr>
        <w:t>Ide o legislatívno-technickú zmenu, ide o zosúladenie pojmoslovia.</w:t>
      </w:r>
    </w:p>
    <w:p w:rsidR="00A915BD" w:rsidRPr="00C34B2F" w:rsidRDefault="00A915BD" w:rsidP="00A915BD">
      <w:pPr>
        <w:pStyle w:val="TableContents"/>
        <w:spacing w:line="276" w:lineRule="auto"/>
        <w:jc w:val="both"/>
        <w:rPr>
          <w:rFonts w:eastAsiaTheme="minorEastAsia" w:cs="Times New Roman"/>
          <w:bCs/>
        </w:rPr>
      </w:pPr>
    </w:p>
    <w:p w:rsidR="00A915BD" w:rsidRPr="00C34B2F" w:rsidRDefault="00A915BD" w:rsidP="00A915BD">
      <w:pPr>
        <w:pStyle w:val="TableContents"/>
        <w:spacing w:line="276" w:lineRule="auto"/>
        <w:jc w:val="both"/>
        <w:rPr>
          <w:rFonts w:eastAsiaTheme="minorEastAsia" w:cs="Times New Roman"/>
          <w:bCs/>
        </w:rPr>
      </w:pPr>
      <w:r w:rsidRPr="00C34B2F">
        <w:rPr>
          <w:rFonts w:eastAsiaTheme="minorEastAsia" w:cs="Times New Roman"/>
          <w:bCs/>
        </w:rPr>
        <w:t>K bodom 27 až 2</w:t>
      </w:r>
      <w:r>
        <w:rPr>
          <w:rFonts w:eastAsiaTheme="minorEastAsia" w:cs="Times New Roman"/>
          <w:bCs/>
        </w:rPr>
        <w:t>8</w:t>
      </w:r>
      <w:r w:rsidRPr="00C34B2F">
        <w:rPr>
          <w:rFonts w:eastAsiaTheme="minorEastAsia" w:cs="Times New Roman"/>
          <w:bCs/>
        </w:rPr>
        <w:t xml:space="preserve"> </w:t>
      </w:r>
    </w:p>
    <w:p w:rsidR="00A915BD" w:rsidRPr="00C34B2F" w:rsidRDefault="00A915BD" w:rsidP="00A915BD">
      <w:pPr>
        <w:pStyle w:val="TableContents"/>
        <w:spacing w:line="276" w:lineRule="auto"/>
        <w:jc w:val="both"/>
        <w:rPr>
          <w:rFonts w:eastAsiaTheme="minorEastAsia" w:cs="Times New Roman"/>
          <w:bCs/>
        </w:rPr>
      </w:pPr>
      <w:r w:rsidRPr="00C34B2F">
        <w:rPr>
          <w:rFonts w:eastAsiaTheme="minorEastAsia" w:cs="Times New Roman"/>
          <w:bCs/>
        </w:rPr>
        <w:t>Ide o transpozíciu zmien v čl. 17</w:t>
      </w:r>
      <w:r w:rsidRPr="00C34B2F">
        <w:rPr>
          <w:rFonts w:cs="Times New Roman"/>
        </w:rPr>
        <w:t xml:space="preserve"> smernice (EÚ) 2019/879</w:t>
      </w:r>
      <w:r w:rsidRPr="00C34B2F">
        <w:rPr>
          <w:rFonts w:eastAsiaTheme="minorEastAsia" w:cs="Times New Roman"/>
          <w:bCs/>
        </w:rPr>
        <w:t>. § 25 odsek 9 je transpozíciou čl.  44 ods. 2 piaty pododsek. Právomoc riešiť alebo odstrániť prekážky brániace riešiteľnosti  krízovej situácie sa po novom nevzťahuje len na vybrané inštitúcie, ale aj na osoby podľa § 1 ods. 3. Novodoplnené ustanovenia presnejšie popisujú, ako sa postupuje v prípade, že prekážka riešiteľnosti krízovej situácie súvisí s nedodržiavaním MREL-u. Zároveň sa zavádza oprávnenie rady uložiť povinnosť zníženia expozícii záväzkov použiteľných pri rekapitalizácii.</w:t>
      </w:r>
    </w:p>
    <w:p w:rsidR="00A915BD" w:rsidRPr="00C34B2F" w:rsidRDefault="00A915BD" w:rsidP="00A915BD">
      <w:pPr>
        <w:pStyle w:val="TableContents"/>
        <w:spacing w:line="276" w:lineRule="auto"/>
        <w:jc w:val="both"/>
        <w:rPr>
          <w:rFonts w:eastAsiaTheme="minorEastAsia" w:cs="Times New Roman"/>
          <w:bCs/>
        </w:rPr>
      </w:pPr>
    </w:p>
    <w:p w:rsidR="00A915BD" w:rsidRPr="00C34B2F" w:rsidRDefault="00A915BD" w:rsidP="00A915BD">
      <w:pPr>
        <w:pStyle w:val="TableContents"/>
        <w:spacing w:line="276" w:lineRule="auto"/>
        <w:jc w:val="both"/>
        <w:rPr>
          <w:rFonts w:eastAsiaTheme="minorEastAsia" w:cs="Times New Roman"/>
          <w:bCs/>
        </w:rPr>
      </w:pPr>
      <w:r w:rsidRPr="00C34B2F">
        <w:rPr>
          <w:rFonts w:eastAsiaTheme="minorEastAsia" w:cs="Times New Roman"/>
          <w:bCs/>
        </w:rPr>
        <w:t xml:space="preserve">K bodu </w:t>
      </w:r>
      <w:r>
        <w:rPr>
          <w:rFonts w:eastAsiaTheme="minorEastAsia" w:cs="Times New Roman"/>
          <w:bCs/>
        </w:rPr>
        <w:t>29</w:t>
      </w:r>
    </w:p>
    <w:p w:rsidR="00A915BD" w:rsidRPr="00C34B2F" w:rsidRDefault="00A915BD" w:rsidP="00A915BD">
      <w:pPr>
        <w:spacing w:line="276" w:lineRule="auto"/>
        <w:jc w:val="both"/>
        <w:rPr>
          <w:rFonts w:eastAsiaTheme="minorEastAsia"/>
        </w:rPr>
      </w:pPr>
      <w:r w:rsidRPr="00C34B2F">
        <w:rPr>
          <w:rFonts w:eastAsiaTheme="minorEastAsia"/>
        </w:rPr>
        <w:t xml:space="preserve">Transpozíciou čl. 12 ods. 1 a 3 </w:t>
      </w:r>
      <w:r w:rsidRPr="00C34B2F">
        <w:t xml:space="preserve">smernice (EÚ) 2019/879 </w:t>
      </w:r>
      <w:r w:rsidRPr="00C34B2F">
        <w:rPr>
          <w:rFonts w:eastAsiaTheme="minorEastAsia"/>
        </w:rPr>
        <w:t>sa precizuje obsah rezolučného plánu. V rezolučnom pláne musia byť uvedené aj všetky rezolučné subjekty a rezolučné skupiny a dôsledky plánovaných opatrení na dotknuté subjekty.</w:t>
      </w:r>
    </w:p>
    <w:p w:rsidR="00A915BD" w:rsidRPr="00C34B2F" w:rsidRDefault="00A915BD" w:rsidP="00A915BD">
      <w:pPr>
        <w:spacing w:line="276" w:lineRule="auto"/>
        <w:jc w:val="both"/>
        <w:rPr>
          <w:rFonts w:eastAsiaTheme="minorEastAsia"/>
        </w:rPr>
      </w:pPr>
    </w:p>
    <w:p w:rsidR="00A915BD" w:rsidRPr="00C34B2F" w:rsidRDefault="00A915BD" w:rsidP="00A915BD">
      <w:pPr>
        <w:spacing w:line="276" w:lineRule="auto"/>
        <w:jc w:val="both"/>
        <w:rPr>
          <w:rFonts w:eastAsiaTheme="minorEastAsia"/>
        </w:rPr>
      </w:pPr>
      <w:r w:rsidRPr="00C34B2F">
        <w:rPr>
          <w:rFonts w:eastAsiaTheme="minorEastAsia"/>
        </w:rPr>
        <w:t>K bodu 3</w:t>
      </w:r>
      <w:r>
        <w:rPr>
          <w:rFonts w:eastAsiaTheme="minorEastAsia"/>
        </w:rPr>
        <w:t>0</w:t>
      </w:r>
    </w:p>
    <w:p w:rsidR="00A915BD" w:rsidRPr="00C34B2F" w:rsidRDefault="00A915BD" w:rsidP="00A915BD">
      <w:pPr>
        <w:spacing w:line="276" w:lineRule="auto"/>
        <w:jc w:val="both"/>
        <w:rPr>
          <w:rFonts w:eastAsiaTheme="minorEastAsia"/>
        </w:rPr>
      </w:pPr>
      <w:r w:rsidRPr="00C34B2F">
        <w:rPr>
          <w:rFonts w:eastAsiaTheme="minorEastAsia"/>
        </w:rPr>
        <w:t>Ide o legislatívno-technickú zmenu, vypustenie nesprávneho pojmu.</w:t>
      </w:r>
    </w:p>
    <w:p w:rsidR="00A915BD" w:rsidRPr="00C34B2F" w:rsidRDefault="00A915BD" w:rsidP="00A915BD">
      <w:pPr>
        <w:spacing w:line="276" w:lineRule="auto"/>
        <w:jc w:val="both"/>
        <w:rPr>
          <w:rFonts w:eastAsiaTheme="minorEastAsia"/>
        </w:rPr>
      </w:pPr>
    </w:p>
    <w:p w:rsidR="00A915BD" w:rsidRPr="00C34B2F" w:rsidRDefault="00A915BD" w:rsidP="00A915BD">
      <w:pPr>
        <w:spacing w:line="276" w:lineRule="auto"/>
        <w:jc w:val="both"/>
        <w:rPr>
          <w:rFonts w:eastAsiaTheme="minorEastAsia"/>
        </w:rPr>
      </w:pPr>
      <w:r w:rsidRPr="00C34B2F">
        <w:rPr>
          <w:rFonts w:eastAsiaTheme="minorEastAsia"/>
        </w:rPr>
        <w:t>K bodu 3</w:t>
      </w:r>
      <w:r>
        <w:rPr>
          <w:rFonts w:eastAsiaTheme="minorEastAsia"/>
        </w:rPr>
        <w:t>1</w:t>
      </w:r>
    </w:p>
    <w:p w:rsidR="00A915BD" w:rsidRPr="00C34B2F" w:rsidRDefault="00A915BD" w:rsidP="00A915BD">
      <w:pPr>
        <w:spacing w:line="276" w:lineRule="auto"/>
        <w:jc w:val="both"/>
        <w:rPr>
          <w:bCs/>
        </w:rPr>
      </w:pPr>
      <w:r w:rsidRPr="00C34B2F">
        <w:rPr>
          <w:bCs/>
        </w:rPr>
        <w:t>Ide o transpozičné ustanovenie, ktorým sa rozširuje obsah plánu v prípade, ak sa skupina skladá z viac ako jednej rezolučnej skupiny, a to o opatrenia vzťahujúce sa na príslušné rezolučné subjekty a vplyv týchto opatrení na iné subjekty, ktoré patria do rovnakej rezolučnej skupiny a na iné rezolučné skupiny.</w:t>
      </w:r>
    </w:p>
    <w:p w:rsidR="00A915BD" w:rsidRPr="00C34B2F" w:rsidRDefault="00A915BD" w:rsidP="00A915BD">
      <w:pPr>
        <w:spacing w:line="276" w:lineRule="auto"/>
        <w:jc w:val="both"/>
        <w:rPr>
          <w:rFonts w:eastAsiaTheme="minorEastAsia"/>
          <w:bCs/>
        </w:rPr>
      </w:pPr>
    </w:p>
    <w:p w:rsidR="00A915BD" w:rsidRPr="00C34B2F" w:rsidRDefault="00A915BD" w:rsidP="00A915BD">
      <w:pPr>
        <w:spacing w:line="276" w:lineRule="auto"/>
        <w:jc w:val="both"/>
        <w:rPr>
          <w:rFonts w:eastAsiaTheme="minorEastAsia"/>
          <w:bCs/>
        </w:rPr>
      </w:pPr>
      <w:r w:rsidRPr="00C34B2F">
        <w:rPr>
          <w:rFonts w:eastAsiaTheme="minorEastAsia"/>
          <w:bCs/>
        </w:rPr>
        <w:t>K bodu 3</w:t>
      </w:r>
      <w:r>
        <w:rPr>
          <w:rFonts w:eastAsiaTheme="minorEastAsia"/>
          <w:bCs/>
        </w:rPr>
        <w:t>2</w:t>
      </w:r>
    </w:p>
    <w:p w:rsidR="00A915BD" w:rsidRPr="00C34B2F" w:rsidRDefault="00A915BD" w:rsidP="00A915BD">
      <w:pPr>
        <w:spacing w:line="276" w:lineRule="auto"/>
        <w:jc w:val="both"/>
        <w:rPr>
          <w:rFonts w:eastAsiaTheme="minorEastAsia"/>
        </w:rPr>
      </w:pPr>
      <w:r w:rsidRPr="00C34B2F">
        <w:rPr>
          <w:rFonts w:eastAsiaTheme="minorEastAsia"/>
        </w:rPr>
        <w:t>Ide o transpozičné ustanovenie. Ak rada nesúhlasí s prijatím  spoločného rozhodnutia na úrovni skupiny, schváli rezolučný plán nielen pre dcérsku spoločnosť, ktorá podlieha jej právomoci, ale ak identifikuje rezolučný subjekt, vypracuje a schváli plán aj pre tento subjekt. V takomto samostatnom rozhodnutí rada uvedie dôvody nesúhlasu s navrhovaným spoločným rozhodnutím o schválení pláne riešenia krízových situácií na úrovni skupiny ako aj názory a výrady ostatných rezolučných a iných orgánov.</w:t>
      </w:r>
    </w:p>
    <w:p w:rsidR="00A915BD" w:rsidRPr="00C34B2F" w:rsidRDefault="00A915BD" w:rsidP="00A915BD">
      <w:pPr>
        <w:spacing w:line="276" w:lineRule="auto"/>
        <w:jc w:val="both"/>
        <w:rPr>
          <w:rFonts w:eastAsiaTheme="minorEastAsia"/>
        </w:rPr>
      </w:pPr>
    </w:p>
    <w:p w:rsidR="00A915BD" w:rsidRPr="00C34B2F" w:rsidRDefault="00A915BD" w:rsidP="00A915BD">
      <w:pPr>
        <w:spacing w:line="276" w:lineRule="auto"/>
        <w:jc w:val="both"/>
        <w:rPr>
          <w:rFonts w:eastAsiaTheme="minorEastAsia"/>
        </w:rPr>
      </w:pPr>
      <w:r w:rsidRPr="00C34B2F">
        <w:rPr>
          <w:rFonts w:eastAsiaTheme="minorEastAsia"/>
        </w:rPr>
        <w:t>K bodom 3</w:t>
      </w:r>
      <w:r>
        <w:rPr>
          <w:rFonts w:eastAsiaTheme="minorEastAsia"/>
        </w:rPr>
        <w:t>3</w:t>
      </w:r>
      <w:r w:rsidRPr="00C34B2F">
        <w:rPr>
          <w:rFonts w:eastAsiaTheme="minorEastAsia"/>
        </w:rPr>
        <w:t xml:space="preserve"> až 3</w:t>
      </w:r>
      <w:r>
        <w:rPr>
          <w:rFonts w:eastAsiaTheme="minorEastAsia"/>
        </w:rPr>
        <w:t>8</w:t>
      </w:r>
    </w:p>
    <w:p w:rsidR="00A915BD" w:rsidRPr="00C34B2F" w:rsidRDefault="00A915BD" w:rsidP="00A915BD">
      <w:pPr>
        <w:spacing w:line="276" w:lineRule="auto"/>
        <w:jc w:val="both"/>
        <w:rPr>
          <w:bCs/>
        </w:rPr>
      </w:pPr>
      <w:r w:rsidRPr="00C34B2F">
        <w:rPr>
          <w:bCs/>
        </w:rPr>
        <w:t>Ide o transpozičné ustanovenia. Krízová situácia skupiny alebo skupiny, ktorá sa skladá z viac ako jednej rezolučnej skupiny, sa považuje za riešiteľnú aj v prípade ak zrušenie osoby v tejto skupine v dôsledku ukončenia konkurzu podľa § 68 ods. 4 písm. c) Obchodného zákonníka nespôsobí porušenie podmienok uvedených v § 28 ods. 2 a 3.</w:t>
      </w:r>
    </w:p>
    <w:p w:rsidR="00A915BD" w:rsidRPr="00C34B2F" w:rsidRDefault="00A915BD" w:rsidP="00A915BD">
      <w:pPr>
        <w:spacing w:line="276" w:lineRule="auto"/>
        <w:jc w:val="both"/>
        <w:rPr>
          <w:bCs/>
        </w:rPr>
      </w:pPr>
    </w:p>
    <w:p w:rsidR="00A915BD" w:rsidRPr="00C34B2F" w:rsidRDefault="00A915BD" w:rsidP="00A915BD">
      <w:pPr>
        <w:spacing w:line="276" w:lineRule="auto"/>
        <w:jc w:val="both"/>
        <w:rPr>
          <w:bCs/>
        </w:rPr>
      </w:pPr>
      <w:r w:rsidRPr="00C34B2F">
        <w:rPr>
          <w:bCs/>
        </w:rPr>
        <w:t xml:space="preserve">K bodu </w:t>
      </w:r>
      <w:r>
        <w:rPr>
          <w:bCs/>
        </w:rPr>
        <w:t>39</w:t>
      </w:r>
    </w:p>
    <w:p w:rsidR="00A915BD" w:rsidRPr="00C34B2F" w:rsidRDefault="00A915BD" w:rsidP="00A915BD">
      <w:pPr>
        <w:spacing w:line="276" w:lineRule="auto"/>
        <w:jc w:val="both"/>
        <w:rPr>
          <w:bCs/>
        </w:rPr>
      </w:pPr>
      <w:r w:rsidRPr="00C34B2F">
        <w:rPr>
          <w:bCs/>
        </w:rPr>
        <w:t>Ide o spresnenie v súvislosti zo zmenou zavedeného pojmu na pojem záväzky určené na kapitalizáciu.</w:t>
      </w:r>
    </w:p>
    <w:p w:rsidR="00A915BD" w:rsidRPr="00C34B2F" w:rsidRDefault="00A915BD" w:rsidP="00A915BD">
      <w:pPr>
        <w:spacing w:line="276" w:lineRule="auto"/>
        <w:jc w:val="both"/>
        <w:rPr>
          <w:bCs/>
        </w:rPr>
      </w:pPr>
    </w:p>
    <w:p w:rsidR="00A915BD" w:rsidRPr="00C34B2F" w:rsidRDefault="00A915BD" w:rsidP="00A915BD">
      <w:pPr>
        <w:spacing w:line="276" w:lineRule="auto"/>
        <w:jc w:val="both"/>
        <w:rPr>
          <w:bCs/>
        </w:rPr>
      </w:pPr>
      <w:r w:rsidRPr="00C34B2F">
        <w:rPr>
          <w:bCs/>
        </w:rPr>
        <w:t>K bodu 4</w:t>
      </w:r>
      <w:r>
        <w:rPr>
          <w:bCs/>
        </w:rPr>
        <w:t>0</w:t>
      </w:r>
    </w:p>
    <w:p w:rsidR="00A915BD" w:rsidRPr="00C34B2F" w:rsidRDefault="00A915BD" w:rsidP="00A915BD">
      <w:pPr>
        <w:spacing w:line="276" w:lineRule="auto"/>
        <w:jc w:val="both"/>
        <w:rPr>
          <w:bCs/>
        </w:rPr>
      </w:pPr>
      <w:r w:rsidRPr="00C34B2F">
        <w:rPr>
          <w:bCs/>
        </w:rPr>
        <w:t>Ide o spresnenie v súvislosti so zmenou názvoslovia.</w:t>
      </w:r>
    </w:p>
    <w:p w:rsidR="00A915BD" w:rsidRPr="00C34B2F" w:rsidRDefault="00A915BD" w:rsidP="00A915BD">
      <w:pPr>
        <w:spacing w:line="276" w:lineRule="auto"/>
        <w:jc w:val="both"/>
        <w:rPr>
          <w:bCs/>
        </w:rPr>
      </w:pPr>
    </w:p>
    <w:p w:rsidR="00A915BD" w:rsidRPr="00C34B2F" w:rsidRDefault="00A915BD" w:rsidP="00A915BD">
      <w:pPr>
        <w:spacing w:line="276" w:lineRule="auto"/>
        <w:jc w:val="both"/>
        <w:rPr>
          <w:bCs/>
        </w:rPr>
      </w:pPr>
      <w:r w:rsidRPr="00C34B2F">
        <w:rPr>
          <w:bCs/>
        </w:rPr>
        <w:lastRenderedPageBreak/>
        <w:t>K bodom 4</w:t>
      </w:r>
      <w:r>
        <w:rPr>
          <w:bCs/>
        </w:rPr>
        <w:t>1</w:t>
      </w:r>
      <w:r w:rsidRPr="00C34B2F">
        <w:rPr>
          <w:bCs/>
        </w:rPr>
        <w:t xml:space="preserve"> až 4</w:t>
      </w:r>
      <w:r>
        <w:rPr>
          <w:bCs/>
        </w:rPr>
        <w:t>4</w:t>
      </w:r>
    </w:p>
    <w:p w:rsidR="00A915BD" w:rsidRPr="00C34B2F" w:rsidRDefault="00A915BD" w:rsidP="00A915BD">
      <w:pPr>
        <w:spacing w:line="276" w:lineRule="auto"/>
        <w:jc w:val="both"/>
        <w:rPr>
          <w:bCs/>
        </w:rPr>
      </w:pPr>
      <w:r w:rsidRPr="00C34B2F">
        <w:rPr>
          <w:bCs/>
        </w:rPr>
        <w:t xml:space="preserve">Transpozíciou čl. 18 </w:t>
      </w:r>
      <w:r w:rsidRPr="00C34B2F">
        <w:t xml:space="preserve">smernice (EÚ) 2019/879 </w:t>
      </w:r>
      <w:r w:rsidRPr="00C34B2F">
        <w:rPr>
          <w:bCs/>
        </w:rPr>
        <w:t>sa právomoc rady riešiť alebo odstrániť prekážky brániace riešiteľnosti krízovej situácie na úrovni skupiny precizuje aj voči skupinám tvoriacim rezolučnú skupinu, a teda aj voči osobám, ktoré patria do týchto podskupín tvoriacich rezolučnú skupinu. Ak je rada rezolučným orgánom na úrovni skupiny je naďalej povinná vyvinúť maximálne úsilie na dosiahnutie spoločného rozhodnutia pre skupinu a ak to je potrebné, aj na uloženie povinnosti prijať náhradné opatrenie aj voči osobe, ktorá patrí do skupiny v rámci rezolučnej skupiny. Identifikovanie prekážok riešenia krízových situácií a navrhovanie opatrení na ich odstránenie sa teda vzťahuje aj na subjekty, ktoré sú súčasťou skupín tvoriacich rezolučnú skupinu. Rovnako správa, ktorú pripravuje rada, ak je rezolučným orgánom na úrovni skupiny, a predkladá ju materskej spoločnosti so sídlom v členskom štáte obsahuje analýzu podstatných prekážok uplatňovania opatrení ako aj vykonávanie právomocí  nielen vo vzťahu k skupine ale aj vo vzťahu k rezolučným skupinám, ak sa skupina skladá z viac ako jednej rezolučnej skupiny.</w:t>
      </w:r>
    </w:p>
    <w:p w:rsidR="00A915BD" w:rsidRPr="00C34B2F" w:rsidRDefault="00A915BD" w:rsidP="00A915BD">
      <w:pPr>
        <w:spacing w:line="276" w:lineRule="auto"/>
        <w:jc w:val="both"/>
        <w:rPr>
          <w:rFonts w:eastAsiaTheme="minorEastAsia"/>
          <w:bCs/>
        </w:rPr>
      </w:pPr>
    </w:p>
    <w:p w:rsidR="00A915BD" w:rsidRPr="00C34B2F" w:rsidRDefault="00A915BD" w:rsidP="00A915BD">
      <w:pPr>
        <w:spacing w:line="276" w:lineRule="auto"/>
        <w:jc w:val="both"/>
        <w:rPr>
          <w:rFonts w:eastAsiaTheme="minorEastAsia"/>
          <w:bCs/>
        </w:rPr>
      </w:pPr>
      <w:r w:rsidRPr="00C34B2F">
        <w:rPr>
          <w:rFonts w:eastAsiaTheme="minorEastAsia"/>
          <w:bCs/>
        </w:rPr>
        <w:t>K bodom 4</w:t>
      </w:r>
      <w:r>
        <w:rPr>
          <w:rFonts w:eastAsiaTheme="minorEastAsia"/>
          <w:bCs/>
        </w:rPr>
        <w:t>5</w:t>
      </w:r>
      <w:r w:rsidRPr="00C34B2F">
        <w:rPr>
          <w:rFonts w:eastAsiaTheme="minorEastAsia"/>
          <w:bCs/>
        </w:rPr>
        <w:t xml:space="preserve"> a 4</w:t>
      </w:r>
      <w:r>
        <w:rPr>
          <w:rFonts w:eastAsiaTheme="minorEastAsia"/>
          <w:bCs/>
        </w:rPr>
        <w:t>6</w:t>
      </w:r>
      <w:r w:rsidRPr="00C34B2F">
        <w:rPr>
          <w:rFonts w:eastAsiaTheme="minorEastAsia"/>
          <w:bCs/>
        </w:rPr>
        <w:t xml:space="preserve"> </w:t>
      </w:r>
    </w:p>
    <w:p w:rsidR="00A915BD" w:rsidRPr="00C34B2F" w:rsidRDefault="00A915BD" w:rsidP="00A915BD">
      <w:pPr>
        <w:pStyle w:val="Default"/>
        <w:spacing w:line="276" w:lineRule="auto"/>
        <w:jc w:val="both"/>
        <w:rPr>
          <w:rFonts w:ascii="Times New Roman" w:hAnsi="Times New Roman" w:cs="Times New Roman"/>
          <w:u w:val="single"/>
        </w:rPr>
      </w:pPr>
      <w:r w:rsidRPr="00C34B2F">
        <w:rPr>
          <w:rFonts w:ascii="Times New Roman" w:hAnsi="Times New Roman" w:cs="Times New Roman"/>
        </w:rPr>
        <w:t>V § 31 ide o transpozíciu novelizovaného článku 45 smernice (EÚ) 2019/879. MREL sa vyjadrí v percentách z celkovej hodnoty rizikovej expozície, a súčasne v percentách z veľkosti celkovej expozície vybranej inštitúcie a osoby podľa § 1 ods. 3. MREL v obidvoch vyjadreniach musí vybraná inštitúcia a osoba podľa § 1 ods. 3 plniť súčasne a nepretržite.</w:t>
      </w:r>
    </w:p>
    <w:p w:rsidR="00A915BD" w:rsidRPr="00C34B2F" w:rsidRDefault="00A915BD" w:rsidP="00A915BD">
      <w:pPr>
        <w:pStyle w:val="Default"/>
        <w:spacing w:line="276" w:lineRule="auto"/>
        <w:jc w:val="both"/>
        <w:rPr>
          <w:rFonts w:ascii="Times New Roman" w:hAnsi="Times New Roman" w:cs="Times New Roman"/>
          <w:u w:val="single"/>
        </w:rPr>
      </w:pPr>
      <w:r w:rsidRPr="00C34B2F">
        <w:rPr>
          <w:rFonts w:ascii="Times New Roman" w:hAnsi="Times New Roman" w:cs="Times New Roman"/>
        </w:rPr>
        <w:t xml:space="preserve">V § 31 Ide o transpozíciu článku 45b smernice (EÚ) 2019/879. Ustanovujú sa podmienky pre uznanie záväzkov, ktoré vyplývajú s dlhového nástroja s vnoreným derivátom, na účely krytia MREL pre rezolučný subjekt. Mení sa spôsob určenia požiadavky na podriadenosť nástrojov, ktoré kryjú MREL, pre rezolučný subjekt, a to v závislosti od charakteru rezolučného subjektu. Rezolučné subjekty budú spadať do jednej zo 4 kategórií podľa ich systémového významu. Zavádza sa možnosť prispôsobení základnej požiadavky na podriadenosť a ich obmedzenia pre jednotlivé kategórie rezolučných subjektov.  </w:t>
      </w:r>
    </w:p>
    <w:p w:rsidR="00A915BD" w:rsidRPr="00C34B2F" w:rsidRDefault="00A915BD" w:rsidP="00A915BD">
      <w:pPr>
        <w:pStyle w:val="Default"/>
        <w:spacing w:line="276" w:lineRule="auto"/>
        <w:jc w:val="both"/>
        <w:rPr>
          <w:rFonts w:ascii="Times New Roman" w:hAnsi="Times New Roman" w:cs="Times New Roman"/>
        </w:rPr>
      </w:pPr>
      <w:r w:rsidRPr="00C34B2F">
        <w:rPr>
          <w:rFonts w:ascii="Times New Roman" w:hAnsi="Times New Roman" w:cs="Times New Roman"/>
        </w:rPr>
        <w:t xml:space="preserve">V § 31b ide o transpozíciu článku 45c smernice (EÚ) 2019/879. MREL musí byť dostatočný na absorpciu strát a rekapitalizáciu vybranej inštitúcie a osoby podľa § 1 ods. 3 bez ohľadu na to, či ide o rezolučný subjekt alebo dcérsku spoločnosť, ktorá nie je rezolučným subjektom a súčasne je zahrnutá v rezolučnej skupine. V prípade vybranej inštitúcie a osoby podľa § 1 ods. 3, ktorej krízová situácia sa má podľa plánu riešenia krízovej situácie riešiť v konkurznom konaní alebo jej likvidáciou, je orgán riešenia krízových situácií povinný vyhodnotiť, či je opodstatnené určiť MREL zodpovedajúci len sume potrebnej na absorpciu strát. Predpisuje sa nový spôsob kalibrácie MREL, a to pre obidva spôsoby vyjadrenia MREL podľa § 31. Orgán pre riešenie krízových situácií môže prispôsobiť základnú výšku časti MREL určenej na rekapitalizáciu, vrátane jej navýšenia o primeranú sumu potrebnú na zabezpečenie dôvery trhu vo vybranú inštitúcia a osobu podľa § 1 ods. 3 po riešení jej krízovej situácie. Predpisuje sa konkrétna úroveň výšky MREL (v percentách z celkovej hodnoty rizikovej expozície a v percentách z veľkosti celkovej expozície) pre tri systémovo najvýznamnejšie kategórie bánk. </w:t>
      </w:r>
    </w:p>
    <w:p w:rsidR="00A915BD" w:rsidRPr="00C34B2F" w:rsidRDefault="00A915BD" w:rsidP="00A915BD">
      <w:pPr>
        <w:pStyle w:val="Default"/>
        <w:spacing w:line="276" w:lineRule="auto"/>
        <w:jc w:val="both"/>
        <w:rPr>
          <w:rFonts w:ascii="Times New Roman" w:hAnsi="Times New Roman" w:cs="Times New Roman"/>
          <w:u w:val="single"/>
        </w:rPr>
      </w:pPr>
      <w:r w:rsidRPr="00C34B2F">
        <w:rPr>
          <w:rFonts w:ascii="Times New Roman" w:hAnsi="Times New Roman" w:cs="Times New Roman"/>
        </w:rPr>
        <w:t>V § 31c ide o transpozíciu článku 45d smernice (EÚ) 2019/879. Upravuje sa spôsob určenia celkovej MREL pre rezolučný subjekt G-SII a pre významné dcérske spoločnosti v Európskej únii G-SII z tretej krajiny.</w:t>
      </w:r>
    </w:p>
    <w:p w:rsidR="00A915BD" w:rsidRPr="00C34B2F" w:rsidRDefault="00A915BD" w:rsidP="00A915BD">
      <w:pPr>
        <w:pStyle w:val="Default"/>
        <w:spacing w:line="276" w:lineRule="auto"/>
        <w:jc w:val="both"/>
        <w:rPr>
          <w:rFonts w:ascii="Times New Roman" w:hAnsi="Times New Roman" w:cs="Times New Roman"/>
          <w:u w:val="single"/>
        </w:rPr>
      </w:pPr>
      <w:r w:rsidRPr="00C34B2F">
        <w:rPr>
          <w:rFonts w:ascii="Times New Roman" w:hAnsi="Times New Roman" w:cs="Times New Roman"/>
        </w:rPr>
        <w:lastRenderedPageBreak/>
        <w:t>V § 31d ide o transpozíciu článku 45e smernice (EÚ) 2019/879. MREL a požiadavka na podriadenosť nástrojov kryjúcich MREL pre rezolučné subjekty sa uplatňuje na konsolidovanom základe na úrovni rezolučnej skupiny.</w:t>
      </w:r>
    </w:p>
    <w:p w:rsidR="00A915BD" w:rsidRPr="00C34B2F" w:rsidRDefault="00A915BD" w:rsidP="00A915BD">
      <w:pPr>
        <w:pStyle w:val="Default"/>
        <w:spacing w:line="276" w:lineRule="auto"/>
        <w:jc w:val="both"/>
        <w:rPr>
          <w:rFonts w:ascii="Times New Roman" w:hAnsi="Times New Roman" w:cs="Times New Roman"/>
          <w:u w:val="single"/>
        </w:rPr>
      </w:pPr>
      <w:r w:rsidRPr="00C34B2F">
        <w:rPr>
          <w:rFonts w:ascii="Times New Roman" w:hAnsi="Times New Roman" w:cs="Times New Roman"/>
        </w:rPr>
        <w:t>V § 31e ide o transpozíciu článku 45f smernice (EÚ) 2019/879, ktorý zavádza tzv. interný MREL. MREL pre osoby podľa § 1 ods. 3, ktoré sú dcérskymi spoločnosťami rezolučného subjektu a nie sú samy rezolučnými subjektami, sa uplatňuje na individuálnom základe. Materské spoločnosti v Európskej únii usadené v Slovenskej republike, ktoré nie sú samy rezolučnými subjektami, ale sú dcérskymi spoločnosťami osôb podľa § 1 ods. 3, ktoré sú usadené v tretích krajinách, spĺňajú MREL na konsolidovanom základe. Predpisuje vlastnosti záväzkov a položiek vlastných zdrojov, ktoré je možné použiť na plnenie interného MREL. Stanovujú sa podmienky na neuplatnenie § 31e, t. j. neurčenie interného MREL orgánom pre riešenie krízových situácií, a na povolenie zo strany orgánu riešenia krízových situácií na splnenie interného MREL v plnom rozsahu alebo čiastočne zárukou poskytnutou rezolučným subjektom.</w:t>
      </w:r>
    </w:p>
    <w:p w:rsidR="00A915BD" w:rsidRPr="00C34B2F" w:rsidRDefault="00A915BD" w:rsidP="00A915BD">
      <w:pPr>
        <w:pStyle w:val="Default"/>
        <w:spacing w:line="276" w:lineRule="auto"/>
        <w:jc w:val="both"/>
        <w:rPr>
          <w:rFonts w:ascii="Times New Roman" w:hAnsi="Times New Roman" w:cs="Times New Roman"/>
          <w:u w:val="single"/>
        </w:rPr>
      </w:pPr>
      <w:r w:rsidRPr="00C34B2F">
        <w:rPr>
          <w:rFonts w:ascii="Times New Roman" w:hAnsi="Times New Roman" w:cs="Times New Roman"/>
        </w:rPr>
        <w:t>V § 31f ide o transpozíciu článku 45h smernice (EÚ) 2019/879. Upravuje sa postup pri spoločnom rozhodovaní orgánov riešenia krízových situácií v rámci rezolučného kolégia.</w:t>
      </w:r>
    </w:p>
    <w:p w:rsidR="00A915BD" w:rsidRPr="00C34B2F" w:rsidRDefault="00A915BD" w:rsidP="00A915BD">
      <w:pPr>
        <w:pStyle w:val="Default"/>
        <w:spacing w:line="276" w:lineRule="auto"/>
        <w:jc w:val="both"/>
        <w:rPr>
          <w:rFonts w:ascii="Times New Roman" w:hAnsi="Times New Roman" w:cs="Times New Roman"/>
          <w:u w:val="single"/>
        </w:rPr>
      </w:pPr>
    </w:p>
    <w:p w:rsidR="00A915BD" w:rsidRPr="00C34B2F" w:rsidRDefault="00A915BD" w:rsidP="00A915BD">
      <w:pPr>
        <w:pStyle w:val="Default"/>
        <w:spacing w:line="276" w:lineRule="auto"/>
        <w:jc w:val="both"/>
        <w:rPr>
          <w:rFonts w:ascii="Times New Roman" w:hAnsi="Times New Roman" w:cs="Times New Roman"/>
        </w:rPr>
      </w:pPr>
      <w:r w:rsidRPr="00C34B2F">
        <w:rPr>
          <w:rFonts w:ascii="Times New Roman" w:hAnsi="Times New Roman" w:cs="Times New Roman"/>
        </w:rPr>
        <w:t>V § 31g ide o transpozíciu článku 45i smernice (EÚ) 2019/879. Upravuje sa výkazníctvo, najmä rozsah a periodicita, osôb podľa § 1 ods. 3 pre účely dohľadu zo strany príslušných orgánov nad plnením MREL. Upravuje sa povinnosť osôb podľa § 1 ods. 3 zverejňovať informácie vzťahujúce sa k MREL a plneniu MREL. Tieto povinnosti sa nevzťahujú na osoby podľa § 1 ods. 3, ktorých plán riešenia krízovej situácie počíta s ich konkurzom alebo likvidáciou.</w:t>
      </w:r>
    </w:p>
    <w:p w:rsidR="00A915BD" w:rsidRPr="00C34B2F" w:rsidRDefault="00A915BD" w:rsidP="00A915BD">
      <w:pPr>
        <w:pStyle w:val="Default"/>
        <w:spacing w:line="276" w:lineRule="auto"/>
        <w:jc w:val="both"/>
        <w:rPr>
          <w:rFonts w:ascii="Times New Roman" w:hAnsi="Times New Roman" w:cs="Times New Roman"/>
        </w:rPr>
      </w:pPr>
      <w:r w:rsidRPr="00C34B2F">
        <w:rPr>
          <w:rFonts w:ascii="Times New Roman" w:hAnsi="Times New Roman" w:cs="Times New Roman"/>
        </w:rPr>
        <w:t>V § 31h ide o transpozíciu článku 45j smernice (EÚ) 2019/879. Rada má povinnosť informovať Európsky orgán pre bankovníctvo o MREL, ktorý určila pre osoby podľa § 1 ods. 3.</w:t>
      </w:r>
    </w:p>
    <w:p w:rsidR="00A915BD" w:rsidRPr="00C34B2F" w:rsidRDefault="00A915BD" w:rsidP="00A915BD">
      <w:pPr>
        <w:pStyle w:val="Default"/>
        <w:spacing w:line="276" w:lineRule="auto"/>
        <w:jc w:val="both"/>
        <w:rPr>
          <w:rFonts w:ascii="Times New Roman" w:hAnsi="Times New Roman" w:cs="Times New Roman"/>
        </w:rPr>
      </w:pPr>
      <w:r w:rsidRPr="00C34B2F">
        <w:rPr>
          <w:rFonts w:ascii="Times New Roman" w:hAnsi="Times New Roman" w:cs="Times New Roman"/>
        </w:rPr>
        <w:t>V § 31i ide o transpozíciu článku 45k smernice (EÚ) 2019/879. Upravujú sa možnosti postupu rady vo vzťahu k osobe podľa § 1 ods. 3 v prípade porušenia jej MREL.</w:t>
      </w:r>
    </w:p>
    <w:p w:rsidR="00A915BD" w:rsidRPr="00C34B2F" w:rsidRDefault="00A915BD" w:rsidP="00A915BD">
      <w:pPr>
        <w:pStyle w:val="Default"/>
        <w:spacing w:line="276" w:lineRule="auto"/>
        <w:jc w:val="both"/>
        <w:rPr>
          <w:rFonts w:ascii="Times New Roman" w:hAnsi="Times New Roman" w:cs="Times New Roman"/>
          <w:u w:val="single"/>
        </w:rPr>
      </w:pPr>
      <w:r w:rsidRPr="00C34B2F">
        <w:rPr>
          <w:rFonts w:ascii="Times New Roman" w:hAnsi="Times New Roman" w:cs="Times New Roman"/>
        </w:rPr>
        <w:t>V § 31j ide o transpozíciu článku 44a smernice (EÚ) 2019/879. Zavádzajú sa obmedzenia na nadobúdanie podriadených oprávnených záväzkov osôb podľa § 1 ods. 3 pre retailových klientov.</w:t>
      </w:r>
    </w:p>
    <w:p w:rsidR="00A915BD" w:rsidRPr="00C34B2F" w:rsidRDefault="00A915BD" w:rsidP="00A915BD">
      <w:pPr>
        <w:spacing w:line="276" w:lineRule="auto"/>
        <w:jc w:val="both"/>
        <w:rPr>
          <w:rFonts w:eastAsiaTheme="minorEastAsia"/>
          <w:bCs/>
        </w:rPr>
      </w:pPr>
    </w:p>
    <w:p w:rsidR="00A915BD" w:rsidRPr="00C34B2F" w:rsidRDefault="00A915BD" w:rsidP="00A915BD">
      <w:pPr>
        <w:spacing w:line="276" w:lineRule="auto"/>
      </w:pPr>
      <w:r w:rsidRPr="00C34B2F">
        <w:t>K bodom 4</w:t>
      </w:r>
      <w:r>
        <w:t>7</w:t>
      </w:r>
      <w:r w:rsidRPr="00C34B2F">
        <w:t xml:space="preserve"> až 5</w:t>
      </w:r>
      <w:r>
        <w:t>2</w:t>
      </w:r>
    </w:p>
    <w:p w:rsidR="00A915BD" w:rsidRPr="00C34B2F" w:rsidRDefault="00A915BD" w:rsidP="00A915BD">
      <w:pPr>
        <w:spacing w:line="276" w:lineRule="auto"/>
        <w:jc w:val="both"/>
      </w:pPr>
      <w:r w:rsidRPr="00C34B2F">
        <w:t>Ide o legislatívno-technickú zmenu. Precizuje sa definícia verejného záujmu, menia sa odkazy na ustanovenia zákona a dopĺňa sa právoplatnosť rozhodnutia po jeho doručení.</w:t>
      </w:r>
    </w:p>
    <w:p w:rsidR="00A915BD" w:rsidRPr="00C34B2F" w:rsidRDefault="00A915BD" w:rsidP="00A915BD">
      <w:pPr>
        <w:spacing w:line="276" w:lineRule="auto"/>
        <w:jc w:val="both"/>
      </w:pPr>
    </w:p>
    <w:p w:rsidR="00A915BD" w:rsidRPr="00C34B2F" w:rsidRDefault="00A915BD" w:rsidP="00A915BD">
      <w:pPr>
        <w:spacing w:line="276" w:lineRule="auto"/>
        <w:jc w:val="both"/>
      </w:pPr>
      <w:r w:rsidRPr="00C34B2F">
        <w:t>K bodu 5</w:t>
      </w:r>
      <w:r>
        <w:t>3</w:t>
      </w:r>
    </w:p>
    <w:p w:rsidR="00A915BD" w:rsidRPr="00C34B2F" w:rsidRDefault="00A915BD" w:rsidP="00A915BD">
      <w:pPr>
        <w:spacing w:line="276" w:lineRule="auto"/>
        <w:jc w:val="both"/>
      </w:pPr>
      <w:r w:rsidRPr="00C34B2F">
        <w:t xml:space="preserve">Ide o spresnenie transpozície čl. 83 ods. 3 a 4 smernice 2014/59/EÚ v platnom znení. Špecifikujú sa náležitosti oznámenia rozhodnutia o aplikácia rezolučného opatrenia pre jednotlivé tipy subjektov. V prípade majiteľov akcií a iných nástrojov vlastníctva, ktorý môžu predstavovať vysoký počet osôb sa z dôvodu zníženia administratívnej záťaže predpokladá zverejnenie na oficiálnej stránke rady, pričom v tomto prípade bude oznámenie v súlade s čl. 83 ods. 4 obsahovať zhrnutie účinkov prijatého opatrenia na riešenie krízovej situácii. </w:t>
      </w:r>
    </w:p>
    <w:p w:rsidR="00A915BD" w:rsidRPr="00C34B2F" w:rsidRDefault="00A915BD" w:rsidP="00A915BD">
      <w:pPr>
        <w:spacing w:line="276" w:lineRule="auto"/>
        <w:jc w:val="both"/>
      </w:pPr>
    </w:p>
    <w:p w:rsidR="00A915BD" w:rsidRPr="00C34B2F" w:rsidRDefault="00A915BD" w:rsidP="00A915BD">
      <w:pPr>
        <w:spacing w:line="276" w:lineRule="auto"/>
        <w:jc w:val="both"/>
      </w:pPr>
      <w:r w:rsidRPr="00C34B2F">
        <w:t>K bodu 5</w:t>
      </w:r>
      <w:r>
        <w:t>4</w:t>
      </w:r>
    </w:p>
    <w:p w:rsidR="00A915BD" w:rsidRPr="00C34B2F" w:rsidRDefault="00A915BD" w:rsidP="00A915BD">
      <w:pPr>
        <w:spacing w:line="276" w:lineRule="auto"/>
        <w:jc w:val="both"/>
      </w:pPr>
      <w:r w:rsidRPr="00C34B2F">
        <w:t xml:space="preserve">Ide o transpozíciu čl. 32b smernice (EU) 2019/879. </w:t>
      </w:r>
    </w:p>
    <w:p w:rsidR="00A915BD" w:rsidRPr="00C34B2F" w:rsidRDefault="00A915BD" w:rsidP="00A915BD">
      <w:pPr>
        <w:spacing w:line="276" w:lineRule="auto"/>
        <w:jc w:val="both"/>
      </w:pPr>
    </w:p>
    <w:p w:rsidR="00A915BD" w:rsidRPr="00C34B2F" w:rsidRDefault="00A915BD" w:rsidP="00A915BD">
      <w:pPr>
        <w:spacing w:line="276" w:lineRule="auto"/>
        <w:jc w:val="both"/>
      </w:pPr>
      <w:r w:rsidRPr="00C34B2F">
        <w:t>K bodom 5</w:t>
      </w:r>
      <w:r>
        <w:t>5</w:t>
      </w:r>
      <w:r w:rsidRPr="00C34B2F">
        <w:t xml:space="preserve"> až </w:t>
      </w:r>
      <w:r>
        <w:t>59</w:t>
      </w:r>
    </w:p>
    <w:p w:rsidR="00A915BD" w:rsidRPr="00C34B2F" w:rsidRDefault="00A915BD" w:rsidP="00A915BD">
      <w:pPr>
        <w:spacing w:line="276" w:lineRule="auto"/>
        <w:jc w:val="both"/>
      </w:pPr>
      <w:r w:rsidRPr="00C34B2F">
        <w:t>Ide o transpozíciu čl. 36 ods. 1,4,5,12 a 13 smernice (EÚ) 2019/879, ktoré majú povahu legislatívno- technických zmien.</w:t>
      </w:r>
    </w:p>
    <w:p w:rsidR="00A915BD" w:rsidRPr="00C34B2F" w:rsidRDefault="00A915BD" w:rsidP="00A915BD">
      <w:pPr>
        <w:spacing w:line="276" w:lineRule="auto"/>
        <w:jc w:val="both"/>
        <w:rPr>
          <w:rFonts w:eastAsiaTheme="minorEastAsia"/>
          <w:bCs/>
        </w:rPr>
      </w:pPr>
    </w:p>
    <w:p w:rsidR="00A915BD" w:rsidRPr="00C34B2F" w:rsidRDefault="00A915BD" w:rsidP="00A915BD">
      <w:pPr>
        <w:spacing w:line="276" w:lineRule="auto"/>
        <w:jc w:val="both"/>
        <w:rPr>
          <w:rFonts w:eastAsiaTheme="minorEastAsia"/>
          <w:bCs/>
        </w:rPr>
      </w:pPr>
      <w:r w:rsidRPr="00C34B2F">
        <w:rPr>
          <w:rFonts w:eastAsiaTheme="minorEastAsia"/>
          <w:bCs/>
        </w:rPr>
        <w:t>K bodom 6</w:t>
      </w:r>
      <w:r>
        <w:rPr>
          <w:rFonts w:eastAsiaTheme="minorEastAsia"/>
          <w:bCs/>
        </w:rPr>
        <w:t>0</w:t>
      </w:r>
      <w:r w:rsidRPr="00C34B2F">
        <w:rPr>
          <w:rFonts w:eastAsiaTheme="minorEastAsia"/>
          <w:bCs/>
        </w:rPr>
        <w:t xml:space="preserve"> a 6</w:t>
      </w:r>
      <w:r>
        <w:rPr>
          <w:rFonts w:eastAsiaTheme="minorEastAsia"/>
          <w:bCs/>
        </w:rPr>
        <w:t>1</w:t>
      </w:r>
      <w:r w:rsidRPr="00C34B2F">
        <w:rPr>
          <w:rFonts w:eastAsiaTheme="minorEastAsia"/>
          <w:bCs/>
        </w:rPr>
        <w:t xml:space="preserve"> </w:t>
      </w:r>
    </w:p>
    <w:p w:rsidR="00A915BD" w:rsidRPr="00C34B2F" w:rsidRDefault="00A915BD" w:rsidP="00A915BD">
      <w:pPr>
        <w:spacing w:line="276" w:lineRule="auto"/>
        <w:jc w:val="both"/>
        <w:rPr>
          <w:rFonts w:eastAsiaTheme="minorEastAsia"/>
          <w:bCs/>
        </w:rPr>
      </w:pPr>
      <w:r w:rsidRPr="00C34B2F">
        <w:rPr>
          <w:rFonts w:eastAsiaTheme="minorEastAsia"/>
          <w:bCs/>
        </w:rPr>
        <w:t>Ide o legislatívno-technickú zmenu, zosúlaďuje sa pojmoslovie.</w:t>
      </w:r>
    </w:p>
    <w:p w:rsidR="00A915BD" w:rsidRPr="00C34B2F" w:rsidRDefault="00A915BD" w:rsidP="00A915BD">
      <w:pPr>
        <w:spacing w:line="276" w:lineRule="auto"/>
        <w:jc w:val="both"/>
        <w:rPr>
          <w:rFonts w:eastAsiaTheme="minorEastAsia"/>
          <w:bCs/>
        </w:rPr>
      </w:pPr>
    </w:p>
    <w:p w:rsidR="00A915BD" w:rsidRPr="00C34B2F" w:rsidRDefault="00A915BD" w:rsidP="00A915BD">
      <w:pPr>
        <w:spacing w:line="276" w:lineRule="auto"/>
        <w:jc w:val="both"/>
        <w:rPr>
          <w:rFonts w:eastAsiaTheme="minorEastAsia"/>
          <w:bCs/>
        </w:rPr>
      </w:pPr>
      <w:r w:rsidRPr="00C34B2F">
        <w:rPr>
          <w:rFonts w:eastAsiaTheme="minorEastAsia"/>
          <w:bCs/>
        </w:rPr>
        <w:t>K bodu 6</w:t>
      </w:r>
      <w:r>
        <w:rPr>
          <w:rFonts w:eastAsiaTheme="minorEastAsia"/>
          <w:bCs/>
        </w:rPr>
        <w:t>2</w:t>
      </w:r>
    </w:p>
    <w:p w:rsidR="00A915BD" w:rsidRPr="00C34B2F" w:rsidRDefault="00A915BD" w:rsidP="00A915BD">
      <w:pPr>
        <w:spacing w:line="276" w:lineRule="auto"/>
        <w:jc w:val="both"/>
      </w:pPr>
      <w:r w:rsidRPr="00C34B2F">
        <w:rPr>
          <w:rFonts w:eastAsiaTheme="minorEastAsia"/>
          <w:bCs/>
        </w:rPr>
        <w:t>Transponuje sa pozmenený čl. 36 v zmysle</w:t>
      </w:r>
      <w:r w:rsidRPr="00C34B2F">
        <w:t xml:space="preserve"> smernice (EÚ) 2019/879, ide o legislatívno-technickú zmenu, ktorou sa zosúlaďuje pojmoslovie.</w:t>
      </w:r>
    </w:p>
    <w:p w:rsidR="00A915BD" w:rsidRPr="00C34B2F" w:rsidRDefault="00A915BD" w:rsidP="00A915BD">
      <w:pPr>
        <w:spacing w:line="276" w:lineRule="auto"/>
        <w:jc w:val="both"/>
      </w:pPr>
    </w:p>
    <w:p w:rsidR="00A915BD" w:rsidRPr="00C34B2F" w:rsidRDefault="00A915BD" w:rsidP="00A915BD">
      <w:pPr>
        <w:spacing w:line="276" w:lineRule="auto"/>
        <w:jc w:val="both"/>
      </w:pPr>
      <w:r w:rsidRPr="00C34B2F">
        <w:t>K bodu 6</w:t>
      </w:r>
      <w:r>
        <w:t>3</w:t>
      </w:r>
    </w:p>
    <w:p w:rsidR="00A915BD" w:rsidRPr="00C34B2F" w:rsidRDefault="00A915BD" w:rsidP="00A915BD">
      <w:pPr>
        <w:spacing w:line="276" w:lineRule="auto"/>
        <w:jc w:val="both"/>
      </w:pPr>
      <w:r w:rsidRPr="00C34B2F">
        <w:t xml:space="preserve">Transponuje sa pozmenený čl. 37 v zmysle </w:t>
      </w:r>
      <w:bookmarkStart w:id="14" w:name="_Hlk42592921"/>
      <w:r w:rsidRPr="00C34B2F">
        <w:t>smernice (EÚ) 2019/879</w:t>
      </w:r>
      <w:bookmarkEnd w:id="14"/>
      <w:r w:rsidRPr="00C34B2F">
        <w:t>, ide o legislatívno-technickú zmenu, odstraňuje sa nesprávne uvedený orgán.</w:t>
      </w:r>
    </w:p>
    <w:p w:rsidR="00A915BD" w:rsidRPr="00C34B2F" w:rsidRDefault="00A915BD" w:rsidP="00A915BD">
      <w:pPr>
        <w:spacing w:line="276" w:lineRule="auto"/>
        <w:jc w:val="both"/>
      </w:pPr>
    </w:p>
    <w:p w:rsidR="00A915BD" w:rsidRPr="00C34B2F" w:rsidRDefault="00A915BD" w:rsidP="00A915BD">
      <w:pPr>
        <w:spacing w:line="276" w:lineRule="auto"/>
        <w:jc w:val="both"/>
        <w:rPr>
          <w:rFonts w:eastAsiaTheme="minorEastAsia"/>
          <w:bCs/>
        </w:rPr>
      </w:pPr>
      <w:r w:rsidRPr="00C34B2F">
        <w:rPr>
          <w:rFonts w:eastAsiaTheme="minorEastAsia"/>
          <w:bCs/>
        </w:rPr>
        <w:t>K bodom 6</w:t>
      </w:r>
      <w:r>
        <w:rPr>
          <w:rFonts w:eastAsiaTheme="minorEastAsia"/>
          <w:bCs/>
        </w:rPr>
        <w:t>4</w:t>
      </w:r>
      <w:r w:rsidRPr="00C34B2F">
        <w:rPr>
          <w:rFonts w:eastAsiaTheme="minorEastAsia"/>
          <w:bCs/>
        </w:rPr>
        <w:t xml:space="preserve"> a 6</w:t>
      </w:r>
      <w:r>
        <w:rPr>
          <w:rFonts w:eastAsiaTheme="minorEastAsia"/>
          <w:bCs/>
        </w:rPr>
        <w:t>5</w:t>
      </w:r>
    </w:p>
    <w:p w:rsidR="00A915BD" w:rsidRPr="00C34B2F" w:rsidRDefault="00A915BD" w:rsidP="00A915BD">
      <w:pPr>
        <w:spacing w:line="276" w:lineRule="auto"/>
        <w:jc w:val="both"/>
        <w:rPr>
          <w:rFonts w:eastAsiaTheme="minorEastAsia"/>
          <w:bCs/>
        </w:rPr>
      </w:pPr>
      <w:r w:rsidRPr="00C34B2F">
        <w:rPr>
          <w:rFonts w:eastAsiaTheme="minorEastAsia"/>
          <w:bCs/>
        </w:rPr>
        <w:t>Ide o transpozíciu zmien k čl. 44 v zmysle smernice (EÚ) 2019/879, ktorými sa menia ustanovenia o vylúčení niektorých záväzkov z výkonu kapitalizácie.</w:t>
      </w:r>
    </w:p>
    <w:p w:rsidR="00A915BD" w:rsidRPr="00C34B2F" w:rsidRDefault="00A915BD" w:rsidP="00A915BD">
      <w:pPr>
        <w:spacing w:line="276" w:lineRule="auto"/>
        <w:jc w:val="both"/>
        <w:rPr>
          <w:rFonts w:eastAsiaTheme="minorEastAsia"/>
          <w:bCs/>
        </w:rPr>
      </w:pPr>
    </w:p>
    <w:p w:rsidR="00A915BD" w:rsidRPr="00C34B2F" w:rsidRDefault="00A915BD" w:rsidP="00A915BD">
      <w:pPr>
        <w:spacing w:line="276" w:lineRule="auto"/>
        <w:jc w:val="both"/>
        <w:rPr>
          <w:rFonts w:eastAsiaTheme="minorEastAsia"/>
          <w:bCs/>
        </w:rPr>
      </w:pPr>
      <w:r w:rsidRPr="00C34B2F">
        <w:rPr>
          <w:rFonts w:eastAsiaTheme="minorEastAsia"/>
          <w:bCs/>
        </w:rPr>
        <w:t>K bodu 6</w:t>
      </w:r>
      <w:r>
        <w:rPr>
          <w:rFonts w:eastAsiaTheme="minorEastAsia"/>
          <w:bCs/>
        </w:rPr>
        <w:t>6</w:t>
      </w:r>
    </w:p>
    <w:p w:rsidR="00A915BD" w:rsidRPr="00C34B2F" w:rsidRDefault="00A915BD" w:rsidP="00A915BD">
      <w:pPr>
        <w:spacing w:line="276" w:lineRule="auto"/>
        <w:jc w:val="both"/>
        <w:rPr>
          <w:rFonts w:eastAsiaTheme="minorEastAsia"/>
          <w:bCs/>
        </w:rPr>
      </w:pPr>
      <w:bookmarkStart w:id="15" w:name="_Hlk39509811"/>
      <w:r w:rsidRPr="00C34B2F">
        <w:rPr>
          <w:rFonts w:eastAsiaTheme="minorEastAsia"/>
          <w:bCs/>
        </w:rPr>
        <w:t>Ide o transpozíciu čl. 44 ods. 4</w:t>
      </w:r>
      <w:r w:rsidRPr="00C34B2F">
        <w:t xml:space="preserve"> smernice (EÚ) 2019/879</w:t>
      </w:r>
      <w:r w:rsidRPr="00C34B2F">
        <w:rPr>
          <w:rFonts w:eastAsiaTheme="minorEastAsia"/>
          <w:bCs/>
        </w:rPr>
        <w:t>, upravuje sa poskytnutie príspevku z rezolučného fondu v prípade vylúčenia záväzkov z rozsahu kapitalizácie</w:t>
      </w:r>
      <w:bookmarkEnd w:id="15"/>
      <w:r w:rsidRPr="00C34B2F">
        <w:rPr>
          <w:rFonts w:eastAsiaTheme="minorEastAsia"/>
          <w:bCs/>
        </w:rPr>
        <w:t>.</w:t>
      </w:r>
    </w:p>
    <w:p w:rsidR="00A915BD" w:rsidRPr="00C34B2F" w:rsidRDefault="00A915BD" w:rsidP="00A915BD">
      <w:pPr>
        <w:spacing w:line="276" w:lineRule="auto"/>
        <w:jc w:val="both"/>
        <w:rPr>
          <w:rFonts w:eastAsiaTheme="minorEastAsia"/>
          <w:bCs/>
        </w:rPr>
      </w:pPr>
    </w:p>
    <w:p w:rsidR="00A915BD" w:rsidRPr="00C34B2F" w:rsidRDefault="00A915BD" w:rsidP="00A915BD">
      <w:pPr>
        <w:spacing w:line="276" w:lineRule="auto"/>
        <w:jc w:val="both"/>
      </w:pPr>
      <w:r w:rsidRPr="00C34B2F">
        <w:t>K bodom 6</w:t>
      </w:r>
      <w:r>
        <w:t>7</w:t>
      </w:r>
      <w:r w:rsidRPr="00C34B2F">
        <w:t xml:space="preserve"> až </w:t>
      </w:r>
      <w:r>
        <w:t>69</w:t>
      </w:r>
    </w:p>
    <w:p w:rsidR="00A915BD" w:rsidRPr="00C34B2F" w:rsidRDefault="00A915BD" w:rsidP="00A915BD">
      <w:pPr>
        <w:spacing w:line="276" w:lineRule="auto"/>
        <w:jc w:val="both"/>
      </w:pPr>
      <w:r w:rsidRPr="00C34B2F">
        <w:t>Ide o legislatívno-technickú zmenu, mení sa odkaz a zosúlaďuje sa pojmoslovie.</w:t>
      </w:r>
    </w:p>
    <w:p w:rsidR="00A915BD" w:rsidRPr="00C34B2F" w:rsidRDefault="00A915BD" w:rsidP="00A915BD">
      <w:pPr>
        <w:spacing w:line="276" w:lineRule="auto"/>
        <w:jc w:val="both"/>
      </w:pPr>
    </w:p>
    <w:p w:rsidR="00A915BD" w:rsidRPr="00C34B2F" w:rsidRDefault="00A915BD" w:rsidP="00A915BD">
      <w:pPr>
        <w:spacing w:line="276" w:lineRule="auto"/>
        <w:jc w:val="both"/>
      </w:pPr>
      <w:r w:rsidRPr="00C34B2F">
        <w:t>K bodu 7</w:t>
      </w:r>
      <w:r>
        <w:t>0</w:t>
      </w:r>
    </w:p>
    <w:p w:rsidR="00A915BD" w:rsidRPr="00C34B2F" w:rsidRDefault="00A915BD" w:rsidP="00A915BD">
      <w:pPr>
        <w:spacing w:line="276" w:lineRule="auto"/>
        <w:jc w:val="both"/>
        <w:rPr>
          <w:rFonts w:eastAsiaTheme="minorEastAsia"/>
          <w:bCs/>
        </w:rPr>
      </w:pPr>
      <w:bookmarkStart w:id="16" w:name="_Hlk39510916"/>
      <w:r w:rsidRPr="00C34B2F">
        <w:t>Ide o odstránenie transpozičného nedostatku čl. 46 ods. 2 smernice 2014/59/EÚ v platnom znení</w:t>
      </w:r>
      <w:r w:rsidRPr="00C34B2F">
        <w:rPr>
          <w:rFonts w:eastAsiaTheme="minorEastAsia"/>
          <w:bCs/>
        </w:rPr>
        <w:t>.</w:t>
      </w:r>
    </w:p>
    <w:p w:rsidR="00A915BD" w:rsidRPr="00C34B2F" w:rsidRDefault="00A915BD" w:rsidP="00A915BD">
      <w:pPr>
        <w:spacing w:line="276" w:lineRule="auto"/>
        <w:jc w:val="both"/>
        <w:rPr>
          <w:rFonts w:eastAsiaTheme="minorEastAsia"/>
          <w:bCs/>
        </w:rPr>
      </w:pPr>
    </w:p>
    <w:p w:rsidR="00A915BD" w:rsidRPr="00C34B2F" w:rsidRDefault="00A915BD" w:rsidP="00A915BD">
      <w:pPr>
        <w:spacing w:line="276" w:lineRule="auto"/>
        <w:jc w:val="both"/>
        <w:rPr>
          <w:rFonts w:eastAsiaTheme="minorEastAsia"/>
          <w:bCs/>
        </w:rPr>
      </w:pPr>
      <w:r w:rsidRPr="00C34B2F">
        <w:rPr>
          <w:rFonts w:eastAsiaTheme="minorEastAsia"/>
          <w:bCs/>
        </w:rPr>
        <w:t>K bodu 7</w:t>
      </w:r>
      <w:r>
        <w:rPr>
          <w:rFonts w:eastAsiaTheme="minorEastAsia"/>
          <w:bCs/>
        </w:rPr>
        <w:t>1</w:t>
      </w:r>
    </w:p>
    <w:p w:rsidR="00A915BD" w:rsidRPr="00C34B2F" w:rsidRDefault="00A915BD" w:rsidP="00A915BD">
      <w:pPr>
        <w:spacing w:line="276" w:lineRule="auto"/>
        <w:jc w:val="both"/>
        <w:rPr>
          <w:rFonts w:eastAsiaTheme="minorEastAsia"/>
          <w:bCs/>
        </w:rPr>
      </w:pPr>
      <w:r w:rsidRPr="00C34B2F">
        <w:rPr>
          <w:rFonts w:eastAsiaTheme="minorEastAsia"/>
          <w:bCs/>
        </w:rPr>
        <w:t>Ide o odstránenie transpozičného nedostatku čl. 47 ods. 1 smernice 2014/59/EÚ v platnom znení.</w:t>
      </w:r>
    </w:p>
    <w:p w:rsidR="00A915BD" w:rsidRPr="00C34B2F" w:rsidRDefault="00A915BD" w:rsidP="00A915BD">
      <w:pPr>
        <w:spacing w:line="276" w:lineRule="auto"/>
        <w:jc w:val="both"/>
      </w:pPr>
    </w:p>
    <w:bookmarkEnd w:id="16"/>
    <w:p w:rsidR="00A915BD" w:rsidRPr="00C34B2F" w:rsidRDefault="00A915BD" w:rsidP="00A915BD">
      <w:pPr>
        <w:spacing w:line="276" w:lineRule="auto"/>
        <w:jc w:val="both"/>
      </w:pPr>
      <w:r w:rsidRPr="00C34B2F">
        <w:t>K bodu 7</w:t>
      </w:r>
      <w:r>
        <w:t>2</w:t>
      </w:r>
    </w:p>
    <w:p w:rsidR="00A915BD" w:rsidRPr="00C34B2F" w:rsidRDefault="00A915BD" w:rsidP="00A915BD">
      <w:pPr>
        <w:spacing w:line="276" w:lineRule="auto"/>
        <w:jc w:val="both"/>
      </w:pPr>
      <w:r w:rsidRPr="00C34B2F">
        <w:t>Ide o legislatívno-technickú zmenu, mení sa tvar slova a slovo lehota sa nahrádza vhodnejším pojmom.</w:t>
      </w:r>
    </w:p>
    <w:p w:rsidR="00A915BD" w:rsidRPr="00C34B2F" w:rsidRDefault="00A915BD" w:rsidP="00A915BD">
      <w:pPr>
        <w:spacing w:line="276" w:lineRule="auto"/>
        <w:jc w:val="both"/>
      </w:pPr>
    </w:p>
    <w:p w:rsidR="00A915BD" w:rsidRPr="00C34B2F" w:rsidRDefault="00A915BD" w:rsidP="00A915BD">
      <w:pPr>
        <w:spacing w:line="276" w:lineRule="auto"/>
        <w:jc w:val="both"/>
      </w:pPr>
      <w:r w:rsidRPr="00C34B2F">
        <w:t>K bodom 7</w:t>
      </w:r>
      <w:r>
        <w:t>3</w:t>
      </w:r>
      <w:r w:rsidRPr="00C34B2F">
        <w:t xml:space="preserve"> a 7</w:t>
      </w:r>
      <w:r>
        <w:t>4</w:t>
      </w:r>
    </w:p>
    <w:p w:rsidR="00A915BD" w:rsidRPr="00C34B2F" w:rsidRDefault="00A915BD" w:rsidP="00A915BD">
      <w:pPr>
        <w:spacing w:line="276" w:lineRule="auto"/>
        <w:jc w:val="both"/>
      </w:pPr>
      <w:bookmarkStart w:id="17" w:name="_Hlk34049273"/>
      <w:r w:rsidRPr="00C34B2F">
        <w:t>Ide o transpozíciu čl. 48 ods. 2 smernice (EÚ) 2019/879, upravujú sa definície.</w:t>
      </w:r>
    </w:p>
    <w:p w:rsidR="00A915BD" w:rsidRPr="00C34B2F" w:rsidRDefault="00A915BD" w:rsidP="00A915BD">
      <w:pPr>
        <w:spacing w:line="276" w:lineRule="auto"/>
        <w:jc w:val="both"/>
      </w:pPr>
    </w:p>
    <w:p w:rsidR="00A915BD" w:rsidRPr="00C34B2F" w:rsidRDefault="00A915BD" w:rsidP="00A915BD">
      <w:pPr>
        <w:spacing w:line="276" w:lineRule="auto"/>
        <w:jc w:val="both"/>
      </w:pPr>
      <w:r w:rsidRPr="00C34B2F">
        <w:t>K bodom 7</w:t>
      </w:r>
      <w:r>
        <w:t>5</w:t>
      </w:r>
      <w:r w:rsidRPr="00C34B2F">
        <w:t xml:space="preserve"> až 7</w:t>
      </w:r>
      <w:r>
        <w:t>7</w:t>
      </w:r>
    </w:p>
    <w:p w:rsidR="00A915BD" w:rsidRPr="00C34B2F" w:rsidRDefault="00A915BD" w:rsidP="00A915BD">
      <w:pPr>
        <w:spacing w:line="276" w:lineRule="auto"/>
        <w:jc w:val="both"/>
      </w:pPr>
      <w:r w:rsidRPr="00C34B2F">
        <w:t>Ide o legislatívno-technickú zmenu, mení sa odkaz a pojmoslovie.</w:t>
      </w:r>
    </w:p>
    <w:p w:rsidR="00A915BD" w:rsidRPr="00C34B2F" w:rsidRDefault="00A915BD" w:rsidP="00A915BD">
      <w:pPr>
        <w:spacing w:line="276" w:lineRule="auto"/>
        <w:jc w:val="both"/>
      </w:pPr>
    </w:p>
    <w:bookmarkEnd w:id="17"/>
    <w:p w:rsidR="00A915BD" w:rsidRPr="00C34B2F" w:rsidRDefault="00A915BD" w:rsidP="00A915BD">
      <w:pPr>
        <w:spacing w:line="276" w:lineRule="auto"/>
        <w:jc w:val="both"/>
      </w:pPr>
      <w:r w:rsidRPr="00C34B2F">
        <w:t>K bodu 7</w:t>
      </w:r>
      <w:r>
        <w:t>8</w:t>
      </w:r>
    </w:p>
    <w:p w:rsidR="00A915BD" w:rsidRPr="00C34B2F" w:rsidRDefault="00A915BD" w:rsidP="00A915BD">
      <w:pPr>
        <w:spacing w:line="276" w:lineRule="auto"/>
        <w:jc w:val="both"/>
      </w:pPr>
      <w:r w:rsidRPr="00C34B2F">
        <w:t>Ide o transpozíciu čl. 55 ods. 1</w:t>
      </w:r>
      <w:bookmarkStart w:id="18" w:name="_Hlk33808135"/>
      <w:r w:rsidRPr="00C34B2F">
        <w:t xml:space="preserve"> smernice (EÚ) 2019/879. </w:t>
      </w:r>
      <w:bookmarkEnd w:id="18"/>
      <w:r w:rsidRPr="00C34B2F">
        <w:t>Ustanovenie špecifikuje za akých podmienok rada môže upustiť od zahrnutia zmluvné uznávanie účinkov nástroja záchrany pomocou vnútorných zdrojov do dohôd alebo nástrojov vytvárajúcich záväzky.</w:t>
      </w:r>
    </w:p>
    <w:p w:rsidR="00A915BD" w:rsidRPr="00C34B2F" w:rsidRDefault="00A915BD" w:rsidP="00A915BD">
      <w:pPr>
        <w:spacing w:line="276" w:lineRule="auto"/>
        <w:jc w:val="both"/>
        <w:rPr>
          <w:u w:val="single"/>
        </w:rPr>
      </w:pPr>
    </w:p>
    <w:p w:rsidR="00A915BD" w:rsidRPr="00C34B2F" w:rsidRDefault="00A915BD" w:rsidP="00A915BD">
      <w:pPr>
        <w:spacing w:line="276" w:lineRule="auto"/>
        <w:jc w:val="both"/>
      </w:pPr>
      <w:r w:rsidRPr="00C34B2F">
        <w:t xml:space="preserve">K bodu </w:t>
      </w:r>
      <w:r>
        <w:t>79</w:t>
      </w:r>
    </w:p>
    <w:p w:rsidR="00A915BD" w:rsidRPr="00C34B2F" w:rsidRDefault="00A915BD" w:rsidP="00A915BD">
      <w:pPr>
        <w:spacing w:line="276" w:lineRule="auto"/>
        <w:jc w:val="both"/>
      </w:pPr>
      <w:r w:rsidRPr="00C34B2F">
        <w:t>Ide o transpozíciu č. 55 ods. 1 až 7 smernice (EÚ) 2019/879. Môžu existovať prípady, keď je pre inštitúcie alebo subjekty prakticky neuskutočniteľné, aby zahrnuli tieto zmluvné podmienky do dohôd alebo nástrojov, ktoré vytvárajú určité záväzky, najmä záväzky, ktoré nie sú vylúčené z pôsobnosti nástroja záchrany pomocou vnútorných zdrojov podľa smernice 2014/59/EÚ, kryté vklady alebo nástroje vlastných zdrojov. Vybrané inštitúcie a subjekty by mali uviesť zmluvy alebo triedy zmlúv, pre ktoré sa vloženie doložky o uznaní nástroja záchrany pomocou vnútorných zdrojov nedá uskutočniť a uviesť dôvod pre toto rozhodnutie. Orgány pre riešenie krízových situácií by mali v primeranom časovom rámci posúdiť určenie inštitúcie alebo subjektu, že nie je prakticky možné zahrnúť zmluvné uznávanie do zmlúv o povinnom poistení zodpovednosti za škodu, a mali by konať tak, aby sa vyriešili akékoľvek chybné posúdenia a prekážky brániace riešiteľnosti krízových situácií, ktoré sú výsledkom toho, že zmluvné uznávanie nebolo zahrnuté. Na požiadanie orgánu pre riešenie krízových situácií by mali byť inštitúcie alebo subjekty pripravené svoje určenie zdôvodniť. Okrem toho na to, aby sa zabezpečila nedotknuteľnosť riešiteľnosti krízových situácií inštitúcií alebo subjektov, záväzky, pre ktoré nie sú zahrnuté príslušné zmluvné ustanovenia, by nemali byť oprávnené na MREL.</w:t>
      </w:r>
    </w:p>
    <w:p w:rsidR="00A915BD" w:rsidRPr="00C34B2F" w:rsidRDefault="00A915BD" w:rsidP="00A915BD">
      <w:pPr>
        <w:spacing w:line="276" w:lineRule="auto"/>
        <w:jc w:val="both"/>
      </w:pPr>
    </w:p>
    <w:p w:rsidR="00A915BD" w:rsidRPr="00C34B2F" w:rsidRDefault="00A915BD" w:rsidP="00A915BD">
      <w:pPr>
        <w:spacing w:line="276" w:lineRule="auto"/>
        <w:jc w:val="both"/>
      </w:pPr>
      <w:r w:rsidRPr="00C34B2F">
        <w:t>K bodu 8</w:t>
      </w:r>
      <w:r>
        <w:t>0</w:t>
      </w:r>
    </w:p>
    <w:p w:rsidR="00A915BD" w:rsidRPr="00C34B2F" w:rsidRDefault="00A915BD" w:rsidP="00A915BD">
      <w:pPr>
        <w:spacing w:line="276" w:lineRule="auto"/>
        <w:jc w:val="both"/>
      </w:pPr>
      <w:r w:rsidRPr="00C34B2F">
        <w:t xml:space="preserve">Zmena nadpisu ôsmej časti nadväzuje </w:t>
      </w:r>
      <w:bookmarkStart w:id="19" w:name="_Hlk33808207"/>
      <w:r w:rsidRPr="00C34B2F">
        <w:t>na zmenu názvu kapitoly V hlave IV smernice (EÚ) 2019/879.</w:t>
      </w:r>
    </w:p>
    <w:p w:rsidR="00A915BD" w:rsidRPr="00C34B2F" w:rsidRDefault="00A915BD" w:rsidP="00A915BD">
      <w:pPr>
        <w:spacing w:line="276" w:lineRule="auto"/>
        <w:jc w:val="both"/>
      </w:pPr>
    </w:p>
    <w:bookmarkEnd w:id="19"/>
    <w:p w:rsidR="00A915BD" w:rsidRPr="00C34B2F" w:rsidRDefault="00A915BD" w:rsidP="00A915BD">
      <w:pPr>
        <w:spacing w:line="276" w:lineRule="auto"/>
        <w:jc w:val="both"/>
      </w:pPr>
      <w:r w:rsidRPr="00C34B2F">
        <w:t>K bodu 8</w:t>
      </w:r>
      <w:r>
        <w:t>1</w:t>
      </w:r>
    </w:p>
    <w:p w:rsidR="00A915BD" w:rsidRPr="00C34B2F" w:rsidRDefault="00A915BD" w:rsidP="00A915BD">
      <w:pPr>
        <w:spacing w:line="276" w:lineRule="auto"/>
        <w:jc w:val="both"/>
      </w:pPr>
      <w:r w:rsidRPr="00C34B2F">
        <w:t>Zmena nadpisu § 70 nadväzuje na zmenu názvu v zmysle čl. 59 smernice (EÚ) 2019/879.</w:t>
      </w:r>
    </w:p>
    <w:p w:rsidR="00A915BD" w:rsidRPr="00C34B2F" w:rsidRDefault="00A915BD" w:rsidP="00A915BD">
      <w:pPr>
        <w:spacing w:line="276" w:lineRule="auto"/>
        <w:jc w:val="both"/>
      </w:pPr>
    </w:p>
    <w:p w:rsidR="00A915BD" w:rsidRPr="00C34B2F" w:rsidRDefault="00A915BD" w:rsidP="00A915BD">
      <w:pPr>
        <w:spacing w:line="276" w:lineRule="auto"/>
        <w:jc w:val="both"/>
      </w:pPr>
      <w:r w:rsidRPr="00C34B2F">
        <w:t>K bodu 8</w:t>
      </w:r>
      <w:r>
        <w:t>2</w:t>
      </w:r>
    </w:p>
    <w:p w:rsidR="00A915BD" w:rsidRPr="00C34B2F" w:rsidRDefault="00A915BD" w:rsidP="00A915BD">
      <w:pPr>
        <w:spacing w:line="276" w:lineRule="auto"/>
        <w:jc w:val="both"/>
      </w:pPr>
      <w:r w:rsidRPr="00C34B2F">
        <w:t xml:space="preserve">Ide o transpozíciu </w:t>
      </w:r>
      <w:bookmarkStart w:id="20" w:name="_Hlk34049571"/>
      <w:r w:rsidRPr="00C34B2F">
        <w:t xml:space="preserve">čl. 59 ods. 1  a 2  </w:t>
      </w:r>
      <w:bookmarkEnd w:id="20"/>
      <w:r w:rsidRPr="00C34B2F">
        <w:t>smernice (EÚ) 2019/879, upravujú sa definície a rozširuje sa rozsah právomoci odpísania a konverzie  aj na záväzky použiteľné pri kapitalizácii.</w:t>
      </w:r>
    </w:p>
    <w:p w:rsidR="00A915BD" w:rsidRPr="00C34B2F" w:rsidRDefault="00A915BD" w:rsidP="00A915BD">
      <w:pPr>
        <w:spacing w:line="276" w:lineRule="auto"/>
        <w:jc w:val="both"/>
      </w:pPr>
    </w:p>
    <w:p w:rsidR="00A915BD" w:rsidRPr="00C34B2F" w:rsidRDefault="00A915BD" w:rsidP="00A915BD">
      <w:pPr>
        <w:spacing w:line="276" w:lineRule="auto"/>
        <w:jc w:val="both"/>
      </w:pPr>
      <w:r w:rsidRPr="00C34B2F">
        <w:t>K bodu 8</w:t>
      </w:r>
      <w:r>
        <w:t>3</w:t>
      </w:r>
    </w:p>
    <w:p w:rsidR="00A915BD" w:rsidRPr="00C34B2F" w:rsidRDefault="00A915BD" w:rsidP="00A915BD">
      <w:pPr>
        <w:spacing w:line="276" w:lineRule="auto"/>
        <w:jc w:val="both"/>
      </w:pPr>
      <w:r w:rsidRPr="00C34B2F">
        <w:t xml:space="preserve">Ide o legislatívno-technickú zmenu, bližšie sa špecifikuje sa kedy sa skupina považuje za zlyhávajúcu alebo pravdepodobne zlyhávajúcu. </w:t>
      </w:r>
    </w:p>
    <w:p w:rsidR="00A915BD" w:rsidRPr="00C34B2F" w:rsidRDefault="00A915BD" w:rsidP="00A915BD">
      <w:pPr>
        <w:spacing w:line="276" w:lineRule="auto"/>
        <w:jc w:val="both"/>
      </w:pPr>
    </w:p>
    <w:p w:rsidR="00A915BD" w:rsidRPr="00C34B2F" w:rsidRDefault="00A915BD" w:rsidP="00A915BD">
      <w:pPr>
        <w:spacing w:line="276" w:lineRule="auto"/>
        <w:jc w:val="both"/>
      </w:pPr>
      <w:r w:rsidRPr="00C34B2F">
        <w:t>K bodom 8</w:t>
      </w:r>
      <w:r>
        <w:t>4</w:t>
      </w:r>
      <w:r w:rsidRPr="00C34B2F">
        <w:t xml:space="preserve"> a 8</w:t>
      </w:r>
      <w:r>
        <w:t>5</w:t>
      </w:r>
    </w:p>
    <w:p w:rsidR="00A915BD" w:rsidRPr="00C34B2F" w:rsidRDefault="00A915BD" w:rsidP="00A915BD">
      <w:pPr>
        <w:spacing w:line="276" w:lineRule="auto"/>
        <w:jc w:val="both"/>
      </w:pPr>
      <w:bookmarkStart w:id="21" w:name="_Hlk34121686"/>
      <w:r w:rsidRPr="00C34B2F">
        <w:t xml:space="preserve">Ide o transpozíciu čl. 59 ods. 1a a 1b  smernice (EÚ) 2019/879. </w:t>
      </w:r>
      <w:bookmarkEnd w:id="21"/>
      <w:r w:rsidRPr="00C34B2F">
        <w:t xml:space="preserve">Ustanovenia špecifikujú voči ktorým záväzkom použiteľným pri kapitalizácii možno vykonať právomoc odpisu a konverzie samostatne bez uplatnenia rezolučného opatrenia. Taktiež sa špecifikuje miera v akej sa odpísané alebo konvertované množstvo záväzkov započítava voči príspevku z rezolučného </w:t>
      </w:r>
      <w:r w:rsidRPr="00C34B2F">
        <w:lastRenderedPageBreak/>
        <w:t>fondu. Výnimočnou situáciou v tomto kontexte sa rozumie situácia, kedy sa rada odchýlila od postupu predpokladaného v rezolučnom pláne z dôvodu náhlej zmeny ekonomickej a finančnej situácie inštitúcie, príp. iných okolností, ktoré znemožňujú uskutočnenie plánovaného postupu.</w:t>
      </w:r>
    </w:p>
    <w:p w:rsidR="00A915BD" w:rsidRPr="00C34B2F" w:rsidRDefault="00A915BD" w:rsidP="00A915BD">
      <w:pPr>
        <w:spacing w:line="276" w:lineRule="auto"/>
        <w:jc w:val="both"/>
      </w:pPr>
    </w:p>
    <w:p w:rsidR="00A915BD" w:rsidRPr="00C34B2F" w:rsidRDefault="00A915BD" w:rsidP="00A915BD">
      <w:pPr>
        <w:spacing w:line="276" w:lineRule="auto"/>
        <w:jc w:val="both"/>
      </w:pPr>
      <w:r w:rsidRPr="00C34B2F">
        <w:t>K bodu 8</w:t>
      </w:r>
      <w:r>
        <w:t>6</w:t>
      </w:r>
    </w:p>
    <w:p w:rsidR="00A915BD" w:rsidRPr="00C34B2F" w:rsidRDefault="00A915BD" w:rsidP="00A915BD">
      <w:pPr>
        <w:spacing w:line="276" w:lineRule="auto"/>
        <w:jc w:val="both"/>
      </w:pPr>
      <w:r w:rsidRPr="00C34B2F">
        <w:t>Ide o transpozíciu čl. 62 smernice (EÚ) 2019/879. Špecifikujú sa informačné povinnosti rady pred konštatovaním splnenia podmienok na odpis a konverziu.</w:t>
      </w:r>
    </w:p>
    <w:p w:rsidR="00A915BD" w:rsidRPr="00C34B2F" w:rsidRDefault="00A915BD" w:rsidP="00A915BD">
      <w:pPr>
        <w:spacing w:line="276" w:lineRule="auto"/>
        <w:jc w:val="both"/>
      </w:pPr>
    </w:p>
    <w:p w:rsidR="00A915BD" w:rsidRPr="00C34B2F" w:rsidRDefault="00A915BD" w:rsidP="00A915BD">
      <w:pPr>
        <w:spacing w:line="276" w:lineRule="auto"/>
        <w:jc w:val="both"/>
      </w:pPr>
      <w:bookmarkStart w:id="22" w:name="_Hlk34121797"/>
      <w:r w:rsidRPr="00C34B2F">
        <w:t>K bodom 8</w:t>
      </w:r>
      <w:r>
        <w:t>7</w:t>
      </w:r>
      <w:r w:rsidRPr="00C34B2F">
        <w:t xml:space="preserve"> až </w:t>
      </w:r>
      <w:r>
        <w:t>8</w:t>
      </w:r>
      <w:r w:rsidRPr="00C34B2F">
        <w:t>9</w:t>
      </w:r>
    </w:p>
    <w:p w:rsidR="00A915BD" w:rsidRPr="00C34B2F" w:rsidRDefault="00A915BD" w:rsidP="00A915BD">
      <w:pPr>
        <w:spacing w:line="276" w:lineRule="auto"/>
        <w:jc w:val="both"/>
      </w:pPr>
      <w:r w:rsidRPr="00C34B2F">
        <w:t>Ide o transpozíciu čl. 60 smernice (EÚ) 2019/879, upravuje sa spôsob odpisovania záväzkov.</w:t>
      </w:r>
      <w:bookmarkEnd w:id="22"/>
    </w:p>
    <w:p w:rsidR="00A915BD" w:rsidRPr="00C34B2F" w:rsidRDefault="00A915BD" w:rsidP="00A915BD">
      <w:pPr>
        <w:spacing w:line="276" w:lineRule="auto"/>
        <w:jc w:val="both"/>
      </w:pPr>
    </w:p>
    <w:p w:rsidR="00A915BD" w:rsidRPr="00C34B2F" w:rsidRDefault="00A915BD" w:rsidP="00A915BD">
      <w:pPr>
        <w:spacing w:line="276" w:lineRule="auto"/>
        <w:jc w:val="both"/>
      </w:pPr>
      <w:r w:rsidRPr="00C34B2F">
        <w:t>K bodom 9</w:t>
      </w:r>
      <w:r>
        <w:t>0</w:t>
      </w:r>
      <w:r w:rsidRPr="00C34B2F">
        <w:t xml:space="preserve"> až 9</w:t>
      </w:r>
      <w:r>
        <w:t>2</w:t>
      </w:r>
    </w:p>
    <w:p w:rsidR="00A915BD" w:rsidRPr="00C34B2F" w:rsidRDefault="00A915BD" w:rsidP="00A915BD">
      <w:pPr>
        <w:spacing w:line="276" w:lineRule="auto"/>
        <w:jc w:val="both"/>
      </w:pPr>
      <w:bookmarkStart w:id="23" w:name="_Hlk34122499"/>
      <w:r w:rsidRPr="00C34B2F">
        <w:t xml:space="preserve">Ide o transpozíciu čl. 88 smernice (EÚ) 2019/879. </w:t>
      </w:r>
      <w:bookmarkEnd w:id="23"/>
    </w:p>
    <w:p w:rsidR="00A915BD" w:rsidRPr="00C34B2F" w:rsidRDefault="00A915BD" w:rsidP="00A915BD">
      <w:pPr>
        <w:spacing w:line="276" w:lineRule="auto"/>
        <w:jc w:val="both"/>
      </w:pPr>
    </w:p>
    <w:p w:rsidR="00A915BD" w:rsidRPr="00C34B2F" w:rsidRDefault="00A915BD" w:rsidP="00A915BD">
      <w:pPr>
        <w:spacing w:line="276" w:lineRule="auto"/>
        <w:jc w:val="both"/>
      </w:pPr>
      <w:r w:rsidRPr="00C34B2F">
        <w:t>K bodu 9</w:t>
      </w:r>
      <w:r>
        <w:t>3</w:t>
      </w:r>
    </w:p>
    <w:p w:rsidR="00A915BD" w:rsidRPr="00C34B2F" w:rsidRDefault="00A915BD" w:rsidP="00A915BD">
      <w:pPr>
        <w:spacing w:line="276" w:lineRule="auto"/>
        <w:jc w:val="both"/>
      </w:pPr>
      <w:r w:rsidRPr="00C34B2F">
        <w:t xml:space="preserve">Ide o transpozíciu čl. 89 smernice (EÚ) 2019/879. Upravuje sa fungovanie Európskych kolégií pre riešenie krízových situácií. </w:t>
      </w:r>
    </w:p>
    <w:p w:rsidR="00A915BD" w:rsidRPr="00C34B2F" w:rsidRDefault="00A915BD" w:rsidP="00A915BD">
      <w:pPr>
        <w:spacing w:line="276" w:lineRule="auto"/>
        <w:jc w:val="both"/>
      </w:pPr>
    </w:p>
    <w:p w:rsidR="00A915BD" w:rsidRPr="00C34B2F" w:rsidRDefault="00A915BD" w:rsidP="00A915BD">
      <w:pPr>
        <w:spacing w:line="276" w:lineRule="auto"/>
        <w:jc w:val="both"/>
      </w:pPr>
      <w:r w:rsidRPr="00C34B2F">
        <w:t>K bodom 9</w:t>
      </w:r>
      <w:r>
        <w:t>4</w:t>
      </w:r>
      <w:r w:rsidRPr="00C34B2F">
        <w:t xml:space="preserve"> až 9</w:t>
      </w:r>
      <w:r>
        <w:t>7</w:t>
      </w:r>
    </w:p>
    <w:p w:rsidR="00A915BD" w:rsidRPr="00C34B2F" w:rsidRDefault="00A915BD" w:rsidP="00A915BD">
      <w:pPr>
        <w:spacing w:line="276" w:lineRule="auto"/>
        <w:jc w:val="both"/>
      </w:pPr>
      <w:r w:rsidRPr="00C34B2F">
        <w:t>Ide o legislatívno-technickú zmenu, menia sa odkazy na ustanovenia a názov právneho predpisu na ktorý sa odkazuje.</w:t>
      </w:r>
    </w:p>
    <w:p w:rsidR="00A915BD" w:rsidRPr="00C34B2F" w:rsidRDefault="00A915BD" w:rsidP="00A915BD">
      <w:pPr>
        <w:spacing w:line="276" w:lineRule="auto"/>
        <w:jc w:val="both"/>
      </w:pPr>
    </w:p>
    <w:p w:rsidR="00A915BD" w:rsidRPr="00C34B2F" w:rsidRDefault="00A915BD" w:rsidP="00A915BD">
      <w:pPr>
        <w:spacing w:line="276" w:lineRule="auto"/>
        <w:jc w:val="both"/>
      </w:pPr>
      <w:r w:rsidRPr="00C34B2F">
        <w:t>K bodu 9</w:t>
      </w:r>
      <w:r>
        <w:t>8</w:t>
      </w:r>
    </w:p>
    <w:p w:rsidR="00A915BD" w:rsidRPr="00C34B2F" w:rsidRDefault="00A915BD" w:rsidP="00A915BD">
      <w:pPr>
        <w:spacing w:line="276" w:lineRule="auto"/>
        <w:jc w:val="both"/>
      </w:pPr>
      <w:r w:rsidRPr="00C34B2F">
        <w:t>Ide o legislatívno-technickú zmenu, zosúladenie s bodmi 8 a 22.9 prílohy č. 1 k Legislatívnym pravidlám vlády Slovenskej republiky. Pojem „všeobecný predpis o správnom konaní“ je nesprávny.</w:t>
      </w:r>
    </w:p>
    <w:p w:rsidR="00A915BD" w:rsidRPr="00C34B2F" w:rsidRDefault="00A915BD" w:rsidP="00A915BD">
      <w:pPr>
        <w:spacing w:line="276" w:lineRule="auto"/>
        <w:jc w:val="both"/>
      </w:pPr>
    </w:p>
    <w:p w:rsidR="00A915BD" w:rsidRPr="00C34B2F" w:rsidRDefault="00A915BD" w:rsidP="00A915BD">
      <w:pPr>
        <w:spacing w:line="276" w:lineRule="auto"/>
        <w:jc w:val="both"/>
      </w:pPr>
      <w:r w:rsidRPr="00C34B2F">
        <w:t xml:space="preserve">K bodu </w:t>
      </w:r>
      <w:r>
        <w:t>99</w:t>
      </w:r>
    </w:p>
    <w:p w:rsidR="00A915BD" w:rsidRPr="00C34B2F" w:rsidRDefault="00A915BD" w:rsidP="00A915BD">
      <w:pPr>
        <w:spacing w:line="276" w:lineRule="auto"/>
        <w:jc w:val="both"/>
      </w:pPr>
      <w:r w:rsidRPr="00C34B2F">
        <w:t xml:space="preserve">Ide o transpozíciu čl. 45m </w:t>
      </w:r>
      <w:bookmarkStart w:id="24" w:name="_Hlk42520293"/>
      <w:r w:rsidRPr="00C34B2F">
        <w:t>smernice (EÚ) 2019/879</w:t>
      </w:r>
      <w:bookmarkEnd w:id="24"/>
      <w:r w:rsidRPr="00C34B2F">
        <w:t>. Upravujú sa prechodné obdobia na splnenie MREL a požiadavky na podriadenosť zo strany osôb podľa § 1 ods. 3. Predpisujú sa konkrétne dátumy pre splnenie predbežných úrovní MREL a požiadavky na podriadenosť a konečných úrovní MREL a požiadavky na podriadenosť. Predbežné úrovne požiadaviek musia zabezpečiť lineárne zvyšovanie oprávnených záväzkov a vlastných zdrojov potrebných na splnenie požiadaviek. Upravuje sa možnosť pre radu stanoviť neskorší než predpísaný dátum pre splnenie konečných úrovní MREL a požiadavky na podriadenosť a zavádzajú sa podmienky pre takúto možnosť.</w:t>
      </w:r>
    </w:p>
    <w:p w:rsidR="00A915BD" w:rsidRPr="00C34B2F" w:rsidRDefault="00A915BD" w:rsidP="00A915BD">
      <w:pPr>
        <w:spacing w:line="276" w:lineRule="auto"/>
        <w:jc w:val="both"/>
      </w:pPr>
    </w:p>
    <w:p w:rsidR="00A915BD" w:rsidRPr="00C34B2F" w:rsidRDefault="00A915BD" w:rsidP="00A915BD">
      <w:pPr>
        <w:spacing w:line="276" w:lineRule="auto"/>
        <w:jc w:val="both"/>
      </w:pPr>
      <w:r w:rsidRPr="00C34B2F">
        <w:t>K bodu 10</w:t>
      </w:r>
      <w:r>
        <w:t>0</w:t>
      </w:r>
    </w:p>
    <w:p w:rsidR="00A915BD" w:rsidRPr="00C34B2F" w:rsidRDefault="00A915BD" w:rsidP="00A915BD">
      <w:pPr>
        <w:spacing w:line="276" w:lineRule="auto"/>
        <w:jc w:val="both"/>
      </w:pPr>
      <w:r w:rsidRPr="00C34B2F">
        <w:t xml:space="preserve">Legislatívno-technické úpravy znení smerníc vrátane doplnenia nového tretieho bodu prílohy (smernica (EÚ) 2019/879) k zákonu 371/2014 Z. z. </w:t>
      </w:r>
    </w:p>
    <w:p w:rsidR="00A915BD" w:rsidRPr="00C34B2F" w:rsidRDefault="00A915BD" w:rsidP="00A915BD">
      <w:pPr>
        <w:spacing w:line="276" w:lineRule="auto"/>
        <w:jc w:val="both"/>
        <w:rPr>
          <w:b/>
        </w:rPr>
      </w:pPr>
    </w:p>
    <w:p w:rsidR="00A915BD" w:rsidRDefault="00A915BD" w:rsidP="00A915BD">
      <w:pPr>
        <w:spacing w:line="276" w:lineRule="auto"/>
        <w:jc w:val="both"/>
        <w:rPr>
          <w:b/>
        </w:rPr>
      </w:pPr>
    </w:p>
    <w:p w:rsidR="00C95C9B" w:rsidRDefault="00C95C9B" w:rsidP="00A915BD">
      <w:pPr>
        <w:spacing w:line="276" w:lineRule="auto"/>
        <w:jc w:val="both"/>
        <w:rPr>
          <w:b/>
        </w:rPr>
      </w:pPr>
    </w:p>
    <w:p w:rsidR="00C95C9B" w:rsidRPr="00C34B2F" w:rsidRDefault="00C95C9B" w:rsidP="00A915BD">
      <w:pPr>
        <w:spacing w:line="276" w:lineRule="auto"/>
        <w:jc w:val="both"/>
        <w:rPr>
          <w:b/>
        </w:rPr>
      </w:pPr>
    </w:p>
    <w:p w:rsidR="00A915BD" w:rsidRPr="00C34B2F" w:rsidRDefault="00A915BD" w:rsidP="00A915BD">
      <w:pPr>
        <w:spacing w:line="276" w:lineRule="auto"/>
        <w:jc w:val="both"/>
        <w:rPr>
          <w:b/>
        </w:rPr>
      </w:pPr>
      <w:r w:rsidRPr="00C34B2F">
        <w:rPr>
          <w:b/>
        </w:rPr>
        <w:lastRenderedPageBreak/>
        <w:t>Čl. II</w:t>
      </w:r>
    </w:p>
    <w:p w:rsidR="00A915BD" w:rsidRPr="00C34B2F" w:rsidRDefault="00A915BD" w:rsidP="00A915BD">
      <w:pPr>
        <w:spacing w:line="276" w:lineRule="auto"/>
        <w:jc w:val="both"/>
        <w:rPr>
          <w:b/>
        </w:rPr>
      </w:pPr>
    </w:p>
    <w:p w:rsidR="00A915BD" w:rsidRPr="00C34B2F" w:rsidRDefault="00A915BD" w:rsidP="00A915BD">
      <w:pPr>
        <w:spacing w:line="276" w:lineRule="auto"/>
        <w:jc w:val="both"/>
      </w:pPr>
      <w:r w:rsidRPr="00C34B2F">
        <w:t xml:space="preserve">K bodom 1 a 2 </w:t>
      </w:r>
    </w:p>
    <w:p w:rsidR="00A915BD" w:rsidRPr="00C34B2F" w:rsidRDefault="00A915BD" w:rsidP="00A915BD">
      <w:pPr>
        <w:spacing w:line="276" w:lineRule="auto"/>
        <w:jc w:val="both"/>
      </w:pPr>
    </w:p>
    <w:p w:rsidR="00A915BD" w:rsidRPr="00C34B2F" w:rsidRDefault="00A915BD" w:rsidP="00A915BD">
      <w:pPr>
        <w:spacing w:line="276" w:lineRule="auto"/>
        <w:jc w:val="both"/>
        <w:rPr>
          <w:bCs/>
        </w:rPr>
      </w:pPr>
      <w:r w:rsidRPr="00C34B2F">
        <w:t>Ustanovenie § 176 ods. 6 sa zavádza v spojitosti s potrebou zosúladenia poradia odpisu pohľadávok v zmysle rezolučného rámca s poradím uspokojovania pohľadávok v konkurze. Navrhované ustanovenie vyplýva z požiadavky zníženia rizika porušovania „no creditor worse off“ zásady, v zmysle ktorej žiaden z veriteľov v rezolúcii nesmie získať horšie uspokojenie ako by bol získal v konkurze. Cieľom ustanovenia je zaviesť generálnu výluku zo zásady znevýhodňujúcej  spriaznené pohľadávky podriadenosti pohľadávok z dôvodu spriaznenosti veriteľov pre banky za účelom odstránenia súčasného právneho stavu, kedy sa záväzky medzi spriaznenými osobami  uspokoja bez ohľadu na svoju povahu ako podriadené. Naviac, uvedený návrh odstraňuje interpretačné nejasnosti vznikajúce v dôsledku kolízie medzi špeciálnou povahou podriadenosti pre jednotlivé typy záväzkov v zmysle ustanovení § 180a ZKR a všeobecným princípom podriadenosti medzi spriaznenými osobami, ktorý vyplýva z § 95 ods. 3 ZKR. Doterajšie výnimky zo všeobecného režimu uspokojovania spriaznených pohľadávok uvedené v § 95 ods. 4 a § 95 ods. 5 ZKR sa bez zavedenia všeobecnej výluky vo vzťahu k bankám javia ako nedostatočné. Zavedením generálnej výluky sa naopak sprehľadní režim uspokojovania spriaznených pohľadávok bánk v konkurze bez ohľadu na povahu a charakter týchto pohľadávok. V dôsledku toho sa zároveň doterajšia úprava osobitnej výluky vo vzťahu k pohľadávke z krytého dlhopisu v § 95 ods. 5 ZKR stáva nadbytočnou, nakoľko vo vzťahu k takejto pohľadávke je zaviazaná vždy len banka a vylúčenie danej pohľadávky z režimu uspokojovania spriaznených pohľadávok podľa § 95 ods. 3 bude pokryté všeobecnou výnimkou stanovenou pre konkurz banky v novom navrhovanom ustanovení.</w:t>
      </w:r>
    </w:p>
    <w:p w:rsidR="00A915BD" w:rsidRPr="00C34B2F" w:rsidRDefault="00A915BD" w:rsidP="00A915BD">
      <w:pPr>
        <w:spacing w:line="276" w:lineRule="auto"/>
        <w:jc w:val="both"/>
        <w:rPr>
          <w:b/>
        </w:rPr>
      </w:pPr>
    </w:p>
    <w:p w:rsidR="00A915BD" w:rsidRPr="00C34B2F" w:rsidRDefault="00A915BD" w:rsidP="00A915BD">
      <w:pPr>
        <w:spacing w:line="276" w:lineRule="auto"/>
        <w:jc w:val="both"/>
      </w:pPr>
      <w:r w:rsidRPr="00C34B2F">
        <w:t>K bodom 3 a 4</w:t>
      </w:r>
    </w:p>
    <w:p w:rsidR="00A915BD" w:rsidRPr="00C34B2F" w:rsidRDefault="00A915BD" w:rsidP="00A915BD">
      <w:pPr>
        <w:spacing w:line="276" w:lineRule="auto"/>
        <w:jc w:val="both"/>
      </w:pPr>
      <w:r w:rsidRPr="00C34B2F">
        <w:t xml:space="preserve">Ide o transpozíciu čl. 48 ods. 7 smernice (EÚ) 2019/879, v zmysle ktorého majú mať všetky pohľadávky z položiek vlastných zdrojov nižšie prioritné postavenie ako ktorákoľvek pohľadávka, ktorá nevyplýva z položky vlastných zdrojov. V zmysle novely sa tak nástroje kapitálu Tier 2, ktoré boli doteraz v jednej triede s podriadenými pohľadávkami, uspokoja v konkurze až po podriadených pohľadávkach. Zároveň, po uspokojení Tier 2 nástrojov sa uspokoja pohľadávky z cenných papierov, ktoré majú v emisných podmienkach uvedené, že ide o trvalý finančný nástroj bez povinnosti jeho vyrovnania, a je v nich uvedená skutočnosť, ktorá trvalo alebo dočasne znižuje hodnotu cenného papiera alebo umožňuje jeho konverziu na nástroje vlastného kapitálu Tier 1 (tzv. Additional Tier 1 capital). </w:t>
      </w:r>
    </w:p>
    <w:p w:rsidR="00A915BD" w:rsidRPr="00C34B2F" w:rsidRDefault="00A915BD" w:rsidP="00A915BD">
      <w:pPr>
        <w:spacing w:line="276" w:lineRule="auto"/>
        <w:jc w:val="both"/>
      </w:pPr>
    </w:p>
    <w:p w:rsidR="00A915BD" w:rsidRPr="00C34B2F" w:rsidRDefault="00A915BD" w:rsidP="00A915BD">
      <w:pPr>
        <w:spacing w:line="276" w:lineRule="auto"/>
        <w:jc w:val="both"/>
      </w:pPr>
      <w:r w:rsidRPr="00C34B2F">
        <w:t>K bodu 5</w:t>
      </w:r>
    </w:p>
    <w:p w:rsidR="00A915BD" w:rsidRPr="00C34B2F" w:rsidRDefault="00A915BD" w:rsidP="00A915BD">
      <w:pPr>
        <w:spacing w:line="276" w:lineRule="auto"/>
        <w:jc w:val="both"/>
      </w:pPr>
      <w:r w:rsidRPr="00C34B2F">
        <w:t xml:space="preserve">Legislatívno-technické úpravy znení smerníc vrátane doplnenia nového deviateho bodu prílohy (smernica (EÚ) 2019/879) k zákonu 7/2005 Z. z. </w:t>
      </w:r>
    </w:p>
    <w:p w:rsidR="00A915BD" w:rsidRPr="00C34B2F" w:rsidRDefault="00A915BD" w:rsidP="00A915BD">
      <w:pPr>
        <w:spacing w:line="276" w:lineRule="auto"/>
        <w:jc w:val="both"/>
      </w:pPr>
    </w:p>
    <w:p w:rsidR="00A915BD" w:rsidRDefault="00A915BD" w:rsidP="00A915BD">
      <w:pPr>
        <w:spacing w:line="276" w:lineRule="auto"/>
        <w:jc w:val="both"/>
        <w:rPr>
          <w:b/>
        </w:rPr>
      </w:pPr>
    </w:p>
    <w:p w:rsidR="00C95C9B" w:rsidRDefault="00C95C9B" w:rsidP="00A915BD">
      <w:pPr>
        <w:spacing w:line="276" w:lineRule="auto"/>
        <w:jc w:val="both"/>
        <w:rPr>
          <w:b/>
        </w:rPr>
      </w:pPr>
    </w:p>
    <w:p w:rsidR="00C95C9B" w:rsidRDefault="00C95C9B" w:rsidP="00A915BD">
      <w:pPr>
        <w:spacing w:line="276" w:lineRule="auto"/>
        <w:jc w:val="both"/>
        <w:rPr>
          <w:b/>
        </w:rPr>
      </w:pPr>
    </w:p>
    <w:p w:rsidR="00C95C9B" w:rsidRDefault="00C95C9B" w:rsidP="00A915BD">
      <w:pPr>
        <w:spacing w:line="276" w:lineRule="auto"/>
        <w:jc w:val="both"/>
        <w:rPr>
          <w:b/>
        </w:rPr>
      </w:pPr>
    </w:p>
    <w:p w:rsidR="00A915BD" w:rsidRPr="00C34B2F" w:rsidRDefault="00A915BD" w:rsidP="00A915BD">
      <w:pPr>
        <w:spacing w:line="276" w:lineRule="auto"/>
        <w:jc w:val="both"/>
        <w:rPr>
          <w:b/>
        </w:rPr>
      </w:pPr>
      <w:r w:rsidRPr="00C34B2F">
        <w:rPr>
          <w:b/>
        </w:rPr>
        <w:lastRenderedPageBreak/>
        <w:t>Čl. III</w:t>
      </w:r>
    </w:p>
    <w:p w:rsidR="00A915BD" w:rsidRPr="00C34B2F" w:rsidRDefault="00A915BD" w:rsidP="00A915BD">
      <w:pPr>
        <w:spacing w:line="276" w:lineRule="auto"/>
        <w:jc w:val="both"/>
      </w:pPr>
    </w:p>
    <w:p w:rsidR="00A915BD" w:rsidRPr="00C84D9C" w:rsidRDefault="00A915BD" w:rsidP="00A915BD">
      <w:pPr>
        <w:spacing w:line="276" w:lineRule="auto"/>
        <w:jc w:val="both"/>
      </w:pPr>
      <w:r w:rsidRPr="00C34B2F">
        <w:t xml:space="preserve">Zákon nadobúda účinnosť v súlade s dátumami uplatňovania ustanovení smernice (EÚ) 2019/879 dňa 28. decembra 2020 s výnimkou povinnosti ročného zverejňovania informácií o vlastných zdrojoch a oprávnených záväzkoch, ktorá nadobúda účinnosť 1. januára 2024. </w:t>
      </w:r>
      <w:r>
        <w:t xml:space="preserve"> </w:t>
      </w:r>
    </w:p>
    <w:p w:rsidR="00A915BD" w:rsidRDefault="00A915BD" w:rsidP="00A915BD">
      <w:pPr>
        <w:spacing w:line="276" w:lineRule="auto"/>
        <w:jc w:val="both"/>
      </w:pPr>
    </w:p>
    <w:p w:rsidR="00A915BD" w:rsidRDefault="00A915BD" w:rsidP="00A915BD">
      <w:pPr>
        <w:spacing w:line="276" w:lineRule="auto"/>
        <w:jc w:val="both"/>
      </w:pPr>
    </w:p>
    <w:p w:rsidR="00A915BD" w:rsidRDefault="00A915BD" w:rsidP="00A915BD">
      <w:pPr>
        <w:spacing w:line="276" w:lineRule="auto"/>
        <w:jc w:val="both"/>
      </w:pPr>
    </w:p>
    <w:p w:rsidR="00A915BD" w:rsidRDefault="00A915BD" w:rsidP="00A915BD">
      <w:r>
        <w:t>Schválené vládou Slovenskej republiky dňa 26. augusta 2020.</w:t>
      </w:r>
    </w:p>
    <w:p w:rsidR="00A915BD" w:rsidRDefault="00A915BD" w:rsidP="00A915BD">
      <w:pPr>
        <w:jc w:val="center"/>
      </w:pPr>
    </w:p>
    <w:p w:rsidR="00A915BD" w:rsidRDefault="00A915BD" w:rsidP="00A915BD">
      <w:pPr>
        <w:jc w:val="center"/>
      </w:pPr>
    </w:p>
    <w:p w:rsidR="00A915BD" w:rsidRDefault="00A915BD" w:rsidP="00A915BD">
      <w:pPr>
        <w:jc w:val="center"/>
      </w:pPr>
    </w:p>
    <w:p w:rsidR="00A915BD" w:rsidRDefault="00A915BD" w:rsidP="00A915BD">
      <w:pPr>
        <w:jc w:val="center"/>
      </w:pPr>
    </w:p>
    <w:p w:rsidR="00A915BD" w:rsidRDefault="00A915BD" w:rsidP="00A915BD">
      <w:pPr>
        <w:jc w:val="center"/>
      </w:pPr>
    </w:p>
    <w:p w:rsidR="00A915BD" w:rsidRDefault="00A915BD" w:rsidP="00A915BD">
      <w:pPr>
        <w:jc w:val="center"/>
      </w:pPr>
    </w:p>
    <w:p w:rsidR="00A915BD" w:rsidRDefault="00A915BD" w:rsidP="00A915BD">
      <w:pPr>
        <w:jc w:val="center"/>
      </w:pPr>
    </w:p>
    <w:p w:rsidR="00A915BD" w:rsidRDefault="00A915BD" w:rsidP="00A915BD">
      <w:pPr>
        <w:jc w:val="center"/>
        <w:rPr>
          <w:b/>
          <w:bCs/>
        </w:rPr>
      </w:pPr>
      <w:r>
        <w:rPr>
          <w:b/>
          <w:bCs/>
        </w:rPr>
        <w:t>Igor  M a t o v i</w:t>
      </w:r>
      <w:r w:rsidR="00524EE1">
        <w:rPr>
          <w:b/>
          <w:bCs/>
        </w:rPr>
        <w:t> </w:t>
      </w:r>
      <w:r>
        <w:rPr>
          <w:b/>
          <w:bCs/>
        </w:rPr>
        <w:t>č</w:t>
      </w:r>
      <w:r w:rsidR="00524EE1">
        <w:rPr>
          <w:b/>
          <w:bCs/>
        </w:rPr>
        <w:t>, v. r.</w:t>
      </w:r>
    </w:p>
    <w:p w:rsidR="00A915BD" w:rsidRDefault="00A915BD" w:rsidP="00A915BD">
      <w:pPr>
        <w:jc w:val="center"/>
      </w:pPr>
      <w:r>
        <w:t>predseda vlády Slovenskej republiky</w:t>
      </w:r>
    </w:p>
    <w:p w:rsidR="00A915BD" w:rsidRDefault="00A915BD" w:rsidP="00A915BD">
      <w:pPr>
        <w:jc w:val="center"/>
      </w:pPr>
    </w:p>
    <w:p w:rsidR="00A915BD" w:rsidRDefault="00A915BD" w:rsidP="00A915BD">
      <w:pPr>
        <w:jc w:val="center"/>
      </w:pPr>
    </w:p>
    <w:p w:rsidR="00A915BD" w:rsidRDefault="00A915BD" w:rsidP="00A915BD">
      <w:pPr>
        <w:jc w:val="center"/>
      </w:pPr>
    </w:p>
    <w:p w:rsidR="00A915BD" w:rsidRDefault="00A915BD" w:rsidP="00A915BD">
      <w:pPr>
        <w:jc w:val="center"/>
      </w:pPr>
    </w:p>
    <w:p w:rsidR="00A915BD" w:rsidRDefault="00A915BD" w:rsidP="00A915BD">
      <w:pPr>
        <w:jc w:val="center"/>
      </w:pPr>
    </w:p>
    <w:p w:rsidR="00A915BD" w:rsidRDefault="00A915BD" w:rsidP="00A915BD">
      <w:pPr>
        <w:jc w:val="center"/>
      </w:pPr>
    </w:p>
    <w:p w:rsidR="00A915BD" w:rsidRDefault="00A915BD" w:rsidP="00A915BD">
      <w:pPr>
        <w:jc w:val="center"/>
      </w:pPr>
    </w:p>
    <w:p w:rsidR="00A915BD" w:rsidRDefault="00A915BD" w:rsidP="00A915BD">
      <w:pPr>
        <w:jc w:val="center"/>
        <w:rPr>
          <w:b/>
          <w:bCs/>
        </w:rPr>
      </w:pPr>
      <w:r>
        <w:rPr>
          <w:b/>
          <w:bCs/>
        </w:rPr>
        <w:t>Eduard  H e g e r</w:t>
      </w:r>
      <w:r w:rsidR="00524EE1">
        <w:rPr>
          <w:b/>
          <w:bCs/>
        </w:rPr>
        <w:t>,</w:t>
      </w:r>
      <w:r w:rsidR="00524EE1" w:rsidRPr="00524EE1">
        <w:rPr>
          <w:b/>
          <w:bCs/>
        </w:rPr>
        <w:t xml:space="preserve"> </w:t>
      </w:r>
      <w:r w:rsidR="00524EE1">
        <w:rPr>
          <w:b/>
          <w:bCs/>
        </w:rPr>
        <w:t>v. r.</w:t>
      </w:r>
    </w:p>
    <w:p w:rsidR="00A915BD" w:rsidRDefault="00A915BD" w:rsidP="00A915BD">
      <w:pPr>
        <w:jc w:val="center"/>
      </w:pPr>
      <w:r>
        <w:t>podpredseda vlády a minister financií Slovenskej republiky</w:t>
      </w:r>
    </w:p>
    <w:p w:rsidR="00A915BD" w:rsidRDefault="00A915BD" w:rsidP="00A915BD">
      <w:pPr>
        <w:jc w:val="center"/>
      </w:pPr>
    </w:p>
    <w:p w:rsidR="00A915BD" w:rsidRDefault="00A915BD" w:rsidP="00A915BD">
      <w:pPr>
        <w:jc w:val="center"/>
      </w:pPr>
    </w:p>
    <w:p w:rsidR="00A915BD" w:rsidRDefault="00A915BD" w:rsidP="00A915BD">
      <w:pPr>
        <w:jc w:val="center"/>
      </w:pPr>
    </w:p>
    <w:p w:rsidR="00A915BD" w:rsidRDefault="00A915BD" w:rsidP="00A915BD">
      <w:pPr>
        <w:jc w:val="center"/>
      </w:pPr>
    </w:p>
    <w:p w:rsidR="00A915BD" w:rsidRDefault="00A915BD" w:rsidP="00A915BD">
      <w:pPr>
        <w:jc w:val="center"/>
      </w:pPr>
    </w:p>
    <w:p w:rsidR="00A915BD" w:rsidRDefault="00A915BD" w:rsidP="00A915BD">
      <w:pPr>
        <w:jc w:val="center"/>
      </w:pPr>
    </w:p>
    <w:p w:rsidR="00A915BD" w:rsidRDefault="00A915BD" w:rsidP="00A915BD">
      <w:pPr>
        <w:jc w:val="center"/>
      </w:pPr>
    </w:p>
    <w:p w:rsidR="00A915BD" w:rsidRDefault="00A915BD" w:rsidP="00A915BD">
      <w:pPr>
        <w:jc w:val="center"/>
        <w:rPr>
          <w:b/>
          <w:bCs/>
        </w:rPr>
      </w:pPr>
      <w:r>
        <w:rPr>
          <w:b/>
          <w:bCs/>
        </w:rPr>
        <w:t>Peter  K a ž i m í r</w:t>
      </w:r>
      <w:r w:rsidR="00524EE1">
        <w:rPr>
          <w:b/>
          <w:bCs/>
        </w:rPr>
        <w:t>, v. r.</w:t>
      </w:r>
    </w:p>
    <w:p w:rsidR="00A915BD" w:rsidRDefault="00A915BD" w:rsidP="00A915BD">
      <w:pPr>
        <w:jc w:val="center"/>
      </w:pPr>
      <w:r>
        <w:t>guvernér Národnej banky Slovenska</w:t>
      </w:r>
    </w:p>
    <w:p w:rsidR="00A915BD" w:rsidRDefault="00A915BD" w:rsidP="00A915BD">
      <w:pPr>
        <w:jc w:val="both"/>
      </w:pPr>
    </w:p>
    <w:p w:rsidR="00A915BD" w:rsidRPr="00C84D9C" w:rsidRDefault="00A915BD" w:rsidP="00A915BD">
      <w:pPr>
        <w:spacing w:line="276" w:lineRule="auto"/>
        <w:jc w:val="both"/>
      </w:pPr>
    </w:p>
    <w:p w:rsidR="00A915BD" w:rsidRPr="00C84D9C" w:rsidRDefault="00A915BD" w:rsidP="00A915BD">
      <w:pPr>
        <w:spacing w:line="276" w:lineRule="auto"/>
        <w:jc w:val="both"/>
      </w:pPr>
    </w:p>
    <w:p w:rsidR="00B14965" w:rsidRPr="009915D3" w:rsidRDefault="00B14965" w:rsidP="00A915BD">
      <w:pPr>
        <w:spacing w:line="276" w:lineRule="auto"/>
        <w:jc w:val="both"/>
      </w:pPr>
      <w:bookmarkStart w:id="25" w:name="_GoBack"/>
      <w:bookmarkEnd w:id="25"/>
    </w:p>
    <w:sectPr w:rsidR="00B14965" w:rsidRPr="009915D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A42" w:rsidRDefault="00104A42" w:rsidP="00B81523">
      <w:r>
        <w:separator/>
      </w:r>
    </w:p>
  </w:endnote>
  <w:endnote w:type="continuationSeparator" w:id="0">
    <w:p w:rsidR="00104A42" w:rsidRDefault="00104A42" w:rsidP="00B8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896484"/>
      <w:docPartObj>
        <w:docPartGallery w:val="Page Numbers (Bottom of Page)"/>
        <w:docPartUnique/>
      </w:docPartObj>
    </w:sdtPr>
    <w:sdtEndPr>
      <w:rPr>
        <w:sz w:val="22"/>
        <w:szCs w:val="22"/>
      </w:rPr>
    </w:sdtEndPr>
    <w:sdtContent>
      <w:p w:rsidR="00524EE1" w:rsidRPr="00B81523" w:rsidRDefault="00524EE1" w:rsidP="00F45D51">
        <w:pPr>
          <w:pStyle w:val="Pta"/>
          <w:jc w:val="center"/>
          <w:rPr>
            <w:sz w:val="22"/>
            <w:szCs w:val="22"/>
          </w:rPr>
        </w:pPr>
        <w:r w:rsidRPr="00B81523">
          <w:rPr>
            <w:sz w:val="22"/>
            <w:szCs w:val="22"/>
          </w:rPr>
          <w:fldChar w:fldCharType="begin"/>
        </w:r>
        <w:r w:rsidRPr="00B81523">
          <w:rPr>
            <w:sz w:val="22"/>
            <w:szCs w:val="22"/>
          </w:rPr>
          <w:instrText>PAGE   \* MERGEFORMAT</w:instrText>
        </w:r>
        <w:r w:rsidRPr="00B81523">
          <w:rPr>
            <w:sz w:val="22"/>
            <w:szCs w:val="22"/>
          </w:rPr>
          <w:fldChar w:fldCharType="separate"/>
        </w:r>
        <w:r w:rsidR="00E22C90">
          <w:rPr>
            <w:noProof/>
            <w:sz w:val="22"/>
            <w:szCs w:val="22"/>
          </w:rPr>
          <w:t>26</w:t>
        </w:r>
        <w:r w:rsidRPr="00B81523">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A42" w:rsidRDefault="00104A42" w:rsidP="00B81523">
      <w:r>
        <w:separator/>
      </w:r>
    </w:p>
  </w:footnote>
  <w:footnote w:type="continuationSeparator" w:id="0">
    <w:p w:rsidR="00104A42" w:rsidRDefault="00104A42" w:rsidP="00B81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0D45"/>
    <w:multiLevelType w:val="hybridMultilevel"/>
    <w:tmpl w:val="560A2A9C"/>
    <w:lvl w:ilvl="0" w:tplc="854E6A9C">
      <w:start w:val="1"/>
      <w:numFmt w:val="bullet"/>
      <w:lvlText w:val="-"/>
      <w:lvlJc w:val="left"/>
      <w:pPr>
        <w:ind w:left="1068" w:hanging="360"/>
      </w:pPr>
      <w:rPr>
        <w:rFonts w:ascii="Times New Roman" w:eastAsia="Times New Roman" w:hAnsi="Times New Roman" w:cs="Times New Roman" w:hint="default"/>
        <w:sz w:val="24"/>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 w15:restartNumberingAfterBreak="0">
    <w:nsid w:val="01C932A6"/>
    <w:multiLevelType w:val="hybridMultilevel"/>
    <w:tmpl w:val="725EFE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26D3A36"/>
    <w:multiLevelType w:val="hybridMultilevel"/>
    <w:tmpl w:val="C310BB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6B5D05"/>
    <w:multiLevelType w:val="hybridMultilevel"/>
    <w:tmpl w:val="7ABAD782"/>
    <w:lvl w:ilvl="0" w:tplc="66D0BADE">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CC636CC"/>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834542"/>
    <w:multiLevelType w:val="hybridMultilevel"/>
    <w:tmpl w:val="5B343C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247640"/>
    <w:multiLevelType w:val="hybridMultilevel"/>
    <w:tmpl w:val="84BA56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1604CF"/>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7047495"/>
    <w:multiLevelType w:val="hybridMultilevel"/>
    <w:tmpl w:val="8C923D42"/>
    <w:lvl w:ilvl="0" w:tplc="F39C2EE0">
      <w:start w:val="1"/>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B7443BA"/>
    <w:multiLevelType w:val="hybridMultilevel"/>
    <w:tmpl w:val="052A6E1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3992AC8"/>
    <w:multiLevelType w:val="hybridMultilevel"/>
    <w:tmpl w:val="0944BB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B515B8A"/>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39B5E7E"/>
    <w:multiLevelType w:val="hybridMultilevel"/>
    <w:tmpl w:val="B082FA5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459932EC"/>
    <w:multiLevelType w:val="hybridMultilevel"/>
    <w:tmpl w:val="81B452CC"/>
    <w:lvl w:ilvl="0" w:tplc="DBE8CE16">
      <w:start w:val="8"/>
      <w:numFmt w:val="bullet"/>
      <w:lvlText w:val=""/>
      <w:lvlJc w:val="left"/>
      <w:pPr>
        <w:ind w:left="720" w:hanging="360"/>
      </w:pPr>
      <w:rPr>
        <w:rFonts w:ascii="Symbol" w:eastAsia="Times New Roman"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70A7D40"/>
    <w:multiLevelType w:val="hybridMultilevel"/>
    <w:tmpl w:val="A808CD78"/>
    <w:lvl w:ilvl="0" w:tplc="C0DC552A">
      <w:start w:val="19"/>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0C9017C"/>
    <w:multiLevelType w:val="hybridMultilevel"/>
    <w:tmpl w:val="FA0056EE"/>
    <w:lvl w:ilvl="0" w:tplc="2402C1A8">
      <w:start w:val="1"/>
      <w:numFmt w:val="upp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55F31285"/>
    <w:multiLevelType w:val="hybridMultilevel"/>
    <w:tmpl w:val="688665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3E512E5"/>
    <w:multiLevelType w:val="hybridMultilevel"/>
    <w:tmpl w:val="041026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0"/>
  </w:num>
  <w:num w:numId="2">
    <w:abstractNumId w:val="6"/>
  </w:num>
  <w:num w:numId="3">
    <w:abstractNumId w:val="14"/>
  </w:num>
  <w:num w:numId="4">
    <w:abstractNumId w:val="9"/>
  </w:num>
  <w:num w:numId="5">
    <w:abstractNumId w:val="13"/>
  </w:num>
  <w:num w:numId="6">
    <w:abstractNumId w:val="5"/>
  </w:num>
  <w:num w:numId="7">
    <w:abstractNumId w:val="12"/>
  </w:num>
  <w:num w:numId="8">
    <w:abstractNumId w:val="16"/>
  </w:num>
  <w:num w:numId="9">
    <w:abstractNumId w:val="2"/>
  </w:num>
  <w:num w:numId="10">
    <w:abstractNumId w:val="1"/>
  </w:num>
  <w:num w:numId="11">
    <w:abstractNumId w:val="15"/>
  </w:num>
  <w:num w:numId="12">
    <w:abstractNumId w:val="18"/>
  </w:num>
  <w:num w:numId="13">
    <w:abstractNumId w:val="17"/>
  </w:num>
  <w:num w:numId="14">
    <w:abstractNumId w:val="8"/>
  </w:num>
  <w:num w:numId="15">
    <w:abstractNumId w:val="7"/>
  </w:num>
  <w:num w:numId="16">
    <w:abstractNumId w:val="0"/>
  </w:num>
  <w:num w:numId="17">
    <w:abstractNumId w:val="11"/>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EE4"/>
    <w:rsid w:val="00053851"/>
    <w:rsid w:val="000A497F"/>
    <w:rsid w:val="000C1A5C"/>
    <w:rsid w:val="000E6393"/>
    <w:rsid w:val="00104A42"/>
    <w:rsid w:val="00107F24"/>
    <w:rsid w:val="00127CE6"/>
    <w:rsid w:val="00190E7C"/>
    <w:rsid w:val="001D2A32"/>
    <w:rsid w:val="002126FD"/>
    <w:rsid w:val="002129B9"/>
    <w:rsid w:val="0022522A"/>
    <w:rsid w:val="002423EE"/>
    <w:rsid w:val="00260F0F"/>
    <w:rsid w:val="002A52C8"/>
    <w:rsid w:val="002B391C"/>
    <w:rsid w:val="002C09AB"/>
    <w:rsid w:val="002D294D"/>
    <w:rsid w:val="002D63A6"/>
    <w:rsid w:val="002E59A1"/>
    <w:rsid w:val="0030348B"/>
    <w:rsid w:val="003415CB"/>
    <w:rsid w:val="0036716C"/>
    <w:rsid w:val="00372C15"/>
    <w:rsid w:val="003B1489"/>
    <w:rsid w:val="003E74EB"/>
    <w:rsid w:val="003F09A3"/>
    <w:rsid w:val="00424AF8"/>
    <w:rsid w:val="0042574B"/>
    <w:rsid w:val="00471E28"/>
    <w:rsid w:val="00482334"/>
    <w:rsid w:val="004F08EB"/>
    <w:rsid w:val="004F4FE1"/>
    <w:rsid w:val="0050212F"/>
    <w:rsid w:val="00513F58"/>
    <w:rsid w:val="00524EE1"/>
    <w:rsid w:val="00575EE4"/>
    <w:rsid w:val="00577A37"/>
    <w:rsid w:val="005B30B9"/>
    <w:rsid w:val="005C3961"/>
    <w:rsid w:val="005D1D48"/>
    <w:rsid w:val="005D249D"/>
    <w:rsid w:val="005D6083"/>
    <w:rsid w:val="006064C5"/>
    <w:rsid w:val="006210E3"/>
    <w:rsid w:val="00641970"/>
    <w:rsid w:val="006422D7"/>
    <w:rsid w:val="00660A8A"/>
    <w:rsid w:val="006B61D4"/>
    <w:rsid w:val="006C6608"/>
    <w:rsid w:val="006D45CD"/>
    <w:rsid w:val="0070502E"/>
    <w:rsid w:val="00750379"/>
    <w:rsid w:val="007568A2"/>
    <w:rsid w:val="00765C35"/>
    <w:rsid w:val="007A233A"/>
    <w:rsid w:val="007A58C8"/>
    <w:rsid w:val="007D3237"/>
    <w:rsid w:val="007F5EC9"/>
    <w:rsid w:val="008013CB"/>
    <w:rsid w:val="0081385A"/>
    <w:rsid w:val="008265ED"/>
    <w:rsid w:val="00843951"/>
    <w:rsid w:val="00844A31"/>
    <w:rsid w:val="00881133"/>
    <w:rsid w:val="00930208"/>
    <w:rsid w:val="009915D3"/>
    <w:rsid w:val="009B355D"/>
    <w:rsid w:val="009C6E43"/>
    <w:rsid w:val="00A05C74"/>
    <w:rsid w:val="00A42E9C"/>
    <w:rsid w:val="00A53DA3"/>
    <w:rsid w:val="00A54910"/>
    <w:rsid w:val="00A73789"/>
    <w:rsid w:val="00A81854"/>
    <w:rsid w:val="00A915BD"/>
    <w:rsid w:val="00AE0590"/>
    <w:rsid w:val="00B12611"/>
    <w:rsid w:val="00B14156"/>
    <w:rsid w:val="00B14965"/>
    <w:rsid w:val="00B15B16"/>
    <w:rsid w:val="00B37C8A"/>
    <w:rsid w:val="00B43846"/>
    <w:rsid w:val="00B615B4"/>
    <w:rsid w:val="00B70529"/>
    <w:rsid w:val="00B72528"/>
    <w:rsid w:val="00B81523"/>
    <w:rsid w:val="00BB0CA1"/>
    <w:rsid w:val="00BB44C1"/>
    <w:rsid w:val="00BE4D32"/>
    <w:rsid w:val="00BF52CC"/>
    <w:rsid w:val="00C32A38"/>
    <w:rsid w:val="00C6115D"/>
    <w:rsid w:val="00C64782"/>
    <w:rsid w:val="00C937A5"/>
    <w:rsid w:val="00C95C9B"/>
    <w:rsid w:val="00CA4547"/>
    <w:rsid w:val="00D16295"/>
    <w:rsid w:val="00D316FA"/>
    <w:rsid w:val="00D370AE"/>
    <w:rsid w:val="00D74D0E"/>
    <w:rsid w:val="00DA14F5"/>
    <w:rsid w:val="00DA4A45"/>
    <w:rsid w:val="00DE0552"/>
    <w:rsid w:val="00E10E19"/>
    <w:rsid w:val="00E22C90"/>
    <w:rsid w:val="00E94A34"/>
    <w:rsid w:val="00E95E5A"/>
    <w:rsid w:val="00EE5AB6"/>
    <w:rsid w:val="00F01438"/>
    <w:rsid w:val="00F01722"/>
    <w:rsid w:val="00F12CD2"/>
    <w:rsid w:val="00F45D51"/>
    <w:rsid w:val="00F53114"/>
    <w:rsid w:val="00F560F2"/>
    <w:rsid w:val="00F839DE"/>
    <w:rsid w:val="00F914A3"/>
    <w:rsid w:val="00FB7CCE"/>
    <w:rsid w:val="00FC4F6C"/>
  </w:rsids>
  <m:mathPr>
    <m:mathFont m:val="Cambria Math"/>
    <m:brkBin m:val="before"/>
    <m:brkBinSub m:val="--"/>
    <m:smallFrac m:val="0"/>
    <m:dispDef/>
    <m:lMargin m:val="0"/>
    <m:rMargin m:val="0"/>
    <m:defJc m:val="centerGroup"/>
    <m:wrapIndent m:val="1440"/>
    <m:intLim m:val="subSup"/>
    <m:naryLim m:val="undOvr"/>
  </m:mathPr>
  <w:themeFontLang w:val="sk-SK"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C8255"/>
  <w15:docId w15:val="{74467380-E76D-429E-922C-BCAC917A2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75EE4"/>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575EE4"/>
    <w:pPr>
      <w:tabs>
        <w:tab w:val="center" w:pos="4536"/>
        <w:tab w:val="right" w:pos="9072"/>
      </w:tabs>
    </w:pPr>
  </w:style>
  <w:style w:type="character" w:customStyle="1" w:styleId="PtaChar">
    <w:name w:val="Päta Char"/>
    <w:basedOn w:val="Predvolenpsmoodseku"/>
    <w:link w:val="Pta"/>
    <w:uiPriority w:val="99"/>
    <w:rsid w:val="00575EE4"/>
    <w:rPr>
      <w:rFonts w:ascii="Times New Roman" w:eastAsia="Times New Roman" w:hAnsi="Times New Roman" w:cs="Times New Roman"/>
      <w:sz w:val="24"/>
      <w:szCs w:val="24"/>
      <w:lang w:val="cs-CZ" w:eastAsia="cs-CZ"/>
    </w:rPr>
  </w:style>
  <w:style w:type="paragraph" w:styleId="Odsekzoznamu">
    <w:name w:val="List Paragraph"/>
    <w:aliases w:val="Odstavec cíl se seznamem,Odstavec se seznamem1"/>
    <w:basedOn w:val="Normlny"/>
    <w:link w:val="OdsekzoznamuChar"/>
    <w:uiPriority w:val="34"/>
    <w:qFormat/>
    <w:rsid w:val="00575EE4"/>
    <w:pPr>
      <w:ind w:left="720"/>
      <w:contextualSpacing/>
    </w:pPr>
  </w:style>
  <w:style w:type="character" w:customStyle="1" w:styleId="OdsekzoznamuChar">
    <w:name w:val="Odsek zoznamu Char"/>
    <w:aliases w:val="Odstavec cíl se seznamem Char,Odstavec se seznamem1 Char"/>
    <w:basedOn w:val="Predvolenpsmoodseku"/>
    <w:link w:val="Odsekzoznamu"/>
    <w:uiPriority w:val="34"/>
    <w:locked/>
    <w:rsid w:val="00575EE4"/>
    <w:rPr>
      <w:rFonts w:ascii="Times New Roman" w:eastAsia="Times New Roman" w:hAnsi="Times New Roman" w:cs="Times New Roman"/>
      <w:sz w:val="24"/>
      <w:szCs w:val="24"/>
      <w:lang w:val="cs-CZ" w:eastAsia="cs-CZ"/>
    </w:rPr>
  </w:style>
  <w:style w:type="paragraph" w:styleId="Hlavika">
    <w:name w:val="header"/>
    <w:basedOn w:val="Normlny"/>
    <w:link w:val="HlavikaChar"/>
    <w:uiPriority w:val="99"/>
    <w:unhideWhenUsed/>
    <w:rsid w:val="00B81523"/>
    <w:pPr>
      <w:tabs>
        <w:tab w:val="center" w:pos="4513"/>
        <w:tab w:val="right" w:pos="9026"/>
      </w:tabs>
    </w:pPr>
  </w:style>
  <w:style w:type="character" w:customStyle="1" w:styleId="HlavikaChar">
    <w:name w:val="Hlavička Char"/>
    <w:basedOn w:val="Predvolenpsmoodseku"/>
    <w:link w:val="Hlavika"/>
    <w:uiPriority w:val="99"/>
    <w:rsid w:val="00B81523"/>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semiHidden/>
    <w:unhideWhenUsed/>
    <w:rsid w:val="00F12CD2"/>
    <w:rPr>
      <w:rFonts w:cs="Times New Roman"/>
      <w:sz w:val="16"/>
      <w:szCs w:val="16"/>
    </w:rPr>
  </w:style>
  <w:style w:type="paragraph" w:styleId="Textkomentra">
    <w:name w:val="annotation text"/>
    <w:basedOn w:val="Normlny"/>
    <w:link w:val="TextkomentraChar"/>
    <w:uiPriority w:val="99"/>
    <w:semiHidden/>
    <w:unhideWhenUsed/>
    <w:rsid w:val="00F12CD2"/>
    <w:pPr>
      <w:spacing w:after="200"/>
    </w:pPr>
    <w:rPr>
      <w:rFonts w:ascii="Calibri" w:hAnsi="Calibri"/>
      <w:sz w:val="20"/>
      <w:szCs w:val="20"/>
      <w:lang w:eastAsia="en-US"/>
    </w:rPr>
  </w:style>
  <w:style w:type="character" w:customStyle="1" w:styleId="TextkomentraChar">
    <w:name w:val="Text komentára Char"/>
    <w:basedOn w:val="Predvolenpsmoodseku"/>
    <w:link w:val="Textkomentra"/>
    <w:uiPriority w:val="99"/>
    <w:semiHidden/>
    <w:rsid w:val="00F12CD2"/>
    <w:rPr>
      <w:rFonts w:ascii="Calibri" w:eastAsia="Times New Roman" w:hAnsi="Calibri" w:cs="Times New Roman"/>
      <w:sz w:val="20"/>
      <w:szCs w:val="20"/>
    </w:rPr>
  </w:style>
  <w:style w:type="paragraph" w:styleId="Textbubliny">
    <w:name w:val="Balloon Text"/>
    <w:basedOn w:val="Normlny"/>
    <w:link w:val="TextbublinyChar"/>
    <w:uiPriority w:val="99"/>
    <w:semiHidden/>
    <w:unhideWhenUsed/>
    <w:rsid w:val="00F12CD2"/>
    <w:rPr>
      <w:rFonts w:ascii="Tahoma" w:hAnsi="Tahoma" w:cs="Tahoma"/>
      <w:sz w:val="16"/>
      <w:szCs w:val="16"/>
    </w:rPr>
  </w:style>
  <w:style w:type="character" w:customStyle="1" w:styleId="TextbublinyChar">
    <w:name w:val="Text bubliny Char"/>
    <w:basedOn w:val="Predvolenpsmoodseku"/>
    <w:link w:val="Textbubliny"/>
    <w:uiPriority w:val="99"/>
    <w:semiHidden/>
    <w:rsid w:val="00F12CD2"/>
    <w:rPr>
      <w:rFonts w:ascii="Tahoma" w:eastAsia="Times New Roman" w:hAnsi="Tahoma" w:cs="Tahoma"/>
      <w:sz w:val="16"/>
      <w:szCs w:val="16"/>
      <w:lang w:eastAsia="cs-CZ"/>
    </w:rPr>
  </w:style>
  <w:style w:type="character" w:customStyle="1" w:styleId="awspan">
    <w:name w:val="awspan"/>
    <w:basedOn w:val="Predvolenpsmoodseku"/>
    <w:rsid w:val="00641970"/>
  </w:style>
  <w:style w:type="paragraph" w:styleId="Predmetkomentra">
    <w:name w:val="annotation subject"/>
    <w:basedOn w:val="Textkomentra"/>
    <w:next w:val="Textkomentra"/>
    <w:link w:val="PredmetkomentraChar"/>
    <w:uiPriority w:val="99"/>
    <w:semiHidden/>
    <w:unhideWhenUsed/>
    <w:rsid w:val="003F09A3"/>
    <w:pPr>
      <w:spacing w:after="0"/>
    </w:pPr>
    <w:rPr>
      <w:rFonts w:ascii="Times New Roman" w:hAnsi="Times New Roman"/>
      <w:b/>
      <w:bCs/>
      <w:lang w:eastAsia="cs-CZ"/>
    </w:rPr>
  </w:style>
  <w:style w:type="character" w:customStyle="1" w:styleId="PredmetkomentraChar">
    <w:name w:val="Predmet komentára Char"/>
    <w:basedOn w:val="TextkomentraChar"/>
    <w:link w:val="Predmetkomentra"/>
    <w:uiPriority w:val="99"/>
    <w:semiHidden/>
    <w:rsid w:val="003F09A3"/>
    <w:rPr>
      <w:rFonts w:ascii="Times New Roman" w:eastAsia="Times New Roman" w:hAnsi="Times New Roman" w:cs="Times New Roman"/>
      <w:b/>
      <w:bCs/>
      <w:sz w:val="20"/>
      <w:szCs w:val="20"/>
      <w:lang w:eastAsia="cs-CZ"/>
    </w:rPr>
  </w:style>
  <w:style w:type="character" w:customStyle="1" w:styleId="TextpoznmkypodiarouChar">
    <w:name w:val="Text poznámky pod čiarou Char"/>
    <w:aliases w:val="Schriftart: 9 pt Char,Schriftart: 10 pt Char,Schriftart: 8 pt Char,pozn. pod čarou Char,Podrozdział Char,Footnote Char,Podrozdzia3 Char,Text pozn. pod čarou_martin_ang Char,Fußnote Char,FSR footnote Char,lábléc Char"/>
    <w:link w:val="Textpoznmkypodiarou"/>
    <w:uiPriority w:val="99"/>
    <w:rsid w:val="00BB44C1"/>
    <w:rPr>
      <w:rFonts w:ascii="Calibri" w:eastAsia="Calibri" w:hAnsi="Calibri"/>
    </w:rPr>
  </w:style>
  <w:style w:type="character" w:styleId="Odkaznapoznmkupodiarou">
    <w:name w:val="footnote reference"/>
    <w:aliases w:val="Footnote Reference Number,Footnote Reference_LVL6,Footnote Reference_LVL61,Footnote Reference_LVL62,Footnote Reference_LVL63,Footnote Reference_LVL64"/>
    <w:uiPriority w:val="99"/>
    <w:rsid w:val="00BB44C1"/>
    <w:rPr>
      <w:rFonts w:cs="Times New Roman"/>
      <w:vertAlign w:val="superscript"/>
    </w:rPr>
  </w:style>
  <w:style w:type="paragraph" w:styleId="Textpoznmkypodiarou">
    <w:name w:val="footnote text"/>
    <w:aliases w:val="Schriftart: 9 pt,Schriftart: 10 pt,Schriftart: 8 pt,pozn. pod čarou,Podrozdział,Footnote,Podrozdzia3,Text pozn. pod čarou_martin_ang,Fußnote,FSR footnote,lábléc,Footnote Text Char Char,Footnote Text Char,Char Char"/>
    <w:basedOn w:val="Normlny"/>
    <w:link w:val="TextpoznmkypodiarouChar"/>
    <w:uiPriority w:val="99"/>
    <w:qFormat/>
    <w:rsid w:val="00BB44C1"/>
    <w:pPr>
      <w:suppressAutoHyphens/>
    </w:pPr>
    <w:rPr>
      <w:rFonts w:ascii="Calibri" w:eastAsia="Calibri" w:hAnsi="Calibri" w:cstheme="minorBidi"/>
      <w:sz w:val="22"/>
      <w:szCs w:val="22"/>
      <w:lang w:eastAsia="en-US"/>
    </w:rPr>
  </w:style>
  <w:style w:type="character" w:customStyle="1" w:styleId="TextpoznmkypodiarouChar1">
    <w:name w:val="Text poznámky pod čiarou Char1"/>
    <w:basedOn w:val="Predvolenpsmoodseku"/>
    <w:uiPriority w:val="99"/>
    <w:semiHidden/>
    <w:rsid w:val="00BB44C1"/>
    <w:rPr>
      <w:rFonts w:ascii="Times New Roman" w:eastAsia="Times New Roman" w:hAnsi="Times New Roman" w:cs="Times New Roman"/>
      <w:sz w:val="20"/>
      <w:szCs w:val="20"/>
      <w:lang w:eastAsia="cs-CZ"/>
    </w:rPr>
  </w:style>
  <w:style w:type="character" w:styleId="Siln">
    <w:name w:val="Strong"/>
    <w:basedOn w:val="Predvolenpsmoodseku"/>
    <w:uiPriority w:val="99"/>
    <w:qFormat/>
    <w:rsid w:val="00053851"/>
    <w:rPr>
      <w:rFonts w:cs="Times New Roman"/>
      <w:b/>
      <w:bCs/>
    </w:rPr>
  </w:style>
  <w:style w:type="paragraph" w:styleId="Bezriadkovania">
    <w:name w:val="No Spacing"/>
    <w:aliases w:val="Hlavní písmo"/>
    <w:basedOn w:val="Normlny"/>
    <w:link w:val="BezriadkovaniaChar"/>
    <w:uiPriority w:val="1"/>
    <w:qFormat/>
    <w:rsid w:val="000C1A5C"/>
    <w:pPr>
      <w:suppressAutoHyphens/>
      <w:spacing w:before="80" w:after="200" w:line="276" w:lineRule="auto"/>
      <w:jc w:val="both"/>
    </w:pPr>
    <w:rPr>
      <w:rFonts w:ascii="Calibri" w:eastAsia="Droid Sans Fallback" w:hAnsi="Calibri"/>
      <w:sz w:val="22"/>
      <w:szCs w:val="22"/>
      <w:lang w:val="cs-CZ" w:eastAsia="en-US"/>
    </w:rPr>
  </w:style>
  <w:style w:type="character" w:customStyle="1" w:styleId="BezriadkovaniaChar">
    <w:name w:val="Bez riadkovania Char"/>
    <w:aliases w:val="Hlavní písmo Char"/>
    <w:link w:val="Bezriadkovania"/>
    <w:uiPriority w:val="1"/>
    <w:rsid w:val="000C1A5C"/>
    <w:rPr>
      <w:rFonts w:ascii="Calibri" w:eastAsia="Droid Sans Fallback" w:hAnsi="Calibri" w:cs="Times New Roman"/>
      <w:lang w:val="cs-CZ"/>
    </w:rPr>
  </w:style>
  <w:style w:type="table" w:styleId="Mriekatabuky">
    <w:name w:val="Table Grid"/>
    <w:basedOn w:val="Normlnatabuka"/>
    <w:uiPriority w:val="59"/>
    <w:rsid w:val="00A91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A915BD"/>
    <w:rPr>
      <w:rFonts w:cs="Times New Roman"/>
      <w:color w:val="0000FF" w:themeColor="hyperlink"/>
      <w:u w:val="single"/>
    </w:rPr>
  </w:style>
  <w:style w:type="character" w:styleId="Zvraznenie">
    <w:name w:val="Emphasis"/>
    <w:basedOn w:val="Predvolenpsmoodseku"/>
    <w:uiPriority w:val="20"/>
    <w:qFormat/>
    <w:rsid w:val="00A915BD"/>
    <w:rPr>
      <w:i/>
      <w:iCs/>
    </w:rPr>
  </w:style>
  <w:style w:type="paragraph" w:customStyle="1" w:styleId="c08dispositif">
    <w:name w:val="c08dispositif"/>
    <w:basedOn w:val="Normlny"/>
    <w:rsid w:val="00A915BD"/>
    <w:pPr>
      <w:spacing w:before="100" w:beforeAutospacing="1" w:after="100" w:afterAutospacing="1"/>
    </w:pPr>
    <w:rPr>
      <w:lang w:eastAsia="sk-SK"/>
    </w:rPr>
  </w:style>
  <w:style w:type="paragraph" w:customStyle="1" w:styleId="TableContents">
    <w:name w:val="Table Contents"/>
    <w:basedOn w:val="Normlny"/>
    <w:rsid w:val="00A915BD"/>
    <w:pPr>
      <w:widowControl w:val="0"/>
      <w:suppressLineNumbers/>
      <w:suppressAutoHyphens/>
    </w:pPr>
    <w:rPr>
      <w:rFonts w:eastAsia="SimSun" w:cs="Mangal"/>
      <w:kern w:val="2"/>
      <w:lang w:eastAsia="hi-IN" w:bidi="hi-IN"/>
    </w:rPr>
  </w:style>
  <w:style w:type="paragraph" w:customStyle="1" w:styleId="Default">
    <w:name w:val="Default"/>
    <w:rsid w:val="00A915BD"/>
    <w:pPr>
      <w:autoSpaceDE w:val="0"/>
      <w:autoSpaceDN w:val="0"/>
      <w:adjustRightInd w:val="0"/>
      <w:spacing w:after="0" w:line="240" w:lineRule="auto"/>
    </w:pPr>
    <w:rPr>
      <w:rFonts w:ascii="EUAlbertina" w:eastAsia="Times New Roman" w:hAnsi="EUAlbertina" w:cs="EUAlbertina"/>
      <w:color w:val="000000"/>
      <w:sz w:val="24"/>
      <w:szCs w:val="24"/>
      <w:lang w:eastAsia="sk-SK" w:bidi="si-L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656725">
      <w:bodyDiv w:val="1"/>
      <w:marLeft w:val="0"/>
      <w:marRight w:val="0"/>
      <w:marTop w:val="0"/>
      <w:marBottom w:val="0"/>
      <w:divBdr>
        <w:top w:val="none" w:sz="0" w:space="0" w:color="auto"/>
        <w:left w:val="none" w:sz="0" w:space="0" w:color="auto"/>
        <w:bottom w:val="none" w:sz="0" w:space="0" w:color="auto"/>
        <w:right w:val="none" w:sz="0" w:space="0" w:color="auto"/>
      </w:divBdr>
    </w:div>
    <w:div w:id="1201284842">
      <w:bodyDiv w:val="1"/>
      <w:marLeft w:val="0"/>
      <w:marRight w:val="0"/>
      <w:marTop w:val="0"/>
      <w:marBottom w:val="0"/>
      <w:divBdr>
        <w:top w:val="none" w:sz="0" w:space="0" w:color="auto"/>
        <w:left w:val="none" w:sz="0" w:space="0" w:color="auto"/>
        <w:bottom w:val="none" w:sz="0" w:space="0" w:color="auto"/>
        <w:right w:val="none" w:sz="0" w:space="0" w:color="auto"/>
      </w:divBdr>
    </w:div>
    <w:div w:id="1276517769">
      <w:bodyDiv w:val="1"/>
      <w:marLeft w:val="0"/>
      <w:marRight w:val="0"/>
      <w:marTop w:val="0"/>
      <w:marBottom w:val="0"/>
      <w:divBdr>
        <w:top w:val="none" w:sz="0" w:space="0" w:color="auto"/>
        <w:left w:val="none" w:sz="0" w:space="0" w:color="auto"/>
        <w:bottom w:val="none" w:sz="0" w:space="0" w:color="auto"/>
        <w:right w:val="none" w:sz="0" w:space="0" w:color="auto"/>
      </w:divBdr>
      <w:divsChild>
        <w:div w:id="1805535610">
          <w:marLeft w:val="0"/>
          <w:marRight w:val="0"/>
          <w:marTop w:val="200"/>
          <w:marBottom w:val="200"/>
          <w:divBdr>
            <w:top w:val="single" w:sz="8" w:space="0" w:color="000000"/>
            <w:left w:val="single" w:sz="8" w:space="0" w:color="000000"/>
            <w:bottom w:val="single" w:sz="8" w:space="0" w:color="000000"/>
            <w:right w:val="single" w:sz="8" w:space="0" w:color="000000"/>
          </w:divBdr>
          <w:divsChild>
            <w:div w:id="950865370">
              <w:marLeft w:val="0"/>
              <w:marRight w:val="0"/>
              <w:marTop w:val="0"/>
              <w:marBottom w:val="0"/>
              <w:divBdr>
                <w:top w:val="none" w:sz="0" w:space="0" w:color="auto"/>
                <w:left w:val="none" w:sz="0" w:space="0" w:color="auto"/>
                <w:bottom w:val="none" w:sz="0" w:space="0" w:color="auto"/>
                <w:right w:val="none" w:sz="0" w:space="0" w:color="auto"/>
              </w:divBdr>
              <w:divsChild>
                <w:div w:id="823592563">
                  <w:marLeft w:val="0"/>
                  <w:marRight w:val="0"/>
                  <w:marTop w:val="0"/>
                  <w:marBottom w:val="0"/>
                  <w:divBdr>
                    <w:top w:val="none" w:sz="0" w:space="0" w:color="auto"/>
                    <w:left w:val="none" w:sz="0" w:space="0" w:color="auto"/>
                    <w:bottom w:val="none" w:sz="0" w:space="0" w:color="auto"/>
                    <w:right w:val="none" w:sz="0" w:space="0" w:color="auto"/>
                  </w:divBdr>
                </w:div>
                <w:div w:id="1943370174">
                  <w:marLeft w:val="0"/>
                  <w:marRight w:val="0"/>
                  <w:marTop w:val="0"/>
                  <w:marBottom w:val="0"/>
                  <w:divBdr>
                    <w:top w:val="none" w:sz="0" w:space="0" w:color="auto"/>
                    <w:left w:val="none" w:sz="0" w:space="0" w:color="auto"/>
                    <w:bottom w:val="none" w:sz="0" w:space="0" w:color="auto"/>
                    <w:right w:val="none" w:sz="0" w:space="0" w:color="auto"/>
                  </w:divBdr>
                </w:div>
                <w:div w:id="747381564">
                  <w:marLeft w:val="0"/>
                  <w:marRight w:val="0"/>
                  <w:marTop w:val="0"/>
                  <w:marBottom w:val="0"/>
                  <w:divBdr>
                    <w:top w:val="none" w:sz="0" w:space="0" w:color="auto"/>
                    <w:left w:val="none" w:sz="0" w:space="0" w:color="auto"/>
                    <w:bottom w:val="none" w:sz="0" w:space="0" w:color="auto"/>
                    <w:right w:val="none" w:sz="0" w:space="0" w:color="auto"/>
                  </w:divBdr>
                </w:div>
                <w:div w:id="1384792399">
                  <w:marLeft w:val="0"/>
                  <w:marRight w:val="0"/>
                  <w:marTop w:val="0"/>
                  <w:marBottom w:val="0"/>
                  <w:divBdr>
                    <w:top w:val="none" w:sz="0" w:space="0" w:color="auto"/>
                    <w:left w:val="none" w:sz="0" w:space="0" w:color="auto"/>
                    <w:bottom w:val="none" w:sz="0" w:space="0" w:color="auto"/>
                    <w:right w:val="none" w:sz="0" w:space="0" w:color="auto"/>
                  </w:divBdr>
                </w:div>
                <w:div w:id="538277126">
                  <w:marLeft w:val="0"/>
                  <w:marRight w:val="0"/>
                  <w:marTop w:val="0"/>
                  <w:marBottom w:val="0"/>
                  <w:divBdr>
                    <w:top w:val="none" w:sz="0" w:space="0" w:color="auto"/>
                    <w:left w:val="none" w:sz="0" w:space="0" w:color="auto"/>
                    <w:bottom w:val="none" w:sz="0" w:space="0" w:color="auto"/>
                    <w:right w:val="none" w:sz="0" w:space="0" w:color="auto"/>
                  </w:divBdr>
                </w:div>
                <w:div w:id="250630350">
                  <w:marLeft w:val="0"/>
                  <w:marRight w:val="0"/>
                  <w:marTop w:val="0"/>
                  <w:marBottom w:val="0"/>
                  <w:divBdr>
                    <w:top w:val="none" w:sz="0" w:space="0" w:color="auto"/>
                    <w:left w:val="none" w:sz="0" w:space="0" w:color="auto"/>
                    <w:bottom w:val="none" w:sz="0" w:space="0" w:color="auto"/>
                    <w:right w:val="none" w:sz="0" w:space="0" w:color="auto"/>
                  </w:divBdr>
                </w:div>
                <w:div w:id="540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4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oman.chandoga@mfsr.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8486</Words>
  <Characters>48373</Characters>
  <Application>Microsoft Office Word</Application>
  <DocSecurity>0</DocSecurity>
  <Lines>403</Lines>
  <Paragraphs>113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worknbde</dc:creator>
  <cp:lastModifiedBy>Chandoga Roman</cp:lastModifiedBy>
  <cp:revision>2</cp:revision>
  <cp:lastPrinted>2020-08-26T14:52:00Z</cp:lastPrinted>
  <dcterms:created xsi:type="dcterms:W3CDTF">2020-08-27T07:47:00Z</dcterms:created>
  <dcterms:modified xsi:type="dcterms:W3CDTF">2020-08-27T07:47:00Z</dcterms:modified>
</cp:coreProperties>
</file>