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1080"/>
        <w:gridCol w:w="5866"/>
        <w:gridCol w:w="567"/>
        <w:gridCol w:w="851"/>
        <w:gridCol w:w="850"/>
        <w:gridCol w:w="4678"/>
        <w:gridCol w:w="709"/>
        <w:gridCol w:w="1059"/>
      </w:tblGrid>
      <w:tr w:rsidR="008C54C3" w:rsidRPr="00A1700E">
        <w:tc>
          <w:tcPr>
            <w:tcW w:w="16200" w:type="dxa"/>
            <w:gridSpan w:val="9"/>
            <w:tcBorders>
              <w:top w:val="single" w:sz="12" w:space="0" w:color="auto"/>
              <w:left w:val="single" w:sz="12" w:space="0" w:color="auto"/>
              <w:bottom w:val="single" w:sz="4" w:space="0" w:color="auto"/>
              <w:right w:val="single" w:sz="12" w:space="0" w:color="auto"/>
            </w:tcBorders>
          </w:tcPr>
          <w:p w:rsidR="008C54C3" w:rsidRPr="00A1700E" w:rsidRDefault="008C54C3" w:rsidP="0078287E">
            <w:pPr>
              <w:pStyle w:val="Nadpis1"/>
            </w:pPr>
            <w:r w:rsidRPr="00A1700E">
              <w:t>TABUĽKA  ZHODY</w:t>
            </w:r>
          </w:p>
          <w:p w:rsidR="008C54C3" w:rsidRPr="00A1700E" w:rsidRDefault="004577EC" w:rsidP="005523B7">
            <w:pPr>
              <w:widowControl w:val="0"/>
              <w:jc w:val="center"/>
              <w:rPr>
                <w:b/>
              </w:rPr>
            </w:pPr>
            <w:r w:rsidRPr="00A1700E">
              <w:rPr>
                <w:b/>
              </w:rPr>
              <w:t> </w:t>
            </w:r>
            <w:r w:rsidR="0078287E" w:rsidRPr="00A1700E">
              <w:rPr>
                <w:b/>
              </w:rPr>
              <w:t>n</w:t>
            </w:r>
            <w:r w:rsidR="0091636B" w:rsidRPr="00A1700E">
              <w:rPr>
                <w:b/>
              </w:rPr>
              <w:t>ávrh</w:t>
            </w:r>
            <w:r w:rsidR="00AB7D27" w:rsidRPr="00A1700E">
              <w:rPr>
                <w:b/>
              </w:rPr>
              <w:t>u</w:t>
            </w:r>
            <w:r w:rsidR="0091636B" w:rsidRPr="00A1700E">
              <w:rPr>
                <w:b/>
              </w:rPr>
              <w:t xml:space="preserve"> zákona</w:t>
            </w:r>
            <w:r w:rsidR="002E1D16" w:rsidRPr="00A1700E">
              <w:rPr>
                <w:b/>
              </w:rPr>
              <w:t xml:space="preserve">, </w:t>
            </w:r>
            <w:r w:rsidR="005523B7" w:rsidRPr="005523B7">
              <w:rPr>
                <w:b/>
              </w:rPr>
              <w:t>ktorým sa mení a dopĺňa zákon č. 595/2003 Z. z. o dani z príjmov v znení neskorších predpisov a ktorým sa menia a dopĺňajú niektoré zákony</w:t>
            </w:r>
            <w:r w:rsidR="005523B7">
              <w:rPr>
                <w:b/>
              </w:rPr>
              <w:t xml:space="preserve"> </w:t>
            </w:r>
            <w:r w:rsidR="00127033" w:rsidRPr="00A1700E">
              <w:rPr>
                <w:b/>
              </w:rPr>
              <w:t>s právom Európskej únie</w:t>
            </w:r>
          </w:p>
        </w:tc>
      </w:tr>
      <w:tr w:rsidR="008C54C3" w:rsidRPr="00FA233A">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FA233A" w:rsidRDefault="008C54C3">
            <w:pPr>
              <w:pStyle w:val="Nadpis4"/>
              <w:jc w:val="both"/>
              <w:rPr>
                <w:sz w:val="24"/>
                <w:szCs w:val="24"/>
              </w:rPr>
            </w:pPr>
            <w:r w:rsidRPr="00FA233A">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FA233A" w:rsidRDefault="004578A2" w:rsidP="00217BF4">
            <w:pPr>
              <w:pStyle w:val="Default"/>
              <w:rPr>
                <w:rFonts w:ascii="Times New Roman" w:hAnsi="Times New Roman" w:cs="Times New Roman"/>
                <w:b/>
                <w:bCs/>
                <w:color w:val="auto"/>
              </w:rPr>
            </w:pPr>
            <w:r w:rsidRPr="00FA233A">
              <w:rPr>
                <w:rFonts w:ascii="Times New Roman" w:hAnsi="Times New Roman" w:cs="Times New Roman"/>
                <w:b/>
                <w:color w:val="auto"/>
                <w:shd w:val="clear" w:color="auto" w:fill="FFFFFF"/>
              </w:rPr>
              <w:t>Smernica Rady (EÚ) 2017/952 z 29. mája 2017, ktorou sa mení smernica (EÚ) 2016/1164, pokiaľ ide o hybridné nesúlady s tretími krajinami</w:t>
            </w:r>
          </w:p>
        </w:tc>
      </w:tr>
      <w:tr w:rsidR="008C54C3" w:rsidRPr="00A1700E" w:rsidTr="00C21CEF">
        <w:trPr>
          <w:trHeight w:val="567"/>
        </w:trPr>
        <w:tc>
          <w:tcPr>
            <w:tcW w:w="8053" w:type="dxa"/>
            <w:gridSpan w:val="4"/>
            <w:tcBorders>
              <w:top w:val="single" w:sz="4" w:space="0" w:color="auto"/>
              <w:left w:val="single" w:sz="12" w:space="0" w:color="auto"/>
              <w:bottom w:val="single" w:sz="4" w:space="0" w:color="auto"/>
              <w:right w:val="single" w:sz="12" w:space="0" w:color="auto"/>
            </w:tcBorders>
          </w:tcPr>
          <w:p w:rsidR="008C54C3" w:rsidRPr="001506D1" w:rsidRDefault="00DE0F85">
            <w:pPr>
              <w:pStyle w:val="Nadpis4"/>
              <w:spacing w:before="120"/>
              <w:rPr>
                <w:sz w:val="24"/>
                <w:szCs w:val="24"/>
              </w:rPr>
            </w:pPr>
            <w:r w:rsidRPr="001506D1">
              <w:rPr>
                <w:sz w:val="24"/>
                <w:szCs w:val="24"/>
              </w:rPr>
              <w:t>Smernica EÚ</w:t>
            </w:r>
          </w:p>
          <w:p w:rsidR="00EE7DD6" w:rsidRPr="001506D1" w:rsidRDefault="004578A2" w:rsidP="00D20423">
            <w:pPr>
              <w:pStyle w:val="Zkladntext3"/>
              <w:spacing w:line="240" w:lineRule="exact"/>
              <w:rPr>
                <w:b/>
              </w:rPr>
            </w:pPr>
            <w:r w:rsidRPr="00FA233A">
              <w:rPr>
                <w:b/>
                <w:shd w:val="clear" w:color="auto" w:fill="FFFFFF"/>
              </w:rPr>
              <w:t>Smernica Rady (EÚ) 2017/952 z 29. mája 2017, ktorou sa mení smernica (EÚ) 2016/1164, pokiaľ ide o hybridné nesúlady s tretími krajinami</w:t>
            </w:r>
          </w:p>
        </w:tc>
        <w:tc>
          <w:tcPr>
            <w:tcW w:w="8147" w:type="dxa"/>
            <w:gridSpan w:val="5"/>
            <w:tcBorders>
              <w:top w:val="single" w:sz="4" w:space="0" w:color="auto"/>
              <w:left w:val="nil"/>
              <w:bottom w:val="single" w:sz="4" w:space="0" w:color="auto"/>
              <w:right w:val="single" w:sz="12" w:space="0" w:color="auto"/>
            </w:tcBorders>
          </w:tcPr>
          <w:p w:rsidR="008C54C3" w:rsidRPr="001506D1" w:rsidRDefault="008C54C3">
            <w:pPr>
              <w:pStyle w:val="Nadpis4"/>
              <w:spacing w:before="120"/>
              <w:rPr>
                <w:sz w:val="24"/>
                <w:szCs w:val="24"/>
              </w:rPr>
            </w:pPr>
            <w:r w:rsidRPr="001506D1">
              <w:rPr>
                <w:sz w:val="24"/>
                <w:szCs w:val="24"/>
              </w:rPr>
              <w:t>Všeobecne záväzné právne predpisy Slovenskej republiky</w:t>
            </w:r>
          </w:p>
          <w:p w:rsidR="00761F85" w:rsidRPr="001506D1" w:rsidRDefault="005523B7" w:rsidP="005523B7">
            <w:pPr>
              <w:jc w:val="both"/>
              <w:rPr>
                <w:b/>
              </w:rPr>
            </w:pPr>
            <w:r>
              <w:rPr>
                <w:b/>
              </w:rPr>
              <w:t>Návrh zákona,</w:t>
            </w:r>
            <w:r w:rsidRPr="005523B7">
              <w:rPr>
                <w:b/>
              </w:rPr>
              <w:t xml:space="preserve"> ktorým sa mení a dopĺňa zákon č. 595/2003 Z. z. o dani z príjmov v znení neskorších predpisov a ktorým sa menia a dopĺňajú niektoré zákony</w:t>
            </w:r>
            <w:r>
              <w:rPr>
                <w:b/>
              </w:rPr>
              <w:t xml:space="preserve"> </w:t>
            </w:r>
            <w:r w:rsidR="00B02D1A">
              <w:rPr>
                <w:b/>
              </w:rPr>
              <w:t xml:space="preserve">                 </w:t>
            </w:r>
            <w:r w:rsidRPr="005523B7">
              <w:rPr>
                <w:b/>
              </w:rPr>
              <w:t xml:space="preserve"> </w:t>
            </w:r>
            <w:r w:rsidR="00C43E45" w:rsidRPr="001506D1">
              <w:rPr>
                <w:b/>
              </w:rPr>
              <w:t>( ďalej „</w:t>
            </w:r>
            <w:r w:rsidR="00510080" w:rsidRPr="001506D1">
              <w:rPr>
                <w:b/>
              </w:rPr>
              <w:t>N</w:t>
            </w:r>
            <w:r w:rsidR="00C43E45" w:rsidRPr="001506D1">
              <w:rPr>
                <w:b/>
              </w:rPr>
              <w:t>ávrh zákona</w:t>
            </w:r>
            <w:r w:rsidR="00B02D1A">
              <w:rPr>
                <w:b/>
              </w:rPr>
              <w:t xml:space="preserve"> Čl. I</w:t>
            </w:r>
            <w:r w:rsidR="00C43E45" w:rsidRPr="001506D1">
              <w:rPr>
                <w:b/>
              </w:rPr>
              <w:t>“)</w:t>
            </w:r>
          </w:p>
          <w:p w:rsidR="00C43E45" w:rsidRPr="001506D1" w:rsidRDefault="00C43E45" w:rsidP="00761F85">
            <w:pPr>
              <w:jc w:val="both"/>
            </w:pPr>
          </w:p>
          <w:p w:rsidR="00510080" w:rsidRPr="001506D1" w:rsidRDefault="00C43E45" w:rsidP="00ED0069">
            <w:pPr>
              <w:jc w:val="both"/>
            </w:pPr>
            <w:r w:rsidRPr="001506D1">
              <w:t>Zákon č. 595/2003 Z. z. o dani z príjmov v znení neskorších predpisov (ďalej „595/2003“)</w:t>
            </w:r>
          </w:p>
        </w:tc>
      </w:tr>
      <w:tr w:rsidR="00A9063F" w:rsidRPr="00A1700E" w:rsidTr="00C21CEF">
        <w:tc>
          <w:tcPr>
            <w:tcW w:w="540" w:type="dxa"/>
            <w:tcBorders>
              <w:top w:val="single" w:sz="4" w:space="0" w:color="auto"/>
              <w:left w:val="single" w:sz="12" w:space="0" w:color="auto"/>
              <w:bottom w:val="single" w:sz="4" w:space="0" w:color="auto"/>
              <w:right w:val="single" w:sz="4" w:space="0" w:color="auto"/>
            </w:tcBorders>
          </w:tcPr>
          <w:p w:rsidR="00A9063F" w:rsidRPr="00A1700E" w:rsidRDefault="00A9063F">
            <w:pPr>
              <w:jc w:val="center"/>
            </w:pPr>
            <w:r w:rsidRPr="00A1700E">
              <w:t>1</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A1700E" w:rsidRDefault="00A9063F">
            <w:pPr>
              <w:jc w:val="center"/>
            </w:pPr>
            <w:r w:rsidRPr="00A1700E">
              <w:t>2</w:t>
            </w:r>
          </w:p>
        </w:tc>
        <w:tc>
          <w:tcPr>
            <w:tcW w:w="567" w:type="dxa"/>
            <w:tcBorders>
              <w:top w:val="single" w:sz="4" w:space="0" w:color="auto"/>
              <w:left w:val="single" w:sz="4" w:space="0" w:color="auto"/>
              <w:bottom w:val="single" w:sz="4" w:space="0" w:color="auto"/>
              <w:right w:val="single" w:sz="12" w:space="0" w:color="auto"/>
            </w:tcBorders>
          </w:tcPr>
          <w:p w:rsidR="00A9063F" w:rsidRPr="00A1700E" w:rsidRDefault="00A9063F">
            <w:pPr>
              <w:jc w:val="center"/>
            </w:pPr>
            <w:r w:rsidRPr="00A1700E">
              <w:t>3</w:t>
            </w:r>
          </w:p>
        </w:tc>
        <w:tc>
          <w:tcPr>
            <w:tcW w:w="851" w:type="dxa"/>
            <w:tcBorders>
              <w:top w:val="single" w:sz="4" w:space="0" w:color="auto"/>
              <w:left w:val="nil"/>
              <w:bottom w:val="single" w:sz="4" w:space="0" w:color="auto"/>
              <w:right w:val="single" w:sz="4" w:space="0" w:color="auto"/>
            </w:tcBorders>
          </w:tcPr>
          <w:p w:rsidR="00A9063F" w:rsidRPr="00A1700E" w:rsidRDefault="00A9063F">
            <w:pPr>
              <w:jc w:val="center"/>
            </w:pPr>
            <w:r w:rsidRPr="00A1700E">
              <w:t>4</w:t>
            </w:r>
          </w:p>
        </w:tc>
        <w:tc>
          <w:tcPr>
            <w:tcW w:w="850" w:type="dxa"/>
            <w:tcBorders>
              <w:top w:val="single" w:sz="4" w:space="0" w:color="auto"/>
              <w:left w:val="single" w:sz="4" w:space="0" w:color="auto"/>
              <w:bottom w:val="single" w:sz="4" w:space="0" w:color="auto"/>
              <w:right w:val="single" w:sz="4" w:space="0" w:color="auto"/>
            </w:tcBorders>
          </w:tcPr>
          <w:p w:rsidR="00A9063F" w:rsidRPr="00A1700E" w:rsidRDefault="00A9063F">
            <w:pPr>
              <w:pStyle w:val="Zkladntext2"/>
              <w:spacing w:line="240" w:lineRule="exact"/>
              <w:rPr>
                <w:sz w:val="24"/>
                <w:szCs w:val="24"/>
              </w:rPr>
            </w:pPr>
            <w:r w:rsidRPr="00A1700E">
              <w:rPr>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A9063F" w:rsidRPr="00A1700E" w:rsidRDefault="00A9063F">
            <w:pPr>
              <w:pStyle w:val="Zkladntext2"/>
              <w:spacing w:line="240" w:lineRule="exact"/>
              <w:rPr>
                <w:sz w:val="24"/>
                <w:szCs w:val="24"/>
              </w:rPr>
            </w:pPr>
            <w:r w:rsidRPr="00A1700E">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9063F" w:rsidRPr="00A1700E" w:rsidRDefault="00A9063F">
            <w:pPr>
              <w:jc w:val="center"/>
            </w:pPr>
            <w:r w:rsidRPr="00A1700E">
              <w:t>7</w:t>
            </w:r>
          </w:p>
        </w:tc>
        <w:tc>
          <w:tcPr>
            <w:tcW w:w="1059" w:type="dxa"/>
            <w:tcBorders>
              <w:top w:val="single" w:sz="4" w:space="0" w:color="auto"/>
              <w:left w:val="single" w:sz="4" w:space="0" w:color="auto"/>
              <w:bottom w:val="single" w:sz="4" w:space="0" w:color="auto"/>
              <w:right w:val="single" w:sz="12" w:space="0" w:color="auto"/>
            </w:tcBorders>
          </w:tcPr>
          <w:p w:rsidR="00A9063F" w:rsidRPr="00A1700E" w:rsidRDefault="005170A9">
            <w:pPr>
              <w:jc w:val="center"/>
            </w:pPr>
            <w:r w:rsidRPr="00A1700E">
              <w:t>8</w:t>
            </w:r>
          </w:p>
        </w:tc>
      </w:tr>
      <w:tr w:rsidR="00A9063F" w:rsidRPr="00A1700E" w:rsidTr="00C21CEF">
        <w:tc>
          <w:tcPr>
            <w:tcW w:w="540" w:type="dxa"/>
            <w:tcBorders>
              <w:top w:val="single" w:sz="4" w:space="0" w:color="auto"/>
              <w:left w:val="single" w:sz="12" w:space="0" w:color="auto"/>
              <w:bottom w:val="single" w:sz="4" w:space="0" w:color="auto"/>
              <w:right w:val="single" w:sz="4" w:space="0" w:color="auto"/>
            </w:tcBorders>
          </w:tcPr>
          <w:p w:rsidR="00A9063F" w:rsidRPr="00A1700E" w:rsidRDefault="00A9063F">
            <w:pPr>
              <w:pStyle w:val="Normlny0"/>
              <w:jc w:val="center"/>
              <w:rPr>
                <w:sz w:val="24"/>
                <w:szCs w:val="24"/>
              </w:rPr>
            </w:pPr>
            <w:r w:rsidRPr="00A1700E">
              <w:rPr>
                <w:sz w:val="24"/>
                <w:szCs w:val="24"/>
              </w:rPr>
              <w:t>Článok</w:t>
            </w:r>
          </w:p>
          <w:p w:rsidR="00A9063F" w:rsidRPr="00A1700E" w:rsidRDefault="00A9063F">
            <w:pPr>
              <w:pStyle w:val="Normlny0"/>
              <w:jc w:val="center"/>
              <w:rPr>
                <w:sz w:val="24"/>
                <w:szCs w:val="24"/>
              </w:rPr>
            </w:pPr>
            <w:r w:rsidRPr="00A1700E">
              <w:rPr>
                <w:sz w:val="24"/>
                <w:szCs w:val="24"/>
              </w:rPr>
              <w:t>(Č, O,</w:t>
            </w:r>
          </w:p>
          <w:p w:rsidR="00A9063F" w:rsidRPr="00A1700E" w:rsidRDefault="00A9063F">
            <w:pPr>
              <w:pStyle w:val="Normlny0"/>
              <w:jc w:val="center"/>
              <w:rPr>
                <w:sz w:val="24"/>
                <w:szCs w:val="24"/>
              </w:rPr>
            </w:pPr>
            <w:r w:rsidRPr="00A1700E">
              <w:rPr>
                <w:sz w:val="24"/>
                <w:szCs w:val="24"/>
              </w:rPr>
              <w:t>V, P)</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A1700E" w:rsidRDefault="00A9063F">
            <w:pPr>
              <w:pStyle w:val="Normlny0"/>
              <w:jc w:val="center"/>
              <w:rPr>
                <w:sz w:val="24"/>
                <w:szCs w:val="24"/>
              </w:rPr>
            </w:pPr>
            <w:r w:rsidRPr="00A1700E">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A1700E" w:rsidRDefault="00A9063F">
            <w:pPr>
              <w:pStyle w:val="Normlny0"/>
              <w:jc w:val="center"/>
              <w:rPr>
                <w:sz w:val="24"/>
                <w:szCs w:val="24"/>
              </w:rPr>
            </w:pPr>
            <w:r w:rsidRPr="00A1700E">
              <w:rPr>
                <w:sz w:val="24"/>
                <w:szCs w:val="24"/>
              </w:rPr>
              <w:t>Spôsob transp.</w:t>
            </w:r>
          </w:p>
          <w:p w:rsidR="00A9063F" w:rsidRPr="00A1700E" w:rsidRDefault="00A9063F">
            <w:pPr>
              <w:pStyle w:val="Normlny0"/>
              <w:jc w:val="center"/>
              <w:rPr>
                <w:sz w:val="24"/>
                <w:szCs w:val="24"/>
              </w:rPr>
            </w:pPr>
            <w:r w:rsidRPr="00A1700E">
              <w:rPr>
                <w:sz w:val="24"/>
                <w:szCs w:val="24"/>
              </w:rPr>
              <w:t>(N, O, D, n.a.)</w:t>
            </w:r>
          </w:p>
        </w:tc>
        <w:tc>
          <w:tcPr>
            <w:tcW w:w="851" w:type="dxa"/>
            <w:tcBorders>
              <w:top w:val="single" w:sz="4" w:space="0" w:color="auto"/>
              <w:left w:val="nil"/>
              <w:bottom w:val="single" w:sz="4" w:space="0" w:color="auto"/>
              <w:right w:val="single" w:sz="4" w:space="0" w:color="auto"/>
            </w:tcBorders>
          </w:tcPr>
          <w:p w:rsidR="00A9063F" w:rsidRPr="00A1700E" w:rsidRDefault="00A9063F">
            <w:pPr>
              <w:pStyle w:val="Normlny0"/>
              <w:jc w:val="center"/>
              <w:rPr>
                <w:sz w:val="24"/>
                <w:szCs w:val="24"/>
              </w:rPr>
            </w:pPr>
            <w:r w:rsidRPr="00A1700E">
              <w:rPr>
                <w:sz w:val="24"/>
                <w:szCs w:val="24"/>
              </w:rPr>
              <w:t>Číslo</w:t>
            </w:r>
          </w:p>
          <w:p w:rsidR="00A9063F" w:rsidRPr="00A1700E" w:rsidRDefault="00A9063F">
            <w:pPr>
              <w:pStyle w:val="Normlny0"/>
              <w:jc w:val="center"/>
              <w:rPr>
                <w:sz w:val="24"/>
                <w:szCs w:val="24"/>
              </w:rPr>
            </w:pPr>
            <w:r w:rsidRPr="00A1700E">
              <w:rPr>
                <w:sz w:val="24"/>
                <w:szCs w:val="24"/>
              </w:rPr>
              <w:t>predpisu</w:t>
            </w:r>
          </w:p>
        </w:tc>
        <w:tc>
          <w:tcPr>
            <w:tcW w:w="850" w:type="dxa"/>
            <w:tcBorders>
              <w:top w:val="single" w:sz="4" w:space="0" w:color="auto"/>
              <w:left w:val="single" w:sz="4" w:space="0" w:color="auto"/>
              <w:bottom w:val="single" w:sz="4" w:space="0" w:color="auto"/>
              <w:right w:val="single" w:sz="4" w:space="0" w:color="auto"/>
            </w:tcBorders>
          </w:tcPr>
          <w:p w:rsidR="00A9063F" w:rsidRPr="00A1700E" w:rsidRDefault="00A9063F">
            <w:pPr>
              <w:pStyle w:val="Normlny0"/>
              <w:jc w:val="center"/>
              <w:rPr>
                <w:sz w:val="24"/>
                <w:szCs w:val="24"/>
              </w:rPr>
            </w:pPr>
            <w:r w:rsidRPr="00A1700E">
              <w:rPr>
                <w:sz w:val="24"/>
                <w:szCs w:val="24"/>
              </w:rPr>
              <w:t>Článok (Č, §, O, V, P)</w:t>
            </w:r>
          </w:p>
        </w:tc>
        <w:tc>
          <w:tcPr>
            <w:tcW w:w="4678" w:type="dxa"/>
            <w:tcBorders>
              <w:top w:val="single" w:sz="4" w:space="0" w:color="auto"/>
              <w:left w:val="single" w:sz="4" w:space="0" w:color="auto"/>
              <w:bottom w:val="single" w:sz="4" w:space="0" w:color="auto"/>
              <w:right w:val="single" w:sz="4" w:space="0" w:color="auto"/>
            </w:tcBorders>
          </w:tcPr>
          <w:p w:rsidR="00A9063F" w:rsidRPr="00A1700E" w:rsidRDefault="00A9063F">
            <w:pPr>
              <w:pStyle w:val="Normlny0"/>
              <w:jc w:val="center"/>
              <w:rPr>
                <w:sz w:val="24"/>
                <w:szCs w:val="24"/>
              </w:rPr>
            </w:pPr>
            <w:r w:rsidRPr="00A1700E">
              <w:rPr>
                <w:sz w:val="24"/>
                <w:szCs w:val="24"/>
              </w:rPr>
              <w:t>Text</w:t>
            </w:r>
          </w:p>
        </w:tc>
        <w:tc>
          <w:tcPr>
            <w:tcW w:w="709" w:type="dxa"/>
            <w:tcBorders>
              <w:top w:val="single" w:sz="4" w:space="0" w:color="auto"/>
              <w:left w:val="single" w:sz="4" w:space="0" w:color="auto"/>
              <w:bottom w:val="single" w:sz="4" w:space="0" w:color="auto"/>
              <w:right w:val="single" w:sz="4" w:space="0" w:color="auto"/>
            </w:tcBorders>
          </w:tcPr>
          <w:p w:rsidR="00A9063F" w:rsidRPr="00A1700E" w:rsidRDefault="00A9063F">
            <w:pPr>
              <w:pStyle w:val="Normlny0"/>
              <w:jc w:val="center"/>
              <w:rPr>
                <w:sz w:val="24"/>
                <w:szCs w:val="24"/>
              </w:rPr>
            </w:pPr>
            <w:r w:rsidRPr="00A1700E">
              <w:rPr>
                <w:sz w:val="24"/>
                <w:szCs w:val="24"/>
              </w:rPr>
              <w:t>Zhoda</w:t>
            </w:r>
          </w:p>
        </w:tc>
        <w:tc>
          <w:tcPr>
            <w:tcW w:w="1059" w:type="dxa"/>
            <w:tcBorders>
              <w:top w:val="single" w:sz="4" w:space="0" w:color="auto"/>
              <w:left w:val="single" w:sz="4" w:space="0" w:color="auto"/>
              <w:bottom w:val="single" w:sz="4" w:space="0" w:color="auto"/>
              <w:right w:val="single" w:sz="12" w:space="0" w:color="auto"/>
            </w:tcBorders>
          </w:tcPr>
          <w:p w:rsidR="00A9063F" w:rsidRPr="00A1700E" w:rsidRDefault="00A9063F">
            <w:pPr>
              <w:pStyle w:val="Normlny0"/>
              <w:jc w:val="center"/>
              <w:rPr>
                <w:sz w:val="24"/>
                <w:szCs w:val="24"/>
              </w:rPr>
            </w:pPr>
            <w:r w:rsidRPr="00A1700E">
              <w:rPr>
                <w:sz w:val="24"/>
                <w:szCs w:val="24"/>
              </w:rPr>
              <w:t>Poznámky</w:t>
            </w:r>
          </w:p>
        </w:tc>
      </w:tr>
      <w:tr w:rsidR="00A9063F" w:rsidRPr="00A1700E" w:rsidTr="00C21CEF">
        <w:tc>
          <w:tcPr>
            <w:tcW w:w="540" w:type="dxa"/>
            <w:tcBorders>
              <w:top w:val="single" w:sz="4" w:space="0" w:color="auto"/>
              <w:left w:val="single" w:sz="12" w:space="0" w:color="auto"/>
              <w:bottom w:val="single" w:sz="4" w:space="0" w:color="auto"/>
              <w:right w:val="single" w:sz="4" w:space="0" w:color="auto"/>
            </w:tcBorders>
          </w:tcPr>
          <w:p w:rsidR="00A9063F" w:rsidRPr="00A1700E" w:rsidRDefault="0078287E" w:rsidP="00A47BED">
            <w:pPr>
              <w:jc w:val="center"/>
            </w:pPr>
            <w:r w:rsidRPr="00FA233A">
              <w:t>Čl. 1</w:t>
            </w:r>
            <w:r w:rsidR="00A47BED" w:rsidRPr="00FA233A">
              <w:t xml:space="preserve"> </w:t>
            </w:r>
            <w:r w:rsidR="004B20BD" w:rsidRPr="00FA233A">
              <w:t xml:space="preserve"> ods.1</w:t>
            </w:r>
          </w:p>
        </w:tc>
        <w:tc>
          <w:tcPr>
            <w:tcW w:w="6946" w:type="dxa"/>
            <w:gridSpan w:val="2"/>
            <w:tcBorders>
              <w:top w:val="single" w:sz="4" w:space="0" w:color="auto"/>
              <w:left w:val="single" w:sz="4" w:space="0" w:color="auto"/>
              <w:bottom w:val="single" w:sz="4" w:space="0" w:color="auto"/>
              <w:right w:val="single" w:sz="4" w:space="0" w:color="auto"/>
            </w:tcBorders>
          </w:tcPr>
          <w:p w:rsidR="004B20BD" w:rsidRPr="00FA233A" w:rsidRDefault="004B20BD" w:rsidP="004B20BD">
            <w:pPr>
              <w:shd w:val="clear" w:color="auto" w:fill="FFFFFF"/>
              <w:autoSpaceDE/>
              <w:autoSpaceDN/>
              <w:spacing w:before="120" w:line="312" w:lineRule="atLeast"/>
              <w:jc w:val="both"/>
            </w:pPr>
            <w:r w:rsidRPr="00FA233A">
              <w:t>Smernica (EÚ) 2016/1164 sa mení takto:</w:t>
            </w:r>
          </w:p>
          <w:tbl>
            <w:tblPr>
              <w:tblW w:w="5000" w:type="pct"/>
              <w:shd w:val="clear" w:color="auto" w:fill="FFFFFF"/>
              <w:tblLayout w:type="fixed"/>
              <w:tblCellMar>
                <w:left w:w="0" w:type="dxa"/>
                <w:right w:w="0" w:type="dxa"/>
              </w:tblCellMar>
              <w:tblLook w:val="04A0" w:firstRow="1" w:lastRow="0" w:firstColumn="1" w:lastColumn="0" w:noHBand="0" w:noVBand="1"/>
            </w:tblPr>
            <w:tblGrid>
              <w:gridCol w:w="439"/>
              <w:gridCol w:w="6421"/>
            </w:tblGrid>
            <w:tr w:rsidR="004B20BD" w:rsidRPr="00FA233A" w:rsidTr="004B20BD">
              <w:tc>
                <w:tcPr>
                  <w:tcW w:w="575" w:type="dxa"/>
                  <w:shd w:val="clear" w:color="auto" w:fill="FFFFFF"/>
                  <w:hideMark/>
                </w:tcPr>
                <w:p w:rsidR="004B20BD" w:rsidRPr="00FA233A" w:rsidRDefault="004B20BD" w:rsidP="004B20BD">
                  <w:pPr>
                    <w:autoSpaceDE/>
                    <w:autoSpaceDN/>
                    <w:spacing w:before="120" w:line="312" w:lineRule="atLeast"/>
                    <w:jc w:val="both"/>
                  </w:pPr>
                  <w:r w:rsidRPr="00FA233A">
                    <w:t>1.</w:t>
                  </w:r>
                </w:p>
              </w:tc>
              <w:tc>
                <w:tcPr>
                  <w:tcW w:w="8497" w:type="dxa"/>
                  <w:shd w:val="clear" w:color="auto" w:fill="FFFFFF"/>
                  <w:hideMark/>
                </w:tcPr>
                <w:p w:rsidR="004B20BD" w:rsidRPr="00FA233A" w:rsidRDefault="004B20BD" w:rsidP="004B20BD">
                  <w:pPr>
                    <w:autoSpaceDE/>
                    <w:autoSpaceDN/>
                    <w:spacing w:before="120" w:line="312" w:lineRule="atLeast"/>
                    <w:jc w:val="both"/>
                  </w:pPr>
                  <w:r w:rsidRPr="00FA233A">
                    <w:t>Článok 1 sa nahrádza takto:</w:t>
                  </w:r>
                </w:p>
              </w:tc>
            </w:tr>
          </w:tbl>
          <w:p w:rsidR="004B20BD" w:rsidRPr="001506D1" w:rsidRDefault="004B20BD" w:rsidP="00063566">
            <w:pPr>
              <w:pStyle w:val="CM4"/>
              <w:spacing w:before="60" w:after="60"/>
              <w:jc w:val="both"/>
              <w:rPr>
                <w:i/>
                <w:iCs/>
                <w:sz w:val="27"/>
                <w:szCs w:val="27"/>
                <w:shd w:val="clear" w:color="auto" w:fill="FFFFFF"/>
              </w:rPr>
            </w:pPr>
            <w:r w:rsidRPr="00FA233A">
              <w:rPr>
                <w:i/>
                <w:iCs/>
                <w:color w:val="444444"/>
                <w:sz w:val="27"/>
                <w:szCs w:val="27"/>
                <w:shd w:val="clear" w:color="auto" w:fill="FFFFFF"/>
              </w:rPr>
              <w:t>„</w:t>
            </w:r>
            <w:r w:rsidRPr="00FA233A">
              <w:rPr>
                <w:i/>
                <w:iCs/>
                <w:sz w:val="27"/>
                <w:szCs w:val="27"/>
                <w:shd w:val="clear" w:color="auto" w:fill="FFFFFF"/>
              </w:rPr>
              <w:t>Článok 1</w:t>
            </w:r>
          </w:p>
          <w:p w:rsidR="00D76889" w:rsidRPr="00A1700E" w:rsidRDefault="00D76889" w:rsidP="00063566">
            <w:pPr>
              <w:pStyle w:val="CM4"/>
              <w:spacing w:before="60" w:after="60"/>
              <w:jc w:val="both"/>
              <w:rPr>
                <w:rFonts w:ascii="Times New Roman" w:hAnsi="Times New Roman"/>
                <w:b/>
                <w:bCs/>
              </w:rPr>
            </w:pPr>
            <w:r w:rsidRPr="00A1700E">
              <w:rPr>
                <w:rFonts w:ascii="Times New Roman" w:hAnsi="Times New Roman"/>
                <w:i/>
                <w:iCs/>
              </w:rPr>
              <w:t xml:space="preserve"> </w:t>
            </w:r>
            <w:r w:rsidRPr="00A1700E">
              <w:rPr>
                <w:rFonts w:ascii="Times New Roman" w:hAnsi="Times New Roman"/>
                <w:b/>
                <w:bCs/>
              </w:rPr>
              <w:t xml:space="preserve">Rozsah pôsobnosti </w:t>
            </w:r>
          </w:p>
          <w:p w:rsidR="003E6FEB" w:rsidRPr="00A1700E" w:rsidRDefault="003E6FEB" w:rsidP="00063566">
            <w:pPr>
              <w:pStyle w:val="CM4"/>
              <w:jc w:val="both"/>
              <w:rPr>
                <w:rFonts w:ascii="Times New Roman" w:hAnsi="Times New Roman"/>
              </w:rPr>
            </w:pPr>
            <w:r w:rsidRPr="00A1700E">
              <w:rPr>
                <w:rFonts w:ascii="Times New Roman" w:hAnsi="Times New Roman"/>
              </w:rPr>
              <w:t>1.Táto smernica sa uplatňuje na všetkých daňovníkov, ktorí podliehajú dani z príjmov právnických osôb v jednom alebo vo viacerých členských štátoch, vrátane stálych prevádzkarní v jednom alebo vo viacerých členských štátoch subjektov, ktorí sú rezidentmi na daňové účely v tretej krajine.</w:t>
            </w:r>
          </w:p>
          <w:p w:rsidR="009C0500" w:rsidRPr="00A1700E" w:rsidRDefault="009C0500" w:rsidP="00063566">
            <w:pPr>
              <w:pStyle w:val="Default"/>
              <w:jc w:val="both"/>
              <w:rPr>
                <w:rFonts w:ascii="Times New Roman" w:hAnsi="Times New Roman" w:cs="Times New Roman"/>
              </w:rPr>
            </w:pPr>
          </w:p>
          <w:p w:rsidR="009C0500" w:rsidRPr="00A1700E" w:rsidRDefault="009C0500" w:rsidP="00063566">
            <w:pPr>
              <w:pStyle w:val="Default"/>
              <w:jc w:val="both"/>
              <w:rPr>
                <w:rFonts w:ascii="Times New Roman" w:hAnsi="Times New Roman" w:cs="Times New Roman"/>
              </w:rPr>
            </w:pPr>
          </w:p>
          <w:p w:rsidR="002E1D16" w:rsidRPr="00A1700E" w:rsidRDefault="003E6FEB" w:rsidP="00063566">
            <w:pPr>
              <w:pStyle w:val="CM4"/>
              <w:jc w:val="both"/>
              <w:rPr>
                <w:rFonts w:ascii="Times New Roman" w:hAnsi="Times New Roman"/>
              </w:rPr>
            </w:pPr>
            <w:r w:rsidRPr="00A1700E">
              <w:rPr>
                <w:rFonts w:ascii="Times New Roman" w:hAnsi="Times New Roman"/>
              </w:rPr>
              <w:lastRenderedPageBreak/>
              <w:t>2. Článok 9a sa uplatňuje aj na všetky subjekty, ktoré členský štát považuje na daňové účely za transparentné.</w:t>
            </w:r>
            <w:r w:rsidR="004B20BD">
              <w:rPr>
                <w:rFonts w:ascii="Times New Roman" w:hAnsi="Times New Roman"/>
              </w:rPr>
              <w:t>“</w:t>
            </w:r>
          </w:p>
        </w:tc>
        <w:tc>
          <w:tcPr>
            <w:tcW w:w="567" w:type="dxa"/>
            <w:tcBorders>
              <w:top w:val="single" w:sz="4" w:space="0" w:color="auto"/>
              <w:left w:val="single" w:sz="4" w:space="0" w:color="auto"/>
              <w:bottom w:val="single" w:sz="4" w:space="0" w:color="auto"/>
              <w:right w:val="single" w:sz="12" w:space="0" w:color="auto"/>
            </w:tcBorders>
          </w:tcPr>
          <w:p w:rsidR="002A132E" w:rsidRPr="00A1700E" w:rsidRDefault="002A132E">
            <w:pPr>
              <w:jc w:val="center"/>
            </w:pPr>
          </w:p>
          <w:p w:rsidR="002A132E" w:rsidRPr="00A1700E" w:rsidRDefault="002A132E">
            <w:pPr>
              <w:jc w:val="center"/>
            </w:pPr>
          </w:p>
          <w:p w:rsidR="002A132E" w:rsidRDefault="002A132E">
            <w:pPr>
              <w:jc w:val="center"/>
            </w:pPr>
          </w:p>
          <w:p w:rsidR="00F951D0" w:rsidRDefault="00F951D0">
            <w:pPr>
              <w:jc w:val="center"/>
            </w:pPr>
          </w:p>
          <w:p w:rsidR="00F951D0" w:rsidRDefault="00F951D0">
            <w:pPr>
              <w:jc w:val="center"/>
            </w:pPr>
          </w:p>
          <w:p w:rsidR="00CC0CA2" w:rsidRPr="00A1700E" w:rsidRDefault="00CC0CA2">
            <w:pPr>
              <w:jc w:val="center"/>
            </w:pPr>
          </w:p>
          <w:p w:rsidR="00E030B3" w:rsidRPr="00A1700E" w:rsidRDefault="00E030B3">
            <w:pPr>
              <w:jc w:val="center"/>
            </w:pPr>
            <w:r w:rsidRPr="00A1700E">
              <w:t>N</w:t>
            </w:r>
          </w:p>
          <w:p w:rsidR="00E030B3" w:rsidRPr="00A1700E" w:rsidRDefault="00E030B3">
            <w:pPr>
              <w:jc w:val="center"/>
            </w:pPr>
          </w:p>
          <w:p w:rsidR="00A9063F" w:rsidRPr="00A1700E" w:rsidRDefault="00A9063F" w:rsidP="00A47BED"/>
          <w:p w:rsidR="00E030B3" w:rsidRPr="00A1700E" w:rsidRDefault="00E030B3" w:rsidP="00B079BF"/>
          <w:p w:rsidR="00E030B3" w:rsidRPr="00A1700E" w:rsidRDefault="00E030B3">
            <w:pPr>
              <w:jc w:val="center"/>
            </w:pPr>
          </w:p>
        </w:tc>
        <w:tc>
          <w:tcPr>
            <w:tcW w:w="851" w:type="dxa"/>
            <w:tcBorders>
              <w:top w:val="single" w:sz="4" w:space="0" w:color="auto"/>
              <w:left w:val="nil"/>
              <w:bottom w:val="single" w:sz="4" w:space="0" w:color="auto"/>
              <w:right w:val="single" w:sz="4" w:space="0" w:color="auto"/>
            </w:tcBorders>
          </w:tcPr>
          <w:p w:rsidR="002A132E" w:rsidRPr="00A1700E" w:rsidRDefault="002A132E">
            <w:pPr>
              <w:jc w:val="center"/>
            </w:pPr>
          </w:p>
          <w:p w:rsidR="002A132E" w:rsidRPr="00A1700E" w:rsidRDefault="002A132E">
            <w:pPr>
              <w:jc w:val="center"/>
            </w:pPr>
          </w:p>
          <w:p w:rsidR="002A132E" w:rsidRDefault="002A132E">
            <w:pPr>
              <w:jc w:val="center"/>
            </w:pPr>
          </w:p>
          <w:p w:rsidR="00F951D0" w:rsidRDefault="00F951D0">
            <w:pPr>
              <w:jc w:val="center"/>
            </w:pPr>
          </w:p>
          <w:p w:rsidR="00F951D0" w:rsidRDefault="00F951D0">
            <w:pPr>
              <w:jc w:val="center"/>
            </w:pPr>
          </w:p>
          <w:p w:rsidR="00F951D0" w:rsidRPr="00A1700E" w:rsidRDefault="00F951D0">
            <w:pPr>
              <w:jc w:val="center"/>
            </w:pPr>
          </w:p>
          <w:p w:rsidR="00A9063F" w:rsidRPr="00A1700E" w:rsidRDefault="00DA5E66">
            <w:pPr>
              <w:jc w:val="center"/>
            </w:pPr>
            <w:r w:rsidRPr="00A1700E">
              <w:t>595/2003</w:t>
            </w:r>
          </w:p>
          <w:p w:rsidR="009C0500" w:rsidRPr="00A1700E" w:rsidRDefault="009C0500">
            <w:pPr>
              <w:jc w:val="center"/>
            </w:pPr>
          </w:p>
          <w:p w:rsidR="009C0500" w:rsidRPr="00A1700E" w:rsidRDefault="009C0500">
            <w:pPr>
              <w:jc w:val="center"/>
            </w:pPr>
          </w:p>
          <w:p w:rsidR="009C0500" w:rsidRPr="00A1700E" w:rsidRDefault="009C0500">
            <w:pPr>
              <w:jc w:val="center"/>
            </w:pPr>
          </w:p>
          <w:p w:rsidR="009C0500" w:rsidRPr="00A1700E" w:rsidRDefault="009C0500">
            <w:pPr>
              <w:jc w:val="center"/>
            </w:pPr>
          </w:p>
          <w:p w:rsidR="009C0500" w:rsidRPr="00A1700E" w:rsidRDefault="009C0500">
            <w:pPr>
              <w:jc w:val="center"/>
            </w:pPr>
          </w:p>
          <w:p w:rsidR="009C0500" w:rsidRPr="00A1700E" w:rsidRDefault="009C0500">
            <w:pPr>
              <w:jc w:val="center"/>
              <w:rPr>
                <w:b/>
              </w:rPr>
            </w:pPr>
            <w:r w:rsidRPr="00A1700E">
              <w:rPr>
                <w:b/>
              </w:rPr>
              <w:lastRenderedPageBreak/>
              <w:t>Návrh zákona</w:t>
            </w:r>
            <w:r w:rsidR="00B26504" w:rsidRPr="00A1700E">
              <w:rPr>
                <w:b/>
              </w:rPr>
              <w:t xml:space="preserve"> Čl. I</w:t>
            </w:r>
          </w:p>
        </w:tc>
        <w:tc>
          <w:tcPr>
            <w:tcW w:w="850" w:type="dxa"/>
            <w:tcBorders>
              <w:top w:val="single" w:sz="4" w:space="0" w:color="auto"/>
              <w:left w:val="single" w:sz="4" w:space="0" w:color="auto"/>
              <w:bottom w:val="single" w:sz="4" w:space="0" w:color="auto"/>
              <w:right w:val="single" w:sz="4" w:space="0" w:color="auto"/>
            </w:tcBorders>
          </w:tcPr>
          <w:p w:rsidR="002A132E" w:rsidRPr="00A1700E" w:rsidRDefault="002A132E" w:rsidP="0091636B">
            <w:pPr>
              <w:pStyle w:val="Normlny0"/>
              <w:jc w:val="center"/>
              <w:rPr>
                <w:sz w:val="24"/>
                <w:szCs w:val="24"/>
              </w:rPr>
            </w:pPr>
          </w:p>
          <w:p w:rsidR="002A132E" w:rsidRPr="00A1700E" w:rsidRDefault="002A132E" w:rsidP="0091636B">
            <w:pPr>
              <w:pStyle w:val="Normlny0"/>
              <w:jc w:val="center"/>
              <w:rPr>
                <w:sz w:val="24"/>
                <w:szCs w:val="24"/>
              </w:rPr>
            </w:pPr>
          </w:p>
          <w:p w:rsidR="002A132E" w:rsidRDefault="002A132E" w:rsidP="0091636B">
            <w:pPr>
              <w:pStyle w:val="Normlny0"/>
              <w:jc w:val="center"/>
              <w:rPr>
                <w:sz w:val="24"/>
                <w:szCs w:val="24"/>
              </w:rPr>
            </w:pPr>
          </w:p>
          <w:p w:rsidR="00F951D0" w:rsidRDefault="00F951D0" w:rsidP="0091636B">
            <w:pPr>
              <w:pStyle w:val="Normlny0"/>
              <w:jc w:val="center"/>
              <w:rPr>
                <w:sz w:val="24"/>
                <w:szCs w:val="24"/>
              </w:rPr>
            </w:pPr>
          </w:p>
          <w:p w:rsidR="00F951D0" w:rsidRDefault="00F951D0" w:rsidP="0091636B">
            <w:pPr>
              <w:pStyle w:val="Normlny0"/>
              <w:jc w:val="center"/>
              <w:rPr>
                <w:sz w:val="24"/>
                <w:szCs w:val="24"/>
              </w:rPr>
            </w:pPr>
          </w:p>
          <w:p w:rsidR="00F951D0" w:rsidRPr="00A1700E" w:rsidRDefault="00F951D0" w:rsidP="0091636B">
            <w:pPr>
              <w:pStyle w:val="Normlny0"/>
              <w:jc w:val="center"/>
              <w:rPr>
                <w:sz w:val="24"/>
                <w:szCs w:val="24"/>
              </w:rPr>
            </w:pPr>
          </w:p>
          <w:p w:rsidR="00E030B3" w:rsidRPr="00A1700E" w:rsidRDefault="00DA5E66" w:rsidP="0091636B">
            <w:pPr>
              <w:pStyle w:val="Normlny0"/>
              <w:jc w:val="center"/>
              <w:rPr>
                <w:sz w:val="24"/>
                <w:szCs w:val="24"/>
              </w:rPr>
            </w:pPr>
            <w:r w:rsidRPr="00A1700E">
              <w:rPr>
                <w:sz w:val="24"/>
                <w:szCs w:val="24"/>
              </w:rPr>
              <w:t>§ 1 ods.1 pís</w:t>
            </w:r>
            <w:r w:rsidR="003E6FEB" w:rsidRPr="00A1700E">
              <w:rPr>
                <w:sz w:val="24"/>
                <w:szCs w:val="24"/>
              </w:rPr>
              <w:t>m</w:t>
            </w:r>
            <w:r w:rsidRPr="00A1700E">
              <w:rPr>
                <w:sz w:val="24"/>
                <w:szCs w:val="24"/>
              </w:rPr>
              <w:t>.a)</w:t>
            </w:r>
          </w:p>
          <w:p w:rsidR="00E030B3" w:rsidRPr="00A1700E" w:rsidRDefault="00E030B3" w:rsidP="00A47BED">
            <w:pPr>
              <w:pStyle w:val="Normlny0"/>
              <w:rPr>
                <w:sz w:val="24"/>
                <w:szCs w:val="24"/>
              </w:rPr>
            </w:pPr>
          </w:p>
          <w:p w:rsidR="009C0500" w:rsidRPr="00A1700E" w:rsidRDefault="009C0500" w:rsidP="00A47BED">
            <w:pPr>
              <w:pStyle w:val="Normlny0"/>
              <w:rPr>
                <w:sz w:val="24"/>
                <w:szCs w:val="24"/>
              </w:rPr>
            </w:pPr>
          </w:p>
          <w:p w:rsidR="009C0500" w:rsidRPr="00A1700E" w:rsidRDefault="009C0500" w:rsidP="00A47BED">
            <w:pPr>
              <w:pStyle w:val="Normlny0"/>
              <w:rPr>
                <w:sz w:val="24"/>
                <w:szCs w:val="24"/>
              </w:rPr>
            </w:pPr>
          </w:p>
          <w:p w:rsidR="009C0500" w:rsidRDefault="009C0500" w:rsidP="00A47BED">
            <w:pPr>
              <w:pStyle w:val="Normlny0"/>
              <w:rPr>
                <w:sz w:val="24"/>
                <w:szCs w:val="24"/>
              </w:rPr>
            </w:pPr>
          </w:p>
          <w:p w:rsidR="00B02D1A" w:rsidRPr="00A1700E" w:rsidRDefault="00B02D1A" w:rsidP="00A47BED">
            <w:pPr>
              <w:pStyle w:val="Normlny0"/>
              <w:rPr>
                <w:sz w:val="24"/>
                <w:szCs w:val="24"/>
              </w:rPr>
            </w:pPr>
          </w:p>
          <w:p w:rsidR="009C0500" w:rsidRPr="00A1700E" w:rsidRDefault="009C0500" w:rsidP="00243379">
            <w:pPr>
              <w:pStyle w:val="Normlny0"/>
              <w:rPr>
                <w:b/>
                <w:sz w:val="24"/>
                <w:szCs w:val="24"/>
              </w:rPr>
            </w:pPr>
            <w:r w:rsidRPr="00A1700E">
              <w:rPr>
                <w:b/>
                <w:sz w:val="24"/>
                <w:szCs w:val="24"/>
              </w:rPr>
              <w:lastRenderedPageBreak/>
              <w:t xml:space="preserve">§ 17j </w:t>
            </w:r>
          </w:p>
        </w:tc>
        <w:tc>
          <w:tcPr>
            <w:tcW w:w="4678" w:type="dxa"/>
            <w:tcBorders>
              <w:top w:val="single" w:sz="4" w:space="0" w:color="auto"/>
              <w:left w:val="single" w:sz="4" w:space="0" w:color="auto"/>
              <w:bottom w:val="single" w:sz="4" w:space="0" w:color="auto"/>
              <w:right w:val="single" w:sz="4" w:space="0" w:color="auto"/>
            </w:tcBorders>
          </w:tcPr>
          <w:p w:rsidR="002A132E" w:rsidRPr="00A1700E" w:rsidRDefault="002A132E" w:rsidP="00DA5E66">
            <w:pPr>
              <w:pStyle w:val="Normlny0"/>
              <w:rPr>
                <w:sz w:val="24"/>
                <w:szCs w:val="24"/>
              </w:rPr>
            </w:pPr>
          </w:p>
          <w:p w:rsidR="002A132E" w:rsidRPr="00A1700E" w:rsidRDefault="002A132E" w:rsidP="00DA5E66">
            <w:pPr>
              <w:pStyle w:val="Normlny0"/>
              <w:rPr>
                <w:sz w:val="24"/>
                <w:szCs w:val="24"/>
              </w:rPr>
            </w:pPr>
          </w:p>
          <w:p w:rsidR="002A132E" w:rsidRDefault="002A132E" w:rsidP="00DA5E66">
            <w:pPr>
              <w:pStyle w:val="Normlny0"/>
              <w:rPr>
                <w:sz w:val="24"/>
                <w:szCs w:val="24"/>
              </w:rPr>
            </w:pPr>
          </w:p>
          <w:p w:rsidR="00F951D0" w:rsidRDefault="00F951D0" w:rsidP="00DA5E66">
            <w:pPr>
              <w:pStyle w:val="Normlny0"/>
              <w:rPr>
                <w:sz w:val="24"/>
                <w:szCs w:val="24"/>
              </w:rPr>
            </w:pPr>
          </w:p>
          <w:p w:rsidR="00F951D0" w:rsidRDefault="00F951D0" w:rsidP="00DA5E66">
            <w:pPr>
              <w:pStyle w:val="Normlny0"/>
              <w:rPr>
                <w:sz w:val="24"/>
                <w:szCs w:val="24"/>
              </w:rPr>
            </w:pPr>
          </w:p>
          <w:p w:rsidR="00CC0CA2" w:rsidRPr="00A1700E" w:rsidRDefault="00CC0CA2" w:rsidP="00DA5E66">
            <w:pPr>
              <w:pStyle w:val="Normlny0"/>
              <w:rPr>
                <w:sz w:val="24"/>
                <w:szCs w:val="24"/>
              </w:rPr>
            </w:pPr>
          </w:p>
          <w:p w:rsidR="00DA5E66" w:rsidRPr="00A1700E" w:rsidRDefault="00DA5E66" w:rsidP="00DA5E66">
            <w:pPr>
              <w:pStyle w:val="Normlny0"/>
              <w:rPr>
                <w:sz w:val="24"/>
                <w:szCs w:val="24"/>
              </w:rPr>
            </w:pPr>
            <w:r w:rsidRPr="00A1700E">
              <w:rPr>
                <w:sz w:val="24"/>
                <w:szCs w:val="24"/>
              </w:rPr>
              <w:t>Tento zákon upravuje</w:t>
            </w:r>
          </w:p>
          <w:p w:rsidR="00E030B3" w:rsidRPr="00A1700E" w:rsidRDefault="00DA5E66" w:rsidP="00CB7058">
            <w:pPr>
              <w:pStyle w:val="Normlny0"/>
              <w:jc w:val="both"/>
              <w:rPr>
                <w:sz w:val="24"/>
                <w:szCs w:val="24"/>
              </w:rPr>
            </w:pPr>
            <w:r w:rsidRPr="00A1700E">
              <w:rPr>
                <w:sz w:val="24"/>
                <w:szCs w:val="24"/>
              </w:rPr>
              <w:t>a) daň z príjmov fyzickej osoby alebo právnickej osoby (ďalej len "daň"),</w:t>
            </w:r>
          </w:p>
          <w:p w:rsidR="00E030B3" w:rsidRPr="00A1700E" w:rsidRDefault="00E030B3" w:rsidP="002E1D16">
            <w:pPr>
              <w:pStyle w:val="Normlny0"/>
              <w:rPr>
                <w:sz w:val="24"/>
                <w:szCs w:val="24"/>
              </w:rPr>
            </w:pPr>
          </w:p>
          <w:p w:rsidR="00A9063F" w:rsidRPr="00A1700E" w:rsidRDefault="00A9063F" w:rsidP="002E1D16">
            <w:pPr>
              <w:pStyle w:val="Normlny0"/>
              <w:rPr>
                <w:sz w:val="24"/>
                <w:szCs w:val="24"/>
              </w:rPr>
            </w:pPr>
          </w:p>
          <w:p w:rsidR="009C0500" w:rsidRPr="00A1700E" w:rsidRDefault="009C0500" w:rsidP="002E1D16">
            <w:pPr>
              <w:pStyle w:val="Normlny0"/>
              <w:rPr>
                <w:sz w:val="24"/>
                <w:szCs w:val="24"/>
              </w:rPr>
            </w:pPr>
          </w:p>
          <w:p w:rsidR="009C0500" w:rsidRPr="00A1700E" w:rsidRDefault="009C0500" w:rsidP="002E1D16">
            <w:pPr>
              <w:pStyle w:val="Normlny0"/>
              <w:rPr>
                <w:sz w:val="24"/>
                <w:szCs w:val="24"/>
              </w:rPr>
            </w:pPr>
          </w:p>
          <w:p w:rsidR="00B02D1A" w:rsidRDefault="00B02D1A" w:rsidP="00B02D1A">
            <w:pPr>
              <w:jc w:val="both"/>
            </w:pPr>
          </w:p>
          <w:p w:rsidR="00B02D1A" w:rsidRPr="00B02D1A" w:rsidRDefault="00B02D1A" w:rsidP="00B02D1A">
            <w:pPr>
              <w:jc w:val="both"/>
              <w:rPr>
                <w:b/>
              </w:rPr>
            </w:pPr>
            <w:r w:rsidRPr="00B02D1A">
              <w:rPr>
                <w:b/>
              </w:rPr>
              <w:lastRenderedPageBreak/>
              <w:t>Pravidlá pre reverzný hybridný subjekt</w:t>
            </w:r>
          </w:p>
          <w:p w:rsidR="00B02D1A" w:rsidRPr="00B02D1A" w:rsidRDefault="00B02D1A" w:rsidP="00B02D1A">
            <w:pPr>
              <w:jc w:val="both"/>
              <w:rPr>
                <w:b/>
              </w:rPr>
            </w:pPr>
            <w:r w:rsidRPr="00B02D1A">
              <w:rPr>
                <w:b/>
              </w:rPr>
              <w:t>(1)</w:t>
            </w:r>
            <w:r w:rsidRPr="00B02D1A">
              <w:rPr>
                <w:b/>
              </w:rPr>
              <w:tab/>
              <w:t>Súčasťou základu dane reverzného hybridného subjektu sú príjmy (výnosy) dosahované týmto subjektom v časti, v akej nie sú zdaňované na úrovni spoločníka verejnej obchodnej spoločnosti, komplementára komanditnej spoločnosti, príjemcu príjmu (výnosu) plynúceho od subjektu s právnou subjektivitou alebo príjemcu príjmu (výnosu) plynúceho od subjektu bez právnej subjektivity podľa tohto zákona alebo podľa daňových predpisov platných v zahraničí. Pri zisťovaní základu dane alebo daňovej straty reverzného hybridného subjektu sa postupuje podľa § 17 až 29. Toto ustanovenie sa nepoužije, ak reverzným hybridným subjektom je subjekt kolektívneho investovania podľa osobitného predpisu,</w:t>
            </w:r>
            <w:r w:rsidRPr="00B02D1A">
              <w:rPr>
                <w:b/>
                <w:vertAlign w:val="superscript"/>
              </w:rPr>
              <w:t>80ce</w:t>
            </w:r>
            <w:r w:rsidRPr="00B02D1A">
              <w:rPr>
                <w:b/>
              </w:rPr>
              <w:t>) ktorý má široký okruh podielnikov, diverzifikované portfólio cenných papierov a podlieha regulácii v oblasti ochrany investora v Slovenskej republike.</w:t>
            </w:r>
          </w:p>
          <w:p w:rsidR="00B02D1A" w:rsidRPr="00B02D1A" w:rsidRDefault="00B02D1A" w:rsidP="00B02D1A">
            <w:pPr>
              <w:pStyle w:val="Odsekzoznamu"/>
              <w:ind w:left="41"/>
              <w:jc w:val="both"/>
              <w:rPr>
                <w:b/>
              </w:rPr>
            </w:pPr>
            <w:r w:rsidRPr="00B02D1A">
              <w:rPr>
                <w:b/>
              </w:rPr>
              <w:t>(2)</w:t>
            </w:r>
            <w:r w:rsidRPr="00B02D1A">
              <w:rPr>
                <w:b/>
              </w:rPr>
              <w:tab/>
              <w:t xml:space="preserve">Transparentným subjektom sa rozumie verejná obchodná spoločnosť alebo komanditná spoločnosť so sídlom na území Slovenskej republiky, subjekt s právnou subjektivitou a subjekt bez právnej subjektivity, založené alebo zriadené na území Slovenskej republiky, ktorých príjmy (výnosy) sú zdaňované až na úrovni spoločníkov, komplementárov alebo príjemcov príjmu (výnosu) plynúceho od subjektu s právnou subjektivitou alebo príjemcov príjmu (výnosu) plynúceho od subjektu bez právnej subjektivity; ak ide </w:t>
            </w:r>
            <w:r w:rsidRPr="00B02D1A">
              <w:rPr>
                <w:b/>
              </w:rPr>
              <w:lastRenderedPageBreak/>
              <w:t>komanditnú spoločnosť, subjekt s právnou subjektivitou a subjekt bez právnej subjektivity, ktorých príjmy (výnosy) sú na úrovni komplementárov alebo príjemcov príjmu plynúceho od subjektu s právnou subjektivitou alebo príjemcov príjmu (výnosu) plynúceho od subjektu bez právnej subjektivity zdaňované iba z časti, považujú sa za transparentný subjekt iba v rozsahu tých príjmov (výnosov), ktoré sú zdaňované na úrovni komplementára, príjemcu príjmu (výnosu) plynúceho od subjektu s právnou subjektivitou alebo príjemcu príjmu (výnosu) plynúceho od subjektu bez právnej subjektivity.</w:t>
            </w:r>
          </w:p>
          <w:p w:rsidR="00B02D1A" w:rsidRPr="00B02D1A" w:rsidRDefault="00B02D1A" w:rsidP="00B02D1A">
            <w:pPr>
              <w:pStyle w:val="Odsekzoznamu"/>
              <w:ind w:left="41"/>
              <w:jc w:val="both"/>
              <w:rPr>
                <w:b/>
              </w:rPr>
            </w:pPr>
            <w:r w:rsidRPr="00B02D1A">
              <w:rPr>
                <w:b/>
              </w:rPr>
              <w:t>(3)</w:t>
            </w:r>
            <w:r w:rsidRPr="00B02D1A">
              <w:rPr>
                <w:b/>
              </w:rPr>
              <w:tab/>
              <w:t>Reverzným hybridným subjektom sa rozumie transparentný subjekt v tej časti príjmov (výnosov) pripadajúcich na spoločníka verejnej obchodnej spoločnosti, komplementára komanditnej spoločnosti, príjemcu príjmu (výnosu) plynúceho od subjektu s právnou subjektivitou alebo príjemcu príjmu (výnosu) plynúceho od subjektu bez právnej subjektivity, v akej sa zahrňujú do základu dane podľa odseku 1 a</w:t>
            </w:r>
            <w:r w:rsidR="00C616D1">
              <w:rPr>
                <w:b/>
              </w:rPr>
              <w:t xml:space="preserve"> tento </w:t>
            </w:r>
            <w:r w:rsidRPr="00B02D1A">
              <w:rPr>
                <w:b/>
              </w:rPr>
              <w:t>spoločník verejnej obchodnej spoločnosti, komplementár komanditnej spoločnosti, príjemca príjmu (výnosu) plynúceho od subjektu s právnou subjektivitou alebo príjemca príjmu (výnosu) plynúceho od subjektu bez právnej subjektivity</w:t>
            </w:r>
          </w:p>
          <w:p w:rsidR="00B02D1A" w:rsidRPr="00B02D1A" w:rsidRDefault="00B02D1A" w:rsidP="00B02D1A">
            <w:pPr>
              <w:pStyle w:val="Odsekzoznamu"/>
              <w:ind w:left="41"/>
              <w:jc w:val="both"/>
              <w:rPr>
                <w:b/>
              </w:rPr>
            </w:pPr>
            <w:r w:rsidRPr="00B02D1A">
              <w:rPr>
                <w:b/>
              </w:rPr>
              <w:t>a)</w:t>
            </w:r>
            <w:r w:rsidRPr="00B02D1A">
              <w:rPr>
                <w:b/>
              </w:rPr>
              <w:tab/>
              <w:t>je daňovníkom s obmedzenou daňovou povinnosťou,</w:t>
            </w:r>
          </w:p>
          <w:p w:rsidR="00B02D1A" w:rsidRPr="00B02D1A" w:rsidRDefault="00B02D1A" w:rsidP="00B02D1A">
            <w:pPr>
              <w:pStyle w:val="Odsekzoznamu"/>
              <w:ind w:left="41"/>
              <w:jc w:val="both"/>
              <w:rPr>
                <w:b/>
              </w:rPr>
            </w:pPr>
            <w:r w:rsidRPr="00B02D1A">
              <w:rPr>
                <w:b/>
              </w:rPr>
              <w:t>b)</w:t>
            </w:r>
            <w:r w:rsidRPr="00B02D1A">
              <w:rPr>
                <w:b/>
              </w:rPr>
              <w:tab/>
              <w:t xml:space="preserve">sám alebo spolu so závislými osobami podľa § 2 písm. n) až r), ktoré sú daňovníkmi </w:t>
            </w:r>
            <w:r w:rsidRPr="00B02D1A">
              <w:rPr>
                <w:b/>
              </w:rPr>
              <w:lastRenderedPageBreak/>
              <w:t>s obmedzenou daňovou povinnosťou, má priamy podiel alebo nepriamy podiel na základnom imaní tohto subjektu najmenej 50 % alebo má priamy podiel alebo nepriamy podiel na hlasovacích právach tohto subjektu najmenej 50 %, alebo má nárok na podiel na zisku tohto subjektu najmenej 50 % a</w:t>
            </w:r>
          </w:p>
          <w:p w:rsidR="009C0500" w:rsidRPr="00FA233A" w:rsidRDefault="00421526" w:rsidP="00826F8A">
            <w:pPr>
              <w:pStyle w:val="Odsekzoznamu"/>
              <w:ind w:left="41"/>
              <w:jc w:val="both"/>
            </w:pPr>
            <w:r>
              <w:rPr>
                <w:b/>
              </w:rPr>
              <w:t xml:space="preserve">c) </w:t>
            </w:r>
            <w:r w:rsidRPr="00421526">
              <w:rPr>
                <w:b/>
              </w:rPr>
              <w:t>považuje podľa daňových predpisov štátu, v ktorom je daňovníkom s neobmedzenou daňovou povinnosťou, tento transparentný subjekt za daňovníka, ktorý je na území Slovenskej republiky zdaňovaný na úrovni spoločnosti obdobne ako obchodná spoločnosť alebo družstvo</w:t>
            </w:r>
            <w:r w:rsidR="00826F8A">
              <w:rPr>
                <w:b/>
              </w:rPr>
              <w:t>.</w:t>
            </w:r>
            <w:r w:rsidR="00826F8A" w:rsidRPr="00826F8A">
              <w:rPr>
                <w:b/>
                <w:vertAlign w:val="superscript"/>
              </w:rPr>
              <w:t>80cf</w:t>
            </w:r>
            <w:r w:rsidR="00826F8A">
              <w:rPr>
                <w:b/>
              </w:rPr>
              <w:t>)</w:t>
            </w:r>
            <w:r w:rsidRPr="00421526">
              <w:rPr>
                <w:b/>
              </w:rPr>
              <w:t xml:space="preserve"> </w:t>
            </w:r>
          </w:p>
        </w:tc>
        <w:tc>
          <w:tcPr>
            <w:tcW w:w="709" w:type="dxa"/>
            <w:tcBorders>
              <w:top w:val="single" w:sz="4" w:space="0" w:color="auto"/>
              <w:left w:val="single" w:sz="4" w:space="0" w:color="auto"/>
              <w:bottom w:val="single" w:sz="4" w:space="0" w:color="auto"/>
              <w:right w:val="single" w:sz="4" w:space="0" w:color="auto"/>
            </w:tcBorders>
          </w:tcPr>
          <w:p w:rsidR="002A132E" w:rsidRPr="00A1700E" w:rsidRDefault="002A132E">
            <w:pPr>
              <w:jc w:val="center"/>
            </w:pPr>
          </w:p>
          <w:p w:rsidR="002A132E" w:rsidRDefault="002A132E">
            <w:pPr>
              <w:jc w:val="center"/>
            </w:pPr>
          </w:p>
          <w:p w:rsidR="00CC0CA2" w:rsidRDefault="00CC0CA2">
            <w:pPr>
              <w:jc w:val="center"/>
            </w:pPr>
          </w:p>
          <w:p w:rsidR="00F951D0" w:rsidRDefault="00F951D0">
            <w:pPr>
              <w:jc w:val="center"/>
            </w:pPr>
          </w:p>
          <w:p w:rsidR="00F951D0" w:rsidRPr="00A1700E" w:rsidRDefault="00F951D0">
            <w:pPr>
              <w:jc w:val="center"/>
            </w:pPr>
          </w:p>
          <w:p w:rsidR="002A132E" w:rsidRPr="00A1700E" w:rsidRDefault="002A132E">
            <w:pPr>
              <w:jc w:val="center"/>
            </w:pPr>
          </w:p>
          <w:p w:rsidR="00A9063F" w:rsidRPr="00A1700E" w:rsidRDefault="0078287E">
            <w:pPr>
              <w:jc w:val="center"/>
            </w:pPr>
            <w:r w:rsidRPr="00A1700E">
              <w:t>Ú</w:t>
            </w:r>
          </w:p>
        </w:tc>
        <w:tc>
          <w:tcPr>
            <w:tcW w:w="1059" w:type="dxa"/>
            <w:tcBorders>
              <w:top w:val="single" w:sz="4" w:space="0" w:color="auto"/>
              <w:left w:val="single" w:sz="4" w:space="0" w:color="auto"/>
              <w:bottom w:val="single" w:sz="4" w:space="0" w:color="auto"/>
              <w:right w:val="single" w:sz="12" w:space="0" w:color="auto"/>
            </w:tcBorders>
          </w:tcPr>
          <w:p w:rsidR="00A9063F" w:rsidRPr="00A1700E" w:rsidRDefault="00A9063F">
            <w:pPr>
              <w:pStyle w:val="Nadpis1"/>
              <w:rPr>
                <w:b w:val="0"/>
                <w:bCs w:val="0"/>
              </w:rPr>
            </w:pPr>
          </w:p>
        </w:tc>
      </w:tr>
      <w:tr w:rsidR="00656B18" w:rsidRPr="00A1700E" w:rsidTr="00C21CEF">
        <w:tc>
          <w:tcPr>
            <w:tcW w:w="540" w:type="dxa"/>
            <w:tcBorders>
              <w:top w:val="single" w:sz="4" w:space="0" w:color="auto"/>
              <w:left w:val="single" w:sz="12" w:space="0" w:color="auto"/>
              <w:bottom w:val="single" w:sz="4" w:space="0" w:color="auto"/>
              <w:right w:val="single" w:sz="4" w:space="0" w:color="auto"/>
            </w:tcBorders>
          </w:tcPr>
          <w:p w:rsidR="00656B18" w:rsidRPr="00A1700E" w:rsidRDefault="004B20BD" w:rsidP="00A47BED">
            <w:pPr>
              <w:jc w:val="center"/>
            </w:pPr>
            <w:r w:rsidRPr="00FA233A">
              <w:lastRenderedPageBreak/>
              <w:t>Čl.1 ods. 2</w:t>
            </w:r>
            <w:r w:rsidR="00450B7C" w:rsidRPr="00FA233A">
              <w:t xml:space="preserve"> pís. a)</w:t>
            </w:r>
          </w:p>
        </w:tc>
        <w:tc>
          <w:tcPr>
            <w:tcW w:w="6946" w:type="dxa"/>
            <w:gridSpan w:val="2"/>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288"/>
              <w:gridCol w:w="6572"/>
            </w:tblGrid>
            <w:tr w:rsidR="004B20BD" w:rsidRPr="004B20BD" w:rsidTr="004B20BD">
              <w:tc>
                <w:tcPr>
                  <w:tcW w:w="375" w:type="dxa"/>
                  <w:shd w:val="clear" w:color="auto" w:fill="FFFFFF"/>
                  <w:hideMark/>
                </w:tcPr>
                <w:p w:rsidR="004B20BD" w:rsidRPr="00FA233A" w:rsidRDefault="004B20BD" w:rsidP="004B20BD">
                  <w:pPr>
                    <w:autoSpaceDE/>
                    <w:autoSpaceDN/>
                    <w:spacing w:before="120" w:line="312" w:lineRule="atLeast"/>
                    <w:jc w:val="both"/>
                    <w:rPr>
                      <w:color w:val="444444"/>
                      <w:sz w:val="27"/>
                      <w:szCs w:val="27"/>
                    </w:rPr>
                  </w:pPr>
                  <w:r w:rsidRPr="00FA233A">
                    <w:rPr>
                      <w:color w:val="444444"/>
                      <w:sz w:val="27"/>
                      <w:szCs w:val="27"/>
                    </w:rPr>
                    <w:t>2.</w:t>
                  </w:r>
                </w:p>
              </w:tc>
              <w:tc>
                <w:tcPr>
                  <w:tcW w:w="8697" w:type="dxa"/>
                  <w:shd w:val="clear" w:color="auto" w:fill="FFFFFF"/>
                  <w:hideMark/>
                </w:tcPr>
                <w:p w:rsidR="004B20BD" w:rsidRPr="00FA233A" w:rsidRDefault="004B20BD" w:rsidP="004B20BD">
                  <w:pPr>
                    <w:autoSpaceDE/>
                    <w:autoSpaceDN/>
                    <w:spacing w:before="120" w:line="312" w:lineRule="atLeast"/>
                    <w:jc w:val="both"/>
                  </w:pPr>
                  <w:r w:rsidRPr="00FA233A">
                    <w:t>Článok 2 sa mení takto:</w:t>
                  </w:r>
                </w:p>
                <w:tbl>
                  <w:tblPr>
                    <w:tblW w:w="5000" w:type="pct"/>
                    <w:tblLayout w:type="fixed"/>
                    <w:tblCellMar>
                      <w:left w:w="0" w:type="dxa"/>
                      <w:right w:w="0" w:type="dxa"/>
                    </w:tblCellMar>
                    <w:tblLook w:val="04A0" w:firstRow="1" w:lastRow="0" w:firstColumn="1" w:lastColumn="0" w:noHBand="0" w:noVBand="1"/>
                  </w:tblPr>
                  <w:tblGrid>
                    <w:gridCol w:w="265"/>
                    <w:gridCol w:w="6307"/>
                  </w:tblGrid>
                  <w:tr w:rsidR="004B20BD" w:rsidRPr="00FA233A">
                    <w:tc>
                      <w:tcPr>
                        <w:tcW w:w="345" w:type="dxa"/>
                        <w:shd w:val="clear" w:color="auto" w:fill="auto"/>
                        <w:hideMark/>
                      </w:tcPr>
                      <w:p w:rsidR="004B20BD" w:rsidRPr="00FA233A" w:rsidRDefault="004B20BD" w:rsidP="004B20BD">
                        <w:pPr>
                          <w:autoSpaceDE/>
                          <w:autoSpaceDN/>
                          <w:spacing w:before="120" w:line="312" w:lineRule="atLeast"/>
                          <w:jc w:val="both"/>
                        </w:pPr>
                        <w:r w:rsidRPr="00FA233A">
                          <w:t>a)</w:t>
                        </w:r>
                      </w:p>
                    </w:tc>
                    <w:tc>
                      <w:tcPr>
                        <w:tcW w:w="8352" w:type="dxa"/>
                        <w:shd w:val="clear" w:color="auto" w:fill="auto"/>
                        <w:hideMark/>
                      </w:tcPr>
                      <w:p w:rsidR="004B20BD" w:rsidRPr="00FA233A" w:rsidRDefault="004B20BD" w:rsidP="004B20BD">
                        <w:pPr>
                          <w:autoSpaceDE/>
                          <w:autoSpaceDN/>
                          <w:spacing w:before="120" w:line="312" w:lineRule="atLeast"/>
                          <w:jc w:val="both"/>
                        </w:pPr>
                        <w:r w:rsidRPr="00FA233A">
                          <w:t>v bode 4 sa posledný pododsek nahrádza takto:</w:t>
                        </w:r>
                      </w:p>
                    </w:tc>
                  </w:tr>
                </w:tbl>
                <w:p w:rsidR="004B20BD" w:rsidRPr="00FA233A" w:rsidRDefault="004B20BD" w:rsidP="004B20BD">
                  <w:pPr>
                    <w:autoSpaceDE/>
                    <w:autoSpaceDN/>
                    <w:rPr>
                      <w:color w:val="444444"/>
                      <w:sz w:val="27"/>
                      <w:szCs w:val="27"/>
                    </w:rPr>
                  </w:pPr>
                </w:p>
              </w:tc>
            </w:tr>
          </w:tbl>
          <w:p w:rsidR="00450B7C" w:rsidRDefault="00450B7C" w:rsidP="00063566">
            <w:pPr>
              <w:pStyle w:val="Default"/>
              <w:jc w:val="both"/>
              <w:rPr>
                <w:rFonts w:ascii="Times New Roman" w:hAnsi="Times New Roman" w:cs="Times New Roman"/>
              </w:rPr>
            </w:pPr>
          </w:p>
          <w:p w:rsidR="00557D76" w:rsidRPr="00A1700E" w:rsidRDefault="0017639F" w:rsidP="00063566">
            <w:pPr>
              <w:pStyle w:val="Default"/>
              <w:jc w:val="both"/>
              <w:rPr>
                <w:rFonts w:ascii="Times New Roman" w:hAnsi="Times New Roman" w:cs="Times New Roman"/>
              </w:rPr>
            </w:pPr>
            <w:r>
              <w:rPr>
                <w:rFonts w:ascii="Times New Roman" w:hAnsi="Times New Roman" w:cs="Times New Roman"/>
              </w:rPr>
              <w:t>„</w:t>
            </w:r>
            <w:r w:rsidR="00557D76" w:rsidRPr="00A1700E">
              <w:rPr>
                <w:rFonts w:ascii="Times New Roman" w:hAnsi="Times New Roman" w:cs="Times New Roman"/>
              </w:rPr>
              <w:t>Na účely článkov 9 a 9a:</w:t>
            </w:r>
          </w:p>
          <w:p w:rsidR="00557D76" w:rsidRPr="00A1700E" w:rsidRDefault="00557D76" w:rsidP="00063566">
            <w:pPr>
              <w:pStyle w:val="Default"/>
              <w:jc w:val="both"/>
              <w:rPr>
                <w:rFonts w:ascii="Times New Roman" w:hAnsi="Times New Roman" w:cs="Times New Roman"/>
              </w:rPr>
            </w:pPr>
            <w:r w:rsidRPr="00A1700E">
              <w:rPr>
                <w:rFonts w:ascii="Times New Roman" w:hAnsi="Times New Roman" w:cs="Times New Roman"/>
              </w:rPr>
              <w:t>a) Ak výsledný nesúlad vyplýva z tohto článku prvého pododseku bodu 9 písm. b), c), d), e) alebo g) alebo ak je potrebná úprava podľa článku 9 ods. 3 alebo článku 9a, vymedzenie prepojeného podniku sa upraví tak, že požiadavka 25 % sa nahrádza</w:t>
            </w:r>
            <w:r w:rsidR="00450B7C">
              <w:rPr>
                <w:rFonts w:ascii="Times New Roman" w:hAnsi="Times New Roman" w:cs="Times New Roman"/>
              </w:rPr>
              <w:t xml:space="preserve"> </w:t>
            </w:r>
            <w:r w:rsidRPr="00A1700E">
              <w:rPr>
                <w:rFonts w:ascii="Times New Roman" w:hAnsi="Times New Roman" w:cs="Times New Roman"/>
              </w:rPr>
              <w:t>požiadavkou 50 %;</w:t>
            </w:r>
          </w:p>
          <w:p w:rsidR="00E16713" w:rsidRPr="00A1700E" w:rsidRDefault="00E16713" w:rsidP="00063566">
            <w:pPr>
              <w:pStyle w:val="Default"/>
              <w:jc w:val="both"/>
              <w:rPr>
                <w:rFonts w:ascii="Times New Roman" w:hAnsi="Times New Roman" w:cs="Times New Roman"/>
              </w:rPr>
            </w:pPr>
          </w:p>
          <w:p w:rsidR="00E16713" w:rsidRPr="00A1700E" w:rsidRDefault="00E16713" w:rsidP="00063566">
            <w:pPr>
              <w:pStyle w:val="Default"/>
              <w:jc w:val="both"/>
              <w:rPr>
                <w:rFonts w:ascii="Times New Roman" w:hAnsi="Times New Roman" w:cs="Times New Roman"/>
              </w:rPr>
            </w:pPr>
          </w:p>
          <w:p w:rsidR="00E16713" w:rsidRPr="00A1700E" w:rsidRDefault="00E16713" w:rsidP="00557D76">
            <w:pPr>
              <w:pStyle w:val="Default"/>
              <w:rPr>
                <w:rFonts w:ascii="Times New Roman" w:hAnsi="Times New Roman" w:cs="Times New Roman"/>
              </w:rPr>
            </w:pPr>
          </w:p>
          <w:p w:rsidR="00E16713" w:rsidRPr="00A1700E" w:rsidRDefault="00E16713" w:rsidP="00557D76">
            <w:pPr>
              <w:pStyle w:val="Default"/>
              <w:rPr>
                <w:rFonts w:ascii="Times New Roman" w:hAnsi="Times New Roman" w:cs="Times New Roman"/>
              </w:rPr>
            </w:pPr>
          </w:p>
          <w:p w:rsidR="00E16713" w:rsidRPr="00A1700E" w:rsidRDefault="00E16713" w:rsidP="00557D76">
            <w:pPr>
              <w:pStyle w:val="Default"/>
              <w:rPr>
                <w:rFonts w:ascii="Times New Roman" w:hAnsi="Times New Roman" w:cs="Times New Roman"/>
              </w:rPr>
            </w:pPr>
          </w:p>
          <w:p w:rsidR="00E16713" w:rsidRPr="00A1700E" w:rsidRDefault="00E16713" w:rsidP="00557D76">
            <w:pPr>
              <w:pStyle w:val="Default"/>
              <w:rPr>
                <w:rFonts w:ascii="Times New Roman" w:hAnsi="Times New Roman" w:cs="Times New Roman"/>
              </w:rPr>
            </w:pPr>
          </w:p>
          <w:p w:rsidR="00E16713" w:rsidRPr="00A1700E" w:rsidRDefault="00E16713" w:rsidP="00557D76">
            <w:pPr>
              <w:pStyle w:val="Default"/>
              <w:rPr>
                <w:rFonts w:ascii="Times New Roman" w:hAnsi="Times New Roman" w:cs="Times New Roman"/>
              </w:rPr>
            </w:pPr>
          </w:p>
          <w:p w:rsidR="00E16713" w:rsidRPr="00A1700E" w:rsidRDefault="00E16713" w:rsidP="00557D76">
            <w:pPr>
              <w:pStyle w:val="Default"/>
              <w:rPr>
                <w:rFonts w:ascii="Times New Roman" w:hAnsi="Times New Roman" w:cs="Times New Roman"/>
              </w:rPr>
            </w:pPr>
          </w:p>
          <w:p w:rsidR="00BD038E" w:rsidRPr="00A1700E" w:rsidRDefault="00BD038E" w:rsidP="00557D76">
            <w:pPr>
              <w:pStyle w:val="Default"/>
              <w:rPr>
                <w:rFonts w:ascii="Times New Roman" w:hAnsi="Times New Roman" w:cs="Times New Roman"/>
              </w:rPr>
            </w:pPr>
          </w:p>
          <w:p w:rsidR="007513FF" w:rsidRPr="00A1700E" w:rsidRDefault="007513FF" w:rsidP="00557D76">
            <w:pPr>
              <w:pStyle w:val="Default"/>
              <w:rPr>
                <w:rFonts w:ascii="Times New Roman" w:hAnsi="Times New Roman" w:cs="Times New Roman"/>
              </w:rPr>
            </w:pPr>
          </w:p>
          <w:p w:rsidR="007513FF" w:rsidRPr="00A1700E" w:rsidRDefault="007513FF"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9C0500" w:rsidRPr="00A1700E" w:rsidRDefault="009C0500" w:rsidP="00557D76">
            <w:pPr>
              <w:pStyle w:val="Default"/>
              <w:rPr>
                <w:rFonts w:ascii="Times New Roman" w:hAnsi="Times New Roman" w:cs="Times New Roman"/>
              </w:rPr>
            </w:pPr>
          </w:p>
          <w:p w:rsidR="00585BCC" w:rsidRPr="00A1700E" w:rsidRDefault="00585BCC" w:rsidP="00557D76">
            <w:pPr>
              <w:pStyle w:val="Default"/>
              <w:rPr>
                <w:rFonts w:ascii="Times New Roman" w:hAnsi="Times New Roman" w:cs="Times New Roman"/>
              </w:rPr>
            </w:pPr>
          </w:p>
          <w:p w:rsidR="00610AFA" w:rsidRPr="00A1700E" w:rsidRDefault="00610AFA" w:rsidP="00557D76">
            <w:pPr>
              <w:pStyle w:val="Default"/>
              <w:rPr>
                <w:rFonts w:ascii="Times New Roman" w:hAnsi="Times New Roman" w:cs="Times New Roman"/>
              </w:rPr>
            </w:pPr>
          </w:p>
          <w:p w:rsidR="00610AFA" w:rsidRPr="00A1700E" w:rsidRDefault="00610AFA" w:rsidP="00557D76">
            <w:pPr>
              <w:pStyle w:val="Default"/>
              <w:rPr>
                <w:rFonts w:ascii="Times New Roman" w:hAnsi="Times New Roman" w:cs="Times New Roman"/>
              </w:rPr>
            </w:pPr>
          </w:p>
          <w:p w:rsidR="00610AFA" w:rsidRDefault="00610AFA" w:rsidP="00557D76">
            <w:pPr>
              <w:pStyle w:val="Default"/>
              <w:rPr>
                <w:rFonts w:ascii="Times New Roman" w:hAnsi="Times New Roman" w:cs="Times New Roman"/>
              </w:rPr>
            </w:pPr>
          </w:p>
          <w:p w:rsidR="00A1700E" w:rsidRDefault="00A1700E" w:rsidP="00557D76">
            <w:pPr>
              <w:pStyle w:val="Default"/>
              <w:rPr>
                <w:rFonts w:ascii="Times New Roman" w:hAnsi="Times New Roman" w:cs="Times New Roman"/>
              </w:rPr>
            </w:pPr>
          </w:p>
          <w:p w:rsidR="00A1700E" w:rsidRDefault="00A1700E" w:rsidP="00557D76">
            <w:pPr>
              <w:pStyle w:val="Default"/>
              <w:rPr>
                <w:rFonts w:ascii="Times New Roman" w:hAnsi="Times New Roman" w:cs="Times New Roman"/>
              </w:rPr>
            </w:pPr>
          </w:p>
          <w:p w:rsidR="00A1700E" w:rsidRDefault="00A1700E" w:rsidP="00557D76">
            <w:pPr>
              <w:pStyle w:val="Default"/>
              <w:rPr>
                <w:rFonts w:ascii="Times New Roman" w:hAnsi="Times New Roman" w:cs="Times New Roman"/>
              </w:rPr>
            </w:pPr>
          </w:p>
          <w:p w:rsidR="00A1700E" w:rsidRDefault="00A1700E" w:rsidP="00557D76">
            <w:pPr>
              <w:pStyle w:val="Default"/>
              <w:rPr>
                <w:rFonts w:ascii="Times New Roman" w:hAnsi="Times New Roman" w:cs="Times New Roman"/>
              </w:rPr>
            </w:pPr>
          </w:p>
          <w:p w:rsidR="00FA233A" w:rsidRDefault="00FA233A" w:rsidP="00557D76">
            <w:pPr>
              <w:pStyle w:val="Default"/>
              <w:rPr>
                <w:rFonts w:ascii="Times New Roman" w:hAnsi="Times New Roman" w:cs="Times New Roman"/>
              </w:rPr>
            </w:pPr>
          </w:p>
          <w:p w:rsidR="00A1700E" w:rsidRDefault="00A1700E" w:rsidP="00557D76">
            <w:pPr>
              <w:pStyle w:val="Default"/>
              <w:rPr>
                <w:rFonts w:ascii="Times New Roman" w:hAnsi="Times New Roman" w:cs="Times New Roman"/>
              </w:rPr>
            </w:pPr>
          </w:p>
          <w:p w:rsidR="00FA233A" w:rsidRDefault="00FA233A" w:rsidP="00557D76">
            <w:pPr>
              <w:pStyle w:val="Default"/>
              <w:rPr>
                <w:rFonts w:ascii="Times New Roman" w:hAnsi="Times New Roman" w:cs="Times New Roman"/>
              </w:rPr>
            </w:pPr>
          </w:p>
          <w:p w:rsidR="00FA233A" w:rsidRDefault="00FA233A" w:rsidP="00557D76">
            <w:pPr>
              <w:pStyle w:val="Default"/>
              <w:rPr>
                <w:rFonts w:ascii="Times New Roman" w:hAnsi="Times New Roman" w:cs="Times New Roman"/>
              </w:rPr>
            </w:pPr>
          </w:p>
          <w:p w:rsidR="00FA233A" w:rsidRDefault="00FA233A" w:rsidP="00557D76">
            <w:pPr>
              <w:pStyle w:val="Default"/>
              <w:rPr>
                <w:rFonts w:ascii="Times New Roman" w:hAnsi="Times New Roman" w:cs="Times New Roman"/>
              </w:rPr>
            </w:pPr>
          </w:p>
          <w:p w:rsidR="00FA233A" w:rsidRDefault="00FA233A" w:rsidP="00557D76">
            <w:pPr>
              <w:pStyle w:val="Default"/>
              <w:rPr>
                <w:rFonts w:ascii="Times New Roman" w:hAnsi="Times New Roman" w:cs="Times New Roman"/>
              </w:rPr>
            </w:pPr>
          </w:p>
          <w:p w:rsidR="00FA233A" w:rsidRDefault="00FA233A" w:rsidP="00557D76">
            <w:pPr>
              <w:pStyle w:val="Default"/>
              <w:rPr>
                <w:rFonts w:ascii="Times New Roman" w:hAnsi="Times New Roman" w:cs="Times New Roman"/>
              </w:rPr>
            </w:pPr>
          </w:p>
          <w:p w:rsidR="00FA233A" w:rsidRDefault="00FA233A" w:rsidP="00557D76">
            <w:pPr>
              <w:pStyle w:val="Default"/>
              <w:rPr>
                <w:rFonts w:ascii="Times New Roman" w:hAnsi="Times New Roman" w:cs="Times New Roman"/>
              </w:rPr>
            </w:pPr>
          </w:p>
          <w:p w:rsidR="00FA233A" w:rsidRDefault="00FA233A" w:rsidP="00557D76">
            <w:pPr>
              <w:pStyle w:val="Default"/>
              <w:rPr>
                <w:rFonts w:ascii="Times New Roman" w:hAnsi="Times New Roman" w:cs="Times New Roman"/>
              </w:rPr>
            </w:pPr>
          </w:p>
          <w:p w:rsidR="00FA233A" w:rsidRDefault="00FA233A" w:rsidP="00557D76">
            <w:pPr>
              <w:pStyle w:val="Default"/>
              <w:rPr>
                <w:rFonts w:ascii="Times New Roman" w:hAnsi="Times New Roman" w:cs="Times New Roman"/>
              </w:rPr>
            </w:pPr>
          </w:p>
          <w:p w:rsidR="00A1700E" w:rsidRDefault="00A1700E" w:rsidP="00557D76">
            <w:pPr>
              <w:pStyle w:val="Default"/>
              <w:rPr>
                <w:rFonts w:ascii="Times New Roman" w:hAnsi="Times New Roman" w:cs="Times New Roman"/>
              </w:rPr>
            </w:pPr>
          </w:p>
          <w:p w:rsidR="00557D76" w:rsidRPr="00A1700E" w:rsidRDefault="00557D76" w:rsidP="00063566">
            <w:pPr>
              <w:pStyle w:val="Default"/>
              <w:jc w:val="both"/>
              <w:rPr>
                <w:rFonts w:ascii="Times New Roman" w:hAnsi="Times New Roman" w:cs="Times New Roman"/>
              </w:rPr>
            </w:pPr>
            <w:r w:rsidRPr="00A1700E">
              <w:rPr>
                <w:rFonts w:ascii="Times New Roman" w:hAnsi="Times New Roman" w:cs="Times New Roman"/>
              </w:rPr>
              <w:t>b) osoba, ktorá koná spoločne s inou osobou, poki</w:t>
            </w:r>
            <w:r w:rsidR="00BD038E" w:rsidRPr="00A1700E">
              <w:rPr>
                <w:rFonts w:ascii="Times New Roman" w:hAnsi="Times New Roman" w:cs="Times New Roman"/>
              </w:rPr>
              <w:t xml:space="preserve">aľ ide o hlasovacie práva alebo </w:t>
            </w:r>
            <w:r w:rsidRPr="00A1700E">
              <w:rPr>
                <w:rFonts w:ascii="Times New Roman" w:hAnsi="Times New Roman" w:cs="Times New Roman"/>
              </w:rPr>
              <w:t>vlastníctvo ka</w:t>
            </w:r>
            <w:r w:rsidR="00BD038E" w:rsidRPr="00A1700E">
              <w:rPr>
                <w:rFonts w:ascii="Times New Roman" w:hAnsi="Times New Roman" w:cs="Times New Roman"/>
              </w:rPr>
              <w:t xml:space="preserve">pitálu subjektu, sa považuje za </w:t>
            </w:r>
            <w:r w:rsidRPr="00A1700E">
              <w:rPr>
                <w:rFonts w:ascii="Times New Roman" w:hAnsi="Times New Roman" w:cs="Times New Roman"/>
              </w:rPr>
              <w:t xml:space="preserve">osobu, ktorá má účasť na všetkých hlasovacích </w:t>
            </w:r>
            <w:r w:rsidR="00BD038E" w:rsidRPr="00A1700E">
              <w:rPr>
                <w:rFonts w:ascii="Times New Roman" w:hAnsi="Times New Roman" w:cs="Times New Roman"/>
              </w:rPr>
              <w:t xml:space="preserve">právach alebo </w:t>
            </w:r>
            <w:r w:rsidRPr="00A1700E">
              <w:rPr>
                <w:rFonts w:ascii="Times New Roman" w:hAnsi="Times New Roman" w:cs="Times New Roman"/>
              </w:rPr>
              <w:t>vlastníctve kapitálu daného subj</w:t>
            </w:r>
            <w:r w:rsidR="00BD038E" w:rsidRPr="00A1700E">
              <w:rPr>
                <w:rFonts w:ascii="Times New Roman" w:hAnsi="Times New Roman" w:cs="Times New Roman"/>
              </w:rPr>
              <w:t xml:space="preserve">ektu, ktoré má v držbe táto iná </w:t>
            </w:r>
            <w:r w:rsidRPr="00A1700E">
              <w:rPr>
                <w:rFonts w:ascii="Times New Roman" w:hAnsi="Times New Roman" w:cs="Times New Roman"/>
              </w:rPr>
              <w:t>osoba;</w:t>
            </w:r>
          </w:p>
          <w:p w:rsidR="00450B7C" w:rsidRDefault="00450B7C" w:rsidP="00063566">
            <w:pPr>
              <w:pStyle w:val="Default"/>
              <w:jc w:val="both"/>
              <w:rPr>
                <w:rFonts w:ascii="Times New Roman" w:hAnsi="Times New Roman" w:cs="Times New Roman"/>
              </w:rPr>
            </w:pPr>
          </w:p>
          <w:p w:rsidR="00DE30BB" w:rsidRPr="00A1700E" w:rsidRDefault="00557D76" w:rsidP="0088738F">
            <w:pPr>
              <w:pStyle w:val="Default"/>
              <w:jc w:val="both"/>
              <w:rPr>
                <w:rFonts w:ascii="Times New Roman" w:hAnsi="Times New Roman" w:cs="Times New Roman"/>
              </w:rPr>
            </w:pPr>
            <w:r w:rsidRPr="00A1700E">
              <w:rPr>
                <w:rFonts w:ascii="Times New Roman" w:hAnsi="Times New Roman" w:cs="Times New Roman"/>
              </w:rPr>
              <w:t>c) prepojený podnik je aj subjek</w:t>
            </w:r>
            <w:r w:rsidR="00BD038E" w:rsidRPr="00A1700E">
              <w:rPr>
                <w:rFonts w:ascii="Times New Roman" w:hAnsi="Times New Roman" w:cs="Times New Roman"/>
              </w:rPr>
              <w:t xml:space="preserve">t, ktorý je na účely finančného </w:t>
            </w:r>
            <w:r w:rsidRPr="00A1700E">
              <w:rPr>
                <w:rFonts w:ascii="Times New Roman" w:hAnsi="Times New Roman" w:cs="Times New Roman"/>
              </w:rPr>
              <w:t>účtovníctva súčasťou tej i</w:t>
            </w:r>
            <w:r w:rsidR="00BD038E" w:rsidRPr="00A1700E">
              <w:rPr>
                <w:rFonts w:ascii="Times New Roman" w:hAnsi="Times New Roman" w:cs="Times New Roman"/>
              </w:rPr>
              <w:t xml:space="preserve">stej konsolidovanej skupiny ako </w:t>
            </w:r>
            <w:r w:rsidRPr="00A1700E">
              <w:rPr>
                <w:rFonts w:ascii="Times New Roman" w:hAnsi="Times New Roman" w:cs="Times New Roman"/>
              </w:rPr>
              <w:t>daňovní</w:t>
            </w:r>
            <w:r w:rsidR="00BD038E" w:rsidRPr="00A1700E">
              <w:rPr>
                <w:rFonts w:ascii="Times New Roman" w:hAnsi="Times New Roman" w:cs="Times New Roman"/>
              </w:rPr>
              <w:t xml:space="preserve">k, podnik, v ktorom má daňovník významný vplyv na </w:t>
            </w:r>
            <w:r w:rsidRPr="00A1700E">
              <w:rPr>
                <w:rFonts w:ascii="Times New Roman" w:hAnsi="Times New Roman" w:cs="Times New Roman"/>
              </w:rPr>
              <w:t>riadenie, alebo podnik, ktorý má významný vplyv na riadenie</w:t>
            </w:r>
            <w:r w:rsidR="0088738F">
              <w:rPr>
                <w:rFonts w:ascii="Times New Roman" w:hAnsi="Times New Roman" w:cs="Times New Roman"/>
              </w:rPr>
              <w:t xml:space="preserve"> </w:t>
            </w:r>
            <w:r w:rsidRPr="00A1700E">
              <w:rPr>
                <w:rFonts w:ascii="Times New Roman" w:hAnsi="Times New Roman" w:cs="Times New Roman"/>
              </w:rPr>
              <w:t>daňovníka;</w:t>
            </w:r>
            <w:r w:rsidR="0017639F">
              <w:rPr>
                <w:rFonts w:ascii="Times New Roman" w:hAnsi="Times New Roman" w:cs="Times New Roman"/>
              </w:rPr>
              <w:t>“</w:t>
            </w:r>
          </w:p>
          <w:p w:rsidR="00DE30BB" w:rsidRPr="00A1700E" w:rsidRDefault="00DE30BB" w:rsidP="00B23EAB">
            <w:pPr>
              <w:pStyle w:val="Default"/>
              <w:rPr>
                <w:rFonts w:ascii="Times New Roman" w:hAnsi="Times New Roman" w:cs="Times New Roman"/>
              </w:rPr>
            </w:pPr>
          </w:p>
          <w:p w:rsidR="00DE30BB" w:rsidRPr="00A1700E" w:rsidRDefault="00DE30BB" w:rsidP="00B23EAB">
            <w:pPr>
              <w:pStyle w:val="Default"/>
              <w:rPr>
                <w:rFonts w:ascii="Times New Roman" w:hAnsi="Times New Roman" w:cs="Times New Roman"/>
              </w:rPr>
            </w:pPr>
          </w:p>
          <w:p w:rsidR="00DE30BB" w:rsidRPr="00A1700E" w:rsidRDefault="00DE30BB" w:rsidP="00B23EAB">
            <w:pPr>
              <w:pStyle w:val="Default"/>
              <w:rPr>
                <w:rFonts w:ascii="Times New Roman" w:hAnsi="Times New Roman" w:cs="Times New Roman"/>
              </w:rPr>
            </w:pPr>
          </w:p>
          <w:p w:rsidR="00DE30BB" w:rsidRPr="00A1700E" w:rsidRDefault="00DE30BB" w:rsidP="00B23EAB">
            <w:pPr>
              <w:pStyle w:val="Default"/>
              <w:rPr>
                <w:rFonts w:ascii="Times New Roman" w:hAnsi="Times New Roman" w:cs="Times New Roman"/>
              </w:rPr>
            </w:pPr>
          </w:p>
          <w:p w:rsidR="00DE30BB" w:rsidRPr="00A1700E" w:rsidRDefault="00DE30BB" w:rsidP="00B23EAB">
            <w:pPr>
              <w:pStyle w:val="Default"/>
              <w:rPr>
                <w:rFonts w:ascii="Times New Roman" w:hAnsi="Times New Roman" w:cs="Times New Roman"/>
              </w:rPr>
            </w:pPr>
          </w:p>
          <w:p w:rsidR="00DE30BB" w:rsidRPr="00A1700E" w:rsidRDefault="00DE30BB" w:rsidP="00B23EAB">
            <w:pPr>
              <w:pStyle w:val="Default"/>
              <w:rPr>
                <w:rFonts w:ascii="Times New Roman" w:hAnsi="Times New Roman" w:cs="Times New Roman"/>
              </w:rPr>
            </w:pPr>
          </w:p>
          <w:p w:rsidR="00DE30BB" w:rsidRPr="00A1700E" w:rsidRDefault="00DE30BB" w:rsidP="00B23EAB">
            <w:pPr>
              <w:pStyle w:val="Default"/>
              <w:rPr>
                <w:rFonts w:ascii="Times New Roman" w:hAnsi="Times New Roman" w:cs="Times New Roman"/>
              </w:rPr>
            </w:pPr>
          </w:p>
          <w:p w:rsidR="00DE30BB" w:rsidRPr="00A1700E" w:rsidRDefault="00DE30BB" w:rsidP="00B23EAB">
            <w:pPr>
              <w:pStyle w:val="Default"/>
              <w:rPr>
                <w:rFonts w:ascii="Times New Roman" w:hAnsi="Times New Roman" w:cs="Times New Roman"/>
              </w:rPr>
            </w:pPr>
          </w:p>
          <w:p w:rsidR="00892A74" w:rsidRPr="00A1700E" w:rsidRDefault="00892A74" w:rsidP="00D76889">
            <w:pPr>
              <w:pStyle w:val="Default"/>
              <w:rPr>
                <w:rFonts w:ascii="Times New Roman" w:hAnsi="Times New Roman" w:cs="Times New Roman"/>
              </w:rPr>
            </w:pPr>
          </w:p>
          <w:p w:rsidR="00CB7058" w:rsidRPr="00A1700E" w:rsidRDefault="00CB7058" w:rsidP="00D76889">
            <w:pPr>
              <w:pStyle w:val="Default"/>
              <w:rPr>
                <w:rFonts w:ascii="Times New Roman" w:hAnsi="Times New Roman" w:cs="Times New Roman"/>
              </w:rPr>
            </w:pPr>
          </w:p>
          <w:p w:rsidR="00CB7058" w:rsidRPr="00A1700E" w:rsidRDefault="00CB7058" w:rsidP="00D76889">
            <w:pPr>
              <w:pStyle w:val="Default"/>
              <w:rPr>
                <w:rFonts w:ascii="Times New Roman" w:hAnsi="Times New Roman" w:cs="Times New Roman"/>
              </w:rPr>
            </w:pPr>
          </w:p>
          <w:p w:rsidR="00DE30BB" w:rsidRPr="00A1700E" w:rsidRDefault="00DE30BB" w:rsidP="00D76889">
            <w:pPr>
              <w:pStyle w:val="Default"/>
              <w:rPr>
                <w:rFonts w:ascii="Times New Roman" w:hAnsi="Times New Roman" w:cs="Times New Roman"/>
              </w:rPr>
            </w:pPr>
          </w:p>
          <w:p w:rsidR="00DE30BB" w:rsidRPr="00A1700E" w:rsidRDefault="00DE30BB" w:rsidP="00D76889">
            <w:pPr>
              <w:pStyle w:val="Default"/>
              <w:rPr>
                <w:rFonts w:ascii="Times New Roman" w:hAnsi="Times New Roman" w:cs="Times New Roman"/>
              </w:rPr>
            </w:pPr>
          </w:p>
          <w:p w:rsidR="00DE30BB" w:rsidRPr="00A1700E" w:rsidRDefault="00DE30BB" w:rsidP="00D76889">
            <w:pPr>
              <w:pStyle w:val="Default"/>
              <w:rPr>
                <w:rFonts w:ascii="Times New Roman" w:hAnsi="Times New Roman" w:cs="Times New Roman"/>
              </w:rPr>
            </w:pPr>
          </w:p>
          <w:p w:rsidR="00DE30BB" w:rsidRPr="00A1700E" w:rsidRDefault="00DE30BB" w:rsidP="00D76889">
            <w:pPr>
              <w:pStyle w:val="Default"/>
              <w:rPr>
                <w:rFonts w:ascii="Times New Roman" w:hAnsi="Times New Roman" w:cs="Times New Roman"/>
              </w:rPr>
            </w:pPr>
          </w:p>
          <w:p w:rsidR="00DE30BB" w:rsidRPr="00A1700E" w:rsidRDefault="00DE30BB" w:rsidP="00D76889">
            <w:pPr>
              <w:pStyle w:val="Default"/>
              <w:rPr>
                <w:rFonts w:ascii="Times New Roman" w:hAnsi="Times New Roman" w:cs="Times New Roman"/>
              </w:rPr>
            </w:pPr>
          </w:p>
          <w:p w:rsidR="00DE30BB" w:rsidRPr="00A1700E" w:rsidRDefault="00DE30BB" w:rsidP="00D76889">
            <w:pPr>
              <w:pStyle w:val="Default"/>
              <w:rPr>
                <w:rFonts w:ascii="Times New Roman" w:hAnsi="Times New Roman" w:cs="Times New Roman"/>
              </w:rPr>
            </w:pPr>
          </w:p>
          <w:p w:rsidR="00DE30BB" w:rsidRPr="00A1700E" w:rsidRDefault="00DE30BB" w:rsidP="00D76889">
            <w:pPr>
              <w:pStyle w:val="Default"/>
              <w:rPr>
                <w:rFonts w:ascii="Times New Roman" w:hAnsi="Times New Roman" w:cs="Times New Roman"/>
              </w:rPr>
            </w:pPr>
          </w:p>
          <w:p w:rsidR="00DE30BB" w:rsidRPr="00A1700E" w:rsidRDefault="00DE30BB" w:rsidP="00D76889">
            <w:pPr>
              <w:pStyle w:val="Default"/>
              <w:rPr>
                <w:rFonts w:ascii="Times New Roman" w:hAnsi="Times New Roman" w:cs="Times New Roman"/>
              </w:rPr>
            </w:pPr>
          </w:p>
          <w:p w:rsidR="00DE30BB" w:rsidRPr="00A1700E" w:rsidRDefault="00DE30BB" w:rsidP="00D76889">
            <w:pPr>
              <w:pStyle w:val="Default"/>
              <w:rPr>
                <w:rFonts w:ascii="Times New Roman" w:hAnsi="Times New Roman" w:cs="Times New Roman"/>
              </w:rPr>
            </w:pPr>
          </w:p>
          <w:p w:rsidR="00DE30BB" w:rsidRPr="00A1700E" w:rsidRDefault="00DE30BB" w:rsidP="00D76889">
            <w:pPr>
              <w:pStyle w:val="Default"/>
              <w:rPr>
                <w:rFonts w:ascii="Times New Roman" w:hAnsi="Times New Roman" w:cs="Times New Roman"/>
              </w:rPr>
            </w:pPr>
          </w:p>
          <w:p w:rsidR="009813A8" w:rsidRPr="00A1700E" w:rsidRDefault="009813A8" w:rsidP="00D76889">
            <w:pPr>
              <w:pStyle w:val="Default"/>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656B18" w:rsidRPr="00A1700E" w:rsidRDefault="00892A74">
            <w:pPr>
              <w:jc w:val="center"/>
            </w:pPr>
            <w:r w:rsidRPr="00A1700E">
              <w:lastRenderedPageBreak/>
              <w:t>N</w:t>
            </w:r>
          </w:p>
        </w:tc>
        <w:tc>
          <w:tcPr>
            <w:tcW w:w="851" w:type="dxa"/>
            <w:tcBorders>
              <w:top w:val="single" w:sz="4" w:space="0" w:color="auto"/>
              <w:left w:val="nil"/>
              <w:bottom w:val="single" w:sz="4" w:space="0" w:color="auto"/>
              <w:right w:val="single" w:sz="4" w:space="0" w:color="auto"/>
            </w:tcBorders>
          </w:tcPr>
          <w:p w:rsidR="00E16713" w:rsidRPr="00A1700E" w:rsidRDefault="00E16713">
            <w:pPr>
              <w:jc w:val="center"/>
            </w:pPr>
          </w:p>
          <w:p w:rsidR="00656B18" w:rsidRPr="00A1700E" w:rsidRDefault="0063563A">
            <w:pPr>
              <w:jc w:val="center"/>
            </w:pPr>
            <w:r w:rsidRPr="00A1700E">
              <w:t>595</w:t>
            </w:r>
            <w:r w:rsidR="00DA5E66" w:rsidRPr="00A1700E">
              <w:t>/2003</w:t>
            </w:r>
          </w:p>
          <w:p w:rsidR="00DA5E66" w:rsidRPr="00A1700E" w:rsidRDefault="00DA5E66">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A1700E" w:rsidRPr="00A1700E" w:rsidRDefault="00A1700E" w:rsidP="00A1700E">
            <w:pPr>
              <w:jc w:val="center"/>
              <w:rPr>
                <w:b/>
              </w:rPr>
            </w:pPr>
            <w:r w:rsidRPr="00FA233A">
              <w:rPr>
                <w:b/>
              </w:rPr>
              <w:t>návrh zákona Čl. I</w:t>
            </w:r>
          </w:p>
          <w:p w:rsidR="00A1700E" w:rsidRPr="00A1700E" w:rsidRDefault="00A1700E" w:rsidP="00A1700E">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E16713" w:rsidRPr="00A1700E" w:rsidRDefault="00E16713">
            <w:pPr>
              <w:jc w:val="center"/>
            </w:pPr>
          </w:p>
          <w:p w:rsidR="009C0500" w:rsidRPr="00A1700E" w:rsidRDefault="009C0500">
            <w:pPr>
              <w:jc w:val="center"/>
            </w:pPr>
          </w:p>
          <w:p w:rsidR="009C0500" w:rsidRPr="00A1700E" w:rsidRDefault="009C0500">
            <w:pPr>
              <w:jc w:val="center"/>
            </w:pPr>
          </w:p>
          <w:p w:rsidR="009C0500" w:rsidRPr="00A1700E" w:rsidRDefault="009C0500">
            <w:pPr>
              <w:jc w:val="center"/>
            </w:pPr>
          </w:p>
          <w:p w:rsidR="009C0500" w:rsidRPr="00A1700E" w:rsidRDefault="009C0500">
            <w:pPr>
              <w:jc w:val="center"/>
            </w:pPr>
          </w:p>
          <w:p w:rsidR="009C0500" w:rsidRPr="00A1700E" w:rsidRDefault="009C0500">
            <w:pPr>
              <w:jc w:val="center"/>
            </w:pPr>
          </w:p>
          <w:p w:rsidR="009C0500" w:rsidRPr="00A1700E" w:rsidRDefault="009C0500">
            <w:pPr>
              <w:jc w:val="center"/>
            </w:pPr>
          </w:p>
          <w:p w:rsidR="009C0500" w:rsidRPr="00A1700E" w:rsidRDefault="009C0500">
            <w:pPr>
              <w:jc w:val="center"/>
            </w:pPr>
          </w:p>
          <w:p w:rsidR="009C0500" w:rsidRPr="00A1700E" w:rsidRDefault="009C0500">
            <w:pPr>
              <w:jc w:val="center"/>
            </w:pPr>
          </w:p>
          <w:p w:rsidR="009C0500" w:rsidRPr="00A1700E" w:rsidRDefault="009C0500">
            <w:pPr>
              <w:jc w:val="center"/>
            </w:pPr>
          </w:p>
          <w:p w:rsidR="00E16713" w:rsidRPr="00A1700E" w:rsidRDefault="00E16713">
            <w:pPr>
              <w:jc w:val="center"/>
            </w:pPr>
          </w:p>
          <w:p w:rsidR="00585BCC" w:rsidRDefault="00585BCC">
            <w:pPr>
              <w:jc w:val="center"/>
            </w:pPr>
          </w:p>
          <w:p w:rsidR="00A1700E" w:rsidRDefault="00A1700E">
            <w:pPr>
              <w:jc w:val="center"/>
            </w:pPr>
          </w:p>
          <w:p w:rsidR="00A1700E" w:rsidRDefault="00A1700E">
            <w:pPr>
              <w:jc w:val="center"/>
            </w:pPr>
          </w:p>
          <w:p w:rsidR="00A1700E" w:rsidRDefault="00A1700E">
            <w:pPr>
              <w:jc w:val="center"/>
            </w:pPr>
          </w:p>
          <w:p w:rsidR="00A1700E" w:rsidRDefault="00A1700E">
            <w:pPr>
              <w:jc w:val="center"/>
            </w:pPr>
          </w:p>
          <w:p w:rsidR="00A1700E" w:rsidRDefault="00A1700E">
            <w:pPr>
              <w:jc w:val="center"/>
            </w:pPr>
          </w:p>
          <w:p w:rsidR="00A1700E" w:rsidRDefault="00A1700E">
            <w:pPr>
              <w:jc w:val="center"/>
            </w:pPr>
          </w:p>
          <w:p w:rsidR="00A1700E" w:rsidRDefault="00A1700E">
            <w:pPr>
              <w:jc w:val="center"/>
            </w:pPr>
          </w:p>
          <w:p w:rsidR="00A1700E" w:rsidRDefault="00A1700E">
            <w:pPr>
              <w:jc w:val="center"/>
            </w:pPr>
          </w:p>
          <w:p w:rsidR="00A1700E" w:rsidRDefault="00A1700E">
            <w:pPr>
              <w:jc w:val="center"/>
            </w:pPr>
          </w:p>
          <w:p w:rsidR="00A1700E" w:rsidRPr="00A1700E" w:rsidRDefault="00A1700E">
            <w:pPr>
              <w:jc w:val="center"/>
            </w:pPr>
          </w:p>
          <w:p w:rsidR="00585BCC" w:rsidRDefault="00585BCC">
            <w:pPr>
              <w:jc w:val="center"/>
            </w:pPr>
          </w:p>
          <w:p w:rsidR="00450B7C" w:rsidRDefault="00450B7C">
            <w:pPr>
              <w:jc w:val="center"/>
            </w:pPr>
          </w:p>
          <w:p w:rsidR="00ED0069" w:rsidRDefault="00ED0069">
            <w:pPr>
              <w:jc w:val="center"/>
            </w:pPr>
          </w:p>
          <w:p w:rsidR="00FA233A" w:rsidRDefault="00FA233A">
            <w:pPr>
              <w:jc w:val="center"/>
            </w:pPr>
          </w:p>
          <w:p w:rsidR="00FA233A" w:rsidRDefault="00FA233A">
            <w:pPr>
              <w:jc w:val="center"/>
            </w:pPr>
          </w:p>
          <w:p w:rsidR="00FA233A" w:rsidRDefault="00FA233A">
            <w:pPr>
              <w:jc w:val="center"/>
            </w:pPr>
          </w:p>
          <w:p w:rsidR="00FA233A" w:rsidRDefault="00FA233A">
            <w:pPr>
              <w:jc w:val="center"/>
            </w:pPr>
          </w:p>
          <w:p w:rsidR="00FA233A" w:rsidRDefault="00FA233A">
            <w:pPr>
              <w:jc w:val="center"/>
            </w:pPr>
          </w:p>
          <w:p w:rsidR="00FA233A" w:rsidRDefault="00FA233A">
            <w:pPr>
              <w:jc w:val="center"/>
            </w:pPr>
          </w:p>
          <w:p w:rsidR="00FA233A" w:rsidRDefault="00FA233A">
            <w:pPr>
              <w:jc w:val="center"/>
            </w:pPr>
          </w:p>
          <w:p w:rsidR="00FA233A" w:rsidRDefault="00FA233A">
            <w:pPr>
              <w:jc w:val="center"/>
            </w:pPr>
          </w:p>
          <w:p w:rsidR="00FA233A" w:rsidRDefault="00FA233A">
            <w:pPr>
              <w:jc w:val="center"/>
            </w:pPr>
          </w:p>
          <w:p w:rsidR="00E16713" w:rsidRPr="00A1700E" w:rsidRDefault="00E16713" w:rsidP="00E16713">
            <w:pPr>
              <w:jc w:val="center"/>
            </w:pPr>
            <w:r w:rsidRPr="00A1700E">
              <w:t>595/2003</w:t>
            </w: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88018B" w:rsidRPr="00A1700E" w:rsidRDefault="0088018B" w:rsidP="00E16713">
            <w:pPr>
              <w:jc w:val="center"/>
            </w:pPr>
          </w:p>
          <w:p w:rsidR="00DA5E66" w:rsidRPr="00A1700E" w:rsidRDefault="00DA5E66" w:rsidP="0088018B">
            <w:pPr>
              <w:rPr>
                <w:b/>
              </w:rPr>
            </w:pPr>
          </w:p>
        </w:tc>
        <w:tc>
          <w:tcPr>
            <w:tcW w:w="850" w:type="dxa"/>
            <w:tcBorders>
              <w:top w:val="single" w:sz="4" w:space="0" w:color="auto"/>
              <w:left w:val="single" w:sz="4" w:space="0" w:color="auto"/>
              <w:bottom w:val="single" w:sz="4" w:space="0" w:color="auto"/>
              <w:right w:val="single" w:sz="4" w:space="0" w:color="auto"/>
            </w:tcBorders>
          </w:tcPr>
          <w:p w:rsidR="00C302FD" w:rsidRPr="00A1700E" w:rsidRDefault="00C302FD" w:rsidP="00DA5E66">
            <w:pPr>
              <w:pStyle w:val="Normlny0"/>
              <w:jc w:val="center"/>
              <w:rPr>
                <w:sz w:val="24"/>
                <w:szCs w:val="24"/>
              </w:rPr>
            </w:pPr>
          </w:p>
          <w:p w:rsidR="00E16713" w:rsidRPr="00A1700E" w:rsidRDefault="00E16713" w:rsidP="004577EC">
            <w:pPr>
              <w:jc w:val="center"/>
            </w:pPr>
            <w:r w:rsidRPr="00A1700E">
              <w:t>§ 17i ods. 3 písm. e)</w:t>
            </w:r>
          </w:p>
          <w:p w:rsidR="00E16713" w:rsidRPr="00A1700E" w:rsidRDefault="00E16713" w:rsidP="004577EC">
            <w:pPr>
              <w:jc w:val="center"/>
            </w:pPr>
          </w:p>
          <w:p w:rsidR="00E16713" w:rsidRPr="00A1700E" w:rsidRDefault="00E16713" w:rsidP="004577EC">
            <w:pPr>
              <w:jc w:val="center"/>
            </w:pPr>
          </w:p>
          <w:p w:rsidR="00E16713" w:rsidRPr="00A1700E" w:rsidRDefault="00E16713" w:rsidP="004577EC">
            <w:pPr>
              <w:jc w:val="center"/>
            </w:pPr>
          </w:p>
          <w:p w:rsidR="00E16713" w:rsidRPr="00A1700E" w:rsidRDefault="00E16713" w:rsidP="004577EC">
            <w:pPr>
              <w:jc w:val="center"/>
            </w:pPr>
          </w:p>
          <w:p w:rsidR="00E16713" w:rsidRPr="00A1700E" w:rsidRDefault="00E16713" w:rsidP="004577EC">
            <w:pPr>
              <w:jc w:val="center"/>
            </w:pPr>
          </w:p>
          <w:p w:rsidR="00E16713" w:rsidRPr="00A1700E" w:rsidRDefault="00E16713" w:rsidP="004577EC">
            <w:pPr>
              <w:jc w:val="center"/>
            </w:pPr>
          </w:p>
          <w:p w:rsidR="00E16713" w:rsidRPr="00A1700E" w:rsidRDefault="00E16713" w:rsidP="004577EC">
            <w:pPr>
              <w:jc w:val="center"/>
            </w:pPr>
          </w:p>
          <w:p w:rsidR="00E16713" w:rsidRPr="00A1700E" w:rsidRDefault="00E16713" w:rsidP="004577EC">
            <w:pPr>
              <w:jc w:val="center"/>
            </w:pPr>
          </w:p>
          <w:p w:rsidR="00610AFA" w:rsidRDefault="00610AFA" w:rsidP="004577EC">
            <w:pPr>
              <w:jc w:val="center"/>
            </w:pPr>
          </w:p>
          <w:p w:rsidR="004B20BD" w:rsidRDefault="004B20BD" w:rsidP="004577EC">
            <w:pPr>
              <w:jc w:val="center"/>
            </w:pPr>
          </w:p>
          <w:p w:rsidR="00E16713" w:rsidRPr="00A1700E" w:rsidRDefault="009C0500" w:rsidP="004577EC">
            <w:pPr>
              <w:jc w:val="center"/>
              <w:rPr>
                <w:b/>
              </w:rPr>
            </w:pPr>
            <w:r w:rsidRPr="00A1700E">
              <w:rPr>
                <w:b/>
              </w:rPr>
              <w:t>§ 17j ods. 3</w:t>
            </w:r>
          </w:p>
          <w:p w:rsidR="007513FF" w:rsidRPr="00A1700E" w:rsidRDefault="007513FF" w:rsidP="004577EC">
            <w:pPr>
              <w:jc w:val="center"/>
            </w:pPr>
          </w:p>
          <w:p w:rsidR="007513FF" w:rsidRPr="00A1700E" w:rsidRDefault="007513FF"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9C0500" w:rsidRPr="00A1700E" w:rsidRDefault="009C0500" w:rsidP="004577EC">
            <w:pPr>
              <w:jc w:val="center"/>
            </w:pPr>
          </w:p>
          <w:p w:rsidR="00E16713" w:rsidRPr="00A1700E" w:rsidRDefault="00E16713" w:rsidP="004577EC">
            <w:pPr>
              <w:jc w:val="center"/>
            </w:pPr>
          </w:p>
          <w:p w:rsidR="00585BCC" w:rsidRPr="00A1700E" w:rsidRDefault="00585BCC" w:rsidP="004577EC">
            <w:pPr>
              <w:jc w:val="center"/>
            </w:pPr>
          </w:p>
          <w:p w:rsidR="00585BCC" w:rsidRPr="00A1700E" w:rsidRDefault="00585BCC" w:rsidP="004577EC">
            <w:pPr>
              <w:jc w:val="center"/>
            </w:pPr>
          </w:p>
          <w:p w:rsidR="00585BCC" w:rsidRDefault="00585BCC" w:rsidP="004577EC">
            <w:pPr>
              <w:jc w:val="center"/>
            </w:pPr>
          </w:p>
          <w:p w:rsidR="00A1700E" w:rsidRDefault="00A1700E" w:rsidP="004577EC">
            <w:pPr>
              <w:jc w:val="center"/>
            </w:pPr>
          </w:p>
          <w:p w:rsidR="00A1700E" w:rsidRDefault="00A1700E" w:rsidP="004577EC">
            <w:pPr>
              <w:jc w:val="center"/>
            </w:pPr>
          </w:p>
          <w:p w:rsidR="00A1700E" w:rsidRDefault="00A1700E" w:rsidP="004577EC">
            <w:pPr>
              <w:jc w:val="center"/>
            </w:pPr>
          </w:p>
          <w:p w:rsidR="00A1700E" w:rsidRDefault="00A1700E" w:rsidP="004577EC">
            <w:pPr>
              <w:jc w:val="center"/>
            </w:pPr>
          </w:p>
          <w:p w:rsidR="00A1700E" w:rsidRDefault="00A1700E" w:rsidP="004577EC">
            <w:pPr>
              <w:jc w:val="center"/>
            </w:pPr>
          </w:p>
          <w:p w:rsidR="00A1700E" w:rsidRDefault="00A1700E" w:rsidP="004577EC">
            <w:pPr>
              <w:jc w:val="center"/>
            </w:pPr>
          </w:p>
          <w:p w:rsidR="00FA233A" w:rsidRDefault="00FA233A" w:rsidP="004577EC">
            <w:pPr>
              <w:jc w:val="center"/>
            </w:pPr>
          </w:p>
          <w:p w:rsidR="00FA233A" w:rsidRDefault="00FA233A" w:rsidP="004577EC">
            <w:pPr>
              <w:jc w:val="center"/>
            </w:pPr>
          </w:p>
          <w:p w:rsidR="00FA233A" w:rsidRDefault="00FA233A" w:rsidP="004577EC">
            <w:pPr>
              <w:jc w:val="center"/>
            </w:pPr>
          </w:p>
          <w:p w:rsidR="00FA233A" w:rsidRDefault="00FA233A" w:rsidP="004577EC">
            <w:pPr>
              <w:jc w:val="center"/>
            </w:pPr>
          </w:p>
          <w:p w:rsidR="00FA233A" w:rsidRDefault="00FA233A" w:rsidP="004577EC">
            <w:pPr>
              <w:jc w:val="center"/>
            </w:pPr>
          </w:p>
          <w:p w:rsidR="00FA233A" w:rsidRDefault="00FA233A" w:rsidP="004577EC">
            <w:pPr>
              <w:jc w:val="center"/>
            </w:pPr>
          </w:p>
          <w:p w:rsidR="00FA233A" w:rsidRDefault="00FA233A" w:rsidP="004577EC">
            <w:pPr>
              <w:jc w:val="center"/>
            </w:pPr>
          </w:p>
          <w:p w:rsidR="00FA233A" w:rsidRDefault="00FA233A" w:rsidP="004577EC">
            <w:pPr>
              <w:jc w:val="center"/>
            </w:pPr>
          </w:p>
          <w:p w:rsidR="00ED0069" w:rsidRPr="00A1700E" w:rsidRDefault="00ED0069" w:rsidP="004577EC">
            <w:pPr>
              <w:jc w:val="center"/>
            </w:pPr>
          </w:p>
          <w:p w:rsidR="00E16713" w:rsidRPr="00A1700E" w:rsidRDefault="00E16713" w:rsidP="004577EC">
            <w:pPr>
              <w:jc w:val="center"/>
            </w:pPr>
            <w:r w:rsidRPr="00A1700E">
              <w:lastRenderedPageBreak/>
              <w:t>§ 2 písm. n)</w:t>
            </w:r>
          </w:p>
          <w:p w:rsidR="00E16713" w:rsidRPr="00A1700E" w:rsidRDefault="00E16713" w:rsidP="004577EC">
            <w:pPr>
              <w:jc w:val="center"/>
            </w:pPr>
          </w:p>
          <w:p w:rsidR="00E16713" w:rsidRPr="00A1700E" w:rsidRDefault="00E16713" w:rsidP="004577EC">
            <w:pPr>
              <w:jc w:val="center"/>
            </w:pPr>
          </w:p>
          <w:p w:rsidR="00E16713" w:rsidRDefault="00E16713" w:rsidP="004577EC">
            <w:pPr>
              <w:jc w:val="center"/>
            </w:pPr>
          </w:p>
          <w:p w:rsidR="00E16713" w:rsidRDefault="00E16713" w:rsidP="004577EC">
            <w:pPr>
              <w:jc w:val="center"/>
            </w:pPr>
          </w:p>
          <w:p w:rsidR="0088738F" w:rsidRDefault="0088738F" w:rsidP="004577EC">
            <w:pPr>
              <w:jc w:val="center"/>
            </w:pPr>
          </w:p>
          <w:p w:rsidR="0088738F" w:rsidRPr="00A1700E" w:rsidRDefault="0088738F" w:rsidP="004577EC">
            <w:pPr>
              <w:jc w:val="center"/>
            </w:pPr>
          </w:p>
          <w:p w:rsidR="00E16713" w:rsidRPr="00A1700E" w:rsidRDefault="00E16713" w:rsidP="004577EC">
            <w:pPr>
              <w:jc w:val="center"/>
            </w:pPr>
            <w:r w:rsidRPr="00A1700E">
              <w:t>§ 2 písm. o)</w:t>
            </w:r>
          </w:p>
        </w:tc>
        <w:tc>
          <w:tcPr>
            <w:tcW w:w="4678" w:type="dxa"/>
            <w:tcBorders>
              <w:top w:val="single" w:sz="4" w:space="0" w:color="auto"/>
              <w:left w:val="single" w:sz="4" w:space="0" w:color="auto"/>
              <w:bottom w:val="single" w:sz="4" w:space="0" w:color="auto"/>
              <w:right w:val="single" w:sz="4" w:space="0" w:color="auto"/>
            </w:tcBorders>
          </w:tcPr>
          <w:p w:rsidR="00E16713" w:rsidRPr="00A1700E" w:rsidRDefault="00E16713" w:rsidP="00DE30BB">
            <w:pPr>
              <w:tabs>
                <w:tab w:val="left" w:pos="241"/>
              </w:tabs>
              <w:autoSpaceDE/>
              <w:autoSpaceDN/>
              <w:ind w:left="99"/>
              <w:jc w:val="both"/>
            </w:pPr>
          </w:p>
          <w:p w:rsidR="00E16713" w:rsidRPr="00A1700E" w:rsidRDefault="00E16713" w:rsidP="00DE30BB">
            <w:pPr>
              <w:tabs>
                <w:tab w:val="left" w:pos="241"/>
              </w:tabs>
              <w:autoSpaceDE/>
              <w:autoSpaceDN/>
              <w:ind w:left="99"/>
              <w:jc w:val="both"/>
              <w:rPr>
                <w:color w:val="000000"/>
                <w:shd w:val="clear" w:color="auto" w:fill="FFFFFF"/>
              </w:rPr>
            </w:pPr>
            <w:r w:rsidRPr="00A1700E">
              <w:rPr>
                <w:color w:val="000000"/>
                <w:shd w:val="clear" w:color="auto" w:fill="FFFFFF"/>
              </w:rPr>
              <w:t>Na účely odseku 2</w:t>
            </w:r>
          </w:p>
          <w:p w:rsidR="00E16713" w:rsidRPr="00A1700E" w:rsidRDefault="00E16713" w:rsidP="00DE30BB">
            <w:pPr>
              <w:tabs>
                <w:tab w:val="left" w:pos="241"/>
              </w:tabs>
              <w:autoSpaceDE/>
              <w:autoSpaceDN/>
              <w:ind w:left="99"/>
              <w:jc w:val="both"/>
            </w:pPr>
            <w:r w:rsidRPr="00A1700E">
              <w:t>e) hybridný nesúlad podľa odseku 2 písm. a) druhého až piateho bodu a siedmeho bodu vzniká medzi závislými osobami, ktoré sú závislou osobou podľa § 2 písm. n) až r), pričom účasťou na majetku alebo kontrole sa rozumie priamy podiel, nepriamy podiel alebo nepriamy odvodený podiel vo výške najmenej 50 % na základnom imaní, priamy podiel, nepriamy podiel alebo nepriamy odvodený podiel vo výške najmenej 50 % na hlasovacích právach alebo podiel vo výške najmenej 50 % na zisku,</w:t>
            </w:r>
          </w:p>
          <w:p w:rsidR="00E16713" w:rsidRPr="00A1700E" w:rsidRDefault="00E16713" w:rsidP="00E16713"/>
          <w:p w:rsidR="00B02D1A" w:rsidRPr="00B02D1A" w:rsidRDefault="00B02D1A" w:rsidP="00B02D1A">
            <w:pPr>
              <w:jc w:val="both"/>
              <w:rPr>
                <w:b/>
              </w:rPr>
            </w:pPr>
            <w:r w:rsidRPr="00B02D1A">
              <w:rPr>
                <w:b/>
              </w:rPr>
              <w:t>(3)</w:t>
            </w:r>
            <w:r w:rsidRPr="00B02D1A">
              <w:rPr>
                <w:b/>
              </w:rPr>
              <w:tab/>
              <w:t xml:space="preserve">Reverzným hybridným subjektom sa rozumie transparentný subjekt v tej časti príjmov (výnosov) pripadajúcich na spoločníka verejnej obchodnej spoločnosti, komplementára komanditnej spoločnosti, príjemcu príjmu (výnosu) plynúceho od </w:t>
            </w:r>
            <w:r w:rsidRPr="00B02D1A">
              <w:rPr>
                <w:b/>
              </w:rPr>
              <w:lastRenderedPageBreak/>
              <w:t>subjektu s právnou subjektivitou alebo príjemcu príjmu (výnosu) plynúceho od subjektu bez právnej subjektivity, v akej sa zahrňujú do základu dane podľa odseku 1 a</w:t>
            </w:r>
            <w:r w:rsidR="00C341DF">
              <w:rPr>
                <w:b/>
              </w:rPr>
              <w:t xml:space="preserve"> tento </w:t>
            </w:r>
            <w:r w:rsidRPr="00B02D1A">
              <w:rPr>
                <w:b/>
              </w:rPr>
              <w:t>spoločník verejnej obchodnej spoločnosti, komplementár komanditnej spoločnosti, príjemca príjmu (výnosu) plynúceho od subjektu s právnou subjektivitou alebo príjemca príjmu (výnosu) plynúceho od subjektu bez právnej subjektivity</w:t>
            </w:r>
          </w:p>
          <w:p w:rsidR="00B02D1A" w:rsidRPr="00B02D1A" w:rsidRDefault="00B02D1A" w:rsidP="00B02D1A">
            <w:pPr>
              <w:jc w:val="both"/>
              <w:rPr>
                <w:b/>
              </w:rPr>
            </w:pPr>
            <w:r w:rsidRPr="00B02D1A">
              <w:rPr>
                <w:b/>
              </w:rPr>
              <w:t>a)</w:t>
            </w:r>
            <w:r w:rsidRPr="00B02D1A">
              <w:rPr>
                <w:b/>
              </w:rPr>
              <w:tab/>
              <w:t>je daňovníkom s obmedzenou daňovou povinnosťou,</w:t>
            </w:r>
          </w:p>
          <w:p w:rsidR="00B02D1A" w:rsidRPr="00B02D1A" w:rsidRDefault="00B02D1A" w:rsidP="00B02D1A">
            <w:pPr>
              <w:jc w:val="both"/>
              <w:rPr>
                <w:b/>
              </w:rPr>
            </w:pPr>
            <w:r w:rsidRPr="00B02D1A">
              <w:rPr>
                <w:b/>
              </w:rPr>
              <w:t>b)</w:t>
            </w:r>
            <w:r w:rsidRPr="00B02D1A">
              <w:rPr>
                <w:b/>
              </w:rPr>
              <w:tab/>
              <w:t>sám alebo spolu so závislými osobami podľa § 2 písm. n) až r), ktoré sú daňovníkmi s obmedzenou daňovou povinnosťou, má priamy podiel alebo nepriamy podiel na základnom imaní tohto subjektu najmenej 50 % alebo má priamy podiel alebo nepriamy podiel na hlasovacích právach tohto subjektu najmenej 50 %, alebo má nárok na podiel na zisku tohto subjektu najmenej 50 % a</w:t>
            </w:r>
          </w:p>
          <w:p w:rsidR="00FA233A" w:rsidRPr="00FA233A" w:rsidRDefault="00B02D1A" w:rsidP="00B02D1A">
            <w:pPr>
              <w:jc w:val="both"/>
              <w:rPr>
                <w:b/>
              </w:rPr>
            </w:pPr>
            <w:r w:rsidRPr="00B02D1A">
              <w:rPr>
                <w:b/>
              </w:rPr>
              <w:t>c)</w:t>
            </w:r>
            <w:r w:rsidRPr="00B02D1A">
              <w:rPr>
                <w:b/>
              </w:rPr>
              <w:tab/>
            </w:r>
            <w:r w:rsidR="00421526" w:rsidRPr="00421526">
              <w:rPr>
                <w:b/>
              </w:rPr>
              <w:t>považuje podľa daňových predpisov štátu, v ktorom je daňovníkom s neobmedzenou daňovou povinnosťou, tento transparentný subjekt za daňovníka, ktorý je na území Slovenskej republiky zdaňovaný na úrovni spoločnosti obdobne ako obchodná spoločnosť alebo družstvo</w:t>
            </w:r>
            <w:r w:rsidR="00826F8A">
              <w:rPr>
                <w:b/>
              </w:rPr>
              <w:t>.</w:t>
            </w:r>
            <w:r w:rsidR="00826F8A" w:rsidRPr="00826F8A">
              <w:rPr>
                <w:b/>
                <w:vertAlign w:val="superscript"/>
              </w:rPr>
              <w:t>80cf</w:t>
            </w:r>
            <w:r w:rsidR="00826F8A">
              <w:rPr>
                <w:b/>
              </w:rPr>
              <w:t>)</w:t>
            </w:r>
          </w:p>
          <w:p w:rsidR="00610AFA" w:rsidRDefault="00610AFA" w:rsidP="00E16713"/>
          <w:p w:rsidR="00FA233A" w:rsidRDefault="00FA233A" w:rsidP="00E16713"/>
          <w:p w:rsidR="00FA233A" w:rsidRDefault="00FA233A" w:rsidP="00E16713"/>
          <w:p w:rsidR="00B02D1A" w:rsidRDefault="00B02D1A" w:rsidP="00E16713"/>
          <w:p w:rsidR="00B02D1A" w:rsidRDefault="00B02D1A" w:rsidP="00E16713"/>
          <w:p w:rsidR="00B02D1A" w:rsidRDefault="00B02D1A" w:rsidP="00E16713"/>
          <w:p w:rsidR="00B02D1A" w:rsidRDefault="00B02D1A" w:rsidP="00E16713"/>
          <w:p w:rsidR="00B02D1A" w:rsidRDefault="00B02D1A" w:rsidP="00E16713"/>
          <w:p w:rsidR="00B02D1A" w:rsidRPr="00A1700E" w:rsidRDefault="00B02D1A" w:rsidP="00E16713"/>
          <w:p w:rsidR="00450B7C" w:rsidRPr="00FA233A" w:rsidRDefault="00450B7C" w:rsidP="00E16713">
            <w:pPr>
              <w:rPr>
                <w:shd w:val="clear" w:color="auto" w:fill="FFFFFF"/>
              </w:rPr>
            </w:pPr>
            <w:r w:rsidRPr="00FA233A">
              <w:rPr>
                <w:shd w:val="clear" w:color="auto" w:fill="FFFFFF"/>
              </w:rPr>
              <w:t>Na účely tohto zákona sa rozumie</w:t>
            </w:r>
          </w:p>
          <w:p w:rsidR="00450B7C" w:rsidRDefault="00E16713" w:rsidP="00E16713">
            <w:r w:rsidRPr="00FA233A">
              <w:t xml:space="preserve">n) </w:t>
            </w:r>
            <w:r w:rsidR="00450B7C" w:rsidRPr="00FA233A">
              <w:rPr>
                <w:shd w:val="clear" w:color="auto" w:fill="FFFFFF"/>
              </w:rPr>
              <w:t>závislou osobou</w:t>
            </w:r>
          </w:p>
          <w:p w:rsidR="00E16713" w:rsidRPr="00A1700E" w:rsidRDefault="00E16713" w:rsidP="00E16713">
            <w:r w:rsidRPr="00A1700E">
              <w:t>1.blízka osoba</w:t>
            </w:r>
            <w:r w:rsidRPr="00A1700E">
              <w:rPr>
                <w:vertAlign w:val="superscript"/>
              </w:rPr>
              <w:t>2</w:t>
            </w:r>
            <w:r w:rsidRPr="00A1700E">
              <w:t xml:space="preserve">) </w:t>
            </w:r>
          </w:p>
          <w:p w:rsidR="00E16713" w:rsidRPr="00A1700E" w:rsidRDefault="00E16713" w:rsidP="00E16713">
            <w:r w:rsidRPr="00A1700E">
              <w:t xml:space="preserve">2. ekonomicky, personálne, alebo inak prepojená osoba alebo subjekt, </w:t>
            </w:r>
          </w:p>
          <w:p w:rsidR="00E16713" w:rsidRPr="00A1700E" w:rsidRDefault="00E16713" w:rsidP="00E16713">
            <w:r w:rsidRPr="00A1700E">
              <w:t xml:space="preserve">3. osoba alebo subjekt, ktorý je na účely konsolidácie2aa) súčasťou konsolidovaného celku, </w:t>
            </w:r>
          </w:p>
          <w:p w:rsidR="00E16713" w:rsidRPr="00A1700E" w:rsidRDefault="00E16713" w:rsidP="00E16713"/>
          <w:p w:rsidR="00E16713" w:rsidRPr="0088738F" w:rsidRDefault="00E16713" w:rsidP="009B7F2E">
            <w:pPr>
              <w:jc w:val="both"/>
              <w:rPr>
                <w:highlight w:val="yellow"/>
              </w:rPr>
            </w:pPr>
            <w:r w:rsidRPr="00A1700E">
              <w:t xml:space="preserve">o) </w:t>
            </w:r>
            <w:r w:rsidRPr="0088738F">
              <w:t>ekonomickým alebo personálnym prepojením účasť osoby alebo subjektu na majetku, kontrole alebo vedení inej osoby alebo subjektu alebo vzájomný vzťah medzi osobami alebo subjektmi, ktoré sú pod kontrolou alebo vedením tej istej osoby, jej blízkej osoby2) alebo subjektu alebo v ktorých má táto osoba, jej blízka osoba2) alebo subjekt priamy alebo nepriamy majetkový podiel, pričom účasťou na</w:t>
            </w:r>
          </w:p>
          <w:p w:rsidR="0088738F" w:rsidRPr="00FA233A" w:rsidRDefault="0088738F" w:rsidP="0088738F">
            <w:pPr>
              <w:shd w:val="clear" w:color="auto" w:fill="FFFFFF"/>
              <w:autoSpaceDE/>
              <w:autoSpaceDN/>
              <w:jc w:val="both"/>
            </w:pPr>
            <w:r w:rsidRPr="00FA233A">
              <w:t xml:space="preserve">1. majetku alebo kontrole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nepriamy podiel sa vypočíta súčinom percentuálnej výšky priamych podielov vydelených stomi a takto vypočítaný výsledok sa vynásobí stomi a nepriamy odvodený podiel sa vypočíta súčtom nepriamych podielov, pričom nepriamy odvodený podiel sa použije len na výpočet výšky účasti jednej osoby alebo subjektu na majetku alebo kontrole inej osoby alebo subjektu, ak táto osoba alebo subjekt má </w:t>
            </w:r>
            <w:r w:rsidRPr="00FA233A">
              <w:lastRenderedPageBreak/>
              <w:t>účasť na majetku alebo kontrole niekoľkých osôb alebo subjektov, z ktorých každý má účasť na majetku alebo kontrole tej istej inej osoby alebo subjektu; ak výška nepriameho odvodeného podielu presahuje 50 %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rsidR="00E16713" w:rsidRPr="00243379" w:rsidRDefault="0088738F" w:rsidP="00243379">
            <w:pPr>
              <w:shd w:val="clear" w:color="auto" w:fill="FFFFFF"/>
              <w:autoSpaceDE/>
              <w:autoSpaceDN/>
              <w:jc w:val="both"/>
              <w:rPr>
                <w:color w:val="494949"/>
              </w:rPr>
            </w:pPr>
            <w:r w:rsidRPr="0088738F">
              <w:t>2. vedení sa rozumie vzťah členov štatutárnych orgánov, dozorných orgánov alebo ďalších obdobných orgánov právnickej osoby alebo subjektu k tejto právnickej osobe alebo k subjektu</w:t>
            </w:r>
            <w:r w:rsidRPr="0088738F">
              <w:rPr>
                <w:color w:val="494949"/>
              </w:rPr>
              <w:t>,</w:t>
            </w:r>
          </w:p>
        </w:tc>
        <w:tc>
          <w:tcPr>
            <w:tcW w:w="709" w:type="dxa"/>
            <w:tcBorders>
              <w:top w:val="single" w:sz="4" w:space="0" w:color="auto"/>
              <w:left w:val="single" w:sz="4" w:space="0" w:color="auto"/>
              <w:bottom w:val="single" w:sz="4" w:space="0" w:color="auto"/>
              <w:right w:val="single" w:sz="4" w:space="0" w:color="auto"/>
            </w:tcBorders>
          </w:tcPr>
          <w:p w:rsidR="00656B18" w:rsidRPr="00A1700E" w:rsidRDefault="00892A74">
            <w:pPr>
              <w:jc w:val="center"/>
            </w:pPr>
            <w:r w:rsidRPr="00A1700E">
              <w:lastRenderedPageBreak/>
              <w:t>Ú</w:t>
            </w:r>
          </w:p>
        </w:tc>
        <w:tc>
          <w:tcPr>
            <w:tcW w:w="1059" w:type="dxa"/>
            <w:tcBorders>
              <w:top w:val="single" w:sz="4" w:space="0" w:color="auto"/>
              <w:left w:val="single" w:sz="4" w:space="0" w:color="auto"/>
              <w:bottom w:val="single" w:sz="4" w:space="0" w:color="auto"/>
              <w:right w:val="single" w:sz="12" w:space="0" w:color="auto"/>
            </w:tcBorders>
          </w:tcPr>
          <w:p w:rsidR="00656B18" w:rsidRPr="00A1700E" w:rsidRDefault="00656B18">
            <w:pPr>
              <w:pStyle w:val="Nadpis1"/>
              <w:rPr>
                <w:b w:val="0"/>
                <w:bCs w:val="0"/>
              </w:rPr>
            </w:pPr>
          </w:p>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892A74" w:rsidRPr="00A1700E" w:rsidRDefault="00892A74" w:rsidP="00892A74"/>
          <w:p w:rsidR="00CB7058" w:rsidRPr="00A1700E" w:rsidRDefault="00CB7058" w:rsidP="00892A74"/>
          <w:p w:rsidR="00CB7058" w:rsidRPr="00A1700E" w:rsidRDefault="00CB7058" w:rsidP="00892A74"/>
          <w:p w:rsidR="00CB7058" w:rsidRPr="00A1700E" w:rsidRDefault="00CB7058" w:rsidP="00892A74"/>
          <w:p w:rsidR="00CB7058" w:rsidRPr="00A1700E" w:rsidRDefault="00CB7058"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DE30BB" w:rsidRPr="00A1700E" w:rsidRDefault="00DE30BB" w:rsidP="00892A74"/>
          <w:p w:rsidR="002C0F64" w:rsidRPr="00A1700E" w:rsidRDefault="002C0F64" w:rsidP="00BD038E"/>
        </w:tc>
      </w:tr>
      <w:tr w:rsidR="00656B18" w:rsidRPr="00A1700E" w:rsidTr="00C21CEF">
        <w:tc>
          <w:tcPr>
            <w:tcW w:w="540" w:type="dxa"/>
            <w:tcBorders>
              <w:top w:val="single" w:sz="4" w:space="0" w:color="auto"/>
              <w:left w:val="single" w:sz="12" w:space="0" w:color="auto"/>
              <w:bottom w:val="single" w:sz="4" w:space="0" w:color="auto"/>
              <w:right w:val="single" w:sz="4" w:space="0" w:color="auto"/>
            </w:tcBorders>
          </w:tcPr>
          <w:p w:rsidR="00656B18" w:rsidRPr="00FA233A" w:rsidRDefault="005566C5" w:rsidP="0088738F">
            <w:pPr>
              <w:jc w:val="center"/>
            </w:pPr>
            <w:r w:rsidRPr="00FA233A">
              <w:lastRenderedPageBreak/>
              <w:t>Čl.</w:t>
            </w:r>
            <w:r w:rsidR="0088738F" w:rsidRPr="00FA233A">
              <w:t>1 ods.5 (</w:t>
            </w:r>
            <w:r w:rsidR="00744E6F" w:rsidRPr="00FA233A">
              <w:t>iba čl. 9a)</w:t>
            </w:r>
          </w:p>
        </w:tc>
        <w:tc>
          <w:tcPr>
            <w:tcW w:w="6946" w:type="dxa"/>
            <w:gridSpan w:val="2"/>
            <w:tcBorders>
              <w:top w:val="single" w:sz="4" w:space="0" w:color="auto"/>
              <w:left w:val="single" w:sz="4" w:space="0" w:color="auto"/>
              <w:bottom w:val="single" w:sz="4" w:space="0" w:color="auto"/>
              <w:right w:val="single" w:sz="4" w:space="0" w:color="auto"/>
            </w:tcBorders>
          </w:tcPr>
          <w:tbl>
            <w:tblPr>
              <w:tblW w:w="5000" w:type="pct"/>
              <w:shd w:val="clear" w:color="auto" w:fill="FFFFFF"/>
              <w:tblLayout w:type="fixed"/>
              <w:tblCellMar>
                <w:left w:w="0" w:type="dxa"/>
                <w:right w:w="0" w:type="dxa"/>
              </w:tblCellMar>
              <w:tblLook w:val="04A0" w:firstRow="1" w:lastRow="0" w:firstColumn="1" w:lastColumn="0" w:noHBand="0" w:noVBand="1"/>
            </w:tblPr>
            <w:tblGrid>
              <w:gridCol w:w="485"/>
              <w:gridCol w:w="6375"/>
            </w:tblGrid>
            <w:tr w:rsidR="0088738F" w:rsidRPr="00FA233A" w:rsidTr="0088738F">
              <w:tc>
                <w:tcPr>
                  <w:tcW w:w="636" w:type="dxa"/>
                  <w:shd w:val="clear" w:color="auto" w:fill="FFFFFF"/>
                  <w:hideMark/>
                </w:tcPr>
                <w:p w:rsidR="0088738F" w:rsidRPr="00FA233A" w:rsidRDefault="0088738F" w:rsidP="0088738F">
                  <w:pPr>
                    <w:autoSpaceDE/>
                    <w:autoSpaceDN/>
                    <w:spacing w:before="120" w:line="312" w:lineRule="atLeast"/>
                    <w:jc w:val="both"/>
                  </w:pPr>
                  <w:r w:rsidRPr="00FA233A">
                    <w:t>5.</w:t>
                  </w:r>
                </w:p>
              </w:tc>
              <w:tc>
                <w:tcPr>
                  <w:tcW w:w="8436" w:type="dxa"/>
                  <w:shd w:val="clear" w:color="auto" w:fill="FFFFFF"/>
                  <w:hideMark/>
                </w:tcPr>
                <w:p w:rsidR="0088738F" w:rsidRPr="00FA233A" w:rsidRDefault="0088738F" w:rsidP="0088738F">
                  <w:pPr>
                    <w:autoSpaceDE/>
                    <w:autoSpaceDN/>
                    <w:spacing w:before="120" w:line="312" w:lineRule="atLeast"/>
                    <w:jc w:val="both"/>
                  </w:pPr>
                  <w:r w:rsidRPr="00FA233A">
                    <w:t>Vkladajú sa tieto články:</w:t>
                  </w:r>
                </w:p>
              </w:tc>
            </w:tr>
          </w:tbl>
          <w:p w:rsidR="0088738F" w:rsidRPr="00FA233A" w:rsidRDefault="0088738F" w:rsidP="00063566">
            <w:pPr>
              <w:pStyle w:val="Default"/>
              <w:jc w:val="both"/>
              <w:rPr>
                <w:rFonts w:ascii="Times New Roman" w:hAnsi="Times New Roman" w:cs="Times New Roman"/>
                <w:i/>
                <w:iCs/>
                <w:color w:val="auto"/>
                <w:shd w:val="clear" w:color="auto" w:fill="FFFFFF"/>
              </w:rPr>
            </w:pPr>
            <w:r w:rsidRPr="00FA233A">
              <w:rPr>
                <w:rFonts w:ascii="Times New Roman" w:hAnsi="Times New Roman" w:cs="Times New Roman"/>
                <w:i/>
                <w:iCs/>
                <w:color w:val="auto"/>
                <w:shd w:val="clear" w:color="auto" w:fill="FFFFFF"/>
              </w:rPr>
              <w:t>„Článok 9a</w:t>
            </w:r>
          </w:p>
          <w:p w:rsidR="0088738F" w:rsidRPr="00FA233A" w:rsidRDefault="0088738F" w:rsidP="00063566">
            <w:pPr>
              <w:pStyle w:val="Default"/>
              <w:jc w:val="both"/>
              <w:rPr>
                <w:rFonts w:ascii="Times New Roman" w:hAnsi="Times New Roman" w:cs="Times New Roman"/>
              </w:rPr>
            </w:pPr>
          </w:p>
          <w:p w:rsidR="005566C5" w:rsidRPr="00FA233A" w:rsidRDefault="005566C5" w:rsidP="00063566">
            <w:pPr>
              <w:pStyle w:val="Default"/>
              <w:jc w:val="both"/>
              <w:rPr>
                <w:rFonts w:ascii="Times New Roman" w:hAnsi="Times New Roman" w:cs="Times New Roman"/>
              </w:rPr>
            </w:pPr>
            <w:r w:rsidRPr="00FA233A">
              <w:rPr>
                <w:rFonts w:ascii="Times New Roman" w:hAnsi="Times New Roman" w:cs="Times New Roman"/>
              </w:rPr>
              <w:t xml:space="preserve">Reverzné hybridné nesúlady </w:t>
            </w:r>
          </w:p>
          <w:p w:rsidR="005566C5" w:rsidRPr="00FA233A" w:rsidRDefault="005566C5" w:rsidP="00063566">
            <w:pPr>
              <w:pStyle w:val="Default"/>
              <w:jc w:val="both"/>
              <w:rPr>
                <w:rFonts w:ascii="Times New Roman" w:hAnsi="Times New Roman" w:cs="Times New Roman"/>
              </w:rPr>
            </w:pPr>
            <w:r w:rsidRPr="00FA233A">
              <w:rPr>
                <w:rFonts w:ascii="Times New Roman" w:hAnsi="Times New Roman" w:cs="Times New Roman"/>
              </w:rPr>
              <w:t>1.Ak jeden alebo viacero prepojených nerezidentných subjektov, ktoré majú v hybridnom subjekte zriadenom alebo usadenom v členskom štáte celkovú priamu alebo nepriamu účasť vo výške aspoň 50 % na hlasovacích právach, základnom imaní alebo právach na podiel na zisku, sídli v jurisdikcii alebo jurisdikciách, ktoré považujú tento hybridný subjekt za zdaniteľnú osobu, považuje sa tento hybridný subjekt za rezidenta daného členského štátu, pričom jeho príjem sa zdaňuje v rozsahu, v akom sa inak uvedený príjem nezdaňuje podľa právnych predpisov daného členského štátu alebo akejkoľvek inej jurisdikcie.</w:t>
            </w:r>
          </w:p>
          <w:p w:rsidR="00063566" w:rsidRPr="00FA233A" w:rsidRDefault="00063566" w:rsidP="00063566">
            <w:pPr>
              <w:pStyle w:val="Default"/>
              <w:jc w:val="both"/>
              <w:rPr>
                <w:rFonts w:ascii="Times New Roman" w:hAnsi="Times New Roman" w:cs="Times New Roman"/>
              </w:rPr>
            </w:pPr>
          </w:p>
          <w:p w:rsidR="009813A8" w:rsidRPr="00FA233A" w:rsidRDefault="005566C5" w:rsidP="00063566">
            <w:pPr>
              <w:pStyle w:val="Default"/>
              <w:jc w:val="both"/>
              <w:rPr>
                <w:rFonts w:ascii="Times New Roman" w:hAnsi="Times New Roman" w:cs="Times New Roman"/>
              </w:rPr>
            </w:pPr>
            <w:r w:rsidRPr="00FA233A">
              <w:rPr>
                <w:rFonts w:ascii="Times New Roman" w:hAnsi="Times New Roman" w:cs="Times New Roman"/>
              </w:rPr>
              <w:lastRenderedPageBreak/>
              <w:t>2.Odsek 1 sa nevzťahuje na podnik kolektívneho investovania. Na účely tohto článku je „podnikom kolektívneho investovania“ investičný fond alebo podnik, ktorý má mnoho držiteľov, diverzifikované portfólio cenných papierov a podlieha regulácii v oblasti ochrany investora v krajine, v ktorej je usadený.</w:t>
            </w:r>
            <w:r w:rsidR="0017639F" w:rsidRPr="00FA233A">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12" w:space="0" w:color="auto"/>
            </w:tcBorders>
          </w:tcPr>
          <w:p w:rsidR="00656B18" w:rsidRPr="00A1700E" w:rsidRDefault="009B7F2E">
            <w:pPr>
              <w:jc w:val="center"/>
            </w:pPr>
            <w:r w:rsidRPr="00A1700E">
              <w:lastRenderedPageBreak/>
              <w:t>N</w:t>
            </w:r>
          </w:p>
          <w:p w:rsidR="00DC7E3F" w:rsidRPr="00A1700E" w:rsidRDefault="00DC7E3F">
            <w:pPr>
              <w:jc w:val="center"/>
            </w:pPr>
          </w:p>
          <w:p w:rsidR="00DC7E3F" w:rsidRPr="00A1700E" w:rsidRDefault="00DC7E3F">
            <w:pPr>
              <w:jc w:val="center"/>
            </w:pPr>
          </w:p>
          <w:p w:rsidR="00DC7E3F" w:rsidRPr="00A1700E" w:rsidRDefault="00DC7E3F">
            <w:pPr>
              <w:jc w:val="center"/>
            </w:pPr>
          </w:p>
          <w:p w:rsidR="00DC7E3F" w:rsidRPr="00A1700E" w:rsidRDefault="00DC7E3F">
            <w:pPr>
              <w:jc w:val="center"/>
            </w:pPr>
          </w:p>
          <w:p w:rsidR="00DC7E3F" w:rsidRPr="00A1700E" w:rsidRDefault="00DC7E3F">
            <w:pPr>
              <w:jc w:val="center"/>
            </w:pPr>
          </w:p>
          <w:p w:rsidR="00DC7E3F" w:rsidRPr="00A1700E" w:rsidRDefault="00DC7E3F">
            <w:pPr>
              <w:jc w:val="center"/>
            </w:pPr>
          </w:p>
          <w:p w:rsidR="00DC7E3F" w:rsidRPr="00A1700E" w:rsidRDefault="00DC7E3F">
            <w:pPr>
              <w:jc w:val="center"/>
            </w:pPr>
          </w:p>
          <w:p w:rsidR="00DC7E3F" w:rsidRPr="00A1700E" w:rsidRDefault="00DC7E3F">
            <w:pPr>
              <w:jc w:val="center"/>
            </w:pPr>
          </w:p>
          <w:p w:rsidR="00DC7E3F" w:rsidRPr="00A1700E" w:rsidRDefault="00DC7E3F">
            <w:pPr>
              <w:jc w:val="center"/>
            </w:pPr>
          </w:p>
          <w:p w:rsidR="00DC7E3F" w:rsidRPr="00A1700E" w:rsidRDefault="00DC7E3F">
            <w:pPr>
              <w:jc w:val="center"/>
            </w:pPr>
          </w:p>
          <w:p w:rsidR="00DC7E3F" w:rsidRPr="00A1700E" w:rsidRDefault="00DC7E3F">
            <w:pPr>
              <w:jc w:val="center"/>
            </w:pPr>
          </w:p>
          <w:p w:rsidR="00DC7E3F" w:rsidRPr="00A1700E" w:rsidRDefault="00DC7E3F">
            <w:pPr>
              <w:jc w:val="center"/>
            </w:pPr>
          </w:p>
          <w:p w:rsidR="008B1B4C" w:rsidRPr="00A1700E" w:rsidRDefault="008B1B4C" w:rsidP="000E3A4F"/>
        </w:tc>
        <w:tc>
          <w:tcPr>
            <w:tcW w:w="851" w:type="dxa"/>
            <w:tcBorders>
              <w:top w:val="single" w:sz="4" w:space="0" w:color="auto"/>
              <w:left w:val="nil"/>
              <w:bottom w:val="single" w:sz="4" w:space="0" w:color="auto"/>
              <w:right w:val="single" w:sz="4" w:space="0" w:color="auto"/>
            </w:tcBorders>
          </w:tcPr>
          <w:p w:rsidR="00656B18" w:rsidRPr="00A1700E" w:rsidRDefault="009B7F2E">
            <w:pPr>
              <w:jc w:val="center"/>
              <w:rPr>
                <w:b/>
              </w:rPr>
            </w:pPr>
            <w:r w:rsidRPr="00A1700E">
              <w:rPr>
                <w:b/>
              </w:rPr>
              <w:t>Návrh zákona</w:t>
            </w:r>
            <w:r w:rsidR="00B26504" w:rsidRPr="00A1700E">
              <w:rPr>
                <w:b/>
              </w:rPr>
              <w:t xml:space="preserve"> Čl. I</w:t>
            </w:r>
          </w:p>
          <w:p w:rsidR="0044685F" w:rsidRPr="00A1700E" w:rsidRDefault="0044685F">
            <w:pPr>
              <w:jc w:val="center"/>
              <w:rPr>
                <w:b/>
              </w:rPr>
            </w:pPr>
          </w:p>
          <w:p w:rsidR="0044685F" w:rsidRPr="00A1700E" w:rsidRDefault="0044685F">
            <w:pPr>
              <w:jc w:val="center"/>
              <w:rPr>
                <w:b/>
              </w:rPr>
            </w:pPr>
          </w:p>
          <w:p w:rsidR="0044685F" w:rsidRPr="00A1700E" w:rsidRDefault="0044685F">
            <w:pPr>
              <w:jc w:val="center"/>
              <w:rPr>
                <w:b/>
              </w:rPr>
            </w:pPr>
          </w:p>
          <w:p w:rsidR="0044685F" w:rsidRPr="00A1700E" w:rsidRDefault="0044685F">
            <w:pPr>
              <w:jc w:val="center"/>
              <w:rPr>
                <w:b/>
              </w:rPr>
            </w:pPr>
          </w:p>
          <w:p w:rsidR="0044685F" w:rsidRPr="00A1700E" w:rsidRDefault="0044685F">
            <w:pPr>
              <w:jc w:val="center"/>
              <w:rPr>
                <w:b/>
              </w:rPr>
            </w:pPr>
          </w:p>
          <w:p w:rsidR="0044685F" w:rsidRPr="00A1700E" w:rsidRDefault="0044685F">
            <w:pPr>
              <w:jc w:val="center"/>
              <w:rPr>
                <w:b/>
              </w:rPr>
            </w:pPr>
          </w:p>
          <w:p w:rsidR="0044685F" w:rsidRPr="00A1700E" w:rsidRDefault="0044685F">
            <w:pPr>
              <w:jc w:val="center"/>
              <w:rPr>
                <w:b/>
              </w:rPr>
            </w:pPr>
          </w:p>
          <w:p w:rsidR="0044685F" w:rsidRPr="00A1700E" w:rsidRDefault="0044685F">
            <w:pPr>
              <w:jc w:val="center"/>
              <w:rPr>
                <w:b/>
              </w:rPr>
            </w:pPr>
          </w:p>
          <w:p w:rsidR="0044685F" w:rsidRPr="00A1700E" w:rsidRDefault="0044685F">
            <w:pPr>
              <w:jc w:val="center"/>
              <w:rPr>
                <w:b/>
              </w:rPr>
            </w:pPr>
          </w:p>
          <w:p w:rsidR="0044685F" w:rsidRPr="00A1700E" w:rsidRDefault="0044685F">
            <w:pPr>
              <w:jc w:val="center"/>
              <w:rPr>
                <w:b/>
              </w:rPr>
            </w:pPr>
          </w:p>
          <w:p w:rsidR="0044685F" w:rsidRPr="00A1700E" w:rsidRDefault="0044685F">
            <w:pPr>
              <w:jc w:val="center"/>
              <w:rPr>
                <w:b/>
              </w:rPr>
            </w:pPr>
          </w:p>
          <w:p w:rsidR="005566C5" w:rsidRPr="00A1700E" w:rsidRDefault="005566C5">
            <w:pPr>
              <w:jc w:val="center"/>
            </w:pPr>
          </w:p>
          <w:p w:rsidR="005566C5" w:rsidRPr="00A1700E" w:rsidRDefault="005566C5" w:rsidP="005566C5"/>
          <w:p w:rsidR="005566C5" w:rsidRPr="00A1700E" w:rsidRDefault="005566C5" w:rsidP="005566C5"/>
          <w:p w:rsidR="0044685F" w:rsidRPr="00A1700E" w:rsidRDefault="0044685F" w:rsidP="005566C5"/>
        </w:tc>
        <w:tc>
          <w:tcPr>
            <w:tcW w:w="850" w:type="dxa"/>
            <w:tcBorders>
              <w:top w:val="single" w:sz="4" w:space="0" w:color="auto"/>
              <w:left w:val="single" w:sz="4" w:space="0" w:color="auto"/>
              <w:bottom w:val="single" w:sz="4" w:space="0" w:color="auto"/>
              <w:right w:val="single" w:sz="4" w:space="0" w:color="auto"/>
            </w:tcBorders>
          </w:tcPr>
          <w:p w:rsidR="009B7F2E" w:rsidRPr="00A1700E" w:rsidRDefault="009B7F2E" w:rsidP="009B7F2E">
            <w:pPr>
              <w:jc w:val="center"/>
              <w:rPr>
                <w:b/>
              </w:rPr>
            </w:pPr>
            <w:r w:rsidRPr="00A1700E">
              <w:rPr>
                <w:b/>
              </w:rPr>
              <w:lastRenderedPageBreak/>
              <w:t>§ 17j</w:t>
            </w: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9B7F2E" w:rsidRPr="00A1700E" w:rsidRDefault="009B7F2E" w:rsidP="009B7F2E">
            <w:pPr>
              <w:jc w:val="center"/>
              <w:rPr>
                <w:b/>
              </w:rPr>
            </w:pPr>
          </w:p>
          <w:p w:rsidR="00585BCC" w:rsidRPr="00A1700E" w:rsidRDefault="00585BCC" w:rsidP="009B7F2E">
            <w:pPr>
              <w:jc w:val="center"/>
              <w:rPr>
                <w:b/>
              </w:rPr>
            </w:pPr>
          </w:p>
          <w:p w:rsidR="009B7F2E" w:rsidRPr="00A1700E" w:rsidRDefault="009B7F2E" w:rsidP="009B7F2E">
            <w:pPr>
              <w:jc w:val="center"/>
              <w:rPr>
                <w:b/>
              </w:rPr>
            </w:pPr>
          </w:p>
          <w:p w:rsidR="00585BCC" w:rsidRPr="00A1700E" w:rsidRDefault="00585BCC" w:rsidP="009B7F2E">
            <w:pPr>
              <w:jc w:val="center"/>
              <w:rPr>
                <w:b/>
              </w:rPr>
            </w:pPr>
          </w:p>
          <w:p w:rsidR="00063566" w:rsidRDefault="00063566" w:rsidP="009B7F2E">
            <w:pPr>
              <w:jc w:val="center"/>
              <w:rPr>
                <w:b/>
              </w:rPr>
            </w:pPr>
          </w:p>
          <w:p w:rsidR="00A1700E" w:rsidRDefault="00A1700E" w:rsidP="009B7F2E">
            <w:pPr>
              <w:jc w:val="center"/>
              <w:rPr>
                <w:b/>
              </w:rPr>
            </w:pPr>
          </w:p>
          <w:p w:rsidR="00A1700E" w:rsidRDefault="00A1700E" w:rsidP="009B7F2E">
            <w:pPr>
              <w:jc w:val="center"/>
              <w:rPr>
                <w:b/>
              </w:rPr>
            </w:pPr>
          </w:p>
          <w:p w:rsidR="00A1700E" w:rsidRDefault="00A1700E" w:rsidP="009B7F2E">
            <w:pPr>
              <w:jc w:val="center"/>
              <w:rPr>
                <w:b/>
              </w:rPr>
            </w:pPr>
          </w:p>
          <w:p w:rsidR="00A1700E" w:rsidRDefault="00A1700E" w:rsidP="009B7F2E">
            <w:pPr>
              <w:jc w:val="center"/>
              <w:rPr>
                <w:b/>
              </w:rPr>
            </w:pPr>
          </w:p>
          <w:p w:rsidR="00A1700E" w:rsidRDefault="00A1700E" w:rsidP="009B7F2E">
            <w:pPr>
              <w:jc w:val="center"/>
              <w:rPr>
                <w:b/>
              </w:rPr>
            </w:pPr>
          </w:p>
          <w:p w:rsidR="00A1700E" w:rsidRDefault="00A1700E" w:rsidP="009B7F2E">
            <w:pPr>
              <w:jc w:val="center"/>
              <w:rPr>
                <w:b/>
              </w:rPr>
            </w:pPr>
          </w:p>
          <w:p w:rsidR="00A1700E" w:rsidRDefault="00A1700E" w:rsidP="009B7F2E">
            <w:pPr>
              <w:jc w:val="center"/>
              <w:rPr>
                <w:b/>
              </w:rPr>
            </w:pPr>
          </w:p>
          <w:p w:rsidR="00A1700E" w:rsidRDefault="00A1700E" w:rsidP="009B7F2E">
            <w:pPr>
              <w:jc w:val="center"/>
              <w:rPr>
                <w:b/>
              </w:rPr>
            </w:pPr>
          </w:p>
          <w:p w:rsidR="00A1700E" w:rsidRDefault="00A1700E" w:rsidP="009B7F2E">
            <w:pPr>
              <w:jc w:val="center"/>
              <w:rPr>
                <w:b/>
              </w:rPr>
            </w:pPr>
          </w:p>
          <w:p w:rsidR="0044685F" w:rsidRPr="00A1700E" w:rsidRDefault="0044685F" w:rsidP="00744E6F">
            <w:pPr>
              <w:rPr>
                <w:b/>
              </w:rPr>
            </w:pPr>
          </w:p>
        </w:tc>
        <w:tc>
          <w:tcPr>
            <w:tcW w:w="4678" w:type="dxa"/>
            <w:tcBorders>
              <w:top w:val="single" w:sz="4" w:space="0" w:color="auto"/>
              <w:left w:val="single" w:sz="4" w:space="0" w:color="auto"/>
              <w:bottom w:val="single" w:sz="4" w:space="0" w:color="auto"/>
              <w:right w:val="single" w:sz="4" w:space="0" w:color="auto"/>
            </w:tcBorders>
          </w:tcPr>
          <w:p w:rsidR="001D3D0C" w:rsidRPr="001D3D0C" w:rsidRDefault="001D3D0C" w:rsidP="001D3D0C">
            <w:pPr>
              <w:jc w:val="both"/>
              <w:rPr>
                <w:b/>
              </w:rPr>
            </w:pPr>
            <w:r w:rsidRPr="001D3D0C">
              <w:rPr>
                <w:b/>
              </w:rPr>
              <w:lastRenderedPageBreak/>
              <w:t>Pravidlá pre reverzný hybridný subjekt</w:t>
            </w:r>
          </w:p>
          <w:p w:rsidR="001D3D0C" w:rsidRPr="001D3D0C" w:rsidRDefault="001D3D0C" w:rsidP="001D3D0C">
            <w:pPr>
              <w:jc w:val="both"/>
              <w:rPr>
                <w:b/>
              </w:rPr>
            </w:pPr>
            <w:r w:rsidRPr="001D3D0C">
              <w:rPr>
                <w:b/>
              </w:rPr>
              <w:t>(1)</w:t>
            </w:r>
            <w:r w:rsidRPr="001D3D0C">
              <w:rPr>
                <w:b/>
              </w:rPr>
              <w:tab/>
              <w:t xml:space="preserve">Súčasťou základu dane reverzného hybridného subjektu sú príjmy (výnosy) dosahované týmto subjektom v časti, v akej nie sú zdaňované na úrovni spoločníka verejnej obchodnej spoločnosti, komplementára komanditnej spoločnosti, príjemcu príjmu (výnosu) plynúceho od subjektu s právnou subjektivitou alebo príjemcu príjmu (výnosu) plynúceho od subjektu bez právnej subjektivity podľa tohto zákona alebo podľa daňových predpisov platných v zahraničí. Pri zisťovaní základu dane alebo daňovej straty reverzného hybridného subjektu sa </w:t>
            </w:r>
            <w:r w:rsidRPr="001D3D0C">
              <w:rPr>
                <w:b/>
              </w:rPr>
              <w:lastRenderedPageBreak/>
              <w:t>postupuje podľa § 17 až 29. Toto ustanovenie sa nepoužije, ak reverzným hybridným subjektom je subjekt kolektívneho investovania podľa osobitného predpisu,</w:t>
            </w:r>
            <w:r w:rsidRPr="001D3D0C">
              <w:rPr>
                <w:b/>
                <w:vertAlign w:val="superscript"/>
              </w:rPr>
              <w:t>80ce</w:t>
            </w:r>
            <w:r w:rsidRPr="001D3D0C">
              <w:rPr>
                <w:b/>
              </w:rPr>
              <w:t>) ktorý má široký okruh podielnikov, diverzifikované portfólio cenných papierov a podlieha regulácii v oblasti ochrany investora v Slovenskej republike.</w:t>
            </w:r>
          </w:p>
          <w:p w:rsidR="001D3D0C" w:rsidRPr="001D3D0C" w:rsidRDefault="001D3D0C" w:rsidP="001D3D0C">
            <w:pPr>
              <w:jc w:val="both"/>
              <w:rPr>
                <w:b/>
              </w:rPr>
            </w:pPr>
            <w:r w:rsidRPr="001D3D0C">
              <w:rPr>
                <w:b/>
              </w:rPr>
              <w:t>(2)</w:t>
            </w:r>
            <w:r w:rsidRPr="001D3D0C">
              <w:rPr>
                <w:b/>
              </w:rPr>
              <w:tab/>
              <w:t>Transparentným subjektom sa rozumie verejná obchodná spoločnosť alebo komanditná spoločnosť so sídlom na území Slovenskej republiky, subjekt s právnou subjektivitou a subjekt bez právnej subjektivity, založené alebo zriadené na území Slovenskej republiky, ktorých príjmy (výnosy) sú zdaňované až na úrovni spoločníkov, komplementárov alebo príjemcov príjmu (výnosu) plynúceho od subjektu s právnou subjektivitou alebo príjemcov príjmu (výnosu) plynúceho od subjektu bez právnej subjektivity; ak ide komanditnú spoločnosť, subjekt s právnou subjektivitou a subjekt bez právnej subjektivity, ktorých príjmy (výnosy) sú na úrovni komplementárov alebo príjemcov príjmu plynúceho od subjektu s právnou subjektivitou alebo príjemcov príjmu (výnosu) plynúceho od subjektu bez právnej subjektivity zdaňované iba z časti, považujú sa za transparentný subjekt iba v rozsahu tých príjmov (výnosov), ktoré sú zdaňované na úrovni komplementára, príjemcu príjmu (výnosu) plynúceho od subjektu s právnou subjektivitou alebo príjemcu príjmu (výnosu) plynúceho od subjektu bez právnej subjektivity.</w:t>
            </w:r>
          </w:p>
          <w:p w:rsidR="001D3D0C" w:rsidRPr="001D3D0C" w:rsidRDefault="001D3D0C" w:rsidP="001D3D0C">
            <w:pPr>
              <w:jc w:val="both"/>
              <w:rPr>
                <w:b/>
              </w:rPr>
            </w:pPr>
            <w:r w:rsidRPr="001D3D0C">
              <w:rPr>
                <w:b/>
              </w:rPr>
              <w:lastRenderedPageBreak/>
              <w:t>(3)</w:t>
            </w:r>
            <w:r w:rsidRPr="001D3D0C">
              <w:rPr>
                <w:b/>
              </w:rPr>
              <w:tab/>
              <w:t>Reverzným hybridným subjektom sa rozumie transparentný subjekt v tej časti príjmov (výnosov) pripadajúcich na spoločníka verejnej obchodnej spoločnosti, komplementára komanditnej spoločnosti, príjemcu príjmu (výnosu) plynúceho od subjektu s právnou subjektivitou alebo príjemcu príjmu (výnosu) plynúceho od subjektu bez právnej subjektivity, v akej sa zahrňujú do základu dane podľa odseku 1 a</w:t>
            </w:r>
            <w:r w:rsidR="008B7793">
              <w:rPr>
                <w:b/>
              </w:rPr>
              <w:t xml:space="preserve"> tento </w:t>
            </w:r>
            <w:bookmarkStart w:id="0" w:name="_GoBack"/>
            <w:bookmarkEnd w:id="0"/>
            <w:r w:rsidRPr="001D3D0C">
              <w:rPr>
                <w:b/>
              </w:rPr>
              <w:t>spoločník verejnej obchodnej spoločnosti, komplementár komanditnej spoločnosti, príjemca príjmu (výnosu) plynúceho od subjektu s právnou subjektivitou alebo príjemca príjmu (výnosu) plynúceho od subjektu bez právnej subjektivity</w:t>
            </w:r>
          </w:p>
          <w:p w:rsidR="001D3D0C" w:rsidRPr="001D3D0C" w:rsidRDefault="001D3D0C" w:rsidP="001D3D0C">
            <w:pPr>
              <w:jc w:val="both"/>
              <w:rPr>
                <w:b/>
              </w:rPr>
            </w:pPr>
            <w:r w:rsidRPr="001D3D0C">
              <w:rPr>
                <w:b/>
              </w:rPr>
              <w:t>a)</w:t>
            </w:r>
            <w:r w:rsidRPr="001D3D0C">
              <w:rPr>
                <w:b/>
              </w:rPr>
              <w:tab/>
              <w:t>je daňovníkom s obmedzenou daňovou povinnosťou,</w:t>
            </w:r>
          </w:p>
          <w:p w:rsidR="001D3D0C" w:rsidRPr="001D3D0C" w:rsidRDefault="001D3D0C" w:rsidP="001D3D0C">
            <w:pPr>
              <w:jc w:val="both"/>
              <w:rPr>
                <w:b/>
              </w:rPr>
            </w:pPr>
            <w:r w:rsidRPr="001D3D0C">
              <w:rPr>
                <w:b/>
              </w:rPr>
              <w:t>b)</w:t>
            </w:r>
            <w:r w:rsidRPr="001D3D0C">
              <w:rPr>
                <w:b/>
              </w:rPr>
              <w:tab/>
              <w:t>sám alebo spolu so závislými osobami podľa § 2 písm. n) až r), ktoré sú daňovníkmi s obmedzenou daňovou povinnosťou, má priamy podiel alebo nepriamy podiel na základnom imaní tohto subjektu najmenej 50 % alebo má priamy podiel alebo nepriamy podiel na hlasovacích právach tohto subjektu najmenej 50 %, alebo má nárok na podiel na zisku tohto subjektu najmenej 50 % a</w:t>
            </w:r>
          </w:p>
          <w:p w:rsidR="0044685F" w:rsidRPr="00407BB8" w:rsidRDefault="001D3D0C" w:rsidP="00826F8A">
            <w:pPr>
              <w:jc w:val="both"/>
              <w:rPr>
                <w:b/>
              </w:rPr>
            </w:pPr>
            <w:r w:rsidRPr="001D3D0C">
              <w:rPr>
                <w:b/>
              </w:rPr>
              <w:t>c)</w:t>
            </w:r>
            <w:r w:rsidRPr="001D3D0C">
              <w:rPr>
                <w:b/>
              </w:rPr>
              <w:tab/>
            </w:r>
            <w:r w:rsidR="009B593A" w:rsidRPr="009B593A">
              <w:rPr>
                <w:b/>
              </w:rPr>
              <w:t>považuje podľa daňových predpisov štátu, v ktorom je daňovníkom s neobmedzenou daňovou povinnosťou, tento transparentný subjekt za daňovníka, ktorý je na území Slovenskej republiky zdaňovaný na úrovni spoločnosti obdobne ako obchodná spoločnosť alebo družstvo</w:t>
            </w:r>
            <w:r w:rsidR="00826F8A">
              <w:rPr>
                <w:b/>
              </w:rPr>
              <w:t>.</w:t>
            </w:r>
            <w:r w:rsidR="00826F8A" w:rsidRPr="00826F8A">
              <w:rPr>
                <w:b/>
                <w:vertAlign w:val="superscript"/>
              </w:rPr>
              <w:t>80cf</w:t>
            </w:r>
            <w:r w:rsidR="00826F8A">
              <w:rPr>
                <w:b/>
              </w:rPr>
              <w:t>)</w:t>
            </w:r>
          </w:p>
        </w:tc>
        <w:tc>
          <w:tcPr>
            <w:tcW w:w="709" w:type="dxa"/>
            <w:tcBorders>
              <w:top w:val="single" w:sz="4" w:space="0" w:color="auto"/>
              <w:left w:val="single" w:sz="4" w:space="0" w:color="auto"/>
              <w:bottom w:val="single" w:sz="4" w:space="0" w:color="auto"/>
              <w:right w:val="single" w:sz="4" w:space="0" w:color="auto"/>
            </w:tcBorders>
          </w:tcPr>
          <w:p w:rsidR="00656B18" w:rsidRPr="00A1700E" w:rsidRDefault="00865C08">
            <w:pPr>
              <w:jc w:val="center"/>
            </w:pPr>
            <w:r w:rsidRPr="00A1700E">
              <w:lastRenderedPageBreak/>
              <w:t>Ú</w:t>
            </w:r>
          </w:p>
          <w:p w:rsidR="00C1244D" w:rsidRPr="00A1700E" w:rsidRDefault="00C1244D">
            <w:pPr>
              <w:jc w:val="center"/>
            </w:pPr>
          </w:p>
          <w:p w:rsidR="00C1244D" w:rsidRPr="00A1700E" w:rsidRDefault="00C1244D">
            <w:pPr>
              <w:jc w:val="center"/>
            </w:pPr>
          </w:p>
          <w:p w:rsidR="00C1244D" w:rsidRPr="00A1700E" w:rsidRDefault="00C1244D">
            <w:pPr>
              <w:jc w:val="center"/>
            </w:pPr>
          </w:p>
          <w:p w:rsidR="00C1244D" w:rsidRPr="00A1700E" w:rsidRDefault="00C1244D">
            <w:pPr>
              <w:jc w:val="center"/>
            </w:pPr>
          </w:p>
          <w:p w:rsidR="00C1244D" w:rsidRPr="00A1700E" w:rsidRDefault="00C1244D">
            <w:pPr>
              <w:jc w:val="center"/>
            </w:pPr>
          </w:p>
          <w:p w:rsidR="00C1244D" w:rsidRPr="00A1700E" w:rsidRDefault="00C1244D">
            <w:pPr>
              <w:jc w:val="center"/>
            </w:pPr>
          </w:p>
          <w:p w:rsidR="00C1244D" w:rsidRPr="00A1700E" w:rsidRDefault="00C1244D">
            <w:pPr>
              <w:jc w:val="center"/>
            </w:pPr>
          </w:p>
          <w:p w:rsidR="00C1244D" w:rsidRPr="00A1700E" w:rsidRDefault="00C1244D">
            <w:pPr>
              <w:jc w:val="center"/>
            </w:pPr>
          </w:p>
          <w:p w:rsidR="00C1244D" w:rsidRPr="00A1700E" w:rsidRDefault="00C1244D">
            <w:pPr>
              <w:jc w:val="center"/>
            </w:pPr>
          </w:p>
          <w:p w:rsidR="00C1244D" w:rsidRPr="00A1700E" w:rsidRDefault="00C1244D">
            <w:pPr>
              <w:jc w:val="center"/>
            </w:pPr>
          </w:p>
          <w:p w:rsidR="00C1244D" w:rsidRPr="00A1700E" w:rsidRDefault="00C1244D">
            <w:pPr>
              <w:jc w:val="center"/>
            </w:pPr>
          </w:p>
          <w:p w:rsidR="00C1244D" w:rsidRPr="00A1700E" w:rsidRDefault="00C1244D" w:rsidP="005566C5"/>
        </w:tc>
        <w:tc>
          <w:tcPr>
            <w:tcW w:w="1059" w:type="dxa"/>
            <w:tcBorders>
              <w:top w:val="single" w:sz="4" w:space="0" w:color="auto"/>
              <w:left w:val="single" w:sz="4" w:space="0" w:color="auto"/>
              <w:bottom w:val="single" w:sz="4" w:space="0" w:color="auto"/>
              <w:right w:val="single" w:sz="12" w:space="0" w:color="auto"/>
            </w:tcBorders>
          </w:tcPr>
          <w:p w:rsidR="00656B18" w:rsidRPr="00A1700E" w:rsidRDefault="00656B18" w:rsidP="005566C5">
            <w:pPr>
              <w:pStyle w:val="Nadpis1"/>
              <w:rPr>
                <w:b w:val="0"/>
                <w:bCs w:val="0"/>
              </w:rPr>
            </w:pPr>
          </w:p>
        </w:tc>
      </w:tr>
      <w:tr w:rsidR="00656B18" w:rsidRPr="00A1700E" w:rsidTr="00C21CEF">
        <w:tc>
          <w:tcPr>
            <w:tcW w:w="540" w:type="dxa"/>
            <w:tcBorders>
              <w:top w:val="single" w:sz="4" w:space="0" w:color="auto"/>
              <w:left w:val="single" w:sz="12" w:space="0" w:color="auto"/>
              <w:bottom w:val="single" w:sz="4" w:space="0" w:color="auto"/>
              <w:right w:val="single" w:sz="4" w:space="0" w:color="auto"/>
            </w:tcBorders>
          </w:tcPr>
          <w:p w:rsidR="00656B18" w:rsidRPr="00A1700E" w:rsidRDefault="009A6EAF" w:rsidP="00A47BED">
            <w:pPr>
              <w:jc w:val="center"/>
            </w:pPr>
            <w:r>
              <w:lastRenderedPageBreak/>
              <w:t>Čl.2</w:t>
            </w:r>
            <w:r w:rsidR="005566C5" w:rsidRPr="00A1700E">
              <w:t xml:space="preserve"> ods. 3</w:t>
            </w:r>
          </w:p>
        </w:tc>
        <w:tc>
          <w:tcPr>
            <w:tcW w:w="6946" w:type="dxa"/>
            <w:gridSpan w:val="2"/>
            <w:tcBorders>
              <w:top w:val="single" w:sz="4" w:space="0" w:color="auto"/>
              <w:left w:val="single" w:sz="4" w:space="0" w:color="auto"/>
              <w:bottom w:val="single" w:sz="4" w:space="0" w:color="auto"/>
              <w:right w:val="single" w:sz="4" w:space="0" w:color="auto"/>
            </w:tcBorders>
          </w:tcPr>
          <w:p w:rsidR="005566C5" w:rsidRPr="00A1700E" w:rsidRDefault="005566C5" w:rsidP="00063566">
            <w:pPr>
              <w:pStyle w:val="CM4"/>
              <w:spacing w:before="60" w:after="60"/>
              <w:jc w:val="both"/>
              <w:rPr>
                <w:rFonts w:ascii="Times New Roman" w:hAnsi="Times New Roman"/>
                <w:b/>
              </w:rPr>
            </w:pPr>
            <w:r w:rsidRPr="00A1700E">
              <w:rPr>
                <w:rFonts w:ascii="Times New Roman" w:hAnsi="Times New Roman"/>
                <w:b/>
              </w:rPr>
              <w:t>Transpozícia</w:t>
            </w:r>
          </w:p>
          <w:p w:rsidR="005566C5" w:rsidRPr="00A1700E" w:rsidRDefault="005566C5" w:rsidP="00063566">
            <w:pPr>
              <w:pStyle w:val="CM4"/>
              <w:spacing w:before="60" w:after="60"/>
              <w:jc w:val="both"/>
              <w:rPr>
                <w:rFonts w:ascii="Times New Roman" w:hAnsi="Times New Roman"/>
              </w:rPr>
            </w:pPr>
            <w:r w:rsidRPr="00A1700E">
              <w:rPr>
                <w:rFonts w:ascii="Times New Roman" w:hAnsi="Times New Roman"/>
              </w:rPr>
              <w:t xml:space="preserve">Odchylne od odseku 1 členské štáty do 31. decembra 2021 prijmú a uverejnia zákony, iné právne predpisy a správne opatrenia potrebné na dosiahnutie súladu s článkom 9a smernice (EÚ) 2016/1164. Znenie týchto ustanovení bezodkladne oznámia Komisii. </w:t>
            </w:r>
          </w:p>
          <w:p w:rsidR="005566C5" w:rsidRPr="00A1700E" w:rsidRDefault="005566C5" w:rsidP="00A47BED">
            <w:pPr>
              <w:pStyle w:val="CM4"/>
              <w:spacing w:before="60" w:after="60"/>
              <w:rPr>
                <w:rFonts w:ascii="Times New Roman" w:hAnsi="Times New Roman"/>
              </w:rPr>
            </w:pPr>
          </w:p>
          <w:p w:rsidR="005566C5" w:rsidRPr="00A1700E" w:rsidRDefault="005566C5" w:rsidP="00A47BED">
            <w:pPr>
              <w:pStyle w:val="CM4"/>
              <w:spacing w:before="60" w:after="60"/>
              <w:rPr>
                <w:rFonts w:ascii="Times New Roman" w:hAnsi="Times New Roman"/>
              </w:rPr>
            </w:pPr>
            <w:r w:rsidRPr="00A1700E">
              <w:rPr>
                <w:rFonts w:ascii="Times New Roman" w:hAnsi="Times New Roman"/>
              </w:rPr>
              <w:t xml:space="preserve">Uvedené ustanovenia uplatňujú od 1. januára 2022. </w:t>
            </w:r>
          </w:p>
          <w:p w:rsidR="005566C5" w:rsidRDefault="005566C5" w:rsidP="00A47BED">
            <w:pPr>
              <w:pStyle w:val="CM4"/>
              <w:spacing w:before="60" w:after="60"/>
              <w:rPr>
                <w:rFonts w:ascii="Times New Roman" w:hAnsi="Times New Roman"/>
              </w:rPr>
            </w:pPr>
          </w:p>
          <w:p w:rsidR="00ED0069" w:rsidRDefault="00ED0069" w:rsidP="00ED0069">
            <w:pPr>
              <w:pStyle w:val="Default"/>
            </w:pPr>
          </w:p>
          <w:p w:rsidR="00ED0069" w:rsidRDefault="00ED0069" w:rsidP="00ED0069">
            <w:pPr>
              <w:pStyle w:val="Default"/>
            </w:pPr>
          </w:p>
          <w:p w:rsidR="00ED0069" w:rsidRDefault="00ED0069" w:rsidP="00ED0069">
            <w:pPr>
              <w:pStyle w:val="Default"/>
            </w:pPr>
          </w:p>
          <w:p w:rsidR="00ED0069" w:rsidRDefault="00ED0069" w:rsidP="00ED0069">
            <w:pPr>
              <w:pStyle w:val="Default"/>
            </w:pPr>
          </w:p>
          <w:p w:rsidR="00ED0069" w:rsidRDefault="00ED0069" w:rsidP="00ED0069">
            <w:pPr>
              <w:pStyle w:val="Default"/>
            </w:pPr>
          </w:p>
          <w:p w:rsidR="00ED0069" w:rsidRPr="00ED0069" w:rsidRDefault="00ED0069" w:rsidP="00ED0069">
            <w:pPr>
              <w:pStyle w:val="Default"/>
            </w:pPr>
          </w:p>
          <w:p w:rsidR="009813A8" w:rsidRPr="00A1700E" w:rsidRDefault="005566C5" w:rsidP="005566C5">
            <w:pPr>
              <w:pStyle w:val="CM4"/>
              <w:spacing w:before="60" w:after="60"/>
              <w:rPr>
                <w:rFonts w:ascii="Times New Roman" w:hAnsi="Times New Roman"/>
              </w:rPr>
            </w:pPr>
            <w:r w:rsidRPr="00A1700E">
              <w:rPr>
                <w:rFonts w:ascii="Times New Roman" w:hAnsi="Times New Roman"/>
              </w:rPr>
              <w:t xml:space="preserve">Členské štáty uvedú priamo v prijatých opatreniach alebo pri ich úradnom uverejnení odkaz na túto smernicu. Podrobnosti o tomto odkaze upravia členské štáty. </w:t>
            </w:r>
          </w:p>
        </w:tc>
        <w:tc>
          <w:tcPr>
            <w:tcW w:w="567" w:type="dxa"/>
            <w:tcBorders>
              <w:top w:val="single" w:sz="4" w:space="0" w:color="auto"/>
              <w:left w:val="single" w:sz="4" w:space="0" w:color="auto"/>
              <w:bottom w:val="single" w:sz="4" w:space="0" w:color="auto"/>
              <w:right w:val="single" w:sz="12" w:space="0" w:color="auto"/>
            </w:tcBorders>
          </w:tcPr>
          <w:p w:rsidR="00656B18" w:rsidRPr="00A1700E" w:rsidRDefault="00CC1946">
            <w:pPr>
              <w:jc w:val="center"/>
            </w:pPr>
            <w:r w:rsidRPr="00A1700E">
              <w:t>N</w:t>
            </w:r>
          </w:p>
        </w:tc>
        <w:tc>
          <w:tcPr>
            <w:tcW w:w="851" w:type="dxa"/>
            <w:tcBorders>
              <w:top w:val="single" w:sz="4" w:space="0" w:color="auto"/>
              <w:left w:val="nil"/>
              <w:bottom w:val="single" w:sz="4" w:space="0" w:color="auto"/>
              <w:right w:val="single" w:sz="4" w:space="0" w:color="auto"/>
            </w:tcBorders>
          </w:tcPr>
          <w:p w:rsidR="00F36768" w:rsidRPr="00A1700E" w:rsidRDefault="00CC1946">
            <w:pPr>
              <w:jc w:val="center"/>
              <w:rPr>
                <w:b/>
              </w:rPr>
            </w:pPr>
            <w:r w:rsidRPr="00A1700E">
              <w:rPr>
                <w:b/>
              </w:rPr>
              <w:t>Návrh zákona</w:t>
            </w:r>
            <w:r w:rsidR="00B26504" w:rsidRPr="00A1700E">
              <w:rPr>
                <w:b/>
              </w:rPr>
              <w:t xml:space="preserve">  Čl</w:t>
            </w:r>
            <w:r w:rsidR="00B64CF1" w:rsidRPr="00A1700E">
              <w:rPr>
                <w:b/>
              </w:rPr>
              <w:t>.</w:t>
            </w:r>
            <w:r w:rsidR="00B26504" w:rsidRPr="00A1700E">
              <w:rPr>
                <w:b/>
              </w:rPr>
              <w:t xml:space="preserve"> </w:t>
            </w:r>
            <w:r w:rsidR="00B64CF1" w:rsidRPr="00A1700E">
              <w:rPr>
                <w:b/>
              </w:rPr>
              <w:t>I</w:t>
            </w:r>
          </w:p>
          <w:p w:rsidR="00555D3C" w:rsidRPr="00A1700E" w:rsidRDefault="00555D3C">
            <w:pPr>
              <w:jc w:val="center"/>
              <w:rPr>
                <w:b/>
              </w:rPr>
            </w:pPr>
          </w:p>
          <w:p w:rsidR="00555D3C" w:rsidRPr="00A1700E" w:rsidRDefault="00555D3C">
            <w:pPr>
              <w:jc w:val="center"/>
              <w:rPr>
                <w:b/>
              </w:rPr>
            </w:pPr>
          </w:p>
          <w:p w:rsidR="00555D3C" w:rsidRPr="00A1700E" w:rsidRDefault="00555D3C">
            <w:pPr>
              <w:jc w:val="center"/>
              <w:rPr>
                <w:b/>
              </w:rPr>
            </w:pPr>
          </w:p>
          <w:p w:rsidR="00555D3C" w:rsidRPr="00A1700E" w:rsidRDefault="00555D3C">
            <w:pPr>
              <w:jc w:val="center"/>
              <w:rPr>
                <w:b/>
              </w:rPr>
            </w:pPr>
          </w:p>
          <w:p w:rsidR="00F36768" w:rsidRPr="00A1700E" w:rsidRDefault="00F36768">
            <w:pPr>
              <w:jc w:val="center"/>
              <w:rPr>
                <w:b/>
              </w:rPr>
            </w:pPr>
          </w:p>
          <w:p w:rsidR="00F36768" w:rsidRPr="00A1700E" w:rsidRDefault="00F36768">
            <w:pPr>
              <w:jc w:val="center"/>
              <w:rPr>
                <w:b/>
              </w:rPr>
            </w:pPr>
          </w:p>
          <w:p w:rsidR="00F36768" w:rsidRDefault="00F36768">
            <w:pPr>
              <w:jc w:val="center"/>
              <w:rPr>
                <w:b/>
              </w:rPr>
            </w:pPr>
          </w:p>
          <w:p w:rsidR="00B9444F" w:rsidRDefault="00B9444F">
            <w:pPr>
              <w:jc w:val="center"/>
              <w:rPr>
                <w:b/>
              </w:rPr>
            </w:pPr>
          </w:p>
          <w:p w:rsidR="00A844CC" w:rsidRDefault="00A844CC">
            <w:pPr>
              <w:jc w:val="center"/>
              <w:rPr>
                <w:b/>
              </w:rPr>
            </w:pPr>
          </w:p>
          <w:p w:rsidR="00791080" w:rsidRDefault="00791080">
            <w:pPr>
              <w:jc w:val="center"/>
              <w:rPr>
                <w:b/>
              </w:rPr>
            </w:pPr>
          </w:p>
          <w:p w:rsidR="00A844CC" w:rsidRPr="00407BB8" w:rsidRDefault="00ED0069">
            <w:pPr>
              <w:jc w:val="center"/>
              <w:rPr>
                <w:b/>
              </w:rPr>
            </w:pPr>
            <w:r w:rsidRPr="00407BB8">
              <w:rPr>
                <w:b/>
              </w:rPr>
              <w:t xml:space="preserve">Návrh zákona  </w:t>
            </w:r>
          </w:p>
          <w:p w:rsidR="00F36768" w:rsidRPr="00407BB8" w:rsidRDefault="00791080">
            <w:pPr>
              <w:jc w:val="center"/>
              <w:rPr>
                <w:b/>
              </w:rPr>
            </w:pPr>
            <w:r>
              <w:rPr>
                <w:b/>
              </w:rPr>
              <w:t>Čl. IV</w:t>
            </w:r>
          </w:p>
          <w:p w:rsidR="00F36768" w:rsidRPr="00407BB8" w:rsidRDefault="00F36768">
            <w:pPr>
              <w:jc w:val="center"/>
              <w:rPr>
                <w:b/>
              </w:rPr>
            </w:pPr>
          </w:p>
          <w:p w:rsidR="00656B18" w:rsidRPr="00407BB8" w:rsidRDefault="00656B18" w:rsidP="005566C5">
            <w:pPr>
              <w:rPr>
                <w:b/>
              </w:rPr>
            </w:pPr>
          </w:p>
          <w:p w:rsidR="00ED0069" w:rsidRPr="00ED0069" w:rsidRDefault="00ED0069" w:rsidP="005566C5">
            <w:r w:rsidRPr="00407BB8">
              <w:t>595/ 2003</w:t>
            </w:r>
          </w:p>
        </w:tc>
        <w:tc>
          <w:tcPr>
            <w:tcW w:w="850" w:type="dxa"/>
            <w:tcBorders>
              <w:top w:val="single" w:sz="4" w:space="0" w:color="auto"/>
              <w:left w:val="single" w:sz="4" w:space="0" w:color="auto"/>
              <w:bottom w:val="single" w:sz="4" w:space="0" w:color="auto"/>
              <w:right w:val="single" w:sz="4" w:space="0" w:color="auto"/>
            </w:tcBorders>
          </w:tcPr>
          <w:p w:rsidR="0015472E" w:rsidRDefault="00B26504" w:rsidP="00F36768">
            <w:pPr>
              <w:jc w:val="center"/>
              <w:rPr>
                <w:b/>
              </w:rPr>
            </w:pPr>
            <w:r w:rsidRPr="00A1700E">
              <w:rPr>
                <w:b/>
              </w:rPr>
              <w:t>§ 52zzj ods. 1</w:t>
            </w:r>
          </w:p>
          <w:p w:rsidR="00ED0069" w:rsidRDefault="00ED0069" w:rsidP="00F36768">
            <w:pPr>
              <w:jc w:val="center"/>
              <w:rPr>
                <w:b/>
              </w:rPr>
            </w:pPr>
          </w:p>
          <w:p w:rsidR="00ED0069" w:rsidRDefault="00ED0069" w:rsidP="00F36768">
            <w:pPr>
              <w:jc w:val="center"/>
              <w:rPr>
                <w:b/>
              </w:rPr>
            </w:pPr>
          </w:p>
          <w:p w:rsidR="00ED0069" w:rsidRDefault="00ED0069" w:rsidP="00F36768">
            <w:pPr>
              <w:jc w:val="center"/>
              <w:rPr>
                <w:b/>
              </w:rPr>
            </w:pPr>
          </w:p>
          <w:p w:rsidR="00ED0069" w:rsidRDefault="00ED0069" w:rsidP="00F36768">
            <w:pPr>
              <w:jc w:val="center"/>
              <w:rPr>
                <w:b/>
              </w:rPr>
            </w:pPr>
          </w:p>
          <w:p w:rsidR="00ED0069" w:rsidRDefault="00ED0069" w:rsidP="00F36768">
            <w:pPr>
              <w:jc w:val="center"/>
              <w:rPr>
                <w:b/>
              </w:rPr>
            </w:pPr>
          </w:p>
          <w:p w:rsidR="00ED0069" w:rsidRDefault="00ED0069" w:rsidP="00F36768">
            <w:pPr>
              <w:jc w:val="center"/>
              <w:rPr>
                <w:b/>
              </w:rPr>
            </w:pPr>
          </w:p>
          <w:p w:rsidR="00ED0069" w:rsidRDefault="00ED0069" w:rsidP="00F36768">
            <w:pPr>
              <w:jc w:val="center"/>
              <w:rPr>
                <w:b/>
              </w:rPr>
            </w:pPr>
          </w:p>
          <w:p w:rsidR="00ED0069" w:rsidRDefault="00ED0069" w:rsidP="00F36768">
            <w:pPr>
              <w:jc w:val="center"/>
              <w:rPr>
                <w:b/>
              </w:rPr>
            </w:pPr>
          </w:p>
          <w:p w:rsidR="00ED0069" w:rsidRDefault="00ED0069" w:rsidP="00F36768">
            <w:pPr>
              <w:jc w:val="center"/>
              <w:rPr>
                <w:b/>
              </w:rPr>
            </w:pPr>
          </w:p>
          <w:p w:rsidR="00ED0069" w:rsidRDefault="00ED0069" w:rsidP="00F36768">
            <w:pPr>
              <w:jc w:val="center"/>
              <w:rPr>
                <w:b/>
              </w:rPr>
            </w:pPr>
          </w:p>
          <w:p w:rsidR="00ED0069" w:rsidRDefault="00ED0069" w:rsidP="00F36768">
            <w:pPr>
              <w:jc w:val="center"/>
              <w:rPr>
                <w:b/>
              </w:rPr>
            </w:pPr>
          </w:p>
          <w:p w:rsidR="00ED0069" w:rsidRDefault="00ED0069" w:rsidP="00F36768">
            <w:pPr>
              <w:jc w:val="center"/>
              <w:rPr>
                <w:b/>
              </w:rPr>
            </w:pPr>
          </w:p>
          <w:p w:rsidR="00ED0069" w:rsidRDefault="00ED0069" w:rsidP="00F36768">
            <w:pPr>
              <w:jc w:val="center"/>
              <w:rPr>
                <w:b/>
              </w:rPr>
            </w:pPr>
          </w:p>
          <w:p w:rsidR="00B9444F" w:rsidRDefault="00B9444F" w:rsidP="00F36768">
            <w:pPr>
              <w:jc w:val="center"/>
              <w:rPr>
                <w:b/>
              </w:rPr>
            </w:pPr>
          </w:p>
          <w:p w:rsidR="00ED0069" w:rsidRDefault="00ED0069" w:rsidP="00F36768">
            <w:pPr>
              <w:jc w:val="center"/>
              <w:rPr>
                <w:b/>
              </w:rPr>
            </w:pPr>
          </w:p>
          <w:p w:rsidR="00791080" w:rsidRDefault="00791080" w:rsidP="00F36768">
            <w:pPr>
              <w:jc w:val="center"/>
              <w:rPr>
                <w:b/>
              </w:rPr>
            </w:pPr>
          </w:p>
          <w:p w:rsidR="00ED0069" w:rsidRPr="00407BB8" w:rsidRDefault="00ED0069" w:rsidP="00F36768">
            <w:pPr>
              <w:jc w:val="center"/>
            </w:pPr>
            <w:r w:rsidRPr="00407BB8">
              <w:t>§ 52a</w:t>
            </w:r>
          </w:p>
          <w:p w:rsidR="00ED0069" w:rsidRPr="00407BB8" w:rsidRDefault="00ED0069" w:rsidP="00F36768">
            <w:pPr>
              <w:jc w:val="center"/>
              <w:rPr>
                <w:sz w:val="18"/>
                <w:szCs w:val="18"/>
              </w:rPr>
            </w:pPr>
          </w:p>
          <w:p w:rsidR="00ED0069" w:rsidRPr="00407BB8" w:rsidRDefault="00ED0069" w:rsidP="00F36768">
            <w:pPr>
              <w:jc w:val="center"/>
            </w:pPr>
          </w:p>
          <w:p w:rsidR="00ED0069" w:rsidRPr="00407BB8" w:rsidRDefault="00ED0069" w:rsidP="00F36768">
            <w:pPr>
              <w:jc w:val="center"/>
            </w:pPr>
            <w:r w:rsidRPr="00407BB8">
              <w:t>Príloha č. 2</w:t>
            </w:r>
          </w:p>
          <w:p w:rsidR="00ED0069" w:rsidRPr="00ED0069" w:rsidRDefault="00ED0069" w:rsidP="00F36768">
            <w:pPr>
              <w:jc w:val="center"/>
            </w:pPr>
            <w:r w:rsidRPr="00407BB8">
              <w:t xml:space="preserve">Bod </w:t>
            </w:r>
            <w:r w:rsidR="001506D1" w:rsidRPr="00407BB8">
              <w:t>9</w:t>
            </w:r>
          </w:p>
        </w:tc>
        <w:tc>
          <w:tcPr>
            <w:tcW w:w="4678" w:type="dxa"/>
            <w:tcBorders>
              <w:top w:val="single" w:sz="4" w:space="0" w:color="auto"/>
              <w:left w:val="single" w:sz="4" w:space="0" w:color="auto"/>
              <w:bottom w:val="single" w:sz="4" w:space="0" w:color="auto"/>
              <w:right w:val="single" w:sz="4" w:space="0" w:color="auto"/>
            </w:tcBorders>
          </w:tcPr>
          <w:p w:rsidR="00B26504" w:rsidRPr="00A1700E" w:rsidRDefault="00B26504" w:rsidP="00555D3C">
            <w:pPr>
              <w:tabs>
                <w:tab w:val="left" w:pos="915"/>
              </w:tabs>
              <w:jc w:val="both"/>
              <w:rPr>
                <w:b/>
              </w:rPr>
            </w:pPr>
            <w:r w:rsidRPr="00A1700E">
              <w:rPr>
                <w:b/>
              </w:rPr>
              <w:t>Prechodné ustanovenia k úpravám účinným od 1. januára 2022</w:t>
            </w:r>
          </w:p>
          <w:p w:rsidR="00791080" w:rsidRPr="00791080" w:rsidRDefault="00791080" w:rsidP="00791080">
            <w:pPr>
              <w:pStyle w:val="Odsekzoznamu"/>
              <w:numPr>
                <w:ilvl w:val="0"/>
                <w:numId w:val="40"/>
              </w:numPr>
              <w:ind w:left="183" w:hanging="141"/>
              <w:jc w:val="both"/>
              <w:rPr>
                <w:b/>
              </w:rPr>
            </w:pPr>
            <w:r w:rsidRPr="00791080">
              <w:rPr>
                <w:b/>
              </w:rPr>
              <w:t>Ustanovenia § 3 ods. 1 písm. e) a f),</w:t>
            </w:r>
            <w:r>
              <w:rPr>
                <w:b/>
              </w:rPr>
              <w:t xml:space="preserve">                  </w:t>
            </w:r>
            <w:r w:rsidR="00826F8A">
              <w:rPr>
                <w:b/>
              </w:rPr>
              <w:t xml:space="preserve"> § 6 ods. 1 písm. d), </w:t>
            </w:r>
            <w:r w:rsidRPr="00791080">
              <w:rPr>
                <w:b/>
              </w:rPr>
              <w:t>ods. 7 a 8,  § 12 ods. 4 až 6 a ods. 7 písm. c), § 14 ods. 4 a 5, § 16 ods. 1 písm. e) deviateho bodu, § 17j, § 30 ods. 3 a 4, § 44 ods. 2 a § 49a v znení účinnom od 1. januára 2022 sa prvýkrát uplatnia v zdaňovacom období, ktoré sa začína najskôr 1. januára 2022.</w:t>
            </w:r>
          </w:p>
          <w:p w:rsidR="0015472E" w:rsidRPr="00A1700E" w:rsidRDefault="0015472E" w:rsidP="00791080">
            <w:pPr>
              <w:pStyle w:val="Odsekzoznamu"/>
              <w:ind w:left="466"/>
              <w:jc w:val="both"/>
              <w:rPr>
                <w:b/>
              </w:rPr>
            </w:pPr>
          </w:p>
          <w:p w:rsidR="00555D3C" w:rsidRPr="00A1700E" w:rsidRDefault="00555D3C" w:rsidP="00555D3C">
            <w:pPr>
              <w:pStyle w:val="Odsekzoznamu"/>
              <w:tabs>
                <w:tab w:val="left" w:pos="915"/>
              </w:tabs>
              <w:ind w:left="41"/>
              <w:jc w:val="both"/>
              <w:rPr>
                <w:b/>
              </w:rPr>
            </w:pPr>
          </w:p>
          <w:p w:rsidR="00ED0069" w:rsidRDefault="00791080" w:rsidP="00555D3C">
            <w:pPr>
              <w:pStyle w:val="Odsekzoznamu"/>
              <w:tabs>
                <w:tab w:val="left" w:pos="915"/>
              </w:tabs>
              <w:ind w:left="41"/>
              <w:jc w:val="both"/>
              <w:rPr>
                <w:b/>
              </w:rPr>
            </w:pPr>
            <w:r w:rsidRPr="00791080">
              <w:rPr>
                <w:b/>
              </w:rPr>
              <w:t>Tento zákon nadobúda účinnosť 1. januára 2021 okrem</w:t>
            </w:r>
            <w:r w:rsidR="00547329">
              <w:rPr>
                <w:b/>
              </w:rPr>
              <w:t xml:space="preserve"> čl. I bodov 5, 6, 9, 13, 18, 21, 25, 26</w:t>
            </w:r>
            <w:r w:rsidRPr="00791080">
              <w:rPr>
                <w:b/>
              </w:rPr>
              <w:t>,</w:t>
            </w:r>
            <w:r w:rsidR="00547329">
              <w:rPr>
                <w:b/>
              </w:rPr>
              <w:t xml:space="preserve"> 28, 37, 40 a 45</w:t>
            </w:r>
            <w:r w:rsidRPr="00791080">
              <w:rPr>
                <w:b/>
              </w:rPr>
              <w:t>, ktoré nadobúdajú účinnosť 1. januára 2022.</w:t>
            </w:r>
          </w:p>
          <w:p w:rsidR="00791080" w:rsidRDefault="00791080" w:rsidP="00555D3C">
            <w:pPr>
              <w:pStyle w:val="Odsekzoznamu"/>
              <w:tabs>
                <w:tab w:val="left" w:pos="915"/>
              </w:tabs>
              <w:ind w:left="41"/>
              <w:jc w:val="both"/>
              <w:rPr>
                <w:b/>
              </w:rPr>
            </w:pPr>
          </w:p>
          <w:p w:rsidR="00ED0069" w:rsidRPr="00407BB8" w:rsidRDefault="00ED0069" w:rsidP="00ED0069">
            <w:pPr>
              <w:pStyle w:val="Zkladntext2"/>
              <w:spacing w:line="240" w:lineRule="exact"/>
              <w:jc w:val="both"/>
              <w:rPr>
                <w:sz w:val="24"/>
                <w:szCs w:val="24"/>
              </w:rPr>
            </w:pPr>
            <w:r w:rsidRPr="00407BB8">
              <w:rPr>
                <w:sz w:val="24"/>
                <w:szCs w:val="24"/>
              </w:rPr>
              <w:t>Týmto zákonom sa preberajú právne záväzné akty Európskej únie uvedené v prílohe č. 2.</w:t>
            </w:r>
          </w:p>
          <w:p w:rsidR="00ED0069" w:rsidRPr="00407BB8" w:rsidRDefault="00ED0069" w:rsidP="00ED0069">
            <w:pPr>
              <w:pStyle w:val="Zkladntext2"/>
              <w:spacing w:line="240" w:lineRule="exact"/>
              <w:jc w:val="both"/>
              <w:rPr>
                <w:b/>
                <w:sz w:val="24"/>
                <w:szCs w:val="24"/>
              </w:rPr>
            </w:pPr>
          </w:p>
          <w:p w:rsidR="00ED0069" w:rsidRPr="00407BB8" w:rsidRDefault="00ED0069" w:rsidP="00ED0069">
            <w:pPr>
              <w:pStyle w:val="Zkladntext2"/>
              <w:spacing w:line="240" w:lineRule="exact"/>
              <w:jc w:val="left"/>
              <w:rPr>
                <w:sz w:val="24"/>
                <w:szCs w:val="24"/>
              </w:rPr>
            </w:pPr>
            <w:r w:rsidRPr="00407BB8">
              <w:rPr>
                <w:sz w:val="24"/>
                <w:szCs w:val="24"/>
              </w:rPr>
              <w:t>Zoznam preberaných právne záväzných aktov Európskej únie</w:t>
            </w:r>
          </w:p>
          <w:p w:rsidR="00ED0069" w:rsidRPr="001506D1" w:rsidRDefault="001506D1" w:rsidP="00ED0069">
            <w:pPr>
              <w:pStyle w:val="Odsekzoznamu"/>
              <w:tabs>
                <w:tab w:val="left" w:pos="915"/>
              </w:tabs>
              <w:ind w:left="41"/>
              <w:jc w:val="both"/>
            </w:pPr>
            <w:r w:rsidRPr="00407BB8">
              <w:rPr>
                <w:shd w:val="clear" w:color="auto" w:fill="FFFFFF"/>
              </w:rPr>
              <w:t>9.</w:t>
            </w:r>
            <w:r w:rsidR="00ED0069" w:rsidRPr="00407BB8">
              <w:rPr>
                <w:shd w:val="clear" w:color="auto" w:fill="FFFFFF"/>
              </w:rPr>
              <w:t>Smernica Rady (EÚ) 2017/952 z 29. mája 2017, ktorou sa mení smernica (EÚ) 2016/1164, pokiaľ ide o hybridné nesúlady s tretími krajinami (Ú. v. EÚ L 144, 7. 6. 2017).</w:t>
            </w:r>
          </w:p>
        </w:tc>
        <w:tc>
          <w:tcPr>
            <w:tcW w:w="709" w:type="dxa"/>
            <w:tcBorders>
              <w:top w:val="single" w:sz="4" w:space="0" w:color="auto"/>
              <w:left w:val="single" w:sz="4" w:space="0" w:color="auto"/>
              <w:bottom w:val="single" w:sz="4" w:space="0" w:color="auto"/>
              <w:right w:val="single" w:sz="4" w:space="0" w:color="auto"/>
            </w:tcBorders>
          </w:tcPr>
          <w:p w:rsidR="00656B18" w:rsidRPr="00A1700E" w:rsidRDefault="001506D1">
            <w:pPr>
              <w:jc w:val="center"/>
            </w:pPr>
            <w:r w:rsidRPr="00407BB8">
              <w:t>Ú</w:t>
            </w:r>
          </w:p>
        </w:tc>
        <w:tc>
          <w:tcPr>
            <w:tcW w:w="1059" w:type="dxa"/>
            <w:tcBorders>
              <w:top w:val="single" w:sz="4" w:space="0" w:color="auto"/>
              <w:left w:val="single" w:sz="4" w:space="0" w:color="auto"/>
              <w:bottom w:val="single" w:sz="4" w:space="0" w:color="auto"/>
              <w:right w:val="single" w:sz="12" w:space="0" w:color="auto"/>
            </w:tcBorders>
          </w:tcPr>
          <w:p w:rsidR="00F36768" w:rsidRPr="00A1700E" w:rsidRDefault="00F36768" w:rsidP="00F36768"/>
        </w:tc>
      </w:tr>
    </w:tbl>
    <w:p w:rsidR="008C54C3" w:rsidRPr="00A1700E" w:rsidRDefault="008C54C3">
      <w:pPr>
        <w:autoSpaceDE/>
        <w:autoSpaceDN/>
      </w:pPr>
      <w:r w:rsidRPr="00A1700E">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A1700E">
        <w:tc>
          <w:tcPr>
            <w:tcW w:w="2410" w:type="dxa"/>
            <w:tcBorders>
              <w:top w:val="nil"/>
              <w:left w:val="nil"/>
              <w:bottom w:val="nil"/>
              <w:right w:val="nil"/>
            </w:tcBorders>
          </w:tcPr>
          <w:p w:rsidR="008C54C3" w:rsidRPr="00A1700E" w:rsidRDefault="008C54C3">
            <w:pPr>
              <w:pStyle w:val="Normlny0"/>
              <w:autoSpaceDE/>
              <w:autoSpaceDN/>
              <w:spacing w:after="60"/>
              <w:rPr>
                <w:sz w:val="24"/>
                <w:szCs w:val="24"/>
                <w:lang w:eastAsia="sk-SK"/>
              </w:rPr>
            </w:pPr>
            <w:r w:rsidRPr="00A1700E">
              <w:rPr>
                <w:sz w:val="24"/>
                <w:szCs w:val="24"/>
                <w:lang w:eastAsia="sk-SK"/>
              </w:rPr>
              <w:t>V stĺpci (1):</w:t>
            </w:r>
          </w:p>
          <w:p w:rsidR="008C54C3" w:rsidRPr="00A1700E" w:rsidRDefault="008C54C3">
            <w:pPr>
              <w:autoSpaceDE/>
              <w:autoSpaceDN/>
            </w:pPr>
            <w:r w:rsidRPr="00A1700E">
              <w:t>Č – článok</w:t>
            </w:r>
          </w:p>
          <w:p w:rsidR="008C54C3" w:rsidRPr="00A1700E" w:rsidRDefault="008C54C3">
            <w:pPr>
              <w:autoSpaceDE/>
              <w:autoSpaceDN/>
            </w:pPr>
            <w:r w:rsidRPr="00A1700E">
              <w:t>O – odsek</w:t>
            </w:r>
          </w:p>
          <w:p w:rsidR="008C54C3" w:rsidRPr="00A1700E" w:rsidRDefault="008C54C3">
            <w:pPr>
              <w:autoSpaceDE/>
              <w:autoSpaceDN/>
            </w:pPr>
            <w:r w:rsidRPr="00A1700E">
              <w:t>V – veta</w:t>
            </w:r>
          </w:p>
          <w:p w:rsidR="008C54C3" w:rsidRPr="00A1700E" w:rsidRDefault="008C54C3">
            <w:pPr>
              <w:autoSpaceDE/>
              <w:autoSpaceDN/>
            </w:pPr>
            <w:r w:rsidRPr="00A1700E">
              <w:t xml:space="preserve">P – </w:t>
            </w:r>
            <w:r w:rsidR="00DA0F6C" w:rsidRPr="00A1700E">
              <w:t>číslo</w:t>
            </w:r>
            <w:r w:rsidRPr="00A1700E">
              <w:t xml:space="preserve"> (</w:t>
            </w:r>
            <w:r w:rsidR="00DA0F6C" w:rsidRPr="00A1700E">
              <w:t>písmeno</w:t>
            </w:r>
            <w:r w:rsidRPr="00A1700E">
              <w:t>)</w:t>
            </w:r>
          </w:p>
          <w:p w:rsidR="008C54C3" w:rsidRPr="00A1700E" w:rsidRDefault="008C54C3">
            <w:pPr>
              <w:autoSpaceDE/>
              <w:autoSpaceDN/>
            </w:pPr>
          </w:p>
        </w:tc>
        <w:tc>
          <w:tcPr>
            <w:tcW w:w="3780" w:type="dxa"/>
            <w:tcBorders>
              <w:top w:val="nil"/>
              <w:left w:val="nil"/>
              <w:bottom w:val="nil"/>
              <w:right w:val="nil"/>
            </w:tcBorders>
          </w:tcPr>
          <w:p w:rsidR="008C54C3" w:rsidRPr="00A1700E" w:rsidRDefault="008C54C3">
            <w:pPr>
              <w:pStyle w:val="Normlny0"/>
              <w:autoSpaceDE/>
              <w:autoSpaceDN/>
              <w:spacing w:after="60"/>
              <w:rPr>
                <w:sz w:val="24"/>
                <w:szCs w:val="24"/>
                <w:lang w:eastAsia="sk-SK"/>
              </w:rPr>
            </w:pPr>
            <w:r w:rsidRPr="00A1700E">
              <w:rPr>
                <w:sz w:val="24"/>
                <w:szCs w:val="24"/>
                <w:lang w:eastAsia="sk-SK"/>
              </w:rPr>
              <w:t>V stĺpci (3):</w:t>
            </w:r>
          </w:p>
          <w:p w:rsidR="008C54C3" w:rsidRPr="00A1700E" w:rsidRDefault="008C54C3">
            <w:pPr>
              <w:autoSpaceDE/>
              <w:autoSpaceDN/>
            </w:pPr>
            <w:r w:rsidRPr="00A1700E">
              <w:t>N – bežná transpozícia</w:t>
            </w:r>
          </w:p>
          <w:p w:rsidR="008C54C3" w:rsidRPr="00A1700E" w:rsidRDefault="008C54C3">
            <w:pPr>
              <w:autoSpaceDE/>
              <w:autoSpaceDN/>
            </w:pPr>
            <w:r w:rsidRPr="00A1700E">
              <w:t>O – transpozícia s možnosťou voľby</w:t>
            </w:r>
          </w:p>
          <w:p w:rsidR="008C54C3" w:rsidRPr="00A1700E" w:rsidRDefault="008C54C3">
            <w:pPr>
              <w:autoSpaceDE/>
              <w:autoSpaceDN/>
            </w:pPr>
            <w:r w:rsidRPr="00A1700E">
              <w:t>D – transpozícia podľa úvahy (dobrovoľná)</w:t>
            </w:r>
          </w:p>
          <w:p w:rsidR="008C54C3" w:rsidRPr="00A1700E" w:rsidRDefault="008C54C3">
            <w:pPr>
              <w:autoSpaceDE/>
              <w:autoSpaceDN/>
            </w:pPr>
            <w:r w:rsidRPr="00A1700E">
              <w:t>n.a. – transpozícia sa neuskutočňuje</w:t>
            </w:r>
          </w:p>
        </w:tc>
        <w:tc>
          <w:tcPr>
            <w:tcW w:w="2340" w:type="dxa"/>
            <w:tcBorders>
              <w:top w:val="nil"/>
              <w:left w:val="nil"/>
              <w:bottom w:val="nil"/>
              <w:right w:val="nil"/>
            </w:tcBorders>
          </w:tcPr>
          <w:p w:rsidR="008C54C3" w:rsidRPr="00A1700E" w:rsidRDefault="008C54C3">
            <w:pPr>
              <w:pStyle w:val="Normlny0"/>
              <w:autoSpaceDE/>
              <w:autoSpaceDN/>
              <w:spacing w:after="60"/>
              <w:rPr>
                <w:sz w:val="24"/>
                <w:szCs w:val="24"/>
                <w:lang w:eastAsia="sk-SK"/>
              </w:rPr>
            </w:pPr>
            <w:r w:rsidRPr="00A1700E">
              <w:rPr>
                <w:sz w:val="24"/>
                <w:szCs w:val="24"/>
                <w:lang w:eastAsia="sk-SK"/>
              </w:rPr>
              <w:t>V stĺpci (5):</w:t>
            </w:r>
          </w:p>
          <w:p w:rsidR="008C54C3" w:rsidRPr="00A1700E" w:rsidRDefault="008C54C3">
            <w:pPr>
              <w:autoSpaceDE/>
              <w:autoSpaceDN/>
            </w:pPr>
            <w:r w:rsidRPr="00A1700E">
              <w:t>Č – článok</w:t>
            </w:r>
          </w:p>
          <w:p w:rsidR="008C54C3" w:rsidRPr="00A1700E" w:rsidRDefault="008C54C3">
            <w:pPr>
              <w:autoSpaceDE/>
              <w:autoSpaceDN/>
            </w:pPr>
            <w:r w:rsidRPr="00A1700E">
              <w:t>§ – paragraf</w:t>
            </w:r>
          </w:p>
          <w:p w:rsidR="008C54C3" w:rsidRPr="00A1700E" w:rsidRDefault="008C54C3">
            <w:pPr>
              <w:autoSpaceDE/>
              <w:autoSpaceDN/>
            </w:pPr>
            <w:r w:rsidRPr="00A1700E">
              <w:t>O – odsek</w:t>
            </w:r>
          </w:p>
          <w:p w:rsidR="008C54C3" w:rsidRPr="00A1700E" w:rsidRDefault="008C54C3">
            <w:pPr>
              <w:autoSpaceDE/>
              <w:autoSpaceDN/>
            </w:pPr>
            <w:r w:rsidRPr="00A1700E">
              <w:t>V – veta</w:t>
            </w:r>
          </w:p>
          <w:p w:rsidR="008C54C3" w:rsidRPr="00A1700E" w:rsidRDefault="008C54C3">
            <w:pPr>
              <w:autoSpaceDE/>
              <w:autoSpaceDN/>
            </w:pPr>
            <w:r w:rsidRPr="00A1700E">
              <w:t>P – písmeno (číslo)</w:t>
            </w:r>
          </w:p>
        </w:tc>
        <w:tc>
          <w:tcPr>
            <w:tcW w:w="7200" w:type="dxa"/>
            <w:tcBorders>
              <w:top w:val="nil"/>
              <w:left w:val="nil"/>
              <w:bottom w:val="nil"/>
              <w:right w:val="nil"/>
            </w:tcBorders>
          </w:tcPr>
          <w:p w:rsidR="008C54C3" w:rsidRPr="00A1700E" w:rsidRDefault="008C54C3">
            <w:pPr>
              <w:pStyle w:val="Normlny0"/>
              <w:autoSpaceDE/>
              <w:autoSpaceDN/>
              <w:spacing w:after="60"/>
              <w:rPr>
                <w:sz w:val="24"/>
                <w:szCs w:val="24"/>
                <w:lang w:eastAsia="sk-SK"/>
              </w:rPr>
            </w:pPr>
            <w:r w:rsidRPr="00A1700E">
              <w:rPr>
                <w:sz w:val="24"/>
                <w:szCs w:val="24"/>
                <w:lang w:eastAsia="sk-SK"/>
              </w:rPr>
              <w:t>V stĺpci (7):</w:t>
            </w:r>
          </w:p>
          <w:p w:rsidR="008C54C3" w:rsidRPr="00A1700E" w:rsidRDefault="008C54C3" w:rsidP="008C54C3">
            <w:pPr>
              <w:autoSpaceDE/>
              <w:autoSpaceDN/>
              <w:ind w:left="290" w:hanging="290"/>
            </w:pPr>
            <w:r w:rsidRPr="00A1700E">
              <w:t>Ú – úplná zhoda (ak bolo ustanovenie smernice prebraté v celom rozsahu, správne, v príslušnej form</w:t>
            </w:r>
            <w:r w:rsidR="00391DC5" w:rsidRPr="00A1700E">
              <w:t>e</w:t>
            </w:r>
            <w:r w:rsidRPr="00A1700E">
              <w:t>, so zabezpečenou inštitucionálnou</w:t>
            </w:r>
            <w:r w:rsidR="000C2E53" w:rsidRPr="00A1700E">
              <w:t xml:space="preserve"> </w:t>
            </w:r>
            <w:r w:rsidRPr="00A1700E">
              <w:t xml:space="preserve"> </w:t>
            </w:r>
            <w:r w:rsidR="000C2E53" w:rsidRPr="00A1700E">
              <w:t>i</w:t>
            </w:r>
            <w:r w:rsidRPr="00A1700E">
              <w:t>nfraštruktúrou, s príslušnými sankciami a vo vzájomnej súvislosti)</w:t>
            </w:r>
          </w:p>
          <w:p w:rsidR="008C54C3" w:rsidRPr="00A1700E" w:rsidRDefault="008C54C3">
            <w:pPr>
              <w:autoSpaceDE/>
              <w:autoSpaceDN/>
            </w:pPr>
            <w:r w:rsidRPr="00A1700E">
              <w:t>Č – čiastočná zhoda (ak minimálne jedna z podmienok úplnej zhody nie je splnená)</w:t>
            </w:r>
          </w:p>
          <w:p w:rsidR="008C54C3" w:rsidRPr="00A1700E" w:rsidRDefault="008C54C3">
            <w:pPr>
              <w:pStyle w:val="Zarkazkladnhotextu2"/>
              <w:rPr>
                <w:sz w:val="24"/>
                <w:szCs w:val="24"/>
              </w:rPr>
            </w:pPr>
            <w:r w:rsidRPr="00A1700E">
              <w:rPr>
                <w:sz w:val="24"/>
                <w:szCs w:val="24"/>
              </w:rPr>
              <w:t>Ž – žiadna zhoda (ak nebola dosiahnutá ani úplná ani čiast. zhoda alebo k prebratiu dôjde v budúcnosti)</w:t>
            </w:r>
          </w:p>
          <w:p w:rsidR="008C54C3" w:rsidRPr="00A1700E" w:rsidRDefault="008C54C3">
            <w:pPr>
              <w:autoSpaceDE/>
              <w:autoSpaceDN/>
              <w:ind w:left="290" w:hanging="290"/>
            </w:pPr>
            <w:r w:rsidRPr="00A1700E">
              <w:lastRenderedPageBreak/>
              <w:t>n.a. – neaplikovateľnosť (ak sa ustanovenie smernice netýka SR alebo nie je potrebné ho prebrať)</w:t>
            </w:r>
          </w:p>
        </w:tc>
      </w:tr>
    </w:tbl>
    <w:p w:rsidR="008C54C3" w:rsidRPr="00A1700E" w:rsidRDefault="008C54C3" w:rsidP="00B9444F">
      <w:pPr>
        <w:pStyle w:val="Hlavika"/>
        <w:tabs>
          <w:tab w:val="clear" w:pos="4536"/>
          <w:tab w:val="clear" w:pos="9072"/>
        </w:tabs>
        <w:autoSpaceDE/>
        <w:autoSpaceDN/>
      </w:pPr>
    </w:p>
    <w:sectPr w:rsidR="008C54C3" w:rsidRPr="00A1700E">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F75" w:rsidRDefault="00C34F75">
      <w:r>
        <w:separator/>
      </w:r>
    </w:p>
  </w:endnote>
  <w:endnote w:type="continuationSeparator" w:id="0">
    <w:p w:rsidR="00C34F75" w:rsidRDefault="00C3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Century Gothic"/>
    <w:panose1 w:val="020B0606020202030204"/>
    <w:charset w:val="EE"/>
    <w:family w:val="swiss"/>
    <w:pitch w:val="variable"/>
    <w:sig w:usb0="00000287" w:usb1="00000800" w:usb2="00000000" w:usb3="00000000" w:csb0="0000009F" w:csb1="00000000"/>
  </w:font>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A8" w:rsidRDefault="009813A8">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B7793">
      <w:rPr>
        <w:rStyle w:val="slostrany"/>
        <w:noProof/>
      </w:rPr>
      <w:t>11</w:t>
    </w:r>
    <w:r>
      <w:rPr>
        <w:rStyle w:val="slostrany"/>
      </w:rPr>
      <w:fldChar w:fldCharType="end"/>
    </w:r>
  </w:p>
  <w:p w:rsidR="009813A8" w:rsidRDefault="009813A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F75" w:rsidRDefault="00C34F75">
      <w:r>
        <w:separator/>
      </w:r>
    </w:p>
  </w:footnote>
  <w:footnote w:type="continuationSeparator" w:id="0">
    <w:p w:rsidR="00C34F75" w:rsidRDefault="00C3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7E2"/>
    <w:multiLevelType w:val="hybridMultilevel"/>
    <w:tmpl w:val="EBE2F1AA"/>
    <w:lvl w:ilvl="0" w:tplc="BE94DD9C">
      <w:start w:val="1"/>
      <w:numFmt w:val="lowerLetter"/>
      <w:lvlText w:val="%1)"/>
      <w:lvlJc w:val="left"/>
      <w:pPr>
        <w:ind w:left="502" w:hanging="360"/>
      </w:pPr>
      <w:rPr>
        <w:rFonts w:ascii="Arial Narrow" w:eastAsia="Times New Roman" w:hAnsi="Arial Narrow" w:cs="Times New Roman" w:hint="default"/>
        <w:color w:val="auto"/>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 w15:restartNumberingAfterBreak="0">
    <w:nsid w:val="04F25C97"/>
    <w:multiLevelType w:val="hybridMultilevel"/>
    <w:tmpl w:val="8E9461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6C3647"/>
    <w:multiLevelType w:val="hybridMultilevel"/>
    <w:tmpl w:val="22FEB2E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57D4016"/>
    <w:multiLevelType w:val="hybridMultilevel"/>
    <w:tmpl w:val="5056568C"/>
    <w:lvl w:ilvl="0" w:tplc="8436B140">
      <w:start w:val="1"/>
      <w:numFmt w:val="decimal"/>
      <w:lvlText w:val="(%1)"/>
      <w:lvlJc w:val="left"/>
      <w:pPr>
        <w:ind w:left="1275" w:hanging="9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0A132FF9"/>
    <w:multiLevelType w:val="hybridMultilevel"/>
    <w:tmpl w:val="5C242D56"/>
    <w:lvl w:ilvl="0" w:tplc="0A90A45E">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 w15:restartNumberingAfterBreak="0">
    <w:nsid w:val="0B9F0884"/>
    <w:multiLevelType w:val="hybridMultilevel"/>
    <w:tmpl w:val="84728C6E"/>
    <w:lvl w:ilvl="0" w:tplc="84AC4186">
      <w:start w:val="1"/>
      <w:numFmt w:val="decimal"/>
      <w:lvlText w:val="(%1)"/>
      <w:lvlJc w:val="left"/>
      <w:pPr>
        <w:ind w:left="1080" w:hanging="360"/>
      </w:pPr>
      <w:rPr>
        <w:rFonts w:hint="default"/>
      </w:rPr>
    </w:lvl>
    <w:lvl w:ilvl="1" w:tplc="BA12FCF8">
      <w:start w:val="1"/>
      <w:numFmt w:val="lowerLetter"/>
      <w:lvlText w:val="%2)"/>
      <w:lvlJc w:val="left"/>
      <w:pPr>
        <w:ind w:left="1440" w:firstLine="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10" w15:restartNumberingAfterBreak="0">
    <w:nsid w:val="170314F5"/>
    <w:multiLevelType w:val="hybridMultilevel"/>
    <w:tmpl w:val="0C1ABDCA"/>
    <w:lvl w:ilvl="0" w:tplc="A8D442A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7D73A49"/>
    <w:multiLevelType w:val="hybridMultilevel"/>
    <w:tmpl w:val="143A45A4"/>
    <w:lvl w:ilvl="0" w:tplc="69B4B09E">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15:restartNumberingAfterBreak="0">
    <w:nsid w:val="18843364"/>
    <w:multiLevelType w:val="hybridMultilevel"/>
    <w:tmpl w:val="02C220B8"/>
    <w:lvl w:ilvl="0" w:tplc="9530E6B6">
      <w:start w:val="1"/>
      <w:numFmt w:val="decimal"/>
      <w:lvlText w:val="(%1)"/>
      <w:lvlJc w:val="left"/>
      <w:pPr>
        <w:ind w:left="36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14" w15:restartNumberingAfterBreak="0">
    <w:nsid w:val="1D127C22"/>
    <w:multiLevelType w:val="hybridMultilevel"/>
    <w:tmpl w:val="1E46A5B6"/>
    <w:lvl w:ilvl="0" w:tplc="A0D497C8">
      <w:start w:val="1"/>
      <w:numFmt w:val="decimal"/>
      <w:lvlText w:val="(%1)"/>
      <w:lvlJc w:val="left"/>
      <w:pPr>
        <w:ind w:left="36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1893500"/>
    <w:multiLevelType w:val="hybridMultilevel"/>
    <w:tmpl w:val="4C1EA3C6"/>
    <w:lvl w:ilvl="0" w:tplc="7136ADDC">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3E416FC"/>
    <w:multiLevelType w:val="hybridMultilevel"/>
    <w:tmpl w:val="F34A223C"/>
    <w:lvl w:ilvl="0" w:tplc="041B0017">
      <w:start w:val="1"/>
      <w:numFmt w:val="lowerLetter"/>
      <w:lvlText w:val="%1)"/>
      <w:lvlJc w:val="left"/>
      <w:pPr>
        <w:ind w:left="928" w:hanging="360"/>
      </w:pPr>
      <w:rPr>
        <w:rFonts w:cs="Times New Roman"/>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17" w15:restartNumberingAfterBreak="0">
    <w:nsid w:val="255F7308"/>
    <w:multiLevelType w:val="hybridMultilevel"/>
    <w:tmpl w:val="D92C0B10"/>
    <w:lvl w:ilvl="0" w:tplc="8136956C">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8" w15:restartNumberingAfterBreak="0">
    <w:nsid w:val="293C3027"/>
    <w:multiLevelType w:val="hybridMultilevel"/>
    <w:tmpl w:val="FB987CD2"/>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0E34380"/>
    <w:multiLevelType w:val="hybridMultilevel"/>
    <w:tmpl w:val="12803C9E"/>
    <w:lvl w:ilvl="0" w:tplc="7324BC3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C5C89"/>
    <w:multiLevelType w:val="hybridMultilevel"/>
    <w:tmpl w:val="66D0D7D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CBE7ACF"/>
    <w:multiLevelType w:val="hybridMultilevel"/>
    <w:tmpl w:val="12803C9E"/>
    <w:lvl w:ilvl="0" w:tplc="7324BC3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1F1027E"/>
    <w:multiLevelType w:val="hybridMultilevel"/>
    <w:tmpl w:val="0C545FDE"/>
    <w:lvl w:ilvl="0" w:tplc="283CDC0A">
      <w:start w:val="1"/>
      <w:numFmt w:val="decimal"/>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43A2369"/>
    <w:multiLevelType w:val="hybridMultilevel"/>
    <w:tmpl w:val="2C4E33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27"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294F46"/>
    <w:multiLevelType w:val="hybridMultilevel"/>
    <w:tmpl w:val="F6EEB1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381216"/>
    <w:multiLevelType w:val="hybridMultilevel"/>
    <w:tmpl w:val="0EA649E4"/>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2" w15:restartNumberingAfterBreak="0">
    <w:nsid w:val="58C54F96"/>
    <w:multiLevelType w:val="hybridMultilevel"/>
    <w:tmpl w:val="FF10A012"/>
    <w:lvl w:ilvl="0" w:tplc="5C3CBCE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F429D0"/>
    <w:multiLevelType w:val="hybridMultilevel"/>
    <w:tmpl w:val="8868925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87096C"/>
    <w:multiLevelType w:val="hybridMultilevel"/>
    <w:tmpl w:val="687255EA"/>
    <w:lvl w:ilvl="0" w:tplc="7DF6CEBA">
      <w:start w:val="1"/>
      <w:numFmt w:val="decimal"/>
      <w:lvlText w:val="%1."/>
      <w:lvlJc w:val="left"/>
      <w:pPr>
        <w:ind w:left="720" w:hanging="360"/>
      </w:pPr>
      <w:rPr>
        <w:rFonts w:ascii="Arial Narrow" w:eastAsia="Times New Roman" w:hAnsi="Arial Narrow"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BB13FC4"/>
    <w:multiLevelType w:val="hybridMultilevel"/>
    <w:tmpl w:val="143A45A4"/>
    <w:lvl w:ilvl="0" w:tplc="69B4B09E">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7" w15:restartNumberingAfterBreak="0">
    <w:nsid w:val="7EFF55EC"/>
    <w:multiLevelType w:val="hybridMultilevel"/>
    <w:tmpl w:val="12803C9E"/>
    <w:lvl w:ilvl="0" w:tplc="7324BC3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7F826016"/>
    <w:multiLevelType w:val="hybridMultilevel"/>
    <w:tmpl w:val="9C02929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9"/>
    <w:lvlOverride w:ilvl="0">
      <w:startOverride w:val="3"/>
    </w:lvlOverride>
  </w:num>
  <w:num w:numId="3">
    <w:abstractNumId w:val="26"/>
  </w:num>
  <w:num w:numId="4">
    <w:abstractNumId w:val="26"/>
    <w:lvlOverride w:ilvl="0">
      <w:startOverride w:val="2"/>
    </w:lvlOverride>
  </w:num>
  <w:num w:numId="5">
    <w:abstractNumId w:val="13"/>
  </w:num>
  <w:num w:numId="6">
    <w:abstractNumId w:val="13"/>
    <w:lvlOverride w:ilvl="0">
      <w:startOverride w:val="1"/>
    </w:lvlOverride>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33"/>
  </w:num>
  <w:num w:numId="12">
    <w:abstractNumId w:val="8"/>
  </w:num>
  <w:num w:numId="13">
    <w:abstractNumId w:val="29"/>
  </w:num>
  <w:num w:numId="14">
    <w:abstractNumId w:val="7"/>
  </w:num>
  <w:num w:numId="15">
    <w:abstractNumId w:val="28"/>
  </w:num>
  <w:num w:numId="16">
    <w:abstractNumId w:val="23"/>
  </w:num>
  <w:num w:numId="17">
    <w:abstractNumId w:val="31"/>
  </w:num>
  <w:num w:numId="18">
    <w:abstractNumId w:val="35"/>
  </w:num>
  <w:num w:numId="19">
    <w:abstractNumId w:val="12"/>
  </w:num>
  <w:num w:numId="20">
    <w:abstractNumId w:val="10"/>
  </w:num>
  <w:num w:numId="21">
    <w:abstractNumId w:val="14"/>
  </w:num>
  <w:num w:numId="22">
    <w:abstractNumId w:val="16"/>
  </w:num>
  <w:num w:numId="23">
    <w:abstractNumId w:val="17"/>
  </w:num>
  <w:num w:numId="24">
    <w:abstractNumId w:val="36"/>
  </w:num>
  <w:num w:numId="25">
    <w:abstractNumId w:val="38"/>
  </w:num>
  <w:num w:numId="26">
    <w:abstractNumId w:val="11"/>
  </w:num>
  <w:num w:numId="27">
    <w:abstractNumId w:val="5"/>
  </w:num>
  <w:num w:numId="28">
    <w:abstractNumId w:val="32"/>
  </w:num>
  <w:num w:numId="29">
    <w:abstractNumId w:val="15"/>
  </w:num>
  <w:num w:numId="30">
    <w:abstractNumId w:val="0"/>
  </w:num>
  <w:num w:numId="31">
    <w:abstractNumId w:val="24"/>
  </w:num>
  <w:num w:numId="32">
    <w:abstractNumId w:val="25"/>
  </w:num>
  <w:num w:numId="33">
    <w:abstractNumId w:val="6"/>
  </w:num>
  <w:num w:numId="34">
    <w:abstractNumId w:val="18"/>
  </w:num>
  <w:num w:numId="35">
    <w:abstractNumId w:val="21"/>
  </w:num>
  <w:num w:numId="36">
    <w:abstractNumId w:val="1"/>
  </w:num>
  <w:num w:numId="37">
    <w:abstractNumId w:val="2"/>
  </w:num>
  <w:num w:numId="38">
    <w:abstractNumId w:val="34"/>
  </w:num>
  <w:num w:numId="39">
    <w:abstractNumId w:val="30"/>
  </w:num>
  <w:num w:numId="40">
    <w:abstractNumId w:val="3"/>
  </w:num>
  <w:num w:numId="41">
    <w:abstractNumId w:val="22"/>
  </w:num>
  <w:num w:numId="42">
    <w:abstractNumId w:val="19"/>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1E9E"/>
    <w:rsid w:val="000055ED"/>
    <w:rsid w:val="000117E8"/>
    <w:rsid w:val="00016592"/>
    <w:rsid w:val="00016A1C"/>
    <w:rsid w:val="00020336"/>
    <w:rsid w:val="00040702"/>
    <w:rsid w:val="00052ECE"/>
    <w:rsid w:val="0006222B"/>
    <w:rsid w:val="00063566"/>
    <w:rsid w:val="00064D50"/>
    <w:rsid w:val="00073CB4"/>
    <w:rsid w:val="00080438"/>
    <w:rsid w:val="00082B74"/>
    <w:rsid w:val="00097E72"/>
    <w:rsid w:val="000A04B9"/>
    <w:rsid w:val="000C2E53"/>
    <w:rsid w:val="000C6CF1"/>
    <w:rsid w:val="000E3A4F"/>
    <w:rsid w:val="000F6B59"/>
    <w:rsid w:val="001002C8"/>
    <w:rsid w:val="0011551C"/>
    <w:rsid w:val="00122350"/>
    <w:rsid w:val="00127033"/>
    <w:rsid w:val="00135B7F"/>
    <w:rsid w:val="001438AF"/>
    <w:rsid w:val="001506D1"/>
    <w:rsid w:val="00151464"/>
    <w:rsid w:val="00153B33"/>
    <w:rsid w:val="0015472E"/>
    <w:rsid w:val="0017639F"/>
    <w:rsid w:val="00196187"/>
    <w:rsid w:val="001C0C52"/>
    <w:rsid w:val="001C3D7F"/>
    <w:rsid w:val="001D3D0C"/>
    <w:rsid w:val="001E5950"/>
    <w:rsid w:val="00217BF4"/>
    <w:rsid w:val="00224879"/>
    <w:rsid w:val="002300D0"/>
    <w:rsid w:val="00243379"/>
    <w:rsid w:val="00245EEA"/>
    <w:rsid w:val="002533B5"/>
    <w:rsid w:val="002577AE"/>
    <w:rsid w:val="00263B2E"/>
    <w:rsid w:val="00270E65"/>
    <w:rsid w:val="002A05AC"/>
    <w:rsid w:val="002A132E"/>
    <w:rsid w:val="002C0F64"/>
    <w:rsid w:val="002C2EDD"/>
    <w:rsid w:val="002D3816"/>
    <w:rsid w:val="002E1D16"/>
    <w:rsid w:val="003260DE"/>
    <w:rsid w:val="00334C99"/>
    <w:rsid w:val="00364AF6"/>
    <w:rsid w:val="00381DAC"/>
    <w:rsid w:val="00384EBB"/>
    <w:rsid w:val="00391DC5"/>
    <w:rsid w:val="003B60EE"/>
    <w:rsid w:val="003C4459"/>
    <w:rsid w:val="003D278C"/>
    <w:rsid w:val="003E3196"/>
    <w:rsid w:val="003E58B7"/>
    <w:rsid w:val="003E6FEB"/>
    <w:rsid w:val="003E7B78"/>
    <w:rsid w:val="00406BC0"/>
    <w:rsid w:val="00407BB8"/>
    <w:rsid w:val="00421526"/>
    <w:rsid w:val="00424270"/>
    <w:rsid w:val="00434D56"/>
    <w:rsid w:val="00440A2A"/>
    <w:rsid w:val="0044685F"/>
    <w:rsid w:val="00450B7C"/>
    <w:rsid w:val="004577EC"/>
    <w:rsid w:val="004578A2"/>
    <w:rsid w:val="00476053"/>
    <w:rsid w:val="004B20BD"/>
    <w:rsid w:val="004F6274"/>
    <w:rsid w:val="004F7F6F"/>
    <w:rsid w:val="00500AA6"/>
    <w:rsid w:val="00500FFC"/>
    <w:rsid w:val="00510080"/>
    <w:rsid w:val="005170A9"/>
    <w:rsid w:val="005371B0"/>
    <w:rsid w:val="00547329"/>
    <w:rsid w:val="0054771B"/>
    <w:rsid w:val="005523B7"/>
    <w:rsid w:val="00554FA0"/>
    <w:rsid w:val="00555D3C"/>
    <w:rsid w:val="005566C5"/>
    <w:rsid w:val="00557D76"/>
    <w:rsid w:val="005857D5"/>
    <w:rsid w:val="00585BCC"/>
    <w:rsid w:val="005947B8"/>
    <w:rsid w:val="005954A9"/>
    <w:rsid w:val="0059569D"/>
    <w:rsid w:val="005A1C0F"/>
    <w:rsid w:val="005A3690"/>
    <w:rsid w:val="005C02EA"/>
    <w:rsid w:val="005D0588"/>
    <w:rsid w:val="005E0477"/>
    <w:rsid w:val="005E147F"/>
    <w:rsid w:val="00610AFA"/>
    <w:rsid w:val="0062402D"/>
    <w:rsid w:val="006315A2"/>
    <w:rsid w:val="0063563A"/>
    <w:rsid w:val="0064397E"/>
    <w:rsid w:val="00652063"/>
    <w:rsid w:val="00656B18"/>
    <w:rsid w:val="00677CCA"/>
    <w:rsid w:val="00683A6B"/>
    <w:rsid w:val="006B6146"/>
    <w:rsid w:val="006E4BB1"/>
    <w:rsid w:val="006E6461"/>
    <w:rsid w:val="006E689D"/>
    <w:rsid w:val="006F54B7"/>
    <w:rsid w:val="00700B3C"/>
    <w:rsid w:val="00727AE3"/>
    <w:rsid w:val="00736862"/>
    <w:rsid w:val="00744E6F"/>
    <w:rsid w:val="007513FF"/>
    <w:rsid w:val="007527E9"/>
    <w:rsid w:val="00753CD9"/>
    <w:rsid w:val="00760A96"/>
    <w:rsid w:val="00761F85"/>
    <w:rsid w:val="007638A8"/>
    <w:rsid w:val="0077662C"/>
    <w:rsid w:val="00776C2C"/>
    <w:rsid w:val="0078287E"/>
    <w:rsid w:val="00784B61"/>
    <w:rsid w:val="00791080"/>
    <w:rsid w:val="007B38FC"/>
    <w:rsid w:val="007B7FEE"/>
    <w:rsid w:val="007C2757"/>
    <w:rsid w:val="007D10FF"/>
    <w:rsid w:val="008137EF"/>
    <w:rsid w:val="008149D4"/>
    <w:rsid w:val="00821F36"/>
    <w:rsid w:val="00826F8A"/>
    <w:rsid w:val="008349AA"/>
    <w:rsid w:val="008442DB"/>
    <w:rsid w:val="00847493"/>
    <w:rsid w:val="008516BF"/>
    <w:rsid w:val="00865C08"/>
    <w:rsid w:val="00866199"/>
    <w:rsid w:val="008713EF"/>
    <w:rsid w:val="0088018B"/>
    <w:rsid w:val="0088738F"/>
    <w:rsid w:val="00892A74"/>
    <w:rsid w:val="008A0586"/>
    <w:rsid w:val="008A0B4B"/>
    <w:rsid w:val="008A1521"/>
    <w:rsid w:val="008A5161"/>
    <w:rsid w:val="008A646D"/>
    <w:rsid w:val="008A66DE"/>
    <w:rsid w:val="008B1B4C"/>
    <w:rsid w:val="008B58FC"/>
    <w:rsid w:val="008B7793"/>
    <w:rsid w:val="008C2BD3"/>
    <w:rsid w:val="008C54C3"/>
    <w:rsid w:val="008D5217"/>
    <w:rsid w:val="008E0F96"/>
    <w:rsid w:val="008E2943"/>
    <w:rsid w:val="00914B59"/>
    <w:rsid w:val="0091636B"/>
    <w:rsid w:val="009612CE"/>
    <w:rsid w:val="00966CE6"/>
    <w:rsid w:val="009719C2"/>
    <w:rsid w:val="009813A8"/>
    <w:rsid w:val="009826E3"/>
    <w:rsid w:val="009A6EAF"/>
    <w:rsid w:val="009B593A"/>
    <w:rsid w:val="009B7360"/>
    <w:rsid w:val="009B7F2E"/>
    <w:rsid w:val="009C0500"/>
    <w:rsid w:val="009C5E2D"/>
    <w:rsid w:val="009D13B4"/>
    <w:rsid w:val="009D36B1"/>
    <w:rsid w:val="009F340C"/>
    <w:rsid w:val="00A02F9A"/>
    <w:rsid w:val="00A1700E"/>
    <w:rsid w:val="00A3185C"/>
    <w:rsid w:val="00A47BED"/>
    <w:rsid w:val="00A52A99"/>
    <w:rsid w:val="00A645B7"/>
    <w:rsid w:val="00A73C62"/>
    <w:rsid w:val="00A76B9C"/>
    <w:rsid w:val="00A77A2A"/>
    <w:rsid w:val="00A844CC"/>
    <w:rsid w:val="00A9063F"/>
    <w:rsid w:val="00A91B17"/>
    <w:rsid w:val="00AA55DA"/>
    <w:rsid w:val="00AA5C52"/>
    <w:rsid w:val="00AB4836"/>
    <w:rsid w:val="00AB7D27"/>
    <w:rsid w:val="00AE08CE"/>
    <w:rsid w:val="00AF4918"/>
    <w:rsid w:val="00B02D1A"/>
    <w:rsid w:val="00B069A4"/>
    <w:rsid w:val="00B079BF"/>
    <w:rsid w:val="00B15016"/>
    <w:rsid w:val="00B23EAB"/>
    <w:rsid w:val="00B26504"/>
    <w:rsid w:val="00B4580A"/>
    <w:rsid w:val="00B46414"/>
    <w:rsid w:val="00B533A9"/>
    <w:rsid w:val="00B64B09"/>
    <w:rsid w:val="00B64CF1"/>
    <w:rsid w:val="00B71842"/>
    <w:rsid w:val="00B87E5A"/>
    <w:rsid w:val="00B9444F"/>
    <w:rsid w:val="00B95502"/>
    <w:rsid w:val="00BB0F2F"/>
    <w:rsid w:val="00BC05E9"/>
    <w:rsid w:val="00BD038E"/>
    <w:rsid w:val="00BD19FC"/>
    <w:rsid w:val="00BD34A2"/>
    <w:rsid w:val="00BD49BD"/>
    <w:rsid w:val="00BE4E20"/>
    <w:rsid w:val="00BF14E5"/>
    <w:rsid w:val="00BF1859"/>
    <w:rsid w:val="00C05A8B"/>
    <w:rsid w:val="00C1244D"/>
    <w:rsid w:val="00C139A5"/>
    <w:rsid w:val="00C14C4D"/>
    <w:rsid w:val="00C21699"/>
    <w:rsid w:val="00C21CEF"/>
    <w:rsid w:val="00C24ADD"/>
    <w:rsid w:val="00C27B12"/>
    <w:rsid w:val="00C302FD"/>
    <w:rsid w:val="00C341DF"/>
    <w:rsid w:val="00C34EF5"/>
    <w:rsid w:val="00C34F75"/>
    <w:rsid w:val="00C43E45"/>
    <w:rsid w:val="00C616D1"/>
    <w:rsid w:val="00C62A13"/>
    <w:rsid w:val="00C64BC7"/>
    <w:rsid w:val="00C96479"/>
    <w:rsid w:val="00C967D8"/>
    <w:rsid w:val="00CA5D73"/>
    <w:rsid w:val="00CA76BA"/>
    <w:rsid w:val="00CB2E5D"/>
    <w:rsid w:val="00CB2F72"/>
    <w:rsid w:val="00CB7058"/>
    <w:rsid w:val="00CC0CA2"/>
    <w:rsid w:val="00CC1946"/>
    <w:rsid w:val="00CC3877"/>
    <w:rsid w:val="00CC6318"/>
    <w:rsid w:val="00CE22B3"/>
    <w:rsid w:val="00CE506F"/>
    <w:rsid w:val="00D14381"/>
    <w:rsid w:val="00D20423"/>
    <w:rsid w:val="00D22A7B"/>
    <w:rsid w:val="00D56345"/>
    <w:rsid w:val="00D76889"/>
    <w:rsid w:val="00D8437C"/>
    <w:rsid w:val="00DA0F6C"/>
    <w:rsid w:val="00DA5E66"/>
    <w:rsid w:val="00DC7E3F"/>
    <w:rsid w:val="00DE0F85"/>
    <w:rsid w:val="00DE30BB"/>
    <w:rsid w:val="00DE79F9"/>
    <w:rsid w:val="00E030B3"/>
    <w:rsid w:val="00E079AE"/>
    <w:rsid w:val="00E16713"/>
    <w:rsid w:val="00E21228"/>
    <w:rsid w:val="00E24D55"/>
    <w:rsid w:val="00E31381"/>
    <w:rsid w:val="00E667CB"/>
    <w:rsid w:val="00E72C20"/>
    <w:rsid w:val="00E75345"/>
    <w:rsid w:val="00EB5059"/>
    <w:rsid w:val="00ED0069"/>
    <w:rsid w:val="00EE7DD6"/>
    <w:rsid w:val="00F044DB"/>
    <w:rsid w:val="00F045B3"/>
    <w:rsid w:val="00F047A8"/>
    <w:rsid w:val="00F12957"/>
    <w:rsid w:val="00F12C40"/>
    <w:rsid w:val="00F25E88"/>
    <w:rsid w:val="00F36768"/>
    <w:rsid w:val="00F4080C"/>
    <w:rsid w:val="00F55DF7"/>
    <w:rsid w:val="00F86BF0"/>
    <w:rsid w:val="00F934B0"/>
    <w:rsid w:val="00F951D0"/>
    <w:rsid w:val="00FA233A"/>
    <w:rsid w:val="00FC0974"/>
    <w:rsid w:val="00FD5E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8317F3-F575-4C01-9DBC-220031B2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7F2E"/>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E030B3"/>
    <w:pPr>
      <w:autoSpaceDE/>
      <w:autoSpaceDN/>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44685F"/>
    <w:rPr>
      <w:sz w:val="24"/>
    </w:rPr>
  </w:style>
  <w:style w:type="character" w:styleId="Siln">
    <w:name w:val="Strong"/>
    <w:basedOn w:val="Predvolenpsmoodseku"/>
    <w:uiPriority w:val="22"/>
    <w:qFormat/>
    <w:rsid w:val="0062402D"/>
    <w:rPr>
      <w:rFonts w:cs="Times New Roman"/>
      <w:b/>
    </w:rPr>
  </w:style>
  <w:style w:type="character" w:styleId="Hypertextovprepojenie">
    <w:name w:val="Hyperlink"/>
    <w:basedOn w:val="Predvolenpsmoodseku"/>
    <w:uiPriority w:val="99"/>
    <w:rsid w:val="00DE30BB"/>
    <w:rPr>
      <w:rFonts w:cs="Times New Roman"/>
      <w:color w:val="0000FF" w:themeColor="hyperlink"/>
      <w:u w:val="single"/>
    </w:rPr>
  </w:style>
  <w:style w:type="paragraph" w:customStyle="1" w:styleId="Normlny1">
    <w:name w:val="Normálny1"/>
    <w:basedOn w:val="Normlny"/>
    <w:rsid w:val="004B20BD"/>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5625">
      <w:marLeft w:val="0"/>
      <w:marRight w:val="0"/>
      <w:marTop w:val="0"/>
      <w:marBottom w:val="0"/>
      <w:divBdr>
        <w:top w:val="none" w:sz="0" w:space="0" w:color="auto"/>
        <w:left w:val="none" w:sz="0" w:space="0" w:color="auto"/>
        <w:bottom w:val="none" w:sz="0" w:space="0" w:color="auto"/>
        <w:right w:val="none" w:sz="0" w:space="0" w:color="auto"/>
      </w:divBdr>
      <w:divsChild>
        <w:div w:id="261035626">
          <w:marLeft w:val="480"/>
          <w:marRight w:val="0"/>
          <w:marTop w:val="0"/>
          <w:marBottom w:val="0"/>
          <w:divBdr>
            <w:top w:val="none" w:sz="0" w:space="0" w:color="auto"/>
            <w:left w:val="none" w:sz="0" w:space="0" w:color="auto"/>
            <w:bottom w:val="none" w:sz="0" w:space="0" w:color="auto"/>
            <w:right w:val="none" w:sz="0" w:space="0" w:color="auto"/>
          </w:divBdr>
        </w:div>
        <w:div w:id="261035629">
          <w:marLeft w:val="480"/>
          <w:marRight w:val="0"/>
          <w:marTop w:val="0"/>
          <w:marBottom w:val="0"/>
          <w:divBdr>
            <w:top w:val="none" w:sz="0" w:space="0" w:color="auto"/>
            <w:left w:val="none" w:sz="0" w:space="0" w:color="auto"/>
            <w:bottom w:val="none" w:sz="0" w:space="0" w:color="auto"/>
            <w:right w:val="none" w:sz="0" w:space="0" w:color="auto"/>
          </w:divBdr>
        </w:div>
      </w:divsChild>
    </w:div>
    <w:div w:id="261035630">
      <w:marLeft w:val="0"/>
      <w:marRight w:val="0"/>
      <w:marTop w:val="0"/>
      <w:marBottom w:val="0"/>
      <w:divBdr>
        <w:top w:val="none" w:sz="0" w:space="0" w:color="auto"/>
        <w:left w:val="none" w:sz="0" w:space="0" w:color="auto"/>
        <w:bottom w:val="none" w:sz="0" w:space="0" w:color="auto"/>
        <w:right w:val="none" w:sz="0" w:space="0" w:color="auto"/>
      </w:divBdr>
      <w:divsChild>
        <w:div w:id="261035627">
          <w:marLeft w:val="480"/>
          <w:marRight w:val="0"/>
          <w:marTop w:val="0"/>
          <w:marBottom w:val="0"/>
          <w:divBdr>
            <w:top w:val="none" w:sz="0" w:space="0" w:color="auto"/>
            <w:left w:val="none" w:sz="0" w:space="0" w:color="auto"/>
            <w:bottom w:val="none" w:sz="0" w:space="0" w:color="auto"/>
            <w:right w:val="none" w:sz="0" w:space="0" w:color="auto"/>
          </w:divBdr>
        </w:div>
        <w:div w:id="261035628">
          <w:marLeft w:val="480"/>
          <w:marRight w:val="0"/>
          <w:marTop w:val="0"/>
          <w:marBottom w:val="0"/>
          <w:divBdr>
            <w:top w:val="none" w:sz="0" w:space="0" w:color="auto"/>
            <w:left w:val="none" w:sz="0" w:space="0" w:color="auto"/>
            <w:bottom w:val="none" w:sz="0" w:space="0" w:color="auto"/>
            <w:right w:val="none" w:sz="0" w:space="0" w:color="auto"/>
          </w:divBdr>
        </w:div>
      </w:divsChild>
    </w:div>
    <w:div w:id="581185951">
      <w:bodyDiv w:val="1"/>
      <w:marLeft w:val="0"/>
      <w:marRight w:val="0"/>
      <w:marTop w:val="0"/>
      <w:marBottom w:val="0"/>
      <w:divBdr>
        <w:top w:val="none" w:sz="0" w:space="0" w:color="auto"/>
        <w:left w:val="none" w:sz="0" w:space="0" w:color="auto"/>
        <w:bottom w:val="none" w:sz="0" w:space="0" w:color="auto"/>
        <w:right w:val="none" w:sz="0" w:space="0" w:color="auto"/>
      </w:divBdr>
    </w:div>
    <w:div w:id="827284280">
      <w:bodyDiv w:val="1"/>
      <w:marLeft w:val="0"/>
      <w:marRight w:val="0"/>
      <w:marTop w:val="0"/>
      <w:marBottom w:val="0"/>
      <w:divBdr>
        <w:top w:val="none" w:sz="0" w:space="0" w:color="auto"/>
        <w:left w:val="none" w:sz="0" w:space="0" w:color="auto"/>
        <w:bottom w:val="none" w:sz="0" w:space="0" w:color="auto"/>
        <w:right w:val="none" w:sz="0" w:space="0" w:color="auto"/>
      </w:divBdr>
    </w:div>
    <w:div w:id="1467579864">
      <w:bodyDiv w:val="1"/>
      <w:marLeft w:val="0"/>
      <w:marRight w:val="0"/>
      <w:marTop w:val="0"/>
      <w:marBottom w:val="0"/>
      <w:divBdr>
        <w:top w:val="none" w:sz="0" w:space="0" w:color="auto"/>
        <w:left w:val="none" w:sz="0" w:space="0" w:color="auto"/>
        <w:bottom w:val="none" w:sz="0" w:space="0" w:color="auto"/>
        <w:right w:val="none" w:sz="0" w:space="0" w:color="auto"/>
      </w:divBdr>
      <w:divsChild>
        <w:div w:id="1431775903">
          <w:marLeft w:val="255"/>
          <w:marRight w:val="0"/>
          <w:marTop w:val="75"/>
          <w:marBottom w:val="0"/>
          <w:divBdr>
            <w:top w:val="none" w:sz="0" w:space="0" w:color="auto"/>
            <w:left w:val="none" w:sz="0" w:space="0" w:color="auto"/>
            <w:bottom w:val="none" w:sz="0" w:space="0" w:color="auto"/>
            <w:right w:val="none" w:sz="0" w:space="0" w:color="auto"/>
          </w:divBdr>
          <w:divsChild>
            <w:div w:id="1265073093">
              <w:marLeft w:val="0"/>
              <w:marRight w:val="225"/>
              <w:marTop w:val="0"/>
              <w:marBottom w:val="0"/>
              <w:divBdr>
                <w:top w:val="none" w:sz="0" w:space="0" w:color="auto"/>
                <w:left w:val="none" w:sz="0" w:space="0" w:color="auto"/>
                <w:bottom w:val="none" w:sz="0" w:space="0" w:color="auto"/>
                <w:right w:val="none" w:sz="0" w:space="0" w:color="auto"/>
              </w:divBdr>
            </w:div>
          </w:divsChild>
        </w:div>
        <w:div w:id="1361777951">
          <w:marLeft w:val="255"/>
          <w:marRight w:val="0"/>
          <w:marTop w:val="75"/>
          <w:marBottom w:val="0"/>
          <w:divBdr>
            <w:top w:val="none" w:sz="0" w:space="0" w:color="auto"/>
            <w:left w:val="none" w:sz="0" w:space="0" w:color="auto"/>
            <w:bottom w:val="none" w:sz="0" w:space="0" w:color="auto"/>
            <w:right w:val="none" w:sz="0" w:space="0" w:color="auto"/>
          </w:divBdr>
          <w:divsChild>
            <w:div w:id="9744114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3395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2540</Words>
  <Characters>14483</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Kubisova Jana</cp:lastModifiedBy>
  <cp:revision>8</cp:revision>
  <cp:lastPrinted>2006-12-14T14:09:00Z</cp:lastPrinted>
  <dcterms:created xsi:type="dcterms:W3CDTF">2020-08-13T13:51:00Z</dcterms:created>
  <dcterms:modified xsi:type="dcterms:W3CDTF">2020-08-24T11:32:00Z</dcterms:modified>
</cp:coreProperties>
</file>