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299"/>
        <w:gridCol w:w="567"/>
        <w:gridCol w:w="851"/>
        <w:gridCol w:w="708"/>
        <w:gridCol w:w="5387"/>
        <w:gridCol w:w="709"/>
        <w:gridCol w:w="1059"/>
      </w:tblGrid>
      <w:tr w:rsidR="008C54C3" w:rsidRPr="00850982">
        <w:tc>
          <w:tcPr>
            <w:tcW w:w="16200" w:type="dxa"/>
            <w:gridSpan w:val="9"/>
            <w:tcBorders>
              <w:top w:val="single" w:sz="12" w:space="0" w:color="auto"/>
              <w:left w:val="single" w:sz="12" w:space="0" w:color="auto"/>
              <w:bottom w:val="single" w:sz="4" w:space="0" w:color="auto"/>
              <w:right w:val="single" w:sz="12" w:space="0" w:color="auto"/>
            </w:tcBorders>
          </w:tcPr>
          <w:p w:rsidR="008C54C3" w:rsidRPr="00850982" w:rsidRDefault="008C54C3" w:rsidP="0059220A">
            <w:pPr>
              <w:pStyle w:val="Nadpis1"/>
            </w:pPr>
            <w:bookmarkStart w:id="0" w:name="_GoBack"/>
            <w:bookmarkEnd w:id="0"/>
            <w:r w:rsidRPr="00850982">
              <w:t>TABUĽKA  ZHODY</w:t>
            </w:r>
          </w:p>
          <w:p w:rsidR="008C54C3" w:rsidRPr="00850982" w:rsidRDefault="00FD6769" w:rsidP="009E1828">
            <w:pPr>
              <w:pStyle w:val="Nadpis1"/>
              <w:spacing w:after="120"/>
              <w:rPr>
                <w:bCs w:val="0"/>
              </w:rPr>
            </w:pPr>
            <w:r w:rsidRPr="00850982">
              <w:rPr>
                <w:bCs w:val="0"/>
              </w:rPr>
              <w:t xml:space="preserve"> návrhu zákona, </w:t>
            </w:r>
            <w:r w:rsidR="00DC3361" w:rsidRPr="00DC3361">
              <w:t>ktorým sa mení a dopĺňa zákon č. 595/2003 Z. z. o dani z príjmov v znení neskorších predpisov a ktorým sa menia a dopĺňajú niektoré zákony</w:t>
            </w:r>
            <w:r w:rsidR="00DC3361">
              <w:t xml:space="preserve"> </w:t>
            </w:r>
            <w:r w:rsidRPr="00850982">
              <w:t>s právom Európskej únie</w:t>
            </w:r>
          </w:p>
        </w:tc>
      </w:tr>
      <w:tr w:rsidR="008C54C3" w:rsidRPr="00850982">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850982" w:rsidRDefault="008C54C3" w:rsidP="0059220A">
            <w:pPr>
              <w:pStyle w:val="Nadpis4"/>
              <w:jc w:val="both"/>
              <w:rPr>
                <w:sz w:val="24"/>
                <w:szCs w:val="24"/>
              </w:rPr>
            </w:pPr>
            <w:r w:rsidRPr="00850982">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850982" w:rsidRDefault="00CB2E5D" w:rsidP="0059220A">
            <w:pPr>
              <w:pStyle w:val="Default"/>
              <w:jc w:val="both"/>
              <w:rPr>
                <w:rFonts w:ascii="Times New Roman" w:hAnsi="Times New Roman" w:cs="Times New Roman"/>
                <w:b/>
                <w:bCs/>
              </w:rPr>
            </w:pPr>
            <w:r w:rsidRPr="00850982">
              <w:rPr>
                <w:rFonts w:ascii="Times New Roman" w:hAnsi="Times New Roman" w:cs="Times New Roman"/>
              </w:rPr>
              <w:t xml:space="preserve"> </w:t>
            </w:r>
            <w:r w:rsidR="00EC7AA0" w:rsidRPr="00850982">
              <w:rPr>
                <w:rFonts w:ascii="Times New Roman" w:hAnsi="Times New Roman" w:cs="Times New Roman"/>
                <w:b/>
                <w:bCs/>
              </w:rPr>
              <w:t xml:space="preserve">SMERNICA RADY </w:t>
            </w:r>
            <w:r w:rsidR="00EC7AA0" w:rsidRPr="00850982">
              <w:rPr>
                <w:rFonts w:ascii="Times New Roman" w:hAnsi="Times New Roman" w:cs="Times New Roman"/>
                <w:b/>
                <w:bCs/>
                <w:u w:val="single"/>
              </w:rPr>
              <w:t>2011/96/EÚ</w:t>
            </w:r>
            <w:r w:rsidR="00EC7AA0" w:rsidRPr="00850982">
              <w:rPr>
                <w:rFonts w:ascii="Times New Roman" w:hAnsi="Times New Roman" w:cs="Times New Roman"/>
                <w:b/>
                <w:bCs/>
              </w:rPr>
              <w:t xml:space="preserve"> z 30. novembra 2011 o spoločnom systéme zdaňovania uplatňovanom v prípade materských spoločností a dcérskych spoločností v rozličných členských štátoch (prepracované znenie)</w:t>
            </w:r>
          </w:p>
        </w:tc>
      </w:tr>
      <w:tr w:rsidR="008C54C3" w:rsidRPr="00850982" w:rsidTr="005947B8">
        <w:trPr>
          <w:trHeight w:val="567"/>
        </w:trPr>
        <w:tc>
          <w:tcPr>
            <w:tcW w:w="7486" w:type="dxa"/>
            <w:gridSpan w:val="4"/>
            <w:tcBorders>
              <w:top w:val="single" w:sz="4" w:space="0" w:color="auto"/>
              <w:left w:val="single" w:sz="12" w:space="0" w:color="auto"/>
              <w:bottom w:val="single" w:sz="4" w:space="0" w:color="auto"/>
              <w:right w:val="single" w:sz="12" w:space="0" w:color="auto"/>
            </w:tcBorders>
          </w:tcPr>
          <w:p w:rsidR="008C54C3" w:rsidRPr="00850982" w:rsidRDefault="00DE0F85" w:rsidP="0059220A">
            <w:pPr>
              <w:pStyle w:val="Nadpis4"/>
              <w:spacing w:before="120"/>
              <w:jc w:val="both"/>
              <w:rPr>
                <w:sz w:val="24"/>
                <w:szCs w:val="24"/>
              </w:rPr>
            </w:pPr>
            <w:r w:rsidRPr="00850982">
              <w:rPr>
                <w:sz w:val="24"/>
                <w:szCs w:val="24"/>
              </w:rPr>
              <w:t>Smernica EÚ</w:t>
            </w:r>
          </w:p>
          <w:p w:rsidR="00EE7DD6" w:rsidRPr="00850982" w:rsidRDefault="0024166E" w:rsidP="0059220A">
            <w:pPr>
              <w:pStyle w:val="CM4"/>
              <w:spacing w:before="60" w:after="60"/>
              <w:jc w:val="both"/>
              <w:rPr>
                <w:rFonts w:ascii="Times New Roman" w:hAnsi="Times New Roman"/>
              </w:rPr>
            </w:pPr>
            <w:r w:rsidRPr="00850982">
              <w:rPr>
                <w:rFonts w:ascii="Times New Roman" w:hAnsi="Times New Roman"/>
                <w:b/>
                <w:bCs/>
                <w:color w:val="000000"/>
              </w:rPr>
              <w:t xml:space="preserve">SMERNICA RADY </w:t>
            </w:r>
            <w:r w:rsidRPr="00850982">
              <w:rPr>
                <w:rFonts w:ascii="Times New Roman" w:hAnsi="Times New Roman"/>
                <w:b/>
                <w:bCs/>
                <w:color w:val="000000"/>
                <w:u w:val="single"/>
              </w:rPr>
              <w:t>2011/96/EÚ</w:t>
            </w:r>
            <w:r w:rsidRPr="00850982">
              <w:rPr>
                <w:rFonts w:ascii="Times New Roman" w:hAnsi="Times New Roman"/>
                <w:b/>
                <w:bCs/>
                <w:color w:val="000000"/>
              </w:rPr>
              <w:t xml:space="preserve"> z 30. novembra 2011 o spoločnom systéme zdaňovania uplatňovanom v prípade materských spoločností a dcérskych spoločností v rozličných členských štátoch (prepracované znenie)</w:t>
            </w:r>
          </w:p>
        </w:tc>
        <w:tc>
          <w:tcPr>
            <w:tcW w:w="8714" w:type="dxa"/>
            <w:gridSpan w:val="5"/>
            <w:tcBorders>
              <w:top w:val="single" w:sz="4" w:space="0" w:color="auto"/>
              <w:left w:val="nil"/>
              <w:bottom w:val="single" w:sz="4" w:space="0" w:color="auto"/>
              <w:right w:val="single" w:sz="12" w:space="0" w:color="auto"/>
            </w:tcBorders>
          </w:tcPr>
          <w:p w:rsidR="00FE7347" w:rsidRPr="00850982" w:rsidRDefault="008C54C3" w:rsidP="00FE7347">
            <w:pPr>
              <w:pStyle w:val="Nadpis4"/>
              <w:spacing w:before="120"/>
              <w:jc w:val="both"/>
              <w:rPr>
                <w:sz w:val="24"/>
                <w:szCs w:val="24"/>
              </w:rPr>
            </w:pPr>
            <w:r w:rsidRPr="00850982">
              <w:rPr>
                <w:sz w:val="24"/>
                <w:szCs w:val="24"/>
              </w:rPr>
              <w:t>Všeobecne záväzné právne predpisy Slovenskej republiky</w:t>
            </w:r>
          </w:p>
          <w:p w:rsidR="001D46E5" w:rsidRPr="001D46E5" w:rsidRDefault="001D46E5" w:rsidP="00E07E66">
            <w:pPr>
              <w:pStyle w:val="Nadpis4"/>
              <w:spacing w:before="120"/>
              <w:jc w:val="left"/>
              <w:rPr>
                <w:bCs w:val="0"/>
                <w:sz w:val="24"/>
                <w:szCs w:val="24"/>
              </w:rPr>
            </w:pPr>
            <w:r w:rsidRPr="001D46E5">
              <w:rPr>
                <w:bCs w:val="0"/>
                <w:sz w:val="24"/>
                <w:szCs w:val="24"/>
              </w:rPr>
              <w:t>Návrh</w:t>
            </w:r>
            <w:r w:rsidR="00FA211D">
              <w:rPr>
                <w:bCs w:val="0"/>
                <w:sz w:val="24"/>
                <w:szCs w:val="24"/>
              </w:rPr>
              <w:t xml:space="preserve"> zákona,</w:t>
            </w:r>
            <w:r w:rsidRPr="001D46E5">
              <w:rPr>
                <w:bCs w:val="0"/>
                <w:sz w:val="24"/>
                <w:szCs w:val="24"/>
              </w:rPr>
              <w:t xml:space="preserve"> </w:t>
            </w:r>
            <w:r w:rsidR="00DC3361" w:rsidRPr="00DC3361">
              <w:rPr>
                <w:bCs w:val="0"/>
                <w:sz w:val="24"/>
                <w:szCs w:val="24"/>
              </w:rPr>
              <w:t>ktorým sa mení a dopĺňa zákon č. 595/2003 Z. z. o dani z príjmov v znení neskorších predpisov a ktorým sa menia a dopĺňajú niektoré zákony</w:t>
            </w:r>
            <w:r w:rsidR="00DC3361">
              <w:rPr>
                <w:bCs w:val="0"/>
                <w:sz w:val="24"/>
                <w:szCs w:val="24"/>
              </w:rPr>
              <w:t xml:space="preserve"> </w:t>
            </w:r>
            <w:r w:rsidR="00DC3361" w:rsidRPr="00DC3361">
              <w:rPr>
                <w:sz w:val="24"/>
                <w:szCs w:val="24"/>
              </w:rPr>
              <w:t xml:space="preserve"> </w:t>
            </w:r>
            <w:r>
              <w:rPr>
                <w:bCs w:val="0"/>
                <w:sz w:val="24"/>
                <w:szCs w:val="24"/>
              </w:rPr>
              <w:t>(</w:t>
            </w:r>
            <w:r w:rsidRPr="001D46E5">
              <w:rPr>
                <w:bCs w:val="0"/>
                <w:sz w:val="24"/>
                <w:szCs w:val="24"/>
              </w:rPr>
              <w:t>ďalej „Návrh zákona</w:t>
            </w:r>
            <w:r w:rsidR="000D4202">
              <w:rPr>
                <w:bCs w:val="0"/>
                <w:sz w:val="24"/>
                <w:szCs w:val="24"/>
              </w:rPr>
              <w:t xml:space="preserve"> Čl. I</w:t>
            </w:r>
            <w:r w:rsidRPr="001D46E5">
              <w:rPr>
                <w:bCs w:val="0"/>
                <w:sz w:val="24"/>
                <w:szCs w:val="24"/>
              </w:rPr>
              <w:t>“)</w:t>
            </w:r>
          </w:p>
          <w:p w:rsidR="002A4796" w:rsidRDefault="00FE7347" w:rsidP="007512B3">
            <w:pPr>
              <w:pStyle w:val="Nadpis4"/>
              <w:spacing w:before="120"/>
              <w:jc w:val="both"/>
              <w:rPr>
                <w:b w:val="0"/>
                <w:sz w:val="24"/>
                <w:szCs w:val="24"/>
              </w:rPr>
            </w:pPr>
            <w:r w:rsidRPr="00850982">
              <w:rPr>
                <w:b w:val="0"/>
                <w:bCs w:val="0"/>
                <w:sz w:val="24"/>
                <w:szCs w:val="24"/>
              </w:rPr>
              <w:t>Z</w:t>
            </w:r>
            <w:r w:rsidR="00EE7DD6" w:rsidRPr="00850982">
              <w:rPr>
                <w:b w:val="0"/>
                <w:bCs w:val="0"/>
                <w:sz w:val="24"/>
                <w:szCs w:val="24"/>
              </w:rPr>
              <w:t xml:space="preserve">ákon č. </w:t>
            </w:r>
            <w:r w:rsidRPr="00850982">
              <w:rPr>
                <w:b w:val="0"/>
                <w:sz w:val="24"/>
                <w:szCs w:val="24"/>
              </w:rPr>
              <w:t>595/2003 Z.z. o dani z príjmov v znení neskorších predpisov</w:t>
            </w:r>
            <w:r w:rsidR="0077264B" w:rsidRPr="00850982">
              <w:rPr>
                <w:b w:val="0"/>
                <w:sz w:val="24"/>
                <w:szCs w:val="24"/>
              </w:rPr>
              <w:t xml:space="preserve"> (ďalej „595/2003“)</w:t>
            </w:r>
          </w:p>
          <w:p w:rsidR="008C54C3" w:rsidRPr="00850982" w:rsidRDefault="008C54C3" w:rsidP="00620CB5">
            <w:pPr>
              <w:pStyle w:val="Zkladntext"/>
              <w:jc w:val="both"/>
            </w:pPr>
          </w:p>
        </w:tc>
      </w:tr>
      <w:tr w:rsidR="00A9063F" w:rsidRPr="00850982" w:rsidTr="00FE7347">
        <w:tc>
          <w:tcPr>
            <w:tcW w:w="540" w:type="dxa"/>
            <w:tcBorders>
              <w:top w:val="single" w:sz="4" w:space="0" w:color="auto"/>
              <w:left w:val="single" w:sz="12" w:space="0" w:color="auto"/>
              <w:bottom w:val="single" w:sz="4" w:space="0" w:color="auto"/>
              <w:right w:val="single" w:sz="4" w:space="0" w:color="auto"/>
            </w:tcBorders>
          </w:tcPr>
          <w:p w:rsidR="00A9063F" w:rsidRPr="00850982" w:rsidRDefault="00A9063F" w:rsidP="0059220A">
            <w:pPr>
              <w:jc w:val="both"/>
            </w:pPr>
            <w:r w:rsidRPr="00850982">
              <w:t>1</w:t>
            </w:r>
          </w:p>
        </w:tc>
        <w:tc>
          <w:tcPr>
            <w:tcW w:w="6379" w:type="dxa"/>
            <w:gridSpan w:val="2"/>
            <w:tcBorders>
              <w:top w:val="single" w:sz="4" w:space="0" w:color="auto"/>
              <w:left w:val="single" w:sz="4" w:space="0" w:color="auto"/>
              <w:bottom w:val="single" w:sz="4" w:space="0" w:color="auto"/>
              <w:right w:val="single" w:sz="4" w:space="0" w:color="auto"/>
            </w:tcBorders>
          </w:tcPr>
          <w:p w:rsidR="00A9063F" w:rsidRPr="00850982" w:rsidRDefault="00A9063F" w:rsidP="0059220A">
            <w:pPr>
              <w:jc w:val="both"/>
            </w:pPr>
            <w:r w:rsidRPr="00850982">
              <w:t>2</w:t>
            </w:r>
          </w:p>
        </w:tc>
        <w:tc>
          <w:tcPr>
            <w:tcW w:w="567" w:type="dxa"/>
            <w:tcBorders>
              <w:top w:val="single" w:sz="4" w:space="0" w:color="auto"/>
              <w:left w:val="single" w:sz="4" w:space="0" w:color="auto"/>
              <w:bottom w:val="single" w:sz="4" w:space="0" w:color="auto"/>
              <w:right w:val="single" w:sz="12" w:space="0" w:color="auto"/>
            </w:tcBorders>
          </w:tcPr>
          <w:p w:rsidR="00A9063F" w:rsidRPr="00850982" w:rsidRDefault="00A9063F" w:rsidP="0059220A">
            <w:pPr>
              <w:jc w:val="both"/>
            </w:pPr>
            <w:r w:rsidRPr="00850982">
              <w:t>3</w:t>
            </w:r>
          </w:p>
        </w:tc>
        <w:tc>
          <w:tcPr>
            <w:tcW w:w="851" w:type="dxa"/>
            <w:tcBorders>
              <w:top w:val="single" w:sz="4" w:space="0" w:color="auto"/>
              <w:left w:val="nil"/>
              <w:bottom w:val="single" w:sz="4" w:space="0" w:color="auto"/>
              <w:right w:val="single" w:sz="4" w:space="0" w:color="auto"/>
            </w:tcBorders>
          </w:tcPr>
          <w:p w:rsidR="00A9063F" w:rsidRPr="00850982" w:rsidRDefault="00A9063F" w:rsidP="0059220A">
            <w:pPr>
              <w:jc w:val="both"/>
            </w:pPr>
            <w:r w:rsidRPr="00850982">
              <w:t>4</w:t>
            </w:r>
          </w:p>
        </w:tc>
        <w:tc>
          <w:tcPr>
            <w:tcW w:w="708" w:type="dxa"/>
            <w:tcBorders>
              <w:top w:val="single" w:sz="4" w:space="0" w:color="auto"/>
              <w:left w:val="single" w:sz="4" w:space="0" w:color="auto"/>
              <w:bottom w:val="single" w:sz="4" w:space="0" w:color="auto"/>
              <w:right w:val="single" w:sz="4" w:space="0" w:color="auto"/>
            </w:tcBorders>
          </w:tcPr>
          <w:p w:rsidR="00A9063F" w:rsidRPr="00850982" w:rsidRDefault="00A9063F" w:rsidP="0059220A">
            <w:pPr>
              <w:pStyle w:val="Zkladntext2"/>
              <w:spacing w:line="240" w:lineRule="exact"/>
              <w:jc w:val="both"/>
              <w:rPr>
                <w:sz w:val="24"/>
                <w:szCs w:val="24"/>
              </w:rPr>
            </w:pPr>
            <w:r w:rsidRPr="00850982">
              <w:rPr>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A9063F" w:rsidRPr="00850982" w:rsidRDefault="00A9063F" w:rsidP="0059220A">
            <w:pPr>
              <w:pStyle w:val="Zkladntext2"/>
              <w:spacing w:line="240" w:lineRule="exact"/>
              <w:jc w:val="both"/>
              <w:rPr>
                <w:sz w:val="24"/>
                <w:szCs w:val="24"/>
              </w:rPr>
            </w:pPr>
            <w:r w:rsidRPr="00850982">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850982" w:rsidRDefault="00A9063F" w:rsidP="0059220A">
            <w:pPr>
              <w:jc w:val="both"/>
            </w:pPr>
            <w:r w:rsidRPr="00850982">
              <w:t>7</w:t>
            </w:r>
          </w:p>
        </w:tc>
        <w:tc>
          <w:tcPr>
            <w:tcW w:w="1059" w:type="dxa"/>
            <w:tcBorders>
              <w:top w:val="single" w:sz="4" w:space="0" w:color="auto"/>
              <w:left w:val="single" w:sz="4" w:space="0" w:color="auto"/>
              <w:bottom w:val="single" w:sz="4" w:space="0" w:color="auto"/>
              <w:right w:val="single" w:sz="12" w:space="0" w:color="auto"/>
            </w:tcBorders>
          </w:tcPr>
          <w:p w:rsidR="00A9063F" w:rsidRPr="00850982" w:rsidRDefault="005170A9" w:rsidP="0059220A">
            <w:pPr>
              <w:jc w:val="both"/>
            </w:pPr>
            <w:r w:rsidRPr="00850982">
              <w:t>8</w:t>
            </w:r>
          </w:p>
        </w:tc>
      </w:tr>
      <w:tr w:rsidR="00A9063F" w:rsidRPr="00850982" w:rsidTr="00FE7347">
        <w:tc>
          <w:tcPr>
            <w:tcW w:w="540" w:type="dxa"/>
            <w:tcBorders>
              <w:top w:val="single" w:sz="4" w:space="0" w:color="auto"/>
              <w:left w:val="single" w:sz="12" w:space="0" w:color="auto"/>
              <w:bottom w:val="single" w:sz="4" w:space="0" w:color="auto"/>
              <w:right w:val="single" w:sz="4" w:space="0" w:color="auto"/>
            </w:tcBorders>
          </w:tcPr>
          <w:p w:rsidR="00A9063F" w:rsidRPr="00850982" w:rsidRDefault="00A9063F" w:rsidP="0059220A">
            <w:pPr>
              <w:pStyle w:val="Normlny0"/>
              <w:jc w:val="both"/>
              <w:rPr>
                <w:sz w:val="24"/>
                <w:szCs w:val="24"/>
              </w:rPr>
            </w:pPr>
            <w:r w:rsidRPr="00850982">
              <w:rPr>
                <w:sz w:val="24"/>
                <w:szCs w:val="24"/>
              </w:rPr>
              <w:t>Článok</w:t>
            </w:r>
          </w:p>
          <w:p w:rsidR="00A9063F" w:rsidRPr="00850982" w:rsidRDefault="00A9063F" w:rsidP="0059220A">
            <w:pPr>
              <w:pStyle w:val="Normlny0"/>
              <w:jc w:val="both"/>
              <w:rPr>
                <w:sz w:val="24"/>
                <w:szCs w:val="24"/>
              </w:rPr>
            </w:pPr>
            <w:r w:rsidRPr="00850982">
              <w:rPr>
                <w:sz w:val="24"/>
                <w:szCs w:val="24"/>
              </w:rPr>
              <w:t>(Č, O,</w:t>
            </w:r>
          </w:p>
          <w:p w:rsidR="00A9063F" w:rsidRPr="00850982" w:rsidRDefault="00A9063F" w:rsidP="0059220A">
            <w:pPr>
              <w:pStyle w:val="Normlny0"/>
              <w:jc w:val="both"/>
              <w:rPr>
                <w:sz w:val="24"/>
                <w:szCs w:val="24"/>
              </w:rPr>
            </w:pPr>
            <w:r w:rsidRPr="00850982">
              <w:rPr>
                <w:sz w:val="24"/>
                <w:szCs w:val="24"/>
              </w:rPr>
              <w:t>V, P)</w:t>
            </w:r>
          </w:p>
        </w:tc>
        <w:tc>
          <w:tcPr>
            <w:tcW w:w="6379" w:type="dxa"/>
            <w:gridSpan w:val="2"/>
            <w:tcBorders>
              <w:top w:val="single" w:sz="4" w:space="0" w:color="auto"/>
              <w:left w:val="single" w:sz="4" w:space="0" w:color="auto"/>
              <w:bottom w:val="single" w:sz="4" w:space="0" w:color="auto"/>
              <w:right w:val="single" w:sz="4" w:space="0" w:color="auto"/>
            </w:tcBorders>
          </w:tcPr>
          <w:p w:rsidR="00A9063F" w:rsidRPr="00850982" w:rsidRDefault="00A9063F" w:rsidP="0059220A">
            <w:pPr>
              <w:pStyle w:val="Normlny0"/>
              <w:jc w:val="both"/>
              <w:rPr>
                <w:sz w:val="24"/>
                <w:szCs w:val="24"/>
              </w:rPr>
            </w:pPr>
            <w:r w:rsidRPr="00850982">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850982" w:rsidRDefault="00A9063F" w:rsidP="00FD6769">
            <w:pPr>
              <w:pStyle w:val="Normlny0"/>
              <w:ind w:right="-43"/>
              <w:jc w:val="both"/>
              <w:rPr>
                <w:sz w:val="24"/>
                <w:szCs w:val="24"/>
              </w:rPr>
            </w:pPr>
            <w:r w:rsidRPr="00850982">
              <w:rPr>
                <w:sz w:val="24"/>
                <w:szCs w:val="24"/>
              </w:rPr>
              <w:t xml:space="preserve">Spôsob </w:t>
            </w:r>
            <w:r w:rsidRPr="00850982">
              <w:rPr>
                <w:noProof/>
                <w:sz w:val="24"/>
                <w:szCs w:val="24"/>
              </w:rPr>
              <w:t>transp</w:t>
            </w:r>
            <w:r w:rsidRPr="00850982">
              <w:rPr>
                <w:sz w:val="24"/>
                <w:szCs w:val="24"/>
              </w:rPr>
              <w:t>.</w:t>
            </w:r>
          </w:p>
          <w:p w:rsidR="00A9063F" w:rsidRPr="00850982" w:rsidRDefault="00A9063F" w:rsidP="0059220A">
            <w:pPr>
              <w:pStyle w:val="Normlny0"/>
              <w:jc w:val="both"/>
              <w:rPr>
                <w:sz w:val="24"/>
                <w:szCs w:val="24"/>
              </w:rPr>
            </w:pPr>
            <w:r w:rsidRPr="00850982">
              <w:rPr>
                <w:sz w:val="24"/>
                <w:szCs w:val="24"/>
              </w:rPr>
              <w:t>(N, O, D, n.a.)</w:t>
            </w:r>
          </w:p>
        </w:tc>
        <w:tc>
          <w:tcPr>
            <w:tcW w:w="851" w:type="dxa"/>
            <w:tcBorders>
              <w:top w:val="single" w:sz="4" w:space="0" w:color="auto"/>
              <w:left w:val="nil"/>
              <w:bottom w:val="single" w:sz="4" w:space="0" w:color="auto"/>
              <w:right w:val="single" w:sz="4" w:space="0" w:color="auto"/>
            </w:tcBorders>
          </w:tcPr>
          <w:p w:rsidR="00A9063F" w:rsidRPr="00850982" w:rsidRDefault="00A9063F" w:rsidP="0059220A">
            <w:pPr>
              <w:pStyle w:val="Normlny0"/>
              <w:jc w:val="both"/>
              <w:rPr>
                <w:sz w:val="24"/>
                <w:szCs w:val="24"/>
              </w:rPr>
            </w:pPr>
            <w:r w:rsidRPr="00850982">
              <w:rPr>
                <w:sz w:val="24"/>
                <w:szCs w:val="24"/>
              </w:rPr>
              <w:t>Číslo</w:t>
            </w:r>
          </w:p>
          <w:p w:rsidR="00A9063F" w:rsidRPr="00850982" w:rsidRDefault="00A9063F" w:rsidP="0059220A">
            <w:pPr>
              <w:pStyle w:val="Normlny0"/>
              <w:jc w:val="both"/>
              <w:rPr>
                <w:sz w:val="24"/>
                <w:szCs w:val="24"/>
              </w:rPr>
            </w:pPr>
            <w:r w:rsidRPr="00850982">
              <w:rPr>
                <w:sz w:val="24"/>
                <w:szCs w:val="24"/>
              </w:rPr>
              <w:t>predpisu</w:t>
            </w:r>
          </w:p>
        </w:tc>
        <w:tc>
          <w:tcPr>
            <w:tcW w:w="708" w:type="dxa"/>
            <w:tcBorders>
              <w:top w:val="single" w:sz="4" w:space="0" w:color="auto"/>
              <w:left w:val="single" w:sz="4" w:space="0" w:color="auto"/>
              <w:bottom w:val="single" w:sz="4" w:space="0" w:color="auto"/>
              <w:right w:val="single" w:sz="4" w:space="0" w:color="auto"/>
            </w:tcBorders>
          </w:tcPr>
          <w:p w:rsidR="00A9063F" w:rsidRPr="00850982" w:rsidRDefault="00A9063F" w:rsidP="0059220A">
            <w:pPr>
              <w:pStyle w:val="Normlny0"/>
              <w:jc w:val="both"/>
              <w:rPr>
                <w:sz w:val="24"/>
                <w:szCs w:val="24"/>
              </w:rPr>
            </w:pPr>
            <w:r w:rsidRPr="00850982">
              <w:rPr>
                <w:sz w:val="24"/>
                <w:szCs w:val="24"/>
              </w:rPr>
              <w:t>Článok (Č, §, O, V, P)</w:t>
            </w:r>
          </w:p>
        </w:tc>
        <w:tc>
          <w:tcPr>
            <w:tcW w:w="5387" w:type="dxa"/>
            <w:tcBorders>
              <w:top w:val="single" w:sz="4" w:space="0" w:color="auto"/>
              <w:left w:val="single" w:sz="4" w:space="0" w:color="auto"/>
              <w:bottom w:val="single" w:sz="4" w:space="0" w:color="auto"/>
              <w:right w:val="single" w:sz="4" w:space="0" w:color="auto"/>
            </w:tcBorders>
          </w:tcPr>
          <w:p w:rsidR="00A9063F" w:rsidRPr="00850982" w:rsidRDefault="00A9063F" w:rsidP="0059220A">
            <w:pPr>
              <w:pStyle w:val="Normlny0"/>
              <w:jc w:val="both"/>
              <w:rPr>
                <w:sz w:val="24"/>
                <w:szCs w:val="24"/>
              </w:rPr>
            </w:pPr>
            <w:r w:rsidRPr="00850982">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850982" w:rsidRDefault="00A9063F" w:rsidP="0059220A">
            <w:pPr>
              <w:pStyle w:val="Normlny0"/>
              <w:jc w:val="both"/>
              <w:rPr>
                <w:sz w:val="24"/>
                <w:szCs w:val="24"/>
              </w:rPr>
            </w:pPr>
            <w:r w:rsidRPr="00850982">
              <w:rPr>
                <w:sz w:val="24"/>
                <w:szCs w:val="24"/>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850982" w:rsidRDefault="00A9063F" w:rsidP="0059220A">
            <w:pPr>
              <w:pStyle w:val="Normlny0"/>
              <w:jc w:val="both"/>
              <w:rPr>
                <w:sz w:val="24"/>
                <w:szCs w:val="24"/>
              </w:rPr>
            </w:pPr>
            <w:r w:rsidRPr="00850982">
              <w:rPr>
                <w:sz w:val="24"/>
                <w:szCs w:val="24"/>
              </w:rPr>
              <w:t>Poznámky</w:t>
            </w:r>
          </w:p>
        </w:tc>
      </w:tr>
      <w:tr w:rsidR="00A9063F" w:rsidRPr="00850982" w:rsidTr="00FE7347">
        <w:tc>
          <w:tcPr>
            <w:tcW w:w="540" w:type="dxa"/>
            <w:tcBorders>
              <w:top w:val="single" w:sz="4" w:space="0" w:color="auto"/>
              <w:left w:val="single" w:sz="12" w:space="0" w:color="auto"/>
              <w:bottom w:val="single" w:sz="4" w:space="0" w:color="auto"/>
              <w:right w:val="single" w:sz="4" w:space="0" w:color="auto"/>
            </w:tcBorders>
          </w:tcPr>
          <w:p w:rsidR="00A9063F" w:rsidRPr="00850982" w:rsidRDefault="00153B33" w:rsidP="0059220A">
            <w:pPr>
              <w:jc w:val="both"/>
            </w:pPr>
            <w:r w:rsidRPr="00850982">
              <w:t>Čl.2</w:t>
            </w:r>
          </w:p>
        </w:tc>
        <w:tc>
          <w:tcPr>
            <w:tcW w:w="6379" w:type="dxa"/>
            <w:gridSpan w:val="2"/>
            <w:tcBorders>
              <w:top w:val="single" w:sz="4" w:space="0" w:color="auto"/>
              <w:left w:val="single" w:sz="4" w:space="0" w:color="auto"/>
              <w:bottom w:val="single" w:sz="4" w:space="0" w:color="auto"/>
              <w:right w:val="single" w:sz="4" w:space="0" w:color="auto"/>
            </w:tcBorders>
          </w:tcPr>
          <w:p w:rsidR="0024166E" w:rsidRPr="00850982" w:rsidRDefault="0024166E" w:rsidP="0059220A">
            <w:pPr>
              <w:pStyle w:val="CM4"/>
              <w:spacing w:before="60" w:after="60"/>
              <w:jc w:val="both"/>
              <w:rPr>
                <w:rFonts w:ascii="Times New Roman" w:hAnsi="Times New Roman"/>
                <w:color w:val="000000"/>
              </w:rPr>
            </w:pPr>
            <w:r w:rsidRPr="00850982">
              <w:rPr>
                <w:rFonts w:ascii="Times New Roman" w:hAnsi="Times New Roman"/>
                <w:color w:val="000000"/>
              </w:rPr>
              <w:t xml:space="preserve">Na účely tejto smernice sa uplatňujú tieto definície: </w:t>
            </w:r>
          </w:p>
          <w:p w:rsidR="0024166E" w:rsidRPr="00850982" w:rsidRDefault="0024166E" w:rsidP="0059220A">
            <w:pPr>
              <w:pStyle w:val="CM4"/>
              <w:spacing w:before="60" w:after="60"/>
              <w:jc w:val="both"/>
              <w:rPr>
                <w:rFonts w:ascii="Times New Roman" w:hAnsi="Times New Roman"/>
                <w:color w:val="000000"/>
              </w:rPr>
            </w:pPr>
            <w:r w:rsidRPr="00850982">
              <w:rPr>
                <w:rFonts w:ascii="Times New Roman" w:hAnsi="Times New Roman"/>
                <w:color w:val="000000"/>
              </w:rPr>
              <w:t xml:space="preserve">a) „spoločnosť členského štátu“ znamená každú spoločnosť, ktorá: </w:t>
            </w:r>
          </w:p>
          <w:p w:rsidR="0024166E" w:rsidRPr="00850982" w:rsidRDefault="0024166E" w:rsidP="0059220A">
            <w:pPr>
              <w:pStyle w:val="CM4"/>
              <w:spacing w:before="60" w:after="60"/>
              <w:jc w:val="both"/>
              <w:rPr>
                <w:rFonts w:ascii="Times New Roman" w:hAnsi="Times New Roman"/>
                <w:color w:val="000000"/>
              </w:rPr>
            </w:pPr>
            <w:r w:rsidRPr="00850982">
              <w:rPr>
                <w:rFonts w:ascii="Times New Roman" w:hAnsi="Times New Roman"/>
                <w:color w:val="000000"/>
              </w:rPr>
              <w:t xml:space="preserve">i) má jednu z foriem vymenovaných v časti A prílohy I; </w:t>
            </w:r>
          </w:p>
          <w:p w:rsidR="00CB2E5D" w:rsidRPr="00850982" w:rsidRDefault="0024166E" w:rsidP="0059220A">
            <w:pPr>
              <w:pStyle w:val="Normlny0"/>
              <w:jc w:val="both"/>
              <w:rPr>
                <w:color w:val="000000"/>
                <w:sz w:val="24"/>
                <w:szCs w:val="24"/>
              </w:rPr>
            </w:pPr>
            <w:r w:rsidRPr="00850982">
              <w:rPr>
                <w:color w:val="000000"/>
                <w:sz w:val="24"/>
                <w:szCs w:val="24"/>
              </w:rPr>
              <w:t>ii) podľa daňového práva členského štátu sa považuje na daňové účely za sídliacu v tomto členskom štáte a podľa podmienok dohody o dvojitom zdanení uzavretej s tretím štátom sa na daňové účely nepovažuje za sídliacu  mimo Únie;</w:t>
            </w:r>
          </w:p>
          <w:p w:rsidR="0024166E" w:rsidRPr="00850982" w:rsidRDefault="0024166E" w:rsidP="0059220A">
            <w:pPr>
              <w:pStyle w:val="CM4"/>
              <w:spacing w:before="60" w:after="60"/>
              <w:jc w:val="both"/>
              <w:rPr>
                <w:rFonts w:ascii="Times New Roman" w:hAnsi="Times New Roman"/>
                <w:color w:val="000000"/>
              </w:rPr>
            </w:pPr>
            <w:r w:rsidRPr="00850982">
              <w:rPr>
                <w:rFonts w:ascii="Times New Roman" w:hAnsi="Times New Roman"/>
                <w:color w:val="000000"/>
              </w:rPr>
              <w:t xml:space="preserve">iii) okrem toho podlieha jednej z daní vymenovaných v časti B prílohy I bez možnosti voľby alebo vyňatia, alebo akejkoľvek inej dani, ktorá môže ktorúkoľvek z uvedených daní nahradiť; </w:t>
            </w:r>
          </w:p>
          <w:p w:rsidR="00DE3E93" w:rsidRPr="00850982" w:rsidRDefault="00DE3E93" w:rsidP="00DE3E93">
            <w:pPr>
              <w:pStyle w:val="Default"/>
              <w:rPr>
                <w:rFonts w:ascii="Times New Roman" w:hAnsi="Times New Roman" w:cs="Times New Roman"/>
              </w:rPr>
            </w:pPr>
          </w:p>
          <w:p w:rsidR="00DE3E93" w:rsidRPr="00850982" w:rsidRDefault="00DE3E93" w:rsidP="00DE3E93">
            <w:pPr>
              <w:pStyle w:val="Default"/>
              <w:rPr>
                <w:rFonts w:ascii="Times New Roman" w:hAnsi="Times New Roman" w:cs="Times New Roman"/>
              </w:rPr>
            </w:pPr>
          </w:p>
          <w:p w:rsidR="00DE3E93" w:rsidRPr="00850982" w:rsidRDefault="00DE3E93" w:rsidP="00DE3E93">
            <w:pPr>
              <w:pStyle w:val="Default"/>
              <w:rPr>
                <w:rFonts w:ascii="Times New Roman" w:hAnsi="Times New Roman" w:cs="Times New Roman"/>
              </w:rPr>
            </w:pPr>
          </w:p>
          <w:p w:rsidR="00DE3E93" w:rsidRPr="00850982" w:rsidRDefault="00DE3E93" w:rsidP="00DE3E93">
            <w:pPr>
              <w:pStyle w:val="Default"/>
              <w:rPr>
                <w:rFonts w:ascii="Times New Roman" w:hAnsi="Times New Roman" w:cs="Times New Roman"/>
              </w:rPr>
            </w:pPr>
          </w:p>
          <w:p w:rsidR="00DE3E93" w:rsidRPr="00850982" w:rsidRDefault="00DE3E93"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C462DD" w:rsidRDefault="00C462DD"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A276DC" w:rsidRDefault="00A276DC" w:rsidP="00DE3E93">
            <w:pPr>
              <w:pStyle w:val="Default"/>
              <w:rPr>
                <w:rFonts w:ascii="Times New Roman" w:hAnsi="Times New Roman" w:cs="Times New Roman"/>
              </w:rPr>
            </w:pPr>
          </w:p>
          <w:p w:rsidR="00850982" w:rsidRPr="00850982" w:rsidRDefault="00850982" w:rsidP="00DE3E93">
            <w:pPr>
              <w:pStyle w:val="Default"/>
              <w:rPr>
                <w:rFonts w:ascii="Times New Roman" w:hAnsi="Times New Roman" w:cs="Times New Roman"/>
              </w:rPr>
            </w:pPr>
          </w:p>
          <w:p w:rsidR="0024166E" w:rsidRPr="00850982" w:rsidRDefault="0024166E" w:rsidP="0059220A">
            <w:pPr>
              <w:pStyle w:val="Normlny0"/>
              <w:jc w:val="both"/>
              <w:rPr>
                <w:sz w:val="24"/>
                <w:szCs w:val="24"/>
              </w:rPr>
            </w:pPr>
            <w:r w:rsidRPr="00850982">
              <w:rPr>
                <w:color w:val="000000"/>
                <w:sz w:val="24"/>
                <w:szCs w:val="24"/>
              </w:rPr>
              <w:t>b) „stála prevádzkareň“ znamená trvalé miesto na podnikanie, ktoré sa nachádza v členskom štáte, v ktorom sa úplne alebo čiastočne vykonáva činnosť spoločnosti z iného členského štátu, pričom zisky tohto miesta na podnikanie sú predmetom dane v členskom štáte, v ktorom sa miesto nachádza na základe príslušnej bilaterálnej daňovej zmluvy, alebo pri absencii takejto zmluvy na základe vnútroštátneho práva.</w:t>
            </w:r>
          </w:p>
        </w:tc>
        <w:tc>
          <w:tcPr>
            <w:tcW w:w="567" w:type="dxa"/>
            <w:tcBorders>
              <w:top w:val="single" w:sz="4" w:space="0" w:color="auto"/>
              <w:left w:val="single" w:sz="4" w:space="0" w:color="auto"/>
              <w:bottom w:val="single" w:sz="4" w:space="0" w:color="auto"/>
              <w:right w:val="single" w:sz="12" w:space="0" w:color="auto"/>
            </w:tcBorders>
          </w:tcPr>
          <w:p w:rsidR="00A9063F" w:rsidRPr="00850982" w:rsidRDefault="00EB5033" w:rsidP="0059220A">
            <w:pPr>
              <w:jc w:val="both"/>
            </w:pPr>
            <w:r w:rsidRPr="00850982">
              <w:lastRenderedPageBreak/>
              <w:t>N</w:t>
            </w:r>
          </w:p>
        </w:tc>
        <w:tc>
          <w:tcPr>
            <w:tcW w:w="851" w:type="dxa"/>
            <w:tcBorders>
              <w:top w:val="single" w:sz="4" w:space="0" w:color="auto"/>
              <w:left w:val="nil"/>
              <w:bottom w:val="single" w:sz="4" w:space="0" w:color="auto"/>
              <w:right w:val="single" w:sz="4" w:space="0" w:color="auto"/>
            </w:tcBorders>
          </w:tcPr>
          <w:p w:rsidR="00A9063F" w:rsidRDefault="002C1B7F" w:rsidP="0059220A">
            <w:pPr>
              <w:jc w:val="both"/>
            </w:pPr>
            <w:r w:rsidRPr="00850982">
              <w:t>595/2003</w:t>
            </w:r>
          </w:p>
          <w:p w:rsidR="00FA211D" w:rsidRPr="00FA211D" w:rsidRDefault="00FA211D" w:rsidP="0059220A">
            <w:pPr>
              <w:jc w:val="both"/>
              <w:rPr>
                <w:b/>
              </w:rPr>
            </w:pPr>
            <w:r>
              <w:rPr>
                <w:b/>
              </w:rPr>
              <w:t>a návrh zákona</w:t>
            </w:r>
            <w:r w:rsidR="000D4202">
              <w:rPr>
                <w:b/>
              </w:rPr>
              <w:t xml:space="preserve"> Čl. I</w:t>
            </w: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Pr="00850982" w:rsidRDefault="00CD04CE" w:rsidP="0059220A">
            <w:pPr>
              <w:jc w:val="both"/>
            </w:pPr>
          </w:p>
          <w:p w:rsidR="00CD04CE" w:rsidRDefault="00CD04CE" w:rsidP="0059220A">
            <w:pPr>
              <w:jc w:val="both"/>
            </w:pPr>
          </w:p>
          <w:p w:rsidR="00850982" w:rsidRDefault="00850982" w:rsidP="0059220A">
            <w:pPr>
              <w:jc w:val="both"/>
            </w:pPr>
          </w:p>
          <w:p w:rsidR="00850982" w:rsidRDefault="00850982" w:rsidP="0059220A">
            <w:pPr>
              <w:jc w:val="both"/>
            </w:pPr>
          </w:p>
          <w:p w:rsidR="00850982" w:rsidRDefault="00850982" w:rsidP="0059220A">
            <w:pPr>
              <w:jc w:val="both"/>
            </w:pPr>
          </w:p>
          <w:p w:rsidR="00A276DC" w:rsidRPr="00AD10C0" w:rsidRDefault="00A276DC" w:rsidP="00A276DC">
            <w:pPr>
              <w:jc w:val="center"/>
              <w:rPr>
                <w:b/>
              </w:rPr>
            </w:pPr>
            <w:r w:rsidRPr="00AD10C0">
              <w:t xml:space="preserve"> </w:t>
            </w:r>
          </w:p>
          <w:p w:rsidR="00A276DC" w:rsidRPr="00850982" w:rsidRDefault="00A276DC" w:rsidP="00850982">
            <w:pPr>
              <w:jc w:val="center"/>
            </w:pPr>
          </w:p>
        </w:tc>
        <w:tc>
          <w:tcPr>
            <w:tcW w:w="708" w:type="dxa"/>
            <w:tcBorders>
              <w:top w:val="single" w:sz="4" w:space="0" w:color="auto"/>
              <w:left w:val="single" w:sz="4" w:space="0" w:color="auto"/>
              <w:bottom w:val="single" w:sz="4" w:space="0" w:color="auto"/>
              <w:right w:val="single" w:sz="4" w:space="0" w:color="auto"/>
            </w:tcBorders>
          </w:tcPr>
          <w:p w:rsidR="00EB5033" w:rsidRPr="00850982" w:rsidRDefault="00A14BED" w:rsidP="00A14BED">
            <w:r w:rsidRPr="00850982">
              <w:lastRenderedPageBreak/>
              <w:t>§ 2 pís.a)</w:t>
            </w:r>
            <w:r w:rsidR="00EB5033" w:rsidRPr="00850982">
              <w:t xml:space="preserve"> </w:t>
            </w:r>
          </w:p>
          <w:p w:rsidR="00EB5033" w:rsidRPr="00850982" w:rsidRDefault="00EB5033" w:rsidP="00A14BED"/>
          <w:p w:rsidR="00EB5033" w:rsidRPr="00850982" w:rsidRDefault="00EB5033" w:rsidP="00A14BED">
            <w:r w:rsidRPr="00850982">
              <w:t>pís.d) bod. 2</w:t>
            </w:r>
          </w:p>
          <w:p w:rsidR="00EB5033" w:rsidRPr="00850982" w:rsidRDefault="00EB5033" w:rsidP="00A14BED"/>
          <w:p w:rsidR="00EB5033" w:rsidRPr="00850982" w:rsidRDefault="00EB5033" w:rsidP="00A14BED"/>
          <w:p w:rsidR="00EB5033" w:rsidRPr="00850982" w:rsidRDefault="00EB5033" w:rsidP="00A14BED"/>
          <w:p w:rsidR="00EB5033" w:rsidRPr="00850982" w:rsidRDefault="00EB5033" w:rsidP="00A14BED"/>
          <w:p w:rsidR="00EB5033" w:rsidRDefault="00EB5033" w:rsidP="00A14BED"/>
          <w:p w:rsidR="00850982" w:rsidRDefault="00850982" w:rsidP="00A14BED"/>
          <w:p w:rsidR="00850982" w:rsidRDefault="00850982" w:rsidP="00A14BED"/>
          <w:p w:rsidR="00CF7C99" w:rsidRPr="00850982" w:rsidRDefault="00CF7C99" w:rsidP="00A14BED"/>
          <w:p w:rsidR="00EB5033" w:rsidRPr="00850982" w:rsidRDefault="00EB5033" w:rsidP="00A14BED">
            <w:r w:rsidRPr="00850982">
              <w:lastRenderedPageBreak/>
              <w:t xml:space="preserve">pís.e) </w:t>
            </w:r>
          </w:p>
          <w:p w:rsidR="00EB5033" w:rsidRPr="00850982" w:rsidRDefault="00EB5033" w:rsidP="00A14BED">
            <w:r w:rsidRPr="00850982">
              <w:t>bod.3</w:t>
            </w:r>
          </w:p>
          <w:p w:rsidR="00EB5033" w:rsidRDefault="00EB5033" w:rsidP="00A14BED"/>
          <w:p w:rsidR="00850982" w:rsidRDefault="00850982" w:rsidP="00A14BED"/>
          <w:p w:rsidR="0087468B" w:rsidRDefault="0087468B" w:rsidP="00A14BED"/>
          <w:p w:rsidR="0087468B" w:rsidRDefault="0087468B" w:rsidP="00A14BED"/>
          <w:p w:rsidR="0087468B" w:rsidRDefault="0087468B" w:rsidP="00A14BED"/>
          <w:p w:rsidR="0087468B" w:rsidRDefault="0087468B" w:rsidP="00A14BED"/>
          <w:p w:rsidR="00EB5033" w:rsidRPr="00850982" w:rsidRDefault="00EB5033" w:rsidP="00A14BED">
            <w:r w:rsidRPr="00850982">
              <w:t>pís.t)</w:t>
            </w:r>
          </w:p>
          <w:p w:rsidR="00EB5033" w:rsidRPr="00850982" w:rsidRDefault="00EB5033" w:rsidP="00A14BED"/>
          <w:p w:rsidR="00A276DC" w:rsidRDefault="00A276DC" w:rsidP="00A14BED"/>
          <w:p w:rsidR="00A276DC" w:rsidRDefault="00A276DC" w:rsidP="00A14BED"/>
          <w:p w:rsidR="00A276DC" w:rsidRDefault="00A276DC" w:rsidP="00A14BED"/>
          <w:p w:rsidR="00A276DC" w:rsidRDefault="00A276DC" w:rsidP="00A14BED"/>
          <w:p w:rsidR="00A276DC" w:rsidRDefault="00A276DC" w:rsidP="00A14BED"/>
          <w:p w:rsidR="00A276DC" w:rsidRDefault="00A276DC" w:rsidP="00A14BED"/>
          <w:p w:rsidR="00A276DC" w:rsidRDefault="00A276DC" w:rsidP="00A14BED"/>
          <w:p w:rsidR="00DE3E93" w:rsidRPr="00850982" w:rsidRDefault="00DE3E93" w:rsidP="00CD04CE">
            <w:pPr>
              <w:jc w:val="center"/>
            </w:pPr>
            <w:r w:rsidRPr="00850982">
              <w:t>§ 16 ods.2</w:t>
            </w:r>
          </w:p>
          <w:p w:rsidR="00EB5033" w:rsidRPr="00850982" w:rsidRDefault="00EB5033" w:rsidP="00A14BED"/>
          <w:p w:rsidR="00EB5033" w:rsidRPr="00850982" w:rsidRDefault="00EB5033" w:rsidP="00A14BED"/>
          <w:p w:rsidR="00EB5033" w:rsidRPr="00850982" w:rsidRDefault="00EB5033" w:rsidP="00A14BED"/>
          <w:p w:rsidR="00EB5033" w:rsidRPr="00850982" w:rsidRDefault="00EB5033" w:rsidP="00A14BED"/>
        </w:tc>
        <w:tc>
          <w:tcPr>
            <w:tcW w:w="5387" w:type="dxa"/>
            <w:tcBorders>
              <w:top w:val="single" w:sz="4" w:space="0" w:color="auto"/>
              <w:left w:val="single" w:sz="4" w:space="0" w:color="auto"/>
              <w:bottom w:val="single" w:sz="4" w:space="0" w:color="auto"/>
              <w:right w:val="single" w:sz="4" w:space="0" w:color="auto"/>
            </w:tcBorders>
          </w:tcPr>
          <w:p w:rsidR="00EB5033" w:rsidRPr="007512B3" w:rsidRDefault="00EB5033" w:rsidP="00EB5033">
            <w:r w:rsidRPr="007512B3">
              <w:lastRenderedPageBreak/>
              <w:t>Na účely tohto zákona sa rozumie</w:t>
            </w:r>
          </w:p>
          <w:p w:rsidR="00A9063F" w:rsidRPr="007512B3" w:rsidRDefault="00EB5033" w:rsidP="00EB5033">
            <w:r w:rsidRPr="007512B3">
              <w:t>daňovníkom fyzická osoba alebo právnická osoba,</w:t>
            </w:r>
          </w:p>
          <w:p w:rsidR="00EB5033" w:rsidRPr="007512B3" w:rsidRDefault="00EB5033" w:rsidP="00EB5033"/>
          <w:p w:rsidR="00EB5033" w:rsidRPr="007512B3" w:rsidRDefault="00EB5033" w:rsidP="00EB5033">
            <w:r w:rsidRPr="007512B3">
              <w:t>daňovníkom s neobmedzenou daňovou povinnosťou</w:t>
            </w:r>
          </w:p>
          <w:p w:rsidR="00EB5033" w:rsidRPr="007512B3" w:rsidRDefault="00EB5033" w:rsidP="00850982">
            <w:pPr>
              <w:jc w:val="both"/>
            </w:pPr>
            <w:r w:rsidRPr="00FA211D">
              <w:rPr>
                <w:b/>
              </w:rPr>
              <w:t>2.</w:t>
            </w:r>
            <w:r w:rsidRPr="007512B3">
              <w:t xml:space="preserve"> </w:t>
            </w:r>
            <w:r w:rsidR="00FA211D" w:rsidRPr="00FA211D">
              <w:rPr>
                <w:b/>
              </w:rPr>
              <w:t>právnická osoba, ktorá má na území Slovenskej republiky sídlo</w:t>
            </w:r>
            <w:r w:rsidR="009943F0" w:rsidRPr="009943F0">
              <w:rPr>
                <w:b/>
                <w:vertAlign w:val="superscript"/>
              </w:rPr>
              <w:t>1b</w:t>
            </w:r>
            <w:r w:rsidR="009943F0">
              <w:rPr>
                <w:b/>
              </w:rPr>
              <w:t>)</w:t>
            </w:r>
            <w:r w:rsidR="007F08BD">
              <w:rPr>
                <w:b/>
              </w:rPr>
              <w:t xml:space="preserve"> </w:t>
            </w:r>
            <w:r w:rsidR="00FA211D" w:rsidRPr="00FA211D">
              <w:rPr>
                <w:b/>
              </w:rPr>
              <w:t>alebo miesto skutočného vedenia; miestom skutočného vedenia je miesto, kde sa vytvárajú alebo prijímajú zásadné riadiace</w:t>
            </w:r>
            <w:r w:rsidR="0099556D">
              <w:rPr>
                <w:b/>
              </w:rPr>
              <w:t xml:space="preserve"> rozhodnutia</w:t>
            </w:r>
            <w:r w:rsidR="00FA211D" w:rsidRPr="00FA211D">
              <w:rPr>
                <w:b/>
              </w:rPr>
              <w:t xml:space="preserve"> a obchodné rozhodnutia pre právnickú osobu ako celok, aj ak adresa tohto miesta nie je </w:t>
            </w:r>
            <w:r w:rsidR="00FA211D">
              <w:rPr>
                <w:b/>
              </w:rPr>
              <w:t>zapísaná v obchodnom registri,</w:t>
            </w:r>
          </w:p>
          <w:p w:rsidR="00EB5033" w:rsidRPr="007512B3" w:rsidRDefault="00EB5033" w:rsidP="00EB5033"/>
          <w:p w:rsidR="00EB5033" w:rsidRPr="0087468B" w:rsidRDefault="00EB5033" w:rsidP="00EB5033">
            <w:r w:rsidRPr="0087468B">
              <w:t>daňovníkom s obmedzenou daňovou povinnosťou</w:t>
            </w:r>
          </w:p>
          <w:p w:rsidR="00EB5033" w:rsidRPr="0087468B" w:rsidRDefault="00EB5033" w:rsidP="00850982">
            <w:pPr>
              <w:jc w:val="both"/>
              <w:rPr>
                <w:b/>
              </w:rPr>
            </w:pPr>
            <w:r w:rsidRPr="0087468B">
              <w:rPr>
                <w:b/>
              </w:rPr>
              <w:lastRenderedPageBreak/>
              <w:t>3.</w:t>
            </w:r>
            <w:r w:rsidR="0087468B" w:rsidRPr="0087468B">
              <w:rPr>
                <w:b/>
              </w:rPr>
              <w:t xml:space="preserve"> právnická osoba neuvedená v písm</w:t>
            </w:r>
            <w:r w:rsidR="0099556D">
              <w:rPr>
                <w:b/>
              </w:rPr>
              <w:t>ene</w:t>
            </w:r>
            <w:r w:rsidR="0087468B" w:rsidRPr="0087468B">
              <w:rPr>
                <w:b/>
              </w:rPr>
              <w:t xml:space="preserve"> d) druhom bode alebo pr</w:t>
            </w:r>
            <w:r w:rsidR="0099556D">
              <w:rPr>
                <w:b/>
              </w:rPr>
              <w:t>ávnická osoba uvedená    v písmene</w:t>
            </w:r>
            <w:r w:rsidR="0087468B" w:rsidRPr="0087468B">
              <w:rPr>
                <w:b/>
              </w:rPr>
              <w:t xml:space="preserve"> d) druhom bode, ktorá sa v dôsledku uplatnenia medzinárodnej zmluvy považuje za daňovníka s neobmedzenou daňovou povinnosťou v inom zmluvnom štáte,</w:t>
            </w:r>
          </w:p>
          <w:p w:rsidR="00EB5033" w:rsidRPr="007512B3" w:rsidRDefault="00EB5033" w:rsidP="00EB5033"/>
          <w:p w:rsidR="00A276DC" w:rsidRPr="007512B3" w:rsidRDefault="00850982" w:rsidP="00CD04CE">
            <w:pPr>
              <w:jc w:val="both"/>
            </w:pPr>
            <w:r w:rsidRPr="007512B3">
              <w:t>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p>
          <w:p w:rsidR="00850982" w:rsidRPr="007512B3" w:rsidRDefault="00850982" w:rsidP="00CD04CE">
            <w:pPr>
              <w:jc w:val="both"/>
            </w:pPr>
          </w:p>
          <w:p w:rsidR="00DE3E93" w:rsidRPr="007512B3" w:rsidRDefault="00096FA9" w:rsidP="00CD04CE">
            <w:pPr>
              <w:jc w:val="both"/>
            </w:pPr>
            <w:r w:rsidRPr="00096FA9">
              <w:rPr>
                <w:color w:val="000000"/>
              </w:rPr>
              <w:t xml:space="preserve">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w:t>
            </w:r>
            <w:r w:rsidRPr="00096FA9">
              <w:rPr>
                <w:color w:val="000000"/>
              </w:rPr>
              <w:lastRenderedPageBreak/>
              <w:t>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w:t>
            </w:r>
          </w:p>
        </w:tc>
        <w:tc>
          <w:tcPr>
            <w:tcW w:w="709" w:type="dxa"/>
            <w:tcBorders>
              <w:top w:val="single" w:sz="4" w:space="0" w:color="auto"/>
              <w:left w:val="single" w:sz="4" w:space="0" w:color="auto"/>
              <w:bottom w:val="single" w:sz="4" w:space="0" w:color="auto"/>
              <w:right w:val="single" w:sz="4" w:space="0" w:color="auto"/>
            </w:tcBorders>
          </w:tcPr>
          <w:p w:rsidR="00A9063F" w:rsidRPr="00850982" w:rsidRDefault="00EB5033" w:rsidP="0059220A">
            <w:pPr>
              <w:jc w:val="both"/>
            </w:pPr>
            <w:r w:rsidRPr="00850982">
              <w:lastRenderedPageBreak/>
              <w:t>Ú</w:t>
            </w:r>
          </w:p>
        </w:tc>
        <w:tc>
          <w:tcPr>
            <w:tcW w:w="1059" w:type="dxa"/>
            <w:tcBorders>
              <w:top w:val="single" w:sz="4" w:space="0" w:color="auto"/>
              <w:left w:val="single" w:sz="4" w:space="0" w:color="auto"/>
              <w:bottom w:val="single" w:sz="4" w:space="0" w:color="auto"/>
              <w:right w:val="single" w:sz="12" w:space="0" w:color="auto"/>
            </w:tcBorders>
          </w:tcPr>
          <w:p w:rsidR="00A9063F" w:rsidRPr="00850982" w:rsidRDefault="00A9063F" w:rsidP="0059220A">
            <w:pPr>
              <w:pStyle w:val="Nadpis1"/>
              <w:jc w:val="both"/>
              <w:rPr>
                <w:b w:val="0"/>
                <w:bCs w:val="0"/>
              </w:rPr>
            </w:pPr>
          </w:p>
        </w:tc>
      </w:tr>
      <w:tr w:rsidR="00A9063F" w:rsidRPr="00850982" w:rsidTr="00FE7347">
        <w:tc>
          <w:tcPr>
            <w:tcW w:w="540" w:type="dxa"/>
            <w:tcBorders>
              <w:top w:val="single" w:sz="4" w:space="0" w:color="auto"/>
              <w:left w:val="single" w:sz="12" w:space="0" w:color="auto"/>
              <w:bottom w:val="single" w:sz="4" w:space="0" w:color="auto"/>
              <w:right w:val="single" w:sz="4" w:space="0" w:color="auto"/>
            </w:tcBorders>
          </w:tcPr>
          <w:p w:rsidR="00A9063F" w:rsidRDefault="00153B33" w:rsidP="0059220A">
            <w:pPr>
              <w:jc w:val="both"/>
            </w:pPr>
            <w:r w:rsidRPr="00850982">
              <w:lastRenderedPageBreak/>
              <w:t>Čl.4</w:t>
            </w:r>
            <w:r w:rsidR="00065B17">
              <w:t xml:space="preserve"> ods. 1</w:t>
            </w:r>
            <w:r w:rsidR="00620CB5">
              <w:t xml:space="preserve"> </w:t>
            </w:r>
            <w:r w:rsidR="00620CB5" w:rsidRPr="00360E59">
              <w:t>pís.</w:t>
            </w:r>
            <w:r w:rsidR="002E58DC" w:rsidRPr="00360E59">
              <w:t xml:space="preserve"> </w:t>
            </w:r>
            <w:r w:rsidR="00620CB5" w:rsidRPr="00360E59">
              <w:t>a)</w:t>
            </w: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p>
          <w:p w:rsidR="00620CB5" w:rsidRDefault="00620CB5" w:rsidP="0059220A">
            <w:pPr>
              <w:jc w:val="both"/>
            </w:pPr>
            <w:r w:rsidRPr="0099556D">
              <w:t>ods.2</w:t>
            </w:r>
          </w:p>
          <w:p w:rsidR="00620CB5" w:rsidRDefault="00620CB5" w:rsidP="0059220A">
            <w:pPr>
              <w:jc w:val="both"/>
            </w:pPr>
          </w:p>
          <w:p w:rsidR="00620CB5" w:rsidRPr="00850982" w:rsidRDefault="00620CB5" w:rsidP="0059220A">
            <w:pPr>
              <w:jc w:val="both"/>
            </w:pPr>
          </w:p>
        </w:tc>
        <w:tc>
          <w:tcPr>
            <w:tcW w:w="6379" w:type="dxa"/>
            <w:gridSpan w:val="2"/>
            <w:tcBorders>
              <w:top w:val="single" w:sz="4" w:space="0" w:color="auto"/>
              <w:left w:val="single" w:sz="4" w:space="0" w:color="auto"/>
              <w:bottom w:val="single" w:sz="4" w:space="0" w:color="auto"/>
              <w:right w:val="single" w:sz="4" w:space="0" w:color="auto"/>
            </w:tcBorders>
          </w:tcPr>
          <w:p w:rsidR="0024166E" w:rsidRPr="00850982" w:rsidRDefault="0024166E" w:rsidP="0059220A">
            <w:pPr>
              <w:pStyle w:val="CM4"/>
              <w:spacing w:before="60" w:after="60"/>
              <w:jc w:val="both"/>
              <w:rPr>
                <w:rFonts w:ascii="Times New Roman" w:hAnsi="Times New Roman"/>
                <w:color w:val="000000"/>
              </w:rPr>
            </w:pPr>
            <w:r w:rsidRPr="00850982">
              <w:rPr>
                <w:rFonts w:ascii="Times New Roman" w:hAnsi="Times New Roman"/>
                <w:color w:val="000000"/>
              </w:rPr>
              <w:lastRenderedPageBreak/>
              <w:t xml:space="preserve">1. Keď materská spoločnosť alebo jej stála prevádzkareň na základe združenia materskej spoločnosti s jej dcérskou spoločnosťou dostáva prerozdelené zisky, štát materskej spoločnosti a členský štát jej stálej prevádzkarne, okrem prípadu likvidácie dcérskej spoločnosti buď: </w:t>
            </w:r>
          </w:p>
          <w:p w:rsidR="0024166E" w:rsidRDefault="0024166E" w:rsidP="0059220A">
            <w:pPr>
              <w:pStyle w:val="CM4"/>
              <w:spacing w:before="60" w:after="60"/>
              <w:jc w:val="both"/>
              <w:rPr>
                <w:rFonts w:ascii="Times New Roman" w:hAnsi="Times New Roman"/>
                <w:color w:val="000000"/>
              </w:rPr>
            </w:pPr>
            <w:r w:rsidRPr="00850982">
              <w:rPr>
                <w:rFonts w:ascii="Times New Roman" w:hAnsi="Times New Roman"/>
                <w:color w:val="000000"/>
              </w:rPr>
              <w:t>a) upustí od zdanenia takýchto ziskov</w:t>
            </w:r>
            <w:r w:rsidR="00D936D8">
              <w:rPr>
                <w:rFonts w:ascii="Times New Roman" w:hAnsi="Times New Roman"/>
                <w:color w:val="000000"/>
              </w:rPr>
              <w:t xml:space="preserve"> v rozsahu, v akom tieto zisky nie sú daňovým výdavkom u dcérskej spoločnosti, a zdaní takéto zisky v rozsahu, v akom sú daňovým výdavkom </w:t>
            </w:r>
            <w:r w:rsidR="00D936D8">
              <w:rPr>
                <w:rFonts w:ascii="Times New Roman" w:hAnsi="Times New Roman"/>
                <w:color w:val="000000"/>
              </w:rPr>
              <w:lastRenderedPageBreak/>
              <w:t>u dcérskej spoločnosti</w:t>
            </w:r>
            <w:r w:rsidRPr="00850982">
              <w:rPr>
                <w:rFonts w:ascii="Times New Roman" w:hAnsi="Times New Roman"/>
                <w:color w:val="000000"/>
              </w:rPr>
              <w:t xml:space="preserve">, alebo </w:t>
            </w: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D936D8" w:rsidRDefault="00D936D8"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D936D8" w:rsidRDefault="00D936D8"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E127DD" w:rsidRDefault="00E127DD" w:rsidP="00D936D8">
            <w:pPr>
              <w:pStyle w:val="Default"/>
            </w:pPr>
          </w:p>
          <w:p w:rsidR="002076C2" w:rsidRDefault="002076C2" w:rsidP="00D936D8">
            <w:pPr>
              <w:pStyle w:val="Default"/>
            </w:pPr>
          </w:p>
          <w:p w:rsidR="002076C2" w:rsidRDefault="002076C2" w:rsidP="00D936D8">
            <w:pPr>
              <w:pStyle w:val="Default"/>
            </w:pPr>
          </w:p>
          <w:p w:rsidR="002076C2" w:rsidRDefault="002076C2" w:rsidP="00D936D8">
            <w:pPr>
              <w:pStyle w:val="Default"/>
            </w:pPr>
          </w:p>
          <w:p w:rsidR="002076C2" w:rsidRDefault="002076C2" w:rsidP="00D936D8">
            <w:pPr>
              <w:pStyle w:val="Default"/>
            </w:pPr>
          </w:p>
          <w:p w:rsidR="002076C2" w:rsidRDefault="002076C2" w:rsidP="00D936D8">
            <w:pPr>
              <w:pStyle w:val="Default"/>
            </w:pPr>
          </w:p>
          <w:p w:rsidR="002076C2" w:rsidRDefault="002076C2" w:rsidP="00D936D8">
            <w:pPr>
              <w:pStyle w:val="Default"/>
            </w:pPr>
          </w:p>
          <w:p w:rsidR="002076C2" w:rsidRDefault="002076C2" w:rsidP="00D936D8">
            <w:pPr>
              <w:pStyle w:val="Default"/>
            </w:pPr>
          </w:p>
          <w:p w:rsidR="002076C2" w:rsidRDefault="002076C2" w:rsidP="00D936D8">
            <w:pPr>
              <w:pStyle w:val="Default"/>
            </w:pPr>
          </w:p>
          <w:p w:rsidR="0024166E" w:rsidRPr="00850982" w:rsidRDefault="0024166E" w:rsidP="0059220A">
            <w:pPr>
              <w:pStyle w:val="CM4"/>
              <w:spacing w:before="60" w:after="60"/>
              <w:jc w:val="both"/>
              <w:rPr>
                <w:rFonts w:ascii="Times New Roman" w:hAnsi="Times New Roman"/>
                <w:color w:val="000000"/>
              </w:rPr>
            </w:pPr>
            <w:r w:rsidRPr="00850982">
              <w:rPr>
                <w:rFonts w:ascii="Times New Roman" w:hAnsi="Times New Roman"/>
                <w:color w:val="000000"/>
              </w:rPr>
              <w:t xml:space="preserve">2. Nič v tejto smernici nezabraňuje členskému štátu materskej spoločnosti, aby považoval dcérsku spoločnosť za fiškálne </w:t>
            </w:r>
            <w:r w:rsidRPr="00850982">
              <w:rPr>
                <w:rFonts w:ascii="Times New Roman" w:hAnsi="Times New Roman"/>
                <w:color w:val="000000"/>
              </w:rPr>
              <w:lastRenderedPageBreak/>
              <w:t xml:space="preserve">transparentnú na základe hodnotenia, ktoré vypracuje členský štát, právnych charakteristík dcérskej spoločnosti vyplývajúcich z práva, na základe ktorého bola spoločnosť založená, a aby preto zdanil materskú spoločnosť pri podiele zo ziskov jej dcérskej spoločnosti, keď sa tieto zisky objavia. V tomto prípade členský štát materskej spoločnosti upustí od zdanenia prerozdelených ziskov dcérskej spoločnosti. </w:t>
            </w:r>
          </w:p>
          <w:p w:rsidR="0024166E" w:rsidRPr="00C462DD" w:rsidRDefault="0024166E" w:rsidP="00C462DD">
            <w:pPr>
              <w:pStyle w:val="CM4"/>
              <w:spacing w:before="60" w:after="60"/>
              <w:jc w:val="both"/>
              <w:rPr>
                <w:rFonts w:ascii="Times New Roman" w:hAnsi="Times New Roman"/>
                <w:color w:val="000000"/>
                <w:highlight w:val="yellow"/>
              </w:rPr>
            </w:pPr>
            <w:r w:rsidRPr="00620CB5">
              <w:rPr>
                <w:rFonts w:ascii="Times New Roman" w:hAnsi="Times New Roman"/>
                <w:color w:val="000000"/>
              </w:rPr>
              <w:t xml:space="preserve">Pri hodnotení podielu materskej spoločnosti na ziskoch dcérskej spoločnosti v prípade, že sa objavia, členský štát materskej spoločnosti buď oslobodí tieto zisky od zdanenia, alebo povolí materskej spoločnosti odrátať si od dane zlomok dane z príjmu právnických osôb spojenú s podielom materskej spoločnosti na ziskoch a platenú dcérskymi spoločnosťami a všetkými úrovňami, ktoré sú pod nimi, za podmienky, že všetky úrovne spadajú pod definície stanovené v článku 2 a že sa na všetkých úrovniach splnia požiadavky stanovené v článku 3, do výšky limitu zodpovedajúcej dane. </w:t>
            </w:r>
          </w:p>
        </w:tc>
        <w:tc>
          <w:tcPr>
            <w:tcW w:w="567" w:type="dxa"/>
            <w:tcBorders>
              <w:top w:val="single" w:sz="4" w:space="0" w:color="auto"/>
              <w:left w:val="single" w:sz="4" w:space="0" w:color="auto"/>
              <w:bottom w:val="single" w:sz="4" w:space="0" w:color="auto"/>
              <w:right w:val="single" w:sz="12" w:space="0" w:color="auto"/>
            </w:tcBorders>
          </w:tcPr>
          <w:p w:rsidR="00A9063F" w:rsidRPr="00850982" w:rsidRDefault="00FB45E2" w:rsidP="0059220A">
            <w:pPr>
              <w:jc w:val="both"/>
            </w:pPr>
            <w:r w:rsidRPr="00850982">
              <w:lastRenderedPageBreak/>
              <w:t>O</w:t>
            </w: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177E75" w:rsidRPr="00850982" w:rsidRDefault="00177E75" w:rsidP="0059220A">
            <w:pPr>
              <w:jc w:val="both"/>
            </w:pPr>
          </w:p>
          <w:p w:rsidR="00BE72D1" w:rsidRDefault="00BE72D1"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D936D8" w:rsidRDefault="00D936D8"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2076C2" w:rsidRDefault="002076C2" w:rsidP="0059220A">
            <w:pPr>
              <w:jc w:val="both"/>
            </w:pPr>
          </w:p>
          <w:p w:rsidR="002076C2" w:rsidRDefault="002076C2" w:rsidP="0059220A">
            <w:pPr>
              <w:jc w:val="both"/>
            </w:pPr>
          </w:p>
          <w:p w:rsidR="002076C2" w:rsidRDefault="002076C2" w:rsidP="0059220A">
            <w:pPr>
              <w:jc w:val="both"/>
            </w:pPr>
          </w:p>
          <w:p w:rsidR="002076C2" w:rsidRDefault="002076C2" w:rsidP="0059220A">
            <w:pPr>
              <w:jc w:val="both"/>
            </w:pPr>
          </w:p>
          <w:p w:rsidR="002076C2" w:rsidRDefault="002076C2" w:rsidP="0059220A">
            <w:pPr>
              <w:jc w:val="both"/>
            </w:pPr>
          </w:p>
          <w:p w:rsidR="002076C2" w:rsidRDefault="002076C2" w:rsidP="0059220A">
            <w:pPr>
              <w:jc w:val="both"/>
            </w:pPr>
          </w:p>
          <w:p w:rsidR="002076C2" w:rsidRDefault="002076C2" w:rsidP="0059220A">
            <w:pPr>
              <w:jc w:val="both"/>
            </w:pPr>
          </w:p>
          <w:p w:rsidR="002076C2" w:rsidRDefault="002076C2" w:rsidP="0059220A">
            <w:pPr>
              <w:jc w:val="both"/>
            </w:pPr>
          </w:p>
          <w:p w:rsidR="002076C2" w:rsidRDefault="002076C2"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Pr="00850982" w:rsidRDefault="00AA2B25" w:rsidP="00620CB5">
            <w:pPr>
              <w:jc w:val="both"/>
            </w:pPr>
          </w:p>
        </w:tc>
        <w:tc>
          <w:tcPr>
            <w:tcW w:w="851" w:type="dxa"/>
            <w:tcBorders>
              <w:top w:val="single" w:sz="4" w:space="0" w:color="auto"/>
              <w:left w:val="nil"/>
              <w:bottom w:val="single" w:sz="4" w:space="0" w:color="auto"/>
              <w:right w:val="single" w:sz="4" w:space="0" w:color="auto"/>
            </w:tcBorders>
          </w:tcPr>
          <w:p w:rsidR="00A9063F" w:rsidRDefault="002C1B7F" w:rsidP="0059220A">
            <w:pPr>
              <w:jc w:val="both"/>
            </w:pPr>
            <w:r w:rsidRPr="00850982">
              <w:lastRenderedPageBreak/>
              <w:t>595/2003</w:t>
            </w:r>
          </w:p>
          <w:p w:rsidR="001D46E5" w:rsidRDefault="001D46E5" w:rsidP="0059220A">
            <w:pPr>
              <w:jc w:val="both"/>
              <w:rPr>
                <w:b/>
              </w:rPr>
            </w:pPr>
            <w:r>
              <w:rPr>
                <w:b/>
              </w:rPr>
              <w:t>a návrh zákona</w:t>
            </w:r>
            <w:r w:rsidR="000D4202">
              <w:rPr>
                <w:b/>
              </w:rPr>
              <w:t xml:space="preserve"> Čl. I</w:t>
            </w: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Default="00AA2B25" w:rsidP="0059220A">
            <w:pPr>
              <w:jc w:val="both"/>
              <w:rPr>
                <w:b/>
              </w:rPr>
            </w:pPr>
          </w:p>
          <w:p w:rsidR="00AA2B25" w:rsidRPr="001D46E5" w:rsidRDefault="00AA2B25" w:rsidP="0059220A">
            <w:pPr>
              <w:jc w:val="both"/>
              <w:rPr>
                <w:b/>
              </w:rPr>
            </w:pPr>
          </w:p>
        </w:tc>
        <w:tc>
          <w:tcPr>
            <w:tcW w:w="708" w:type="dxa"/>
            <w:tcBorders>
              <w:top w:val="single" w:sz="4" w:space="0" w:color="auto"/>
              <w:left w:val="single" w:sz="4" w:space="0" w:color="auto"/>
              <w:bottom w:val="single" w:sz="4" w:space="0" w:color="auto"/>
              <w:right w:val="single" w:sz="4" w:space="0" w:color="auto"/>
            </w:tcBorders>
          </w:tcPr>
          <w:p w:rsidR="00A9063F" w:rsidRPr="00065B17" w:rsidRDefault="0039125A" w:rsidP="00FB45E2">
            <w:pPr>
              <w:pStyle w:val="Normlny0"/>
              <w:rPr>
                <w:b/>
                <w:sz w:val="24"/>
                <w:szCs w:val="24"/>
              </w:rPr>
            </w:pPr>
            <w:r w:rsidRPr="00065B17">
              <w:rPr>
                <w:b/>
                <w:sz w:val="24"/>
                <w:szCs w:val="24"/>
              </w:rPr>
              <w:lastRenderedPageBreak/>
              <w:t>§ 3 ods.1 pís.e</w:t>
            </w:r>
            <w:r w:rsidR="00FB45E2" w:rsidRPr="00065B17">
              <w:rPr>
                <w:b/>
                <w:sz w:val="24"/>
                <w:szCs w:val="24"/>
              </w:rPr>
              <w:t>)</w:t>
            </w: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D936D8" w:rsidRDefault="00D936D8" w:rsidP="00FB45E2">
            <w:pPr>
              <w:pStyle w:val="Normlny0"/>
              <w:rPr>
                <w:sz w:val="24"/>
                <w:szCs w:val="24"/>
              </w:rPr>
            </w:pPr>
          </w:p>
          <w:p w:rsidR="001D46E5" w:rsidRDefault="001D46E5" w:rsidP="00FB45E2">
            <w:pPr>
              <w:pStyle w:val="Normlny0"/>
              <w:rPr>
                <w:sz w:val="24"/>
                <w:szCs w:val="24"/>
              </w:rPr>
            </w:pPr>
          </w:p>
          <w:p w:rsidR="001D46E5" w:rsidRDefault="001D46E5" w:rsidP="00FB45E2">
            <w:pPr>
              <w:pStyle w:val="Normlny0"/>
              <w:rPr>
                <w:sz w:val="24"/>
                <w:szCs w:val="24"/>
              </w:rPr>
            </w:pPr>
          </w:p>
          <w:p w:rsidR="001D46E5" w:rsidRDefault="001D46E5" w:rsidP="00FB45E2">
            <w:pPr>
              <w:pStyle w:val="Normlny0"/>
              <w:rPr>
                <w:sz w:val="24"/>
                <w:szCs w:val="24"/>
              </w:rPr>
            </w:pPr>
          </w:p>
          <w:p w:rsidR="00065B17" w:rsidRDefault="00065B17" w:rsidP="00FB45E2">
            <w:pPr>
              <w:pStyle w:val="Normlny0"/>
              <w:rPr>
                <w:sz w:val="24"/>
                <w:szCs w:val="24"/>
              </w:rPr>
            </w:pPr>
          </w:p>
          <w:p w:rsidR="00E127DD" w:rsidRPr="00065B17" w:rsidRDefault="00E127DD" w:rsidP="00FB45E2">
            <w:pPr>
              <w:pStyle w:val="Normlny0"/>
              <w:rPr>
                <w:b/>
                <w:sz w:val="24"/>
                <w:szCs w:val="24"/>
              </w:rPr>
            </w:pPr>
            <w:r w:rsidRPr="00065B17">
              <w:rPr>
                <w:b/>
                <w:sz w:val="24"/>
                <w:szCs w:val="24"/>
              </w:rPr>
              <w:t>§ 3 ods. 1 pís. f)</w:t>
            </w: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1D46E5" w:rsidRDefault="001D46E5" w:rsidP="00FB45E2">
            <w:pPr>
              <w:pStyle w:val="Normlny0"/>
              <w:rPr>
                <w:sz w:val="24"/>
                <w:szCs w:val="24"/>
              </w:rPr>
            </w:pPr>
          </w:p>
          <w:p w:rsidR="001D46E5" w:rsidRDefault="001D46E5" w:rsidP="00FB45E2">
            <w:pPr>
              <w:pStyle w:val="Normlny0"/>
              <w:rPr>
                <w:sz w:val="24"/>
                <w:szCs w:val="24"/>
              </w:rPr>
            </w:pPr>
          </w:p>
          <w:p w:rsidR="001D46E5" w:rsidRDefault="001D46E5" w:rsidP="00FB45E2">
            <w:pPr>
              <w:pStyle w:val="Normlny0"/>
              <w:rPr>
                <w:sz w:val="24"/>
                <w:szCs w:val="24"/>
              </w:rPr>
            </w:pPr>
          </w:p>
          <w:p w:rsidR="001D46E5" w:rsidRDefault="001D46E5"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E127DD">
            <w:pPr>
              <w:pStyle w:val="Normlny0"/>
              <w:rPr>
                <w:sz w:val="24"/>
                <w:szCs w:val="24"/>
              </w:rPr>
            </w:pPr>
            <w:r>
              <w:rPr>
                <w:sz w:val="24"/>
                <w:szCs w:val="24"/>
              </w:rPr>
              <w:t>§ 3 ods. 1 pís. g)</w:t>
            </w: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Default="00E127DD" w:rsidP="00FB45E2">
            <w:pPr>
              <w:pStyle w:val="Normlny0"/>
              <w:rPr>
                <w:sz w:val="24"/>
                <w:szCs w:val="24"/>
              </w:rPr>
            </w:pPr>
          </w:p>
          <w:p w:rsidR="00E127DD" w:rsidRPr="00850982" w:rsidRDefault="00E127DD" w:rsidP="00E127DD">
            <w:pPr>
              <w:pStyle w:val="Normlny0"/>
              <w:rPr>
                <w:sz w:val="24"/>
                <w:szCs w:val="24"/>
              </w:rPr>
            </w:pPr>
            <w:r w:rsidRPr="00850982">
              <w:rPr>
                <w:sz w:val="24"/>
                <w:szCs w:val="24"/>
              </w:rPr>
              <w:t>§ 12 ods.1 pís.c)</w:t>
            </w:r>
          </w:p>
          <w:p w:rsidR="00E127DD" w:rsidRDefault="00E127DD" w:rsidP="00FB45E2">
            <w:pPr>
              <w:pStyle w:val="Normlny0"/>
              <w:rPr>
                <w:sz w:val="24"/>
                <w:szCs w:val="24"/>
              </w:rPr>
            </w:pPr>
          </w:p>
          <w:p w:rsidR="00E127DD" w:rsidRDefault="00E127DD" w:rsidP="00FB45E2">
            <w:pPr>
              <w:pStyle w:val="Normlny0"/>
              <w:rPr>
                <w:sz w:val="24"/>
                <w:szCs w:val="24"/>
              </w:rPr>
            </w:pPr>
          </w:p>
          <w:p w:rsidR="00D936D8" w:rsidRDefault="00D936D8" w:rsidP="00FB45E2">
            <w:pPr>
              <w:pStyle w:val="Normlny0"/>
              <w:rPr>
                <w:sz w:val="24"/>
                <w:szCs w:val="24"/>
              </w:rPr>
            </w:pPr>
            <w:r>
              <w:rPr>
                <w:sz w:val="24"/>
                <w:szCs w:val="24"/>
              </w:rPr>
              <w:t>§ 12 ods. 7 pís. c)</w:t>
            </w:r>
          </w:p>
          <w:p w:rsidR="00FB45E2" w:rsidRPr="00850982" w:rsidRDefault="00FB45E2" w:rsidP="00FB45E2">
            <w:pPr>
              <w:pStyle w:val="Normlny0"/>
              <w:rPr>
                <w:sz w:val="24"/>
                <w:szCs w:val="24"/>
              </w:rPr>
            </w:pPr>
          </w:p>
          <w:p w:rsidR="00FB45E2" w:rsidRPr="00850982" w:rsidRDefault="00FB45E2" w:rsidP="00FB45E2">
            <w:pPr>
              <w:pStyle w:val="Normlny0"/>
              <w:rPr>
                <w:sz w:val="24"/>
                <w:szCs w:val="24"/>
              </w:rPr>
            </w:pPr>
          </w:p>
          <w:p w:rsidR="00FB45E2" w:rsidRPr="00850982" w:rsidRDefault="00FB45E2" w:rsidP="00FB45E2">
            <w:pPr>
              <w:pStyle w:val="Normlny0"/>
              <w:rPr>
                <w:sz w:val="24"/>
                <w:szCs w:val="24"/>
              </w:rPr>
            </w:pPr>
          </w:p>
          <w:p w:rsidR="00FB45E2" w:rsidRDefault="00FB45E2" w:rsidP="00FB45E2">
            <w:pPr>
              <w:pStyle w:val="Normlny0"/>
              <w:rPr>
                <w:sz w:val="24"/>
                <w:szCs w:val="24"/>
              </w:rPr>
            </w:pPr>
          </w:p>
          <w:p w:rsidR="0039125A" w:rsidRDefault="0039125A" w:rsidP="00FB45E2">
            <w:pPr>
              <w:pStyle w:val="Normlny0"/>
              <w:rPr>
                <w:sz w:val="24"/>
                <w:szCs w:val="24"/>
              </w:rPr>
            </w:pPr>
          </w:p>
          <w:p w:rsidR="0039125A" w:rsidRDefault="0039125A" w:rsidP="00FB45E2">
            <w:pPr>
              <w:pStyle w:val="Normlny0"/>
              <w:rPr>
                <w:sz w:val="24"/>
                <w:szCs w:val="24"/>
              </w:rPr>
            </w:pPr>
          </w:p>
          <w:p w:rsidR="0039125A" w:rsidRDefault="0039125A" w:rsidP="00FB45E2">
            <w:pPr>
              <w:pStyle w:val="Normlny0"/>
              <w:rPr>
                <w:sz w:val="24"/>
                <w:szCs w:val="24"/>
              </w:rPr>
            </w:pPr>
          </w:p>
          <w:p w:rsidR="0039125A" w:rsidRDefault="0039125A" w:rsidP="00FB45E2">
            <w:pPr>
              <w:pStyle w:val="Normlny0"/>
              <w:rPr>
                <w:sz w:val="24"/>
                <w:szCs w:val="24"/>
              </w:rPr>
            </w:pPr>
          </w:p>
          <w:p w:rsidR="0039125A" w:rsidRDefault="0039125A" w:rsidP="00FB45E2">
            <w:pPr>
              <w:pStyle w:val="Normlny0"/>
              <w:rPr>
                <w:sz w:val="24"/>
                <w:szCs w:val="24"/>
              </w:rPr>
            </w:pPr>
          </w:p>
          <w:p w:rsidR="0039125A" w:rsidRDefault="0039125A" w:rsidP="00FB45E2">
            <w:pPr>
              <w:pStyle w:val="Normlny0"/>
              <w:rPr>
                <w:sz w:val="24"/>
                <w:szCs w:val="24"/>
              </w:rPr>
            </w:pPr>
          </w:p>
          <w:p w:rsidR="00207C21" w:rsidRDefault="00207C21" w:rsidP="00FB45E2">
            <w:pPr>
              <w:pStyle w:val="Normlny0"/>
              <w:rPr>
                <w:sz w:val="24"/>
                <w:szCs w:val="24"/>
              </w:rPr>
            </w:pPr>
          </w:p>
          <w:p w:rsidR="00207C21" w:rsidRDefault="00207C21" w:rsidP="00FB45E2">
            <w:pPr>
              <w:pStyle w:val="Normlny0"/>
              <w:rPr>
                <w:sz w:val="24"/>
                <w:szCs w:val="24"/>
              </w:rPr>
            </w:pPr>
          </w:p>
          <w:p w:rsidR="00207C21" w:rsidRDefault="00207C21" w:rsidP="00FB45E2">
            <w:pPr>
              <w:pStyle w:val="Normlny0"/>
              <w:rPr>
                <w:sz w:val="24"/>
                <w:szCs w:val="24"/>
              </w:rPr>
            </w:pPr>
          </w:p>
          <w:p w:rsidR="00207C21" w:rsidRDefault="00207C21" w:rsidP="00FB45E2">
            <w:pPr>
              <w:pStyle w:val="Normlny0"/>
              <w:rPr>
                <w:sz w:val="24"/>
                <w:szCs w:val="24"/>
              </w:rPr>
            </w:pPr>
          </w:p>
          <w:p w:rsidR="00207C21" w:rsidRDefault="00207C21" w:rsidP="00FB45E2">
            <w:pPr>
              <w:pStyle w:val="Normlny0"/>
              <w:rPr>
                <w:sz w:val="24"/>
                <w:szCs w:val="24"/>
              </w:rPr>
            </w:pPr>
          </w:p>
          <w:p w:rsidR="00207C21" w:rsidRDefault="00207C21" w:rsidP="00FB45E2">
            <w:pPr>
              <w:pStyle w:val="Normlny0"/>
              <w:rPr>
                <w:sz w:val="24"/>
                <w:szCs w:val="24"/>
              </w:rPr>
            </w:pPr>
          </w:p>
          <w:p w:rsidR="007512B3" w:rsidRDefault="007512B3" w:rsidP="00FB45E2">
            <w:pPr>
              <w:pStyle w:val="Normlny0"/>
              <w:rPr>
                <w:sz w:val="24"/>
                <w:szCs w:val="24"/>
              </w:rPr>
            </w:pPr>
          </w:p>
          <w:p w:rsidR="00D936D8" w:rsidRDefault="00D936D8" w:rsidP="00FB45E2">
            <w:pPr>
              <w:pStyle w:val="Normlny0"/>
              <w:rPr>
                <w:sz w:val="24"/>
                <w:szCs w:val="24"/>
              </w:rPr>
            </w:pPr>
          </w:p>
          <w:p w:rsidR="00E127DD" w:rsidRDefault="00E127DD" w:rsidP="00FB45E2">
            <w:pPr>
              <w:pStyle w:val="Normlny0"/>
              <w:rPr>
                <w:sz w:val="24"/>
                <w:szCs w:val="24"/>
              </w:rPr>
            </w:pPr>
          </w:p>
          <w:p w:rsidR="00BE72D1" w:rsidRPr="00850982" w:rsidRDefault="00BE286F" w:rsidP="00FB45E2">
            <w:pPr>
              <w:pStyle w:val="Normlny0"/>
              <w:rPr>
                <w:sz w:val="24"/>
                <w:szCs w:val="24"/>
              </w:rPr>
            </w:pPr>
            <w:r>
              <w:rPr>
                <w:sz w:val="24"/>
                <w:szCs w:val="24"/>
              </w:rPr>
              <w:t xml:space="preserve">§ </w:t>
            </w:r>
            <w:r w:rsidR="00BE72D1" w:rsidRPr="00850982">
              <w:rPr>
                <w:sz w:val="24"/>
                <w:szCs w:val="24"/>
              </w:rPr>
              <w:t>16 ods.3</w:t>
            </w:r>
          </w:p>
        </w:tc>
        <w:tc>
          <w:tcPr>
            <w:tcW w:w="5387" w:type="dxa"/>
            <w:tcBorders>
              <w:top w:val="single" w:sz="4" w:space="0" w:color="auto"/>
              <w:left w:val="single" w:sz="4" w:space="0" w:color="auto"/>
              <w:bottom w:val="single" w:sz="4" w:space="0" w:color="auto"/>
              <w:right w:val="single" w:sz="4" w:space="0" w:color="auto"/>
            </w:tcBorders>
          </w:tcPr>
          <w:p w:rsidR="00A9063F" w:rsidRPr="007512B3" w:rsidRDefault="00FB45E2" w:rsidP="0059220A">
            <w:pPr>
              <w:pStyle w:val="Normlny0"/>
              <w:jc w:val="both"/>
              <w:rPr>
                <w:sz w:val="24"/>
                <w:szCs w:val="24"/>
              </w:rPr>
            </w:pPr>
            <w:r w:rsidRPr="007512B3">
              <w:rPr>
                <w:sz w:val="24"/>
                <w:szCs w:val="24"/>
              </w:rPr>
              <w:lastRenderedPageBreak/>
              <w:t xml:space="preserve">Predmetom dane </w:t>
            </w:r>
            <w:r w:rsidR="0039125A" w:rsidRPr="007512B3">
              <w:rPr>
                <w:sz w:val="24"/>
                <w:szCs w:val="24"/>
              </w:rPr>
              <w:t>sú</w:t>
            </w:r>
          </w:p>
          <w:p w:rsidR="0039125A" w:rsidRDefault="0039125A" w:rsidP="0039125A">
            <w:pPr>
              <w:pStyle w:val="Normlny0"/>
              <w:jc w:val="both"/>
              <w:rPr>
                <w:sz w:val="24"/>
                <w:szCs w:val="24"/>
              </w:rPr>
            </w:pPr>
            <w:r w:rsidRPr="007512B3">
              <w:rPr>
                <w:sz w:val="24"/>
                <w:szCs w:val="24"/>
              </w:rPr>
              <w:t xml:space="preserve">e) </w:t>
            </w:r>
            <w:r w:rsidR="00207C21" w:rsidRPr="00207C21">
              <w:rPr>
                <w:sz w:val="24"/>
                <w:szCs w:val="24"/>
              </w:rPr>
              <w:t>podiel na zisku (dividenda) vyplácaný zo zisku obchodnej spoločnosti alebo družstva</w:t>
            </w:r>
            <w:r w:rsidR="001D46E5">
              <w:t xml:space="preserve"> </w:t>
            </w:r>
            <w:r w:rsidR="001D46E5" w:rsidRPr="001D46E5">
              <w:rPr>
                <w:b/>
                <w:sz w:val="24"/>
                <w:szCs w:val="24"/>
              </w:rPr>
              <w:t>vrátane reverzného hybridného subjektu</w:t>
            </w:r>
            <w:r w:rsidR="00207C21" w:rsidRPr="00207C21">
              <w:rPr>
                <w:sz w:val="24"/>
                <w:szCs w:val="24"/>
              </w:rPr>
              <w:t xml:space="preserve"> určeného na rozdelenie osobám, ktoré sa podieľajú na ich základnom imaní, alebo členom štatutárneho orgánu, alebo členom dozorného orgánu tejto obchodnej spoločnosti alebo družstva</w:t>
            </w:r>
            <w:r w:rsidR="001D46E5" w:rsidRPr="001D46E5">
              <w:rPr>
                <w:b/>
                <w:sz w:val="24"/>
                <w:szCs w:val="24"/>
              </w:rPr>
              <w:t xml:space="preserve"> vrátane reverzného hybridného subjektu</w:t>
            </w:r>
            <w:r w:rsidR="00207C21" w:rsidRPr="00207C21">
              <w:rPr>
                <w:sz w:val="24"/>
                <w:szCs w:val="24"/>
              </w:rPr>
              <w:t xml:space="preserve">, pričom za podiel na zisku </w:t>
            </w:r>
            <w:r w:rsidR="00207C21" w:rsidRPr="00207C21">
              <w:rPr>
                <w:sz w:val="24"/>
                <w:szCs w:val="24"/>
              </w:rPr>
              <w:lastRenderedPageBreak/>
              <w:t>(dividendu) sa považuje aj príjem plynúci zo zníženia základného imania obchodnej spoločnosti alebo družstva</w:t>
            </w:r>
            <w:r w:rsidR="001D46E5" w:rsidRPr="001D46E5">
              <w:rPr>
                <w:b/>
                <w:sz w:val="24"/>
                <w:szCs w:val="24"/>
              </w:rPr>
              <w:t xml:space="preserve"> vrátane reverzného hybridného subjektu</w:t>
            </w:r>
            <w:r w:rsidR="00207C21" w:rsidRPr="00207C21">
              <w:rPr>
                <w:sz w:val="24"/>
                <w:szCs w:val="24"/>
              </w:rPr>
              <w:t xml:space="preserve"> v časti, v akej bolo predtým zvýšené zo zisku po zdanení, ako aj výplata prostriedkov z kapitálového fondu z príspevkov, ktorý bol tvorený prerozdelením vlastných zdrojov obchodnej spoločnosti zo zisku po zdanení, podiel na likvidačnom zostatku obchodnej spoločnosti alebo družstva</w:t>
            </w:r>
            <w:r w:rsidR="001D46E5">
              <w:t xml:space="preserve"> </w:t>
            </w:r>
            <w:r w:rsidR="001D46E5" w:rsidRPr="001D46E5">
              <w:rPr>
                <w:b/>
                <w:sz w:val="24"/>
                <w:szCs w:val="24"/>
              </w:rPr>
              <w:t>vrátane reverzného hybridného subjektu</w:t>
            </w:r>
            <w:r w:rsidR="00207C21" w:rsidRPr="00207C21">
              <w:rPr>
                <w:sz w:val="24"/>
                <w:szCs w:val="24"/>
              </w:rPr>
              <w:t>, vyrovnací podiel, podiel na výsledku podnikania vyplácaný tichému spoločníkovi, ak nejde o plnenia uvedené v písmene f); za obchodnú spoločnosť alebo družstvo sa považuje aj zahraničná osoba vyplácajúca obdobný príjem,</w:t>
            </w:r>
          </w:p>
          <w:p w:rsidR="00E127DD" w:rsidRDefault="00E127DD" w:rsidP="0039125A">
            <w:pPr>
              <w:pStyle w:val="Normlny0"/>
              <w:jc w:val="both"/>
              <w:rPr>
                <w:sz w:val="24"/>
                <w:szCs w:val="24"/>
              </w:rPr>
            </w:pPr>
          </w:p>
          <w:p w:rsidR="00E127DD" w:rsidRDefault="00E127DD" w:rsidP="0039125A">
            <w:pPr>
              <w:pStyle w:val="Normlny0"/>
              <w:jc w:val="both"/>
              <w:rPr>
                <w:sz w:val="24"/>
                <w:szCs w:val="24"/>
              </w:rPr>
            </w:pPr>
            <w:r w:rsidRPr="00E127DD">
              <w:rPr>
                <w:sz w:val="24"/>
                <w:szCs w:val="24"/>
              </w:rPr>
              <w:t>f) 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w:t>
            </w:r>
            <w:r w:rsidR="001D46E5">
              <w:rPr>
                <w:sz w:val="24"/>
                <w:szCs w:val="24"/>
              </w:rPr>
              <w:t>,</w:t>
            </w:r>
            <w:r w:rsidR="001D46E5">
              <w:t xml:space="preserve"> </w:t>
            </w:r>
            <w:r w:rsidR="001D46E5" w:rsidRPr="001D46E5">
              <w:rPr>
                <w:b/>
                <w:sz w:val="24"/>
                <w:szCs w:val="24"/>
              </w:rPr>
              <w:t>ak nejde o podiel na zisku, podiel na likvidačnom zostatku alebo vyrovnací podiel vyplácaný spoločníkovi verejnej obchodnej spoločnosti a komplementárovi komanditnej spoločnosti, ktorá je považovaná za reverzný hybridný subjekt</w:t>
            </w:r>
            <w:r w:rsidRPr="00E127DD">
              <w:rPr>
                <w:sz w:val="24"/>
                <w:szCs w:val="24"/>
              </w:rPr>
              <w:t>; za verejnú obchodnú spoločnosť alebo komanditnú spoločnosť sa považuje aj zahraničná osoba vyplácajúca obdobný príjem,</w:t>
            </w:r>
          </w:p>
          <w:p w:rsidR="00E127DD" w:rsidRDefault="00E127DD" w:rsidP="0039125A">
            <w:pPr>
              <w:pStyle w:val="Normlny0"/>
              <w:jc w:val="both"/>
              <w:rPr>
                <w:sz w:val="24"/>
                <w:szCs w:val="24"/>
              </w:rPr>
            </w:pPr>
          </w:p>
          <w:p w:rsidR="00065B17" w:rsidRPr="00065B17" w:rsidRDefault="00065B17" w:rsidP="00065B17">
            <w:pPr>
              <w:pStyle w:val="Normlny0"/>
              <w:jc w:val="both"/>
              <w:rPr>
                <w:sz w:val="24"/>
                <w:szCs w:val="24"/>
              </w:rPr>
            </w:pPr>
            <w:r w:rsidRPr="00065B17">
              <w:rPr>
                <w:sz w:val="24"/>
                <w:szCs w:val="24"/>
              </w:rPr>
              <w:t>Predmetom dane sú</w:t>
            </w:r>
          </w:p>
          <w:p w:rsidR="00065B17" w:rsidRDefault="00065B17" w:rsidP="00065B17">
            <w:pPr>
              <w:pStyle w:val="Normlny0"/>
              <w:jc w:val="both"/>
              <w:rPr>
                <w:sz w:val="24"/>
                <w:szCs w:val="24"/>
              </w:rPr>
            </w:pPr>
            <w:r w:rsidRPr="00065B17">
              <w:rPr>
                <w:sz w:val="24"/>
                <w:szCs w:val="24"/>
              </w:rPr>
              <w:t xml:space="preserve">g) podiel člena pozemkového spoločenstva s právnou subjektivitou na zisku a na majetku určenom na </w:t>
            </w:r>
            <w:r w:rsidRPr="00065B17">
              <w:rPr>
                <w:sz w:val="24"/>
                <w:szCs w:val="24"/>
              </w:rPr>
              <w:lastRenderedPageBreak/>
              <w:t>rozdelenie členom pozemkového spoločenstva s právnou subjektivitou alebo podiel na likvidačnom zostatku pozemkového spoločenstva s právnou subjektivitou; za pozemkové spoločenstvo s právnou subjektivitou sa považuje aj zahraničná osoba vyplácajúca obdobný príjem</w:t>
            </w:r>
          </w:p>
          <w:p w:rsidR="00065B17" w:rsidRDefault="00065B17" w:rsidP="0039125A">
            <w:pPr>
              <w:pStyle w:val="Normlny0"/>
              <w:jc w:val="both"/>
              <w:rPr>
                <w:sz w:val="24"/>
                <w:szCs w:val="24"/>
              </w:rPr>
            </w:pPr>
          </w:p>
          <w:p w:rsidR="00E127DD" w:rsidRPr="00E127DD" w:rsidRDefault="00E127DD" w:rsidP="00E127DD">
            <w:pPr>
              <w:pStyle w:val="Normlny0"/>
              <w:jc w:val="both"/>
              <w:rPr>
                <w:sz w:val="24"/>
                <w:szCs w:val="24"/>
              </w:rPr>
            </w:pPr>
            <w:r w:rsidRPr="00E127DD">
              <w:rPr>
                <w:sz w:val="24"/>
                <w:szCs w:val="24"/>
              </w:rPr>
              <w:t>Predmetom dane daňovníka, ktorý je</w:t>
            </w:r>
          </w:p>
          <w:p w:rsidR="00E127DD" w:rsidRDefault="00E127DD" w:rsidP="00E127DD">
            <w:pPr>
              <w:pStyle w:val="Normlny0"/>
              <w:jc w:val="both"/>
              <w:rPr>
                <w:sz w:val="24"/>
                <w:szCs w:val="24"/>
              </w:rPr>
            </w:pPr>
            <w:r w:rsidRPr="00E127DD">
              <w:rPr>
                <w:sz w:val="24"/>
                <w:szCs w:val="24"/>
              </w:rPr>
              <w:t>c) dôchodkovou správcovskou spoločnosťou a vytvára a spravuje dôchodkové fondy,</w:t>
            </w:r>
            <w:r w:rsidRPr="001D46E5">
              <w:rPr>
                <w:sz w:val="24"/>
                <w:szCs w:val="24"/>
                <w:vertAlign w:val="superscript"/>
              </w:rPr>
              <w:t>40a</w:t>
            </w:r>
            <w:r w:rsidRPr="00E127DD">
              <w:rPr>
                <w:sz w:val="24"/>
                <w:szCs w:val="24"/>
              </w:rPr>
              <w:t>) sú len príjmy dôchodkovej správcovskej spoločnosti,</w:t>
            </w:r>
          </w:p>
          <w:p w:rsidR="00D936D8" w:rsidRDefault="00D936D8" w:rsidP="0039125A">
            <w:pPr>
              <w:pStyle w:val="Normlny0"/>
              <w:jc w:val="both"/>
              <w:rPr>
                <w:sz w:val="24"/>
                <w:szCs w:val="24"/>
              </w:rPr>
            </w:pPr>
          </w:p>
          <w:p w:rsidR="00D936D8" w:rsidRPr="00D936D8" w:rsidRDefault="00D936D8" w:rsidP="00D936D8">
            <w:pPr>
              <w:pStyle w:val="Normlny0"/>
              <w:jc w:val="both"/>
              <w:rPr>
                <w:sz w:val="24"/>
                <w:szCs w:val="24"/>
              </w:rPr>
            </w:pPr>
            <w:r w:rsidRPr="00D936D8">
              <w:rPr>
                <w:sz w:val="24"/>
                <w:szCs w:val="24"/>
              </w:rPr>
              <w:t>Predmetom dane nie je</w:t>
            </w:r>
          </w:p>
          <w:p w:rsidR="00D936D8" w:rsidRPr="00D936D8" w:rsidRDefault="00D936D8" w:rsidP="00D936D8">
            <w:pPr>
              <w:pStyle w:val="Normlny0"/>
              <w:jc w:val="both"/>
              <w:rPr>
                <w:sz w:val="24"/>
                <w:szCs w:val="24"/>
              </w:rPr>
            </w:pPr>
            <w:r w:rsidRPr="00D936D8">
              <w:rPr>
                <w:sz w:val="24"/>
                <w:szCs w:val="24"/>
              </w:rPr>
              <w:t>c) podiel na zisku (dividenda) vyplácaný zo zisku obchodnej spoločnosti alebo družstva</w:t>
            </w:r>
            <w:r w:rsidR="001E2307">
              <w:rPr>
                <w:sz w:val="24"/>
                <w:szCs w:val="24"/>
              </w:rPr>
              <w:t xml:space="preserve"> </w:t>
            </w:r>
            <w:r w:rsidR="001E2307">
              <w:rPr>
                <w:b/>
                <w:sz w:val="24"/>
                <w:szCs w:val="24"/>
              </w:rPr>
              <w:t>vrátane reverzného hybridného subjektu</w:t>
            </w:r>
            <w:r w:rsidRPr="00D936D8">
              <w:rPr>
                <w:sz w:val="24"/>
                <w:szCs w:val="24"/>
              </w:rPr>
              <w:t xml:space="preserve">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w:t>
            </w:r>
          </w:p>
          <w:p w:rsidR="00D936D8" w:rsidRPr="00D936D8" w:rsidRDefault="00D936D8" w:rsidP="00D936D8">
            <w:pPr>
              <w:pStyle w:val="Normlny0"/>
              <w:jc w:val="both"/>
              <w:rPr>
                <w:sz w:val="24"/>
                <w:szCs w:val="24"/>
              </w:rPr>
            </w:pPr>
            <w:r w:rsidRPr="00D936D8">
              <w:rPr>
                <w:sz w:val="24"/>
                <w:szCs w:val="24"/>
              </w:rPr>
              <w:t xml:space="preserve">1. príjmu (výnosu) podľa § 3 ods. 1 písm. e) a g) vyplácaného právnickej osobe, ak tento príjem plynie daňovníkovi podľa § 2 písm. d) druhého bodu od právnickej osoby, ktorá je daňovníkom </w:t>
            </w:r>
            <w:r w:rsidR="00E527FC" w:rsidRPr="0099556D">
              <w:rPr>
                <w:sz w:val="24"/>
                <w:szCs w:val="24"/>
              </w:rPr>
              <w:t>nespolupracujúceho</w:t>
            </w:r>
            <w:r w:rsidRPr="0099556D">
              <w:rPr>
                <w:sz w:val="24"/>
                <w:szCs w:val="24"/>
              </w:rPr>
              <w:t xml:space="preserve"> štátu podľa § 2 písm. x), alebo je vyplácaný daňovníkom podľa § 2 písm. d) druhého bodu právnickej osobe, ktorá je daňovníkom </w:t>
            </w:r>
            <w:r w:rsidR="00E527FC" w:rsidRPr="0099556D">
              <w:rPr>
                <w:sz w:val="24"/>
                <w:szCs w:val="24"/>
              </w:rPr>
              <w:t>nespolupracujúceho</w:t>
            </w:r>
            <w:r w:rsidR="00E527FC" w:rsidRPr="00E527FC">
              <w:rPr>
                <w:sz w:val="24"/>
                <w:szCs w:val="24"/>
              </w:rPr>
              <w:t xml:space="preserve"> </w:t>
            </w:r>
            <w:r w:rsidRPr="00D936D8">
              <w:rPr>
                <w:sz w:val="24"/>
                <w:szCs w:val="24"/>
              </w:rPr>
              <w:t>podľa § 2 písm. x),</w:t>
            </w:r>
          </w:p>
          <w:p w:rsidR="00D936D8" w:rsidRDefault="00D936D8" w:rsidP="00D936D8">
            <w:pPr>
              <w:pStyle w:val="Normlny0"/>
              <w:jc w:val="both"/>
              <w:rPr>
                <w:sz w:val="24"/>
                <w:szCs w:val="24"/>
              </w:rPr>
            </w:pPr>
            <w:r w:rsidRPr="00D936D8">
              <w:rPr>
                <w:sz w:val="24"/>
                <w:szCs w:val="24"/>
              </w:rPr>
              <w:t>2. príjmu (výnosu) podľa § 3 ods. 1 písm. f) vyplácaného právnickej osobe,</w:t>
            </w:r>
          </w:p>
          <w:p w:rsidR="00D936D8" w:rsidRDefault="00D936D8" w:rsidP="0039125A">
            <w:pPr>
              <w:pStyle w:val="Normlny0"/>
              <w:jc w:val="both"/>
              <w:rPr>
                <w:sz w:val="24"/>
                <w:szCs w:val="24"/>
              </w:rPr>
            </w:pPr>
          </w:p>
          <w:p w:rsidR="00BE72D1" w:rsidRPr="007512B3" w:rsidRDefault="00BE286F" w:rsidP="00FB45E2">
            <w:pPr>
              <w:pStyle w:val="Normlny0"/>
              <w:jc w:val="both"/>
              <w:rPr>
                <w:sz w:val="24"/>
                <w:szCs w:val="24"/>
              </w:rPr>
            </w:pPr>
            <w:r w:rsidRPr="007512B3">
              <w:rPr>
                <w:sz w:val="24"/>
                <w:szCs w:val="24"/>
              </w:rPr>
              <w:t xml:space="preserve">Príjem dosahovaný v stálej prevádzkarni je aj príjem spoločníkov verejnej obchodnej spoločnosti a </w:t>
            </w:r>
            <w:r w:rsidRPr="007512B3">
              <w:rPr>
                <w:sz w:val="24"/>
                <w:szCs w:val="24"/>
              </w:rPr>
              <w:lastRenderedPageBreak/>
              <w:t>komplementárov komanditnej spoločnosti, ktorí sú daňovníkmi s obmedzenou daňovou povinnosťou a ktorý im plynie z účasti v týchto spoločnostiach a z úverov a pôžičiek poskytnutých týmto spoločnostiam. Na zabezpečenie dane z uvedených príjmov sa použije § 44 ods. 2.</w:t>
            </w:r>
          </w:p>
        </w:tc>
        <w:tc>
          <w:tcPr>
            <w:tcW w:w="709" w:type="dxa"/>
            <w:tcBorders>
              <w:top w:val="single" w:sz="4" w:space="0" w:color="auto"/>
              <w:left w:val="single" w:sz="4" w:space="0" w:color="auto"/>
              <w:bottom w:val="single" w:sz="4" w:space="0" w:color="auto"/>
              <w:right w:val="single" w:sz="4" w:space="0" w:color="auto"/>
            </w:tcBorders>
          </w:tcPr>
          <w:p w:rsidR="00A9063F" w:rsidRPr="00850982" w:rsidRDefault="00FB45E2" w:rsidP="0059220A">
            <w:pPr>
              <w:jc w:val="both"/>
            </w:pPr>
            <w:r w:rsidRPr="00850982">
              <w:lastRenderedPageBreak/>
              <w:t>Ú</w:t>
            </w: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BE72D1" w:rsidRPr="00850982" w:rsidRDefault="00BE72D1" w:rsidP="0059220A">
            <w:pPr>
              <w:jc w:val="both"/>
            </w:pPr>
          </w:p>
          <w:p w:rsidR="00FB45E2" w:rsidRPr="00850982" w:rsidRDefault="00FB45E2" w:rsidP="0059220A">
            <w:pPr>
              <w:jc w:val="both"/>
            </w:pPr>
          </w:p>
          <w:p w:rsidR="00FB45E2" w:rsidRPr="00850982" w:rsidRDefault="00FB45E2" w:rsidP="0059220A">
            <w:pPr>
              <w:jc w:val="both"/>
            </w:pPr>
          </w:p>
          <w:p w:rsidR="00FB45E2" w:rsidRPr="00850982" w:rsidRDefault="00FB45E2" w:rsidP="0059220A">
            <w:pPr>
              <w:jc w:val="both"/>
            </w:pPr>
          </w:p>
          <w:p w:rsidR="00FB45E2" w:rsidRPr="00850982" w:rsidRDefault="00FB45E2" w:rsidP="0059220A">
            <w:pPr>
              <w:jc w:val="both"/>
            </w:pPr>
          </w:p>
          <w:p w:rsidR="00FB45E2" w:rsidRPr="00850982" w:rsidRDefault="00FB45E2" w:rsidP="0059220A">
            <w:pPr>
              <w:jc w:val="both"/>
            </w:pPr>
          </w:p>
          <w:p w:rsidR="00FB45E2" w:rsidRPr="00850982" w:rsidRDefault="00FB45E2" w:rsidP="0059220A">
            <w:pPr>
              <w:jc w:val="both"/>
            </w:pPr>
          </w:p>
          <w:p w:rsidR="00BE72D1" w:rsidRPr="00850982" w:rsidRDefault="00BE72D1" w:rsidP="0059220A">
            <w:pPr>
              <w:jc w:val="both"/>
            </w:pPr>
          </w:p>
          <w:p w:rsidR="00177E75" w:rsidRDefault="00177E75"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E127DD" w:rsidRDefault="00E127DD" w:rsidP="0059220A">
            <w:pPr>
              <w:jc w:val="both"/>
            </w:pPr>
          </w:p>
          <w:p w:rsidR="00CB7F1D" w:rsidRDefault="00CB7F1D" w:rsidP="0059220A">
            <w:pPr>
              <w:jc w:val="both"/>
            </w:pPr>
          </w:p>
          <w:p w:rsidR="00CB7F1D" w:rsidRDefault="00CB7F1D" w:rsidP="0059220A">
            <w:pPr>
              <w:jc w:val="both"/>
            </w:pPr>
          </w:p>
          <w:p w:rsidR="00CB7F1D" w:rsidRDefault="00CB7F1D" w:rsidP="0059220A">
            <w:pPr>
              <w:jc w:val="both"/>
            </w:pPr>
          </w:p>
          <w:p w:rsidR="00CB7F1D" w:rsidRDefault="00CB7F1D" w:rsidP="0059220A">
            <w:pPr>
              <w:jc w:val="both"/>
            </w:pPr>
          </w:p>
          <w:p w:rsidR="00CB7F1D" w:rsidRDefault="00CB7F1D" w:rsidP="0059220A">
            <w:pPr>
              <w:jc w:val="both"/>
            </w:pPr>
          </w:p>
          <w:p w:rsidR="00CB7F1D" w:rsidRDefault="00CB7F1D" w:rsidP="0059220A">
            <w:pPr>
              <w:jc w:val="both"/>
            </w:pPr>
          </w:p>
          <w:p w:rsidR="00CB7F1D" w:rsidRDefault="00CB7F1D"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Default="00AA2B25" w:rsidP="0059220A">
            <w:pPr>
              <w:jc w:val="both"/>
            </w:pPr>
          </w:p>
          <w:p w:rsidR="00AA2B25" w:rsidRPr="00850982" w:rsidRDefault="00AA2B25" w:rsidP="0059220A">
            <w:pPr>
              <w:jc w:val="both"/>
            </w:pPr>
          </w:p>
        </w:tc>
        <w:tc>
          <w:tcPr>
            <w:tcW w:w="1059" w:type="dxa"/>
            <w:tcBorders>
              <w:top w:val="single" w:sz="4" w:space="0" w:color="auto"/>
              <w:left w:val="single" w:sz="4" w:space="0" w:color="auto"/>
              <w:bottom w:val="single" w:sz="4" w:space="0" w:color="auto"/>
              <w:right w:val="single" w:sz="12" w:space="0" w:color="auto"/>
            </w:tcBorders>
          </w:tcPr>
          <w:p w:rsidR="00A9063F" w:rsidRPr="00850982" w:rsidRDefault="00A9063F" w:rsidP="0059220A">
            <w:pPr>
              <w:pStyle w:val="Nadpis1"/>
              <w:jc w:val="both"/>
              <w:rPr>
                <w:b w:val="0"/>
                <w:bCs w:val="0"/>
              </w:rPr>
            </w:pPr>
          </w:p>
        </w:tc>
      </w:tr>
      <w:tr w:rsidR="00A9063F" w:rsidRPr="00850982" w:rsidTr="00FE7347">
        <w:trPr>
          <w:trHeight w:val="494"/>
        </w:trPr>
        <w:tc>
          <w:tcPr>
            <w:tcW w:w="540" w:type="dxa"/>
            <w:tcBorders>
              <w:top w:val="single" w:sz="4" w:space="0" w:color="auto"/>
              <w:left w:val="single" w:sz="12" w:space="0" w:color="auto"/>
              <w:bottom w:val="single" w:sz="4" w:space="0" w:color="auto"/>
              <w:right w:val="single" w:sz="4" w:space="0" w:color="auto"/>
            </w:tcBorders>
          </w:tcPr>
          <w:p w:rsidR="00A9063F" w:rsidRPr="00850982" w:rsidRDefault="00153B33" w:rsidP="0059220A">
            <w:pPr>
              <w:jc w:val="both"/>
              <w:rPr>
                <w:highlight w:val="yellow"/>
              </w:rPr>
            </w:pPr>
            <w:r w:rsidRPr="00850982">
              <w:lastRenderedPageBreak/>
              <w:t>Čl.5</w:t>
            </w:r>
          </w:p>
        </w:tc>
        <w:tc>
          <w:tcPr>
            <w:tcW w:w="6379" w:type="dxa"/>
            <w:gridSpan w:val="2"/>
            <w:tcBorders>
              <w:top w:val="single" w:sz="4" w:space="0" w:color="auto"/>
              <w:left w:val="single" w:sz="4" w:space="0" w:color="auto"/>
              <w:bottom w:val="single" w:sz="4" w:space="0" w:color="auto"/>
              <w:right w:val="single" w:sz="4" w:space="0" w:color="auto"/>
            </w:tcBorders>
          </w:tcPr>
          <w:p w:rsidR="00A9063F" w:rsidRPr="00850982" w:rsidRDefault="0024166E" w:rsidP="0059220A">
            <w:pPr>
              <w:pStyle w:val="Normlny0"/>
              <w:jc w:val="both"/>
              <w:rPr>
                <w:sz w:val="24"/>
                <w:szCs w:val="24"/>
                <w:highlight w:val="yellow"/>
              </w:rPr>
            </w:pPr>
            <w:r w:rsidRPr="00850982">
              <w:rPr>
                <w:color w:val="000000"/>
                <w:sz w:val="24"/>
                <w:szCs w:val="24"/>
              </w:rPr>
              <w:t>Zisky, ktoré dcérska spoločnosť rozdeľuje svojej materskej spoločnosti, sa oslobodzujú od zrážkovej dane.</w:t>
            </w:r>
          </w:p>
        </w:tc>
        <w:tc>
          <w:tcPr>
            <w:tcW w:w="567" w:type="dxa"/>
            <w:tcBorders>
              <w:top w:val="single" w:sz="4" w:space="0" w:color="auto"/>
              <w:left w:val="single" w:sz="4" w:space="0" w:color="auto"/>
              <w:bottom w:val="single" w:sz="4" w:space="0" w:color="auto"/>
              <w:right w:val="single" w:sz="12" w:space="0" w:color="auto"/>
            </w:tcBorders>
          </w:tcPr>
          <w:p w:rsidR="00A9063F" w:rsidRPr="00850982" w:rsidRDefault="006E2510" w:rsidP="0059220A">
            <w:pPr>
              <w:jc w:val="both"/>
              <w:rPr>
                <w:highlight w:val="yellow"/>
              </w:rPr>
            </w:pPr>
            <w:r w:rsidRPr="00850982">
              <w:t>N</w:t>
            </w:r>
          </w:p>
        </w:tc>
        <w:tc>
          <w:tcPr>
            <w:tcW w:w="851" w:type="dxa"/>
            <w:tcBorders>
              <w:top w:val="single" w:sz="4" w:space="0" w:color="auto"/>
              <w:left w:val="nil"/>
              <w:bottom w:val="single" w:sz="4" w:space="0" w:color="auto"/>
              <w:right w:val="single" w:sz="4" w:space="0" w:color="auto"/>
            </w:tcBorders>
          </w:tcPr>
          <w:p w:rsidR="00A9063F" w:rsidRDefault="006E2510" w:rsidP="0059220A">
            <w:pPr>
              <w:jc w:val="both"/>
            </w:pPr>
            <w:r w:rsidRPr="00850982">
              <w:t>595/</w:t>
            </w:r>
            <w:r w:rsidR="00FF1363">
              <w:t xml:space="preserve"> </w:t>
            </w:r>
            <w:r w:rsidRPr="00850982">
              <w:t>2003</w:t>
            </w:r>
          </w:p>
          <w:p w:rsidR="000D4202" w:rsidRDefault="000D4202" w:rsidP="000D4202">
            <w:pPr>
              <w:pStyle w:val="Normlny0"/>
              <w:jc w:val="center"/>
              <w:rPr>
                <w:b/>
                <w:sz w:val="24"/>
                <w:szCs w:val="24"/>
              </w:rPr>
            </w:pPr>
            <w:r>
              <w:rPr>
                <w:b/>
                <w:sz w:val="24"/>
                <w:szCs w:val="24"/>
              </w:rPr>
              <w:t>a</w:t>
            </w:r>
          </w:p>
          <w:p w:rsidR="000D4202" w:rsidRPr="00850982" w:rsidRDefault="000D4202" w:rsidP="000D4202">
            <w:pPr>
              <w:jc w:val="both"/>
              <w:rPr>
                <w:highlight w:val="yellow"/>
              </w:rPr>
            </w:pPr>
            <w:r>
              <w:rPr>
                <w:b/>
              </w:rPr>
              <w:t>Návrh zákona Čl. I</w:t>
            </w:r>
          </w:p>
        </w:tc>
        <w:tc>
          <w:tcPr>
            <w:tcW w:w="708" w:type="dxa"/>
            <w:tcBorders>
              <w:top w:val="single" w:sz="4" w:space="0" w:color="auto"/>
              <w:left w:val="single" w:sz="4" w:space="0" w:color="auto"/>
              <w:bottom w:val="single" w:sz="4" w:space="0" w:color="auto"/>
              <w:right w:val="single" w:sz="4" w:space="0" w:color="auto"/>
            </w:tcBorders>
          </w:tcPr>
          <w:p w:rsidR="00A9063F" w:rsidRDefault="006E2510" w:rsidP="006E2510">
            <w:pPr>
              <w:pStyle w:val="Normlny0"/>
              <w:jc w:val="center"/>
              <w:rPr>
                <w:sz w:val="24"/>
                <w:szCs w:val="24"/>
              </w:rPr>
            </w:pPr>
            <w:r w:rsidRPr="00850982">
              <w:rPr>
                <w:sz w:val="24"/>
                <w:szCs w:val="24"/>
              </w:rPr>
              <w:t>§ 12 ods.7 pís.c)</w:t>
            </w:r>
          </w:p>
          <w:p w:rsidR="001E2307" w:rsidRPr="001E2307" w:rsidRDefault="001E2307" w:rsidP="006E2510">
            <w:pPr>
              <w:pStyle w:val="Normlny0"/>
              <w:jc w:val="center"/>
              <w:rPr>
                <w:b/>
                <w:sz w:val="24"/>
                <w:szCs w:val="24"/>
                <w:highlight w:val="yellow"/>
              </w:rPr>
            </w:pPr>
          </w:p>
        </w:tc>
        <w:tc>
          <w:tcPr>
            <w:tcW w:w="5387" w:type="dxa"/>
            <w:tcBorders>
              <w:top w:val="single" w:sz="4" w:space="0" w:color="auto"/>
              <w:left w:val="single" w:sz="4" w:space="0" w:color="auto"/>
              <w:bottom w:val="single" w:sz="4" w:space="0" w:color="auto"/>
              <w:right w:val="single" w:sz="4" w:space="0" w:color="auto"/>
            </w:tcBorders>
          </w:tcPr>
          <w:p w:rsidR="00A9063F" w:rsidRPr="00850982" w:rsidRDefault="00A87ED8" w:rsidP="0059220A">
            <w:pPr>
              <w:pStyle w:val="Normlny0"/>
              <w:jc w:val="both"/>
              <w:rPr>
                <w:sz w:val="24"/>
                <w:szCs w:val="24"/>
              </w:rPr>
            </w:pPr>
            <w:r w:rsidRPr="00850982">
              <w:rPr>
                <w:sz w:val="24"/>
                <w:szCs w:val="24"/>
              </w:rPr>
              <w:t>Predmetom dane nie je</w:t>
            </w:r>
          </w:p>
          <w:p w:rsidR="00767D38" w:rsidRPr="00767D38" w:rsidRDefault="00767D38" w:rsidP="00767D38">
            <w:pPr>
              <w:pStyle w:val="Normlny0"/>
              <w:jc w:val="both"/>
              <w:rPr>
                <w:sz w:val="24"/>
                <w:szCs w:val="24"/>
              </w:rPr>
            </w:pPr>
            <w:r>
              <w:rPr>
                <w:sz w:val="24"/>
                <w:szCs w:val="24"/>
              </w:rPr>
              <w:t xml:space="preserve">c) </w:t>
            </w:r>
            <w:r w:rsidRPr="00767D38">
              <w:rPr>
                <w:sz w:val="24"/>
                <w:szCs w:val="24"/>
              </w:rPr>
              <w:t>podiel na zisku (dividenda) vyplácaný zo zisku obchodnej spoločnosti alebo družstva</w:t>
            </w:r>
            <w:r w:rsidR="001E2307">
              <w:rPr>
                <w:sz w:val="24"/>
                <w:szCs w:val="24"/>
              </w:rPr>
              <w:t xml:space="preserve"> </w:t>
            </w:r>
            <w:r w:rsidR="001E2307">
              <w:rPr>
                <w:b/>
                <w:sz w:val="24"/>
                <w:szCs w:val="24"/>
              </w:rPr>
              <w:t>vrátane reverzného hybridného subjektu</w:t>
            </w:r>
            <w:r w:rsidRPr="00767D38">
              <w:rPr>
                <w:sz w:val="24"/>
                <w:szCs w:val="24"/>
              </w:rPr>
              <w:t xml:space="preserve">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w:t>
            </w:r>
            <w:r>
              <w:rPr>
                <w:sz w:val="24"/>
                <w:szCs w:val="24"/>
              </w:rPr>
              <w:t>ou [§ 3 ods. 1 písm. g)], okrem</w:t>
            </w:r>
          </w:p>
          <w:p w:rsidR="00767D38" w:rsidRPr="0099556D" w:rsidRDefault="00767D38" w:rsidP="00767D38">
            <w:pPr>
              <w:pStyle w:val="Normlny0"/>
              <w:jc w:val="both"/>
              <w:rPr>
                <w:sz w:val="24"/>
                <w:szCs w:val="24"/>
              </w:rPr>
            </w:pPr>
            <w:r w:rsidRPr="00767D38">
              <w:rPr>
                <w:sz w:val="24"/>
                <w:szCs w:val="24"/>
              </w:rPr>
              <w:t xml:space="preserve">1. príjmu (výnosu) podľa § 3 ods. 1 písm. e) a g) vyplácaného právnickej osobe, ak tento príjem plynie daňovníkovi podľa § 2 písm. d) druhého bodu od právnickej osoby, ktorá je daňovníkom </w:t>
            </w:r>
            <w:r w:rsidR="00FF1363" w:rsidRPr="0099556D">
              <w:rPr>
                <w:sz w:val="24"/>
                <w:szCs w:val="24"/>
              </w:rPr>
              <w:t>nespolupracujúceho</w:t>
            </w:r>
            <w:r w:rsidRPr="0099556D">
              <w:rPr>
                <w:sz w:val="24"/>
                <w:szCs w:val="24"/>
              </w:rPr>
              <w:t xml:space="preserve"> štátu podľa § 2 písm. x), alebo je vyplácaný daňovníkom podľa § 2 písm. d) druhého bodu právnickej osobe, ktorá je daňovníkom </w:t>
            </w:r>
            <w:r w:rsidR="00FF1363" w:rsidRPr="0099556D">
              <w:rPr>
                <w:sz w:val="24"/>
                <w:szCs w:val="24"/>
              </w:rPr>
              <w:lastRenderedPageBreak/>
              <w:t>nespolupracujúceho</w:t>
            </w:r>
            <w:r w:rsidRPr="0099556D">
              <w:rPr>
                <w:sz w:val="24"/>
                <w:szCs w:val="24"/>
              </w:rPr>
              <w:t xml:space="preserve"> štátu podľa § 2 písm. x),</w:t>
            </w:r>
          </w:p>
          <w:p w:rsidR="00A87ED8" w:rsidRPr="00C462DD" w:rsidRDefault="00767D38" w:rsidP="00A87ED8">
            <w:pPr>
              <w:pStyle w:val="Normlny0"/>
              <w:jc w:val="both"/>
              <w:rPr>
                <w:sz w:val="24"/>
                <w:szCs w:val="24"/>
              </w:rPr>
            </w:pPr>
            <w:r w:rsidRPr="0099556D">
              <w:rPr>
                <w:sz w:val="24"/>
                <w:szCs w:val="24"/>
              </w:rPr>
              <w:t>2. príjmu (výnosu)</w:t>
            </w:r>
            <w:r w:rsidRPr="00767D38">
              <w:rPr>
                <w:sz w:val="24"/>
                <w:szCs w:val="24"/>
              </w:rPr>
              <w:t xml:space="preserve"> podľa § 3 ods. 1 písm. f) vyplácaného prá</w:t>
            </w:r>
            <w:r w:rsidR="00C462DD">
              <w:rPr>
                <w:sz w:val="24"/>
                <w:szCs w:val="24"/>
              </w:rPr>
              <w:t>vnickej osobe,</w:t>
            </w:r>
          </w:p>
        </w:tc>
        <w:tc>
          <w:tcPr>
            <w:tcW w:w="709" w:type="dxa"/>
            <w:tcBorders>
              <w:top w:val="single" w:sz="4" w:space="0" w:color="auto"/>
              <w:left w:val="single" w:sz="4" w:space="0" w:color="auto"/>
              <w:bottom w:val="single" w:sz="4" w:space="0" w:color="auto"/>
              <w:right w:val="single" w:sz="4" w:space="0" w:color="auto"/>
            </w:tcBorders>
          </w:tcPr>
          <w:p w:rsidR="00A9063F" w:rsidRPr="00850982" w:rsidRDefault="00A87ED8" w:rsidP="0059220A">
            <w:pPr>
              <w:jc w:val="both"/>
              <w:rPr>
                <w:highlight w:val="yellow"/>
              </w:rPr>
            </w:pPr>
            <w:r w:rsidRPr="00850982">
              <w:lastRenderedPageBreak/>
              <w:t>Ú</w:t>
            </w:r>
          </w:p>
        </w:tc>
        <w:tc>
          <w:tcPr>
            <w:tcW w:w="1059" w:type="dxa"/>
            <w:tcBorders>
              <w:top w:val="single" w:sz="4" w:space="0" w:color="auto"/>
              <w:left w:val="single" w:sz="4" w:space="0" w:color="auto"/>
              <w:bottom w:val="single" w:sz="4" w:space="0" w:color="auto"/>
              <w:right w:val="single" w:sz="12" w:space="0" w:color="auto"/>
            </w:tcBorders>
          </w:tcPr>
          <w:p w:rsidR="00A9063F" w:rsidRPr="00850982" w:rsidRDefault="00A9063F" w:rsidP="0059220A">
            <w:pPr>
              <w:pStyle w:val="Nadpis1"/>
              <w:jc w:val="both"/>
              <w:rPr>
                <w:b w:val="0"/>
                <w:bCs w:val="0"/>
                <w:highlight w:val="yellow"/>
              </w:rPr>
            </w:pPr>
          </w:p>
        </w:tc>
      </w:tr>
      <w:tr w:rsidR="00A9063F" w:rsidRPr="00850982" w:rsidTr="00FE7347">
        <w:tc>
          <w:tcPr>
            <w:tcW w:w="540" w:type="dxa"/>
            <w:tcBorders>
              <w:top w:val="single" w:sz="4" w:space="0" w:color="auto"/>
              <w:left w:val="single" w:sz="12" w:space="0" w:color="auto"/>
              <w:bottom w:val="single" w:sz="4" w:space="0" w:color="auto"/>
              <w:right w:val="single" w:sz="4" w:space="0" w:color="auto"/>
            </w:tcBorders>
          </w:tcPr>
          <w:p w:rsidR="00A9063F" w:rsidRPr="00850982" w:rsidRDefault="00153B33" w:rsidP="0059220A">
            <w:pPr>
              <w:jc w:val="both"/>
              <w:rPr>
                <w:highlight w:val="yellow"/>
              </w:rPr>
            </w:pPr>
            <w:r w:rsidRPr="00850982">
              <w:t>Čl.6</w:t>
            </w:r>
          </w:p>
        </w:tc>
        <w:tc>
          <w:tcPr>
            <w:tcW w:w="6379" w:type="dxa"/>
            <w:gridSpan w:val="2"/>
            <w:tcBorders>
              <w:top w:val="single" w:sz="4" w:space="0" w:color="auto"/>
              <w:left w:val="single" w:sz="4" w:space="0" w:color="auto"/>
              <w:bottom w:val="single" w:sz="4" w:space="0" w:color="auto"/>
              <w:right w:val="single" w:sz="4" w:space="0" w:color="auto"/>
            </w:tcBorders>
          </w:tcPr>
          <w:p w:rsidR="00A9063F" w:rsidRPr="00850982" w:rsidRDefault="0024166E" w:rsidP="0059220A">
            <w:pPr>
              <w:pStyle w:val="Normlny0"/>
              <w:jc w:val="both"/>
              <w:rPr>
                <w:sz w:val="24"/>
                <w:szCs w:val="24"/>
                <w:highlight w:val="yellow"/>
              </w:rPr>
            </w:pPr>
            <w:r w:rsidRPr="00850982">
              <w:rPr>
                <w:color w:val="000000"/>
                <w:sz w:val="24"/>
                <w:szCs w:val="24"/>
              </w:rPr>
              <w:t>Členský štát materskej spoločnosti nemôže vybrať zrážkovú daň zo zisku, ktorý takáto spoločnosť prijme od svojej dcérskej spoločnosti.</w:t>
            </w:r>
          </w:p>
        </w:tc>
        <w:tc>
          <w:tcPr>
            <w:tcW w:w="567" w:type="dxa"/>
            <w:tcBorders>
              <w:top w:val="single" w:sz="4" w:space="0" w:color="auto"/>
              <w:left w:val="single" w:sz="4" w:space="0" w:color="auto"/>
              <w:bottom w:val="single" w:sz="4" w:space="0" w:color="auto"/>
              <w:right w:val="single" w:sz="12" w:space="0" w:color="auto"/>
            </w:tcBorders>
          </w:tcPr>
          <w:p w:rsidR="00A9063F" w:rsidRPr="00850982" w:rsidRDefault="00A00A8F" w:rsidP="0059220A">
            <w:pPr>
              <w:jc w:val="both"/>
              <w:rPr>
                <w:highlight w:val="yellow"/>
              </w:rPr>
            </w:pPr>
            <w:r w:rsidRPr="00850982">
              <w:t>N</w:t>
            </w:r>
          </w:p>
        </w:tc>
        <w:tc>
          <w:tcPr>
            <w:tcW w:w="851" w:type="dxa"/>
            <w:tcBorders>
              <w:top w:val="single" w:sz="4" w:space="0" w:color="auto"/>
              <w:left w:val="nil"/>
              <w:bottom w:val="single" w:sz="4" w:space="0" w:color="auto"/>
              <w:right w:val="single" w:sz="4" w:space="0" w:color="auto"/>
            </w:tcBorders>
          </w:tcPr>
          <w:p w:rsidR="00A9063F" w:rsidRDefault="00A00A8F" w:rsidP="0059220A">
            <w:pPr>
              <w:jc w:val="both"/>
            </w:pPr>
            <w:r w:rsidRPr="00850982">
              <w:t>595/2003</w:t>
            </w:r>
          </w:p>
          <w:p w:rsidR="000D4202" w:rsidRDefault="000D4202" w:rsidP="000D4202">
            <w:pPr>
              <w:pStyle w:val="Normlny0"/>
              <w:jc w:val="center"/>
              <w:rPr>
                <w:b/>
                <w:sz w:val="24"/>
                <w:szCs w:val="24"/>
              </w:rPr>
            </w:pPr>
            <w:r>
              <w:rPr>
                <w:b/>
                <w:sz w:val="24"/>
                <w:szCs w:val="24"/>
              </w:rPr>
              <w:t>a</w:t>
            </w:r>
          </w:p>
          <w:p w:rsidR="000D4202" w:rsidRPr="00850982" w:rsidRDefault="000D4202" w:rsidP="000D4202">
            <w:pPr>
              <w:jc w:val="both"/>
              <w:rPr>
                <w:highlight w:val="yellow"/>
              </w:rPr>
            </w:pPr>
            <w:r>
              <w:rPr>
                <w:b/>
              </w:rPr>
              <w:t>Návrh zákona Čl. I</w:t>
            </w:r>
          </w:p>
        </w:tc>
        <w:tc>
          <w:tcPr>
            <w:tcW w:w="708" w:type="dxa"/>
            <w:tcBorders>
              <w:top w:val="single" w:sz="4" w:space="0" w:color="auto"/>
              <w:left w:val="single" w:sz="4" w:space="0" w:color="auto"/>
              <w:bottom w:val="single" w:sz="4" w:space="0" w:color="auto"/>
              <w:right w:val="single" w:sz="4" w:space="0" w:color="auto"/>
            </w:tcBorders>
          </w:tcPr>
          <w:p w:rsidR="00A9063F" w:rsidRDefault="00A00A8F" w:rsidP="00A00A8F">
            <w:pPr>
              <w:pStyle w:val="Normlny0"/>
              <w:jc w:val="center"/>
              <w:rPr>
                <w:sz w:val="24"/>
                <w:szCs w:val="24"/>
              </w:rPr>
            </w:pPr>
            <w:r w:rsidRPr="00850982">
              <w:rPr>
                <w:sz w:val="24"/>
                <w:szCs w:val="24"/>
              </w:rPr>
              <w:t>§ 12 ods.7 pís.c)</w:t>
            </w:r>
          </w:p>
          <w:p w:rsidR="001E2307" w:rsidRPr="001E2307" w:rsidRDefault="001E2307" w:rsidP="00A00A8F">
            <w:pPr>
              <w:pStyle w:val="Normlny0"/>
              <w:jc w:val="center"/>
              <w:rPr>
                <w:b/>
                <w:sz w:val="24"/>
                <w:szCs w:val="24"/>
                <w:highlight w:val="yellow"/>
              </w:rPr>
            </w:pPr>
          </w:p>
        </w:tc>
        <w:tc>
          <w:tcPr>
            <w:tcW w:w="5387" w:type="dxa"/>
            <w:tcBorders>
              <w:top w:val="single" w:sz="4" w:space="0" w:color="auto"/>
              <w:left w:val="single" w:sz="4" w:space="0" w:color="auto"/>
              <w:bottom w:val="single" w:sz="4" w:space="0" w:color="auto"/>
              <w:right w:val="single" w:sz="4" w:space="0" w:color="auto"/>
            </w:tcBorders>
          </w:tcPr>
          <w:p w:rsidR="00A9063F" w:rsidRPr="00850982" w:rsidRDefault="00A87ED8" w:rsidP="0059220A">
            <w:pPr>
              <w:pStyle w:val="Normlny0"/>
              <w:jc w:val="both"/>
              <w:rPr>
                <w:sz w:val="24"/>
                <w:szCs w:val="24"/>
              </w:rPr>
            </w:pPr>
            <w:r w:rsidRPr="00850982">
              <w:rPr>
                <w:sz w:val="24"/>
                <w:szCs w:val="24"/>
              </w:rPr>
              <w:t>Predmetom dane nie je</w:t>
            </w:r>
          </w:p>
          <w:p w:rsidR="00767D38" w:rsidRPr="00767D38" w:rsidRDefault="00767D38" w:rsidP="00767D38">
            <w:pPr>
              <w:pStyle w:val="Normlny0"/>
              <w:jc w:val="both"/>
              <w:rPr>
                <w:sz w:val="24"/>
                <w:szCs w:val="24"/>
              </w:rPr>
            </w:pPr>
            <w:r>
              <w:rPr>
                <w:sz w:val="24"/>
                <w:szCs w:val="24"/>
              </w:rPr>
              <w:t xml:space="preserve">c) </w:t>
            </w:r>
            <w:r w:rsidRPr="00767D38">
              <w:rPr>
                <w:sz w:val="24"/>
                <w:szCs w:val="24"/>
              </w:rPr>
              <w:t>podiel na zisku (dividenda) vyplácaný zo zisku obchodnej spoločnosti alebo družstva</w:t>
            </w:r>
            <w:r w:rsidR="001E2307">
              <w:rPr>
                <w:b/>
                <w:sz w:val="24"/>
                <w:szCs w:val="24"/>
              </w:rPr>
              <w:t xml:space="preserve"> vrátane reverzného hybridného subjektu</w:t>
            </w:r>
            <w:r w:rsidRPr="00767D38">
              <w:rPr>
                <w:sz w:val="24"/>
                <w:szCs w:val="24"/>
              </w:rPr>
              <w:t xml:space="preserve">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w:t>
            </w:r>
            <w:r>
              <w:rPr>
                <w:sz w:val="24"/>
                <w:szCs w:val="24"/>
              </w:rPr>
              <w:t>ou [§ 3 ods. 1 písm. g)], okrem</w:t>
            </w:r>
          </w:p>
          <w:p w:rsidR="00767D38" w:rsidRPr="00767D38" w:rsidRDefault="00767D38" w:rsidP="00767D38">
            <w:pPr>
              <w:pStyle w:val="Normlny0"/>
              <w:jc w:val="both"/>
              <w:rPr>
                <w:sz w:val="24"/>
                <w:szCs w:val="24"/>
              </w:rPr>
            </w:pPr>
            <w:r w:rsidRPr="00767D38">
              <w:rPr>
                <w:sz w:val="24"/>
                <w:szCs w:val="24"/>
              </w:rPr>
              <w:t xml:space="preserve">1. príjmu (výnosu) podľa § 3 ods. 1 písm. e) a g) vyplácaného právnickej osobe, ak tento príjem plynie daňovníkovi podľa § 2 písm. d) druhého bodu od právnickej osoby, ktorá je daňovníkom </w:t>
            </w:r>
            <w:r w:rsidR="00320BB4" w:rsidRPr="0099556D">
              <w:rPr>
                <w:sz w:val="24"/>
                <w:szCs w:val="24"/>
              </w:rPr>
              <w:t>nespolupracujúceho</w:t>
            </w:r>
            <w:r w:rsidRPr="0099556D">
              <w:rPr>
                <w:sz w:val="24"/>
                <w:szCs w:val="24"/>
              </w:rPr>
              <w:t xml:space="preserve"> štátu podľa § 2 písm. x), alebo je vyplácaný daňovníkom podľa § 2 písm. d) druhého bodu právnickej osobe, ktorá je daňovníkom </w:t>
            </w:r>
            <w:r w:rsidR="00320BB4" w:rsidRPr="0099556D">
              <w:rPr>
                <w:sz w:val="24"/>
                <w:szCs w:val="24"/>
              </w:rPr>
              <w:t>nespolupracujúceho</w:t>
            </w:r>
            <w:r w:rsidRPr="0099556D">
              <w:rPr>
                <w:sz w:val="24"/>
                <w:szCs w:val="24"/>
              </w:rPr>
              <w:t xml:space="preserve"> štátu</w:t>
            </w:r>
            <w:r>
              <w:rPr>
                <w:sz w:val="24"/>
                <w:szCs w:val="24"/>
              </w:rPr>
              <w:t xml:space="preserve"> podľa § 2 písm. x),</w:t>
            </w:r>
          </w:p>
          <w:p w:rsidR="00A87ED8" w:rsidRPr="00C462DD" w:rsidRDefault="00767D38" w:rsidP="00A87ED8">
            <w:pPr>
              <w:pStyle w:val="Normlny0"/>
              <w:jc w:val="both"/>
              <w:rPr>
                <w:sz w:val="24"/>
                <w:szCs w:val="24"/>
              </w:rPr>
            </w:pPr>
            <w:r w:rsidRPr="00767D38">
              <w:rPr>
                <w:sz w:val="24"/>
                <w:szCs w:val="24"/>
              </w:rPr>
              <w:t>2. príjmu (výnosu) podľa § 3 ods. 1 písm. f</w:t>
            </w:r>
            <w:r w:rsidR="00C462DD">
              <w:rPr>
                <w:sz w:val="24"/>
                <w:szCs w:val="24"/>
              </w:rPr>
              <w:t>) vyplácaného právnickej osobe,</w:t>
            </w:r>
          </w:p>
        </w:tc>
        <w:tc>
          <w:tcPr>
            <w:tcW w:w="709" w:type="dxa"/>
            <w:tcBorders>
              <w:top w:val="single" w:sz="4" w:space="0" w:color="auto"/>
              <w:left w:val="single" w:sz="4" w:space="0" w:color="auto"/>
              <w:bottom w:val="single" w:sz="4" w:space="0" w:color="auto"/>
              <w:right w:val="single" w:sz="4" w:space="0" w:color="auto"/>
            </w:tcBorders>
          </w:tcPr>
          <w:p w:rsidR="00A9063F" w:rsidRPr="00850982" w:rsidRDefault="00A87ED8" w:rsidP="0059220A">
            <w:pPr>
              <w:jc w:val="both"/>
              <w:rPr>
                <w:highlight w:val="yellow"/>
              </w:rPr>
            </w:pPr>
            <w:r w:rsidRPr="00850982">
              <w:t>Ú</w:t>
            </w:r>
          </w:p>
        </w:tc>
        <w:tc>
          <w:tcPr>
            <w:tcW w:w="1059" w:type="dxa"/>
            <w:tcBorders>
              <w:top w:val="single" w:sz="4" w:space="0" w:color="auto"/>
              <w:left w:val="single" w:sz="4" w:space="0" w:color="auto"/>
              <w:bottom w:val="single" w:sz="4" w:space="0" w:color="auto"/>
              <w:right w:val="single" w:sz="12" w:space="0" w:color="auto"/>
            </w:tcBorders>
          </w:tcPr>
          <w:p w:rsidR="00A9063F" w:rsidRPr="00850982" w:rsidRDefault="00A9063F" w:rsidP="0059220A">
            <w:pPr>
              <w:pStyle w:val="Nadpis1"/>
              <w:jc w:val="both"/>
              <w:rPr>
                <w:b w:val="0"/>
                <w:bCs w:val="0"/>
                <w:highlight w:val="yellow"/>
              </w:rPr>
            </w:pPr>
          </w:p>
        </w:tc>
      </w:tr>
    </w:tbl>
    <w:p w:rsidR="008C54C3" w:rsidRPr="00850982" w:rsidRDefault="008C54C3" w:rsidP="0059220A">
      <w:pPr>
        <w:autoSpaceDE/>
        <w:autoSpaceDN/>
        <w:jc w:val="both"/>
      </w:pPr>
      <w:r w:rsidRPr="00850982">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850982">
        <w:tblPrEx>
          <w:tblCellMar>
            <w:top w:w="0" w:type="dxa"/>
            <w:bottom w:w="0" w:type="dxa"/>
          </w:tblCellMar>
        </w:tblPrEx>
        <w:tc>
          <w:tcPr>
            <w:tcW w:w="2410" w:type="dxa"/>
            <w:tcBorders>
              <w:top w:val="nil"/>
              <w:left w:val="nil"/>
              <w:bottom w:val="nil"/>
              <w:right w:val="nil"/>
            </w:tcBorders>
          </w:tcPr>
          <w:p w:rsidR="008C54C3" w:rsidRPr="00850982" w:rsidRDefault="008C54C3" w:rsidP="0059220A">
            <w:pPr>
              <w:pStyle w:val="Normlny0"/>
              <w:autoSpaceDE/>
              <w:autoSpaceDN/>
              <w:spacing w:after="60"/>
              <w:jc w:val="both"/>
              <w:rPr>
                <w:sz w:val="24"/>
                <w:szCs w:val="24"/>
                <w:lang w:eastAsia="sk-SK"/>
              </w:rPr>
            </w:pPr>
            <w:r w:rsidRPr="00850982">
              <w:rPr>
                <w:sz w:val="24"/>
                <w:szCs w:val="24"/>
                <w:lang w:eastAsia="sk-SK"/>
              </w:rPr>
              <w:t>V stĺpci (1):</w:t>
            </w:r>
          </w:p>
          <w:p w:rsidR="008C54C3" w:rsidRPr="00850982" w:rsidRDefault="008C54C3" w:rsidP="0059220A">
            <w:pPr>
              <w:autoSpaceDE/>
              <w:autoSpaceDN/>
              <w:jc w:val="both"/>
            </w:pPr>
            <w:r w:rsidRPr="00850982">
              <w:t>Č – článok</w:t>
            </w:r>
          </w:p>
          <w:p w:rsidR="008C54C3" w:rsidRPr="00850982" w:rsidRDefault="008C54C3" w:rsidP="0059220A">
            <w:pPr>
              <w:autoSpaceDE/>
              <w:autoSpaceDN/>
              <w:jc w:val="both"/>
            </w:pPr>
            <w:r w:rsidRPr="00850982">
              <w:t>O – odsek</w:t>
            </w:r>
          </w:p>
          <w:p w:rsidR="008C54C3" w:rsidRPr="00850982" w:rsidRDefault="008C54C3" w:rsidP="0059220A">
            <w:pPr>
              <w:autoSpaceDE/>
              <w:autoSpaceDN/>
              <w:jc w:val="both"/>
            </w:pPr>
            <w:r w:rsidRPr="00850982">
              <w:t>V – veta</w:t>
            </w:r>
          </w:p>
          <w:p w:rsidR="008C54C3" w:rsidRPr="00850982" w:rsidRDefault="008C54C3" w:rsidP="0059220A">
            <w:pPr>
              <w:autoSpaceDE/>
              <w:autoSpaceDN/>
              <w:jc w:val="both"/>
            </w:pPr>
            <w:r w:rsidRPr="00850982">
              <w:t xml:space="preserve">P – </w:t>
            </w:r>
            <w:r w:rsidR="00DA0F6C" w:rsidRPr="00850982">
              <w:t>číslo</w:t>
            </w:r>
            <w:r w:rsidRPr="00850982">
              <w:t xml:space="preserve"> (</w:t>
            </w:r>
            <w:r w:rsidR="00DA0F6C" w:rsidRPr="00850982">
              <w:t>písmeno</w:t>
            </w:r>
            <w:r w:rsidRPr="00850982">
              <w:t>)</w:t>
            </w:r>
          </w:p>
          <w:p w:rsidR="008C54C3" w:rsidRPr="00850982" w:rsidRDefault="008C54C3" w:rsidP="0059220A">
            <w:pPr>
              <w:autoSpaceDE/>
              <w:autoSpaceDN/>
              <w:jc w:val="both"/>
            </w:pPr>
          </w:p>
        </w:tc>
        <w:tc>
          <w:tcPr>
            <w:tcW w:w="3780" w:type="dxa"/>
            <w:tcBorders>
              <w:top w:val="nil"/>
              <w:left w:val="nil"/>
              <w:bottom w:val="nil"/>
              <w:right w:val="nil"/>
            </w:tcBorders>
          </w:tcPr>
          <w:p w:rsidR="008C54C3" w:rsidRPr="00850982" w:rsidRDefault="008C54C3" w:rsidP="0059220A">
            <w:pPr>
              <w:pStyle w:val="Normlny0"/>
              <w:autoSpaceDE/>
              <w:autoSpaceDN/>
              <w:spacing w:after="60"/>
              <w:jc w:val="both"/>
              <w:rPr>
                <w:sz w:val="24"/>
                <w:szCs w:val="24"/>
                <w:lang w:eastAsia="sk-SK"/>
              </w:rPr>
            </w:pPr>
            <w:r w:rsidRPr="00850982">
              <w:rPr>
                <w:sz w:val="24"/>
                <w:szCs w:val="24"/>
                <w:lang w:eastAsia="sk-SK"/>
              </w:rPr>
              <w:t>V stĺpci (3):</w:t>
            </w:r>
          </w:p>
          <w:p w:rsidR="008C54C3" w:rsidRPr="00850982" w:rsidRDefault="008C54C3" w:rsidP="0059220A">
            <w:pPr>
              <w:autoSpaceDE/>
              <w:autoSpaceDN/>
              <w:jc w:val="both"/>
            </w:pPr>
            <w:r w:rsidRPr="00850982">
              <w:t>N – bežná transpozícia</w:t>
            </w:r>
          </w:p>
          <w:p w:rsidR="008C54C3" w:rsidRPr="00850982" w:rsidRDefault="008C54C3" w:rsidP="0059220A">
            <w:pPr>
              <w:autoSpaceDE/>
              <w:autoSpaceDN/>
              <w:jc w:val="both"/>
            </w:pPr>
            <w:r w:rsidRPr="00850982">
              <w:t>O – transpozícia s možnosťou voľby</w:t>
            </w:r>
          </w:p>
          <w:p w:rsidR="008C54C3" w:rsidRPr="00850982" w:rsidRDefault="008C54C3" w:rsidP="0059220A">
            <w:pPr>
              <w:autoSpaceDE/>
              <w:autoSpaceDN/>
              <w:jc w:val="both"/>
            </w:pPr>
            <w:r w:rsidRPr="00850982">
              <w:t>D – transpozícia podľa úvahy (dobrovoľná)</w:t>
            </w:r>
          </w:p>
          <w:p w:rsidR="008C54C3" w:rsidRPr="00850982" w:rsidRDefault="008C54C3" w:rsidP="0059220A">
            <w:pPr>
              <w:autoSpaceDE/>
              <w:autoSpaceDN/>
              <w:jc w:val="both"/>
            </w:pPr>
            <w:r w:rsidRPr="00850982">
              <w:t>n.a. – transpozícia sa neuskutočňuje</w:t>
            </w:r>
          </w:p>
        </w:tc>
        <w:tc>
          <w:tcPr>
            <w:tcW w:w="2340" w:type="dxa"/>
            <w:tcBorders>
              <w:top w:val="nil"/>
              <w:left w:val="nil"/>
              <w:bottom w:val="nil"/>
              <w:right w:val="nil"/>
            </w:tcBorders>
          </w:tcPr>
          <w:p w:rsidR="008C54C3" w:rsidRPr="00850982" w:rsidRDefault="008C54C3" w:rsidP="0059220A">
            <w:pPr>
              <w:pStyle w:val="Normlny0"/>
              <w:autoSpaceDE/>
              <w:autoSpaceDN/>
              <w:spacing w:after="60"/>
              <w:jc w:val="both"/>
              <w:rPr>
                <w:sz w:val="24"/>
                <w:szCs w:val="24"/>
                <w:lang w:eastAsia="sk-SK"/>
              </w:rPr>
            </w:pPr>
            <w:r w:rsidRPr="00850982">
              <w:rPr>
                <w:sz w:val="24"/>
                <w:szCs w:val="24"/>
                <w:lang w:eastAsia="sk-SK"/>
              </w:rPr>
              <w:t>V stĺpci (5):</w:t>
            </w:r>
          </w:p>
          <w:p w:rsidR="008C54C3" w:rsidRPr="00850982" w:rsidRDefault="008C54C3" w:rsidP="0059220A">
            <w:pPr>
              <w:autoSpaceDE/>
              <w:autoSpaceDN/>
              <w:jc w:val="both"/>
            </w:pPr>
            <w:r w:rsidRPr="00850982">
              <w:t>Č – článok</w:t>
            </w:r>
          </w:p>
          <w:p w:rsidR="008C54C3" w:rsidRPr="00850982" w:rsidRDefault="008C54C3" w:rsidP="0059220A">
            <w:pPr>
              <w:autoSpaceDE/>
              <w:autoSpaceDN/>
              <w:jc w:val="both"/>
            </w:pPr>
            <w:r w:rsidRPr="00850982">
              <w:t>§ – paragraf</w:t>
            </w:r>
          </w:p>
          <w:p w:rsidR="008C54C3" w:rsidRPr="00850982" w:rsidRDefault="008C54C3" w:rsidP="0059220A">
            <w:pPr>
              <w:autoSpaceDE/>
              <w:autoSpaceDN/>
              <w:jc w:val="both"/>
            </w:pPr>
            <w:r w:rsidRPr="00850982">
              <w:t>O – odsek</w:t>
            </w:r>
          </w:p>
          <w:p w:rsidR="008C54C3" w:rsidRPr="00850982" w:rsidRDefault="008C54C3" w:rsidP="0059220A">
            <w:pPr>
              <w:autoSpaceDE/>
              <w:autoSpaceDN/>
              <w:jc w:val="both"/>
            </w:pPr>
            <w:r w:rsidRPr="00850982">
              <w:t>V – veta</w:t>
            </w:r>
          </w:p>
          <w:p w:rsidR="008C54C3" w:rsidRPr="00850982" w:rsidRDefault="008C54C3" w:rsidP="0059220A">
            <w:pPr>
              <w:autoSpaceDE/>
              <w:autoSpaceDN/>
              <w:jc w:val="both"/>
            </w:pPr>
            <w:r w:rsidRPr="00850982">
              <w:t>P – písmeno (číslo)</w:t>
            </w:r>
          </w:p>
        </w:tc>
        <w:tc>
          <w:tcPr>
            <w:tcW w:w="7200" w:type="dxa"/>
            <w:tcBorders>
              <w:top w:val="nil"/>
              <w:left w:val="nil"/>
              <w:bottom w:val="nil"/>
              <w:right w:val="nil"/>
            </w:tcBorders>
          </w:tcPr>
          <w:p w:rsidR="008C54C3" w:rsidRPr="00850982" w:rsidRDefault="008C54C3" w:rsidP="0059220A">
            <w:pPr>
              <w:pStyle w:val="Normlny0"/>
              <w:autoSpaceDE/>
              <w:autoSpaceDN/>
              <w:spacing w:after="60"/>
              <w:jc w:val="both"/>
              <w:rPr>
                <w:sz w:val="24"/>
                <w:szCs w:val="24"/>
                <w:lang w:eastAsia="sk-SK"/>
              </w:rPr>
            </w:pPr>
            <w:r w:rsidRPr="00850982">
              <w:rPr>
                <w:sz w:val="24"/>
                <w:szCs w:val="24"/>
                <w:lang w:eastAsia="sk-SK"/>
              </w:rPr>
              <w:t>V stĺpci (7):</w:t>
            </w:r>
          </w:p>
          <w:p w:rsidR="008C54C3" w:rsidRPr="00850982" w:rsidRDefault="008C54C3" w:rsidP="0059220A">
            <w:pPr>
              <w:autoSpaceDE/>
              <w:autoSpaceDN/>
              <w:ind w:left="290" w:hanging="290"/>
              <w:jc w:val="both"/>
            </w:pPr>
            <w:r w:rsidRPr="00850982">
              <w:t>Ú – úplná zhoda (ak bolo ustanovenie smernice prebraté v celom rozsahu, správne, v príslušnej form</w:t>
            </w:r>
            <w:r w:rsidR="00391DC5" w:rsidRPr="00850982">
              <w:t>e</w:t>
            </w:r>
            <w:r w:rsidRPr="00850982">
              <w:t>, so zabezpečenou inštitucionálnou</w:t>
            </w:r>
            <w:r w:rsidR="000C2E53" w:rsidRPr="00850982">
              <w:t xml:space="preserve"> </w:t>
            </w:r>
            <w:r w:rsidRPr="00850982">
              <w:t xml:space="preserve"> </w:t>
            </w:r>
            <w:r w:rsidR="000C2E53" w:rsidRPr="00850982">
              <w:t>i</w:t>
            </w:r>
            <w:r w:rsidRPr="00850982">
              <w:t>nfraštruktúrou, s príslušnými sankciami a vo vzájomnej súvislosti)</w:t>
            </w:r>
          </w:p>
          <w:p w:rsidR="008C54C3" w:rsidRPr="00850982" w:rsidRDefault="008C54C3" w:rsidP="0059220A">
            <w:pPr>
              <w:autoSpaceDE/>
              <w:autoSpaceDN/>
              <w:jc w:val="both"/>
            </w:pPr>
            <w:r w:rsidRPr="00850982">
              <w:t>Č – čiastočná zhoda (ak minimálne jedna z podmienok úplnej zhody nie je splnená)</w:t>
            </w:r>
          </w:p>
          <w:p w:rsidR="008C54C3" w:rsidRPr="00850982" w:rsidRDefault="008C54C3" w:rsidP="0059220A">
            <w:pPr>
              <w:pStyle w:val="Zarkazkladnhotextu2"/>
              <w:jc w:val="both"/>
              <w:rPr>
                <w:sz w:val="24"/>
                <w:szCs w:val="24"/>
              </w:rPr>
            </w:pPr>
            <w:r w:rsidRPr="00850982">
              <w:rPr>
                <w:sz w:val="24"/>
                <w:szCs w:val="24"/>
              </w:rPr>
              <w:t>Ž – žiadna zhoda (ak nebola dosiahnutá ani úplná ani čiast. zhoda alebo k prebratiu dôjde v budúcnosti)</w:t>
            </w:r>
          </w:p>
          <w:p w:rsidR="008C54C3" w:rsidRPr="00850982" w:rsidRDefault="008C54C3" w:rsidP="0059220A">
            <w:pPr>
              <w:autoSpaceDE/>
              <w:autoSpaceDN/>
              <w:ind w:left="290" w:hanging="290"/>
              <w:jc w:val="both"/>
            </w:pPr>
            <w:r w:rsidRPr="00850982">
              <w:t>n.a. – neaplikovateľnosť (ak sa ustanovenie smernice netýka SR alebo nie je potrebné ho prebrať)</w:t>
            </w:r>
          </w:p>
        </w:tc>
      </w:tr>
    </w:tbl>
    <w:p w:rsidR="008C54C3" w:rsidRPr="00850982" w:rsidRDefault="008C54C3" w:rsidP="0059220A">
      <w:pPr>
        <w:autoSpaceDE/>
        <w:autoSpaceDN/>
        <w:jc w:val="both"/>
      </w:pPr>
    </w:p>
    <w:p w:rsidR="008C54C3" w:rsidRPr="00850982" w:rsidRDefault="008C54C3" w:rsidP="0059220A">
      <w:pPr>
        <w:autoSpaceDE/>
        <w:autoSpaceDN/>
        <w:jc w:val="both"/>
      </w:pPr>
    </w:p>
    <w:p w:rsidR="008C54C3" w:rsidRPr="00850982" w:rsidRDefault="008C54C3" w:rsidP="0059220A">
      <w:pPr>
        <w:pStyle w:val="Hlavika"/>
        <w:tabs>
          <w:tab w:val="clear" w:pos="4536"/>
          <w:tab w:val="clear" w:pos="9072"/>
        </w:tabs>
        <w:autoSpaceDE/>
        <w:autoSpaceDN/>
        <w:jc w:val="both"/>
      </w:pPr>
    </w:p>
    <w:sectPr w:rsidR="008C54C3" w:rsidRPr="00850982">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32" w:rsidRDefault="00D15B32">
      <w:r>
        <w:separator/>
      </w:r>
    </w:p>
  </w:endnote>
  <w:endnote w:type="continuationSeparator" w:id="0">
    <w:p w:rsidR="00D15B32" w:rsidRDefault="00D1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6E" w:rsidRDefault="0024166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D7298">
      <w:rPr>
        <w:rStyle w:val="slostrany"/>
        <w:noProof/>
      </w:rPr>
      <w:t>2</w:t>
    </w:r>
    <w:r>
      <w:rPr>
        <w:rStyle w:val="slostrany"/>
      </w:rPr>
      <w:fldChar w:fldCharType="end"/>
    </w:r>
  </w:p>
  <w:p w:rsidR="0024166E" w:rsidRDefault="0024166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32" w:rsidRDefault="00D15B32">
      <w:r>
        <w:separator/>
      </w:r>
    </w:p>
  </w:footnote>
  <w:footnote w:type="continuationSeparator" w:id="0">
    <w:p w:rsidR="00D15B32" w:rsidRDefault="00D15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1475"/>
    <w:rsid w:val="00065B17"/>
    <w:rsid w:val="00096FA9"/>
    <w:rsid w:val="000B6DCF"/>
    <w:rsid w:val="000C2E53"/>
    <w:rsid w:val="000D4202"/>
    <w:rsid w:val="000D65B5"/>
    <w:rsid w:val="001119D8"/>
    <w:rsid w:val="00112055"/>
    <w:rsid w:val="00127033"/>
    <w:rsid w:val="00153B33"/>
    <w:rsid w:val="001677C8"/>
    <w:rsid w:val="00177E75"/>
    <w:rsid w:val="001D0799"/>
    <w:rsid w:val="001D46E5"/>
    <w:rsid w:val="001E2307"/>
    <w:rsid w:val="002076C2"/>
    <w:rsid w:val="00207C21"/>
    <w:rsid w:val="0024166E"/>
    <w:rsid w:val="002A4796"/>
    <w:rsid w:val="002C1B7F"/>
    <w:rsid w:val="002C6113"/>
    <w:rsid w:val="002E58DC"/>
    <w:rsid w:val="003209FE"/>
    <w:rsid w:val="00320BB4"/>
    <w:rsid w:val="00360E59"/>
    <w:rsid w:val="003909DD"/>
    <w:rsid w:val="0039125A"/>
    <w:rsid w:val="00391DC5"/>
    <w:rsid w:val="004124BA"/>
    <w:rsid w:val="00440A2A"/>
    <w:rsid w:val="00441141"/>
    <w:rsid w:val="004A0924"/>
    <w:rsid w:val="004B0D39"/>
    <w:rsid w:val="004C30BD"/>
    <w:rsid w:val="004F1ED2"/>
    <w:rsid w:val="005170A9"/>
    <w:rsid w:val="005221FF"/>
    <w:rsid w:val="00540191"/>
    <w:rsid w:val="00580537"/>
    <w:rsid w:val="0059220A"/>
    <w:rsid w:val="005947B8"/>
    <w:rsid w:val="00620CB5"/>
    <w:rsid w:val="0063048C"/>
    <w:rsid w:val="006D0721"/>
    <w:rsid w:val="006E2510"/>
    <w:rsid w:val="007070EE"/>
    <w:rsid w:val="00710B36"/>
    <w:rsid w:val="00735B26"/>
    <w:rsid w:val="007512B3"/>
    <w:rsid w:val="00767D38"/>
    <w:rsid w:val="0077264B"/>
    <w:rsid w:val="00784CDD"/>
    <w:rsid w:val="007866F2"/>
    <w:rsid w:val="007D7298"/>
    <w:rsid w:val="007F08BD"/>
    <w:rsid w:val="00802490"/>
    <w:rsid w:val="00850982"/>
    <w:rsid w:val="00871FBC"/>
    <w:rsid w:val="0087468B"/>
    <w:rsid w:val="008C54C3"/>
    <w:rsid w:val="008C586D"/>
    <w:rsid w:val="00942A29"/>
    <w:rsid w:val="00952DD2"/>
    <w:rsid w:val="00965C09"/>
    <w:rsid w:val="009943F0"/>
    <w:rsid w:val="0099556D"/>
    <w:rsid w:val="009E1828"/>
    <w:rsid w:val="00A00A8F"/>
    <w:rsid w:val="00A14BED"/>
    <w:rsid w:val="00A276DC"/>
    <w:rsid w:val="00A4454F"/>
    <w:rsid w:val="00A71535"/>
    <w:rsid w:val="00A832A0"/>
    <w:rsid w:val="00A87ED8"/>
    <w:rsid w:val="00A9063F"/>
    <w:rsid w:val="00AA2B25"/>
    <w:rsid w:val="00AC1A84"/>
    <w:rsid w:val="00AD10C0"/>
    <w:rsid w:val="00AD272D"/>
    <w:rsid w:val="00B94A38"/>
    <w:rsid w:val="00BA118C"/>
    <w:rsid w:val="00BE286F"/>
    <w:rsid w:val="00BE72D1"/>
    <w:rsid w:val="00C139A5"/>
    <w:rsid w:val="00C34EF5"/>
    <w:rsid w:val="00C35958"/>
    <w:rsid w:val="00C462DD"/>
    <w:rsid w:val="00C76E3C"/>
    <w:rsid w:val="00C96001"/>
    <w:rsid w:val="00CA0A08"/>
    <w:rsid w:val="00CB2E5D"/>
    <w:rsid w:val="00CB6D54"/>
    <w:rsid w:val="00CB7F1D"/>
    <w:rsid w:val="00CC0B25"/>
    <w:rsid w:val="00CC1335"/>
    <w:rsid w:val="00CC7379"/>
    <w:rsid w:val="00CD04CE"/>
    <w:rsid w:val="00CE71A6"/>
    <w:rsid w:val="00CF5160"/>
    <w:rsid w:val="00CF7C99"/>
    <w:rsid w:val="00D150CD"/>
    <w:rsid w:val="00D15B32"/>
    <w:rsid w:val="00D203E0"/>
    <w:rsid w:val="00D22479"/>
    <w:rsid w:val="00D90C4A"/>
    <w:rsid w:val="00D936D8"/>
    <w:rsid w:val="00DA0F6C"/>
    <w:rsid w:val="00DA4B71"/>
    <w:rsid w:val="00DC3361"/>
    <w:rsid w:val="00DE0F85"/>
    <w:rsid w:val="00DE3E93"/>
    <w:rsid w:val="00E0140F"/>
    <w:rsid w:val="00E07E66"/>
    <w:rsid w:val="00E127DD"/>
    <w:rsid w:val="00E527FC"/>
    <w:rsid w:val="00E762B4"/>
    <w:rsid w:val="00E900B0"/>
    <w:rsid w:val="00EB5033"/>
    <w:rsid w:val="00EC7AA0"/>
    <w:rsid w:val="00EE457D"/>
    <w:rsid w:val="00EE7DD6"/>
    <w:rsid w:val="00F41D40"/>
    <w:rsid w:val="00F663B7"/>
    <w:rsid w:val="00F91B34"/>
    <w:rsid w:val="00FA211D"/>
    <w:rsid w:val="00FB45E2"/>
    <w:rsid w:val="00FD6769"/>
    <w:rsid w:val="00FE7347"/>
    <w:rsid w:val="00FF1363"/>
    <w:rsid w:val="00FF79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ACB168EE-B360-4834-A7FA-39EB1658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pPr>
    <w:rPr>
      <w:color w:val="000000"/>
      <w:sz w:val="24"/>
      <w:szCs w:val="24"/>
    </w:rPr>
  </w:style>
  <w:style w:type="paragraph" w:customStyle="1" w:styleId="CM1">
    <w:name w:val="CM1"/>
    <w:basedOn w:val="Default"/>
    <w:next w:val="Default"/>
    <w:uiPriority w:val="99"/>
    <w:rsid w:val="00EC7AA0"/>
    <w:rPr>
      <w:rFonts w:cs="Times New Roman"/>
      <w:color w:val="auto"/>
    </w:rPr>
  </w:style>
  <w:style w:type="paragraph" w:customStyle="1" w:styleId="CM3">
    <w:name w:val="CM3"/>
    <w:basedOn w:val="Default"/>
    <w:next w:val="Default"/>
    <w:uiPriority w:val="99"/>
    <w:rsid w:val="00EC7AA0"/>
    <w:rPr>
      <w:rFonts w:cs="Times New Roman"/>
      <w:color w:val="auto"/>
    </w:rPr>
  </w:style>
  <w:style w:type="character" w:styleId="Zvraznenie">
    <w:name w:val="Emphasis"/>
    <w:uiPriority w:val="20"/>
    <w:qFormat/>
    <w:rsid w:val="0077264B"/>
    <w:rPr>
      <w:rFonts w:cs="Times New Roman"/>
      <w:i/>
      <w:iCs/>
    </w:rPr>
  </w:style>
  <w:style w:type="paragraph" w:styleId="Textbubliny">
    <w:name w:val="Balloon Text"/>
    <w:basedOn w:val="Normlny"/>
    <w:link w:val="TextbublinyChar"/>
    <w:uiPriority w:val="99"/>
    <w:rsid w:val="009E1828"/>
    <w:rPr>
      <w:rFonts w:ascii="Segoe UI" w:hAnsi="Segoe UI" w:cs="Segoe UI"/>
      <w:sz w:val="18"/>
      <w:szCs w:val="18"/>
    </w:rPr>
  </w:style>
  <w:style w:type="character" w:customStyle="1" w:styleId="TextbublinyChar">
    <w:name w:val="Text bubliny Char"/>
    <w:link w:val="Textbubliny"/>
    <w:uiPriority w:val="99"/>
    <w:locked/>
    <w:rsid w:val="009E1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34260">
      <w:marLeft w:val="0"/>
      <w:marRight w:val="0"/>
      <w:marTop w:val="0"/>
      <w:marBottom w:val="0"/>
      <w:divBdr>
        <w:top w:val="none" w:sz="0" w:space="0" w:color="auto"/>
        <w:left w:val="none" w:sz="0" w:space="0" w:color="auto"/>
        <w:bottom w:val="none" w:sz="0" w:space="0" w:color="auto"/>
        <w:right w:val="none" w:sz="0" w:space="0" w:color="auto"/>
      </w:divBdr>
      <w:divsChild>
        <w:div w:id="446434255">
          <w:marLeft w:val="0"/>
          <w:marRight w:val="0"/>
          <w:marTop w:val="0"/>
          <w:marBottom w:val="0"/>
          <w:divBdr>
            <w:top w:val="none" w:sz="0" w:space="0" w:color="auto"/>
            <w:left w:val="none" w:sz="0" w:space="0" w:color="auto"/>
            <w:bottom w:val="none" w:sz="0" w:space="0" w:color="auto"/>
            <w:right w:val="none" w:sz="0" w:space="0" w:color="auto"/>
          </w:divBdr>
          <w:divsChild>
            <w:div w:id="446434259">
              <w:marLeft w:val="0"/>
              <w:marRight w:val="0"/>
              <w:marTop w:val="0"/>
              <w:marBottom w:val="0"/>
              <w:divBdr>
                <w:top w:val="none" w:sz="0" w:space="0" w:color="auto"/>
                <w:left w:val="none" w:sz="0" w:space="0" w:color="auto"/>
                <w:bottom w:val="none" w:sz="0" w:space="0" w:color="auto"/>
                <w:right w:val="none" w:sz="0" w:space="0" w:color="auto"/>
              </w:divBdr>
              <w:divsChild>
                <w:div w:id="446434257">
                  <w:marLeft w:val="0"/>
                  <w:marRight w:val="0"/>
                  <w:marTop w:val="100"/>
                  <w:marBottom w:val="100"/>
                  <w:divBdr>
                    <w:top w:val="none" w:sz="0" w:space="0" w:color="auto"/>
                    <w:left w:val="none" w:sz="0" w:space="0" w:color="auto"/>
                    <w:bottom w:val="none" w:sz="0" w:space="0" w:color="auto"/>
                    <w:right w:val="none" w:sz="0" w:space="0" w:color="auto"/>
                  </w:divBdr>
                  <w:divsChild>
                    <w:div w:id="446434256">
                      <w:marLeft w:val="0"/>
                      <w:marRight w:val="0"/>
                      <w:marTop w:val="30"/>
                      <w:marBottom w:val="0"/>
                      <w:divBdr>
                        <w:top w:val="none" w:sz="0" w:space="0" w:color="auto"/>
                        <w:left w:val="none" w:sz="0" w:space="0" w:color="auto"/>
                        <w:bottom w:val="none" w:sz="0" w:space="0" w:color="auto"/>
                        <w:right w:val="none" w:sz="0" w:space="0" w:color="auto"/>
                      </w:divBdr>
                      <w:divsChild>
                        <w:div w:id="44643425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Abelova Monika</cp:lastModifiedBy>
  <cp:revision>2</cp:revision>
  <cp:lastPrinted>2020-07-16T11:21:00Z</cp:lastPrinted>
  <dcterms:created xsi:type="dcterms:W3CDTF">2020-08-14T07:19:00Z</dcterms:created>
  <dcterms:modified xsi:type="dcterms:W3CDTF">2020-08-14T07:19:00Z</dcterms:modified>
</cp:coreProperties>
</file>