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25" w:rsidRPr="007B0327" w:rsidRDefault="002E7825" w:rsidP="00945C7B">
      <w:pPr>
        <w:pStyle w:val="Default"/>
        <w:jc w:val="center"/>
        <w:rPr>
          <w:b/>
          <w:color w:val="auto"/>
        </w:rPr>
      </w:pPr>
      <w:r w:rsidRPr="007B0327">
        <w:rPr>
          <w:b/>
          <w:color w:val="auto"/>
        </w:rPr>
        <w:t>TABUĽKA ZHODY</w:t>
      </w:r>
    </w:p>
    <w:p w:rsidR="002E7825" w:rsidRPr="007B0327" w:rsidRDefault="002E7825" w:rsidP="00945C7B">
      <w:pPr>
        <w:pStyle w:val="Default"/>
        <w:jc w:val="center"/>
        <w:rPr>
          <w:b/>
          <w:color w:val="auto"/>
        </w:rPr>
      </w:pPr>
      <w:r w:rsidRPr="007B0327">
        <w:rPr>
          <w:b/>
          <w:color w:val="auto"/>
        </w:rPr>
        <w:t>Návrhu právneho predpisu s právom Európskej únie</w:t>
      </w:r>
    </w:p>
    <w:p w:rsidR="002E7825" w:rsidRPr="007B0327" w:rsidRDefault="002E7825" w:rsidP="00945C7B">
      <w:pPr>
        <w:pStyle w:val="Default"/>
        <w:rPr>
          <w:color w:val="auto"/>
        </w:rPr>
      </w:pPr>
    </w:p>
    <w:p w:rsidR="002E7825" w:rsidRPr="007B0327" w:rsidRDefault="002E7825" w:rsidP="00945C7B">
      <w:pPr>
        <w:pStyle w:val="Default"/>
        <w:jc w:val="right"/>
        <w:rPr>
          <w:color w:val="auto"/>
        </w:rPr>
      </w:pPr>
    </w:p>
    <w:tbl>
      <w:tblPr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6485"/>
        <w:gridCol w:w="461"/>
        <w:gridCol w:w="851"/>
        <w:gridCol w:w="708"/>
        <w:gridCol w:w="4926"/>
        <w:gridCol w:w="709"/>
        <w:gridCol w:w="744"/>
      </w:tblGrid>
      <w:tr w:rsidR="007B0327" w:rsidRPr="007B0327" w:rsidTr="002E7825">
        <w:trPr>
          <w:trHeight w:val="56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945C7B">
            <w:pPr>
              <w:pStyle w:val="Nadpis4"/>
              <w:jc w:val="left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Smernica</w:t>
            </w:r>
          </w:p>
          <w:p w:rsidR="002E7825" w:rsidRPr="007B0327" w:rsidRDefault="002E7825" w:rsidP="00945C7B">
            <w:pPr>
              <w:rPr>
                <w:sz w:val="20"/>
                <w:szCs w:val="20"/>
              </w:rPr>
            </w:pPr>
          </w:p>
          <w:p w:rsidR="002E7825" w:rsidRPr="007B0327" w:rsidRDefault="00497CCC" w:rsidP="00945C7B">
            <w:pPr>
              <w:pStyle w:val="Zkladntext3"/>
              <w:spacing w:line="240" w:lineRule="auto"/>
              <w:rPr>
                <w:sz w:val="20"/>
                <w:szCs w:val="20"/>
              </w:rPr>
            </w:pPr>
            <w:r w:rsidRPr="007B0327">
              <w:rPr>
                <w:rStyle w:val="Siln"/>
                <w:sz w:val="20"/>
                <w:szCs w:val="20"/>
                <w:lang w:eastAsia="en-US"/>
              </w:rPr>
              <w:t>Smernica Európskeho parlamentu a Rady (EÚ) 2019/2177 z 18. decembra 2019, ktorou sa mení smernica 2009/138/ES o začatí a vykonávaní poistenia a zaistenia (Solventnosť II), smernica 2014/65/EÚ o trhoch s finančnými nástrojmi a smernica (EÚ) 2015/849 o predchádzaní využívaniu finančného systému na účely prania špinavých peňazí alebo financovania terorizmu  (Text s významom pre EHP)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945C7B">
            <w:pPr>
              <w:pStyle w:val="Nadpis4"/>
              <w:jc w:val="left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Právne predpisy Slovenskej republiky</w:t>
            </w:r>
          </w:p>
          <w:p w:rsidR="002E7825" w:rsidRPr="007B0327" w:rsidRDefault="002E7825" w:rsidP="00945C7B">
            <w:pPr>
              <w:rPr>
                <w:sz w:val="20"/>
                <w:szCs w:val="20"/>
              </w:rPr>
            </w:pPr>
          </w:p>
          <w:p w:rsidR="002E7825" w:rsidRPr="007B0327" w:rsidRDefault="002E7825" w:rsidP="00945C7B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B0327">
              <w:rPr>
                <w:b/>
                <w:sz w:val="20"/>
                <w:szCs w:val="20"/>
              </w:rPr>
              <w:t xml:space="preserve">Návrh zákona, </w:t>
            </w:r>
            <w:r w:rsidRPr="007B0327">
              <w:rPr>
                <w:b/>
                <w:bCs/>
                <w:sz w:val="20"/>
                <w:szCs w:val="20"/>
              </w:rPr>
              <w:t>ktorým sa mení a dopĺňa zákon č. 483/2001 Z. z. o bankách a o zmene a doplnení niektorých</w:t>
            </w:r>
            <w:r w:rsidRPr="007B0327">
              <w:rPr>
                <w:bCs/>
                <w:sz w:val="20"/>
                <w:szCs w:val="20"/>
              </w:rPr>
              <w:t xml:space="preserve"> </w:t>
            </w:r>
            <w:r w:rsidRPr="007B0327">
              <w:rPr>
                <w:b/>
                <w:bCs/>
                <w:sz w:val="20"/>
                <w:szCs w:val="20"/>
              </w:rPr>
              <w:t>zákonov v znení neskorších predpisov a ktorým sa menia a dopĺňajú niektoré zákony (ďalej „návrh zákona“)</w:t>
            </w:r>
          </w:p>
          <w:p w:rsidR="00F24475" w:rsidRPr="007B0327" w:rsidRDefault="00F24475" w:rsidP="00945C7B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F24475" w:rsidRPr="007B0327" w:rsidRDefault="00F24475" w:rsidP="00945C7B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7B0327">
              <w:rPr>
                <w:bCs/>
                <w:sz w:val="20"/>
                <w:szCs w:val="20"/>
              </w:rPr>
              <w:t>Zákon č. 39/2015 Z. z. o poisťovníctve a o zmene a doplnení niektorých zákonov v znení neskorších predpisov (ďalej len „39/2015“)</w:t>
            </w:r>
          </w:p>
          <w:p w:rsidR="009E09FA" w:rsidRPr="007B0327" w:rsidRDefault="009E09FA" w:rsidP="00945C7B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9E09FA" w:rsidRPr="007B0327" w:rsidRDefault="009E09FA" w:rsidP="00945C7B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B0327">
              <w:rPr>
                <w:bCs/>
                <w:sz w:val="20"/>
                <w:szCs w:val="20"/>
                <w:shd w:val="clear" w:color="auto" w:fill="FFFFFF"/>
              </w:rPr>
              <w:t>Zákon č. 575/2001 Z. z. o organizácii činnosti vlády a organizácii ústrednej štátnej správy v znení neskorších predpisov (ďalej len „575/2001“)</w:t>
            </w:r>
          </w:p>
          <w:p w:rsidR="000651F3" w:rsidRPr="007B0327" w:rsidRDefault="000651F3" w:rsidP="00945C7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7B0327" w:rsidRPr="007B0327" w:rsidTr="002E782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953B17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Zkladntext2"/>
              <w:spacing w:line="240" w:lineRule="exact"/>
            </w:pPr>
            <w:r w:rsidRPr="007B0327"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Zkladntext2"/>
              <w:spacing w:line="240" w:lineRule="exact"/>
            </w:pPr>
            <w:r w:rsidRPr="007B032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2B00DC">
            <w:pPr>
              <w:jc w:val="center"/>
              <w:rPr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8</w:t>
            </w:r>
          </w:p>
        </w:tc>
      </w:tr>
      <w:tr w:rsidR="007B0327" w:rsidRPr="007B0327" w:rsidTr="002E782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Článok</w:t>
            </w:r>
          </w:p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(Č, O,</w:t>
            </w:r>
          </w:p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V, P)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Text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953B17">
            <w:pPr>
              <w:pStyle w:val="Normlny0"/>
              <w:jc w:val="center"/>
            </w:pPr>
            <w:r w:rsidRPr="007B0327"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A13C67">
            <w:pPr>
              <w:pStyle w:val="Normlny0"/>
              <w:jc w:val="center"/>
            </w:pPr>
            <w:r w:rsidRPr="007B0327"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Článok (Č, §, O, V, P)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Zhoda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7B0327" w:rsidRDefault="002E7825" w:rsidP="002B00DC">
            <w:pPr>
              <w:pStyle w:val="Normlny0"/>
              <w:jc w:val="center"/>
            </w:pPr>
            <w:r w:rsidRPr="007B0327">
              <w:t>Poznámky</w:t>
            </w:r>
          </w:p>
        </w:tc>
      </w:tr>
      <w:tr w:rsidR="007B0327" w:rsidRPr="007B0327" w:rsidTr="00B55DE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rPr>
                <w:sz w:val="20"/>
                <w:szCs w:val="22"/>
              </w:rPr>
            </w:pPr>
            <w:r w:rsidRPr="007B0327">
              <w:rPr>
                <w:sz w:val="20"/>
                <w:szCs w:val="22"/>
              </w:rPr>
              <w:t>Čl. 2</w:t>
            </w:r>
          </w:p>
          <w:p w:rsidR="00497CCC" w:rsidRPr="007B0327" w:rsidRDefault="00497CCC" w:rsidP="00497CCC">
            <w:pPr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 xml:space="preserve">Bod 1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Default"/>
              <w:rPr>
                <w:b/>
                <w:i/>
                <w:color w:val="auto"/>
                <w:sz w:val="20"/>
                <w:szCs w:val="22"/>
              </w:rPr>
            </w:pPr>
            <w:r w:rsidRPr="007B0327">
              <w:rPr>
                <w:b/>
                <w:i/>
                <w:color w:val="auto"/>
                <w:sz w:val="20"/>
                <w:szCs w:val="22"/>
              </w:rPr>
              <w:t>Článok 2</w:t>
            </w:r>
          </w:p>
          <w:p w:rsidR="00497CCC" w:rsidRPr="007B0327" w:rsidRDefault="00497CCC" w:rsidP="00497CCC">
            <w:pPr>
              <w:pStyle w:val="Default"/>
              <w:rPr>
                <w:b/>
                <w:color w:val="auto"/>
                <w:sz w:val="20"/>
                <w:szCs w:val="22"/>
              </w:rPr>
            </w:pPr>
            <w:r w:rsidRPr="007B0327">
              <w:rPr>
                <w:b/>
                <w:color w:val="auto"/>
                <w:sz w:val="20"/>
                <w:szCs w:val="22"/>
              </w:rPr>
              <w:t>Zmeny smernice 2009/138/ES</w:t>
            </w:r>
          </w:p>
          <w:p w:rsidR="00497CCC" w:rsidRPr="007B0327" w:rsidRDefault="00497CCC" w:rsidP="00497CCC">
            <w:pPr>
              <w:pStyle w:val="Default"/>
              <w:rPr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Default"/>
              <w:rPr>
                <w:color w:val="auto"/>
                <w:sz w:val="20"/>
                <w:szCs w:val="22"/>
              </w:rPr>
            </w:pPr>
            <w:r w:rsidRPr="007B0327">
              <w:rPr>
                <w:color w:val="auto"/>
                <w:sz w:val="20"/>
                <w:szCs w:val="22"/>
              </w:rPr>
              <w:t>Smernica 2009/138/ES sa mení takto:</w:t>
            </w:r>
          </w:p>
          <w:p w:rsidR="00497CCC" w:rsidRPr="007B0327" w:rsidRDefault="00497CCC" w:rsidP="00497CCC">
            <w:pPr>
              <w:pStyle w:val="Default"/>
              <w:rPr>
                <w:color w:val="auto"/>
                <w:sz w:val="20"/>
                <w:szCs w:val="22"/>
              </w:rPr>
            </w:pPr>
            <w:r w:rsidRPr="007B0327">
              <w:rPr>
                <w:color w:val="auto"/>
                <w:sz w:val="20"/>
                <w:szCs w:val="22"/>
              </w:rPr>
              <w:t>1. V článku 77d ods. 4 sa prvá veta nahrádza takto:</w:t>
            </w:r>
          </w:p>
          <w:p w:rsidR="00921D3E" w:rsidRPr="007B0327" w:rsidRDefault="00921D3E" w:rsidP="00497CCC">
            <w:pPr>
              <w:pStyle w:val="Default"/>
              <w:rPr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norm2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„Pre každú príslušnú krajinu sa korekcia volatility bezrizikových úrokových mier uvedená v odseku 3 pre menu danej krajiny pred uplatnením faktora 65 % zvýši o rozdiel medzi rizikovo upravenou prirážkou krajiny a dvojnásobkom rizikovo upravenej prirážky meny vždy, keď je tento rozdiel kladný a rizikovo upravená prirážka krajiny je vyššia ako 85 bázických bodov.“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542CEF" w:rsidRPr="007B0327" w:rsidRDefault="00542CEF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b/>
                <w:sz w:val="20"/>
                <w:szCs w:val="22"/>
              </w:rPr>
            </w:pPr>
          </w:p>
          <w:p w:rsidR="00542CEF" w:rsidRPr="007B0327" w:rsidRDefault="00542CEF" w:rsidP="00497CCC">
            <w:pPr>
              <w:jc w:val="center"/>
              <w:rPr>
                <w:b/>
                <w:sz w:val="20"/>
                <w:szCs w:val="22"/>
              </w:rPr>
            </w:pPr>
          </w:p>
          <w:p w:rsidR="00C83651" w:rsidRPr="007B0327" w:rsidRDefault="00C83651" w:rsidP="00497CCC">
            <w:pPr>
              <w:jc w:val="center"/>
              <w:rPr>
                <w:sz w:val="20"/>
                <w:szCs w:val="22"/>
              </w:rPr>
            </w:pPr>
            <w:r w:rsidRPr="007B0327">
              <w:rPr>
                <w:sz w:val="20"/>
                <w:szCs w:val="22"/>
              </w:rPr>
              <w:t>39/2015 a</w:t>
            </w:r>
          </w:p>
          <w:p w:rsidR="00497CCC" w:rsidRPr="007B0327" w:rsidRDefault="00C83651" w:rsidP="00497CCC">
            <w:pPr>
              <w:jc w:val="center"/>
              <w:rPr>
                <w:b/>
                <w:sz w:val="20"/>
                <w:szCs w:val="22"/>
              </w:rPr>
            </w:pPr>
            <w:r w:rsidRPr="007B0327">
              <w:rPr>
                <w:b/>
                <w:sz w:val="20"/>
                <w:szCs w:val="22"/>
              </w:rPr>
              <w:t>n</w:t>
            </w:r>
            <w:r w:rsidR="00497CCC" w:rsidRPr="007B0327">
              <w:rPr>
                <w:b/>
                <w:sz w:val="20"/>
                <w:szCs w:val="22"/>
              </w:rPr>
              <w:t>ávrh zákona</w:t>
            </w:r>
          </w:p>
          <w:p w:rsidR="00762B93" w:rsidRPr="007B0327" w:rsidRDefault="00762B93" w:rsidP="00497CCC">
            <w:pPr>
              <w:jc w:val="center"/>
              <w:rPr>
                <w:b/>
                <w:sz w:val="20"/>
                <w:szCs w:val="22"/>
              </w:rPr>
            </w:pPr>
            <w:r w:rsidRPr="007B0327">
              <w:rPr>
                <w:b/>
                <w:sz w:val="20"/>
                <w:szCs w:val="22"/>
              </w:rPr>
              <w:t>čl. V</w:t>
            </w:r>
          </w:p>
          <w:p w:rsidR="00762B93" w:rsidRPr="007B0327" w:rsidRDefault="00762B93" w:rsidP="00497CCC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b/>
                <w:sz w:val="20"/>
                <w:szCs w:val="22"/>
              </w:rPr>
              <w:t>bod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Normlny0"/>
              <w:rPr>
                <w:szCs w:val="22"/>
              </w:rPr>
            </w:pPr>
          </w:p>
          <w:p w:rsidR="00542CEF" w:rsidRPr="007B0327" w:rsidRDefault="00542CEF" w:rsidP="00497CCC">
            <w:pPr>
              <w:pStyle w:val="Normlny0"/>
              <w:rPr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rPr>
                <w:szCs w:val="22"/>
              </w:rPr>
            </w:pPr>
          </w:p>
          <w:p w:rsidR="00497CCC" w:rsidRPr="007B0327" w:rsidRDefault="00762B93" w:rsidP="00762B93">
            <w:pPr>
              <w:pStyle w:val="Normlny0"/>
              <w:jc w:val="center"/>
              <w:rPr>
                <w:szCs w:val="22"/>
              </w:rPr>
            </w:pPr>
            <w:r w:rsidRPr="007B0327">
              <w:rPr>
                <w:szCs w:val="22"/>
              </w:rPr>
              <w:t>§ 42 O</w:t>
            </w:r>
            <w:r w:rsidR="00C83651" w:rsidRPr="007B0327">
              <w:rPr>
                <w:szCs w:val="22"/>
              </w:rPr>
              <w:t> </w:t>
            </w:r>
            <w:r w:rsidRPr="007B0327">
              <w:rPr>
                <w:szCs w:val="22"/>
              </w:rPr>
              <w:t>5</w:t>
            </w:r>
          </w:p>
          <w:p w:rsidR="00C83651" w:rsidRPr="007B0327" w:rsidRDefault="00C83651" w:rsidP="00762B93">
            <w:pPr>
              <w:pStyle w:val="Normlny0"/>
              <w:jc w:val="center"/>
              <w:rPr>
                <w:b/>
              </w:rPr>
            </w:pPr>
            <w:r w:rsidRPr="007B0327">
              <w:rPr>
                <w:szCs w:val="22"/>
              </w:rPr>
              <w:t>V 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Normlny0"/>
              <w:jc w:val="both"/>
              <w:rPr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szCs w:val="22"/>
              </w:rPr>
            </w:pPr>
          </w:p>
          <w:p w:rsidR="00542CEF" w:rsidRPr="007B0327" w:rsidRDefault="00542CEF" w:rsidP="00497CCC">
            <w:pPr>
              <w:pStyle w:val="Normlny0"/>
              <w:jc w:val="both"/>
              <w:rPr>
                <w:szCs w:val="22"/>
              </w:rPr>
            </w:pPr>
          </w:p>
          <w:p w:rsidR="00497CCC" w:rsidRPr="007B0327" w:rsidRDefault="00C83651" w:rsidP="00C83651">
            <w:pPr>
              <w:jc w:val="both"/>
              <w:rPr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 xml:space="preserve">Ak rozdiel medzi rizikovo upravenou kreditnou prirážkou štátu a dvojnásobkom rizikovo upravenej kreditnej prirážky meny je kladný a rizikovo upravená prirážka štátu je vyššia ako </w:t>
            </w:r>
            <w:r w:rsidRPr="007B0327">
              <w:rPr>
                <w:b/>
                <w:sz w:val="20"/>
                <w:szCs w:val="22"/>
              </w:rPr>
              <w:t>85</w:t>
            </w:r>
            <w:r w:rsidRPr="007B0327">
              <w:rPr>
                <w:sz w:val="20"/>
                <w:szCs w:val="22"/>
              </w:rPr>
              <w:t xml:space="preserve"> bázických bodov, potom korekcia volatility podľa odseku 4 pre daný štát sa pred uplatnením faktora 65% zvýši o rozdiel medzi rizikovo upravenou prirážkou štátu a dvojnásobkom rizikovo upravenej prirážky meny.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542CEF" w:rsidRPr="007B0327" w:rsidRDefault="00542CEF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pStyle w:val="Nadpis1"/>
              <w:rPr>
                <w:b w:val="0"/>
                <w:bCs w:val="0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B0327" w:rsidRPr="007B0327" w:rsidTr="00B55DE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Čl. 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Default"/>
              <w:rPr>
                <w:b/>
                <w:i/>
                <w:color w:val="auto"/>
                <w:sz w:val="20"/>
                <w:szCs w:val="22"/>
              </w:rPr>
            </w:pPr>
            <w:r w:rsidRPr="007B0327">
              <w:rPr>
                <w:b/>
                <w:i/>
                <w:color w:val="auto"/>
                <w:sz w:val="20"/>
                <w:szCs w:val="22"/>
              </w:rPr>
              <w:t>Článok 4</w:t>
            </w:r>
          </w:p>
          <w:p w:rsidR="00497CCC" w:rsidRPr="007B0327" w:rsidRDefault="00497CCC" w:rsidP="00497CCC">
            <w:pPr>
              <w:pStyle w:val="Default"/>
              <w:rPr>
                <w:b/>
                <w:color w:val="auto"/>
                <w:sz w:val="20"/>
                <w:szCs w:val="22"/>
              </w:rPr>
            </w:pPr>
            <w:r w:rsidRPr="007B0327">
              <w:rPr>
                <w:b/>
                <w:color w:val="auto"/>
                <w:sz w:val="20"/>
                <w:szCs w:val="22"/>
              </w:rPr>
              <w:t>Transpozícia</w:t>
            </w:r>
          </w:p>
          <w:p w:rsidR="00497CCC" w:rsidRPr="007B0327" w:rsidRDefault="00497CCC" w:rsidP="00497CCC">
            <w:pPr>
              <w:pStyle w:val="Default"/>
              <w:rPr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 w:rsidRPr="007B0327">
              <w:rPr>
                <w:color w:val="auto"/>
                <w:sz w:val="20"/>
                <w:szCs w:val="22"/>
              </w:rPr>
              <w:t>1. Členské štáty prijmú a uverejnia zákony, iné právne predpisy a správne opatrenia potrebné na dosiahnutie súladu s touto smernicou do 30. júna 2021. Komisii bezodkladne oznámia hlavné ustanovenia vnútroštátnych právnych predpisov, ktoré prijmú v oblasti pôsobnosti tejto smernice.</w:t>
            </w:r>
          </w:p>
          <w:p w:rsidR="00497CCC" w:rsidRPr="007B0327" w:rsidRDefault="00497CCC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  <w:p w:rsidR="00004069" w:rsidRPr="007B0327" w:rsidRDefault="00004069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  <w:p w:rsidR="00004069" w:rsidRPr="007B0327" w:rsidRDefault="00004069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 w:rsidRPr="007B0327">
              <w:rPr>
                <w:color w:val="auto"/>
                <w:sz w:val="20"/>
                <w:szCs w:val="22"/>
              </w:rPr>
              <w:t>2. Členské štáty prijmú a uverejnia zákony, iné právne predpisy a správne opatrenia potrebné na dosiahnutie súladu s článkom 2 bodom 1 tejto smernice do 30. júna 2020. Komisii bezodkladne oznámia hlavné ustanovenia vnútroštátnych právnych predpisov, ktoré prijmú v oblasti pôsobnosti tejto smernice.</w:t>
            </w:r>
          </w:p>
          <w:p w:rsidR="00497CCC" w:rsidRPr="007B0327" w:rsidRDefault="00497CCC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 w:rsidRPr="007B0327">
              <w:rPr>
                <w:color w:val="auto"/>
                <w:sz w:val="20"/>
                <w:szCs w:val="22"/>
              </w:rPr>
              <w:t>3. Členské štáty uplatnia opatrenia v súvislosti s článkom 1 od 1. januára 2022 a opatrenia v súvislosti s článkami 2 a 3 od 30. júna 2021. Členské štáty uplatnia opatrenia v súvislosti s článkom 2 bodom 1 do 1. júla 2020.</w:t>
            </w:r>
          </w:p>
          <w:p w:rsidR="00497CCC" w:rsidRPr="007B0327" w:rsidRDefault="00497CCC" w:rsidP="00497CCC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4. Členské štáty uvedú priamo v prijatých ustanoveniach alebo pri ich úradnom uverejnení odkaz na túto smernicu. Podrobnosti o odkaze upravia členské štáty.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004069" w:rsidRPr="007B0327" w:rsidRDefault="00004069" w:rsidP="00497CCC">
            <w:pPr>
              <w:jc w:val="center"/>
              <w:rPr>
                <w:sz w:val="20"/>
                <w:szCs w:val="22"/>
              </w:rPr>
            </w:pPr>
          </w:p>
          <w:p w:rsidR="00004069" w:rsidRPr="007B0327" w:rsidRDefault="00004069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  <w:r w:rsidRPr="007B0327">
              <w:rPr>
                <w:sz w:val="20"/>
                <w:szCs w:val="22"/>
              </w:rPr>
              <w:t>N</w:t>
            </w: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004069" w:rsidRPr="007B0327" w:rsidRDefault="00004069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004069" w:rsidRPr="007B0327" w:rsidRDefault="00004069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  <w:r w:rsidRPr="007B0327">
              <w:rPr>
                <w:b/>
                <w:sz w:val="20"/>
                <w:szCs w:val="22"/>
              </w:rPr>
              <w:t>Návrh zákona</w:t>
            </w: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497CCC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762B93" w:rsidRPr="007B0327" w:rsidRDefault="00762B93" w:rsidP="00F0085E">
            <w:pPr>
              <w:jc w:val="center"/>
              <w:rPr>
                <w:sz w:val="20"/>
                <w:szCs w:val="22"/>
              </w:rPr>
            </w:pPr>
            <w:r w:rsidRPr="007B0327">
              <w:rPr>
                <w:sz w:val="20"/>
                <w:szCs w:val="22"/>
              </w:rPr>
              <w:t>39/2015</w:t>
            </w:r>
          </w:p>
          <w:p w:rsidR="00762B93" w:rsidRPr="007B0327" w:rsidRDefault="00762B93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762B93" w:rsidRPr="007B0327" w:rsidRDefault="00762B93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497CCC" w:rsidRPr="007B0327" w:rsidRDefault="00762B93" w:rsidP="00F0085E">
            <w:pPr>
              <w:jc w:val="center"/>
              <w:rPr>
                <w:b/>
                <w:sz w:val="20"/>
                <w:szCs w:val="22"/>
              </w:rPr>
            </w:pPr>
            <w:r w:rsidRPr="007B0327">
              <w:rPr>
                <w:sz w:val="20"/>
                <w:szCs w:val="22"/>
              </w:rPr>
              <w:t>39/2015 a</w:t>
            </w:r>
            <w:r w:rsidRPr="007B0327">
              <w:rPr>
                <w:b/>
                <w:sz w:val="20"/>
                <w:szCs w:val="22"/>
              </w:rPr>
              <w:t xml:space="preserve"> n</w:t>
            </w:r>
            <w:r w:rsidR="00497CCC" w:rsidRPr="007B0327">
              <w:rPr>
                <w:b/>
                <w:sz w:val="20"/>
                <w:szCs w:val="22"/>
              </w:rPr>
              <w:t>ávrh zákona</w:t>
            </w:r>
          </w:p>
          <w:p w:rsidR="00762B93" w:rsidRPr="007B0327" w:rsidRDefault="00762B93" w:rsidP="00F0085E">
            <w:pPr>
              <w:jc w:val="center"/>
              <w:rPr>
                <w:b/>
                <w:sz w:val="20"/>
                <w:szCs w:val="22"/>
              </w:rPr>
            </w:pPr>
            <w:r w:rsidRPr="007B0327">
              <w:rPr>
                <w:b/>
                <w:sz w:val="20"/>
                <w:szCs w:val="22"/>
              </w:rPr>
              <w:t>Čl. V</w:t>
            </w: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2"/>
              </w:rPr>
            </w:pPr>
          </w:p>
          <w:p w:rsidR="009E09FA" w:rsidRPr="007B0327" w:rsidRDefault="009E09FA" w:rsidP="00F0085E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575/2001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004069" w:rsidRPr="007B0327" w:rsidRDefault="00004069" w:rsidP="00F0085E">
            <w:pPr>
              <w:pStyle w:val="Normlny0"/>
              <w:jc w:val="center"/>
              <w:rPr>
                <w:szCs w:val="22"/>
              </w:rPr>
            </w:pPr>
          </w:p>
          <w:p w:rsidR="00004069" w:rsidRPr="007B0327" w:rsidRDefault="00004069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D0520E" w:rsidP="00F0085E">
            <w:pPr>
              <w:pStyle w:val="Normlny0"/>
              <w:jc w:val="center"/>
              <w:rPr>
                <w:b/>
                <w:szCs w:val="22"/>
              </w:rPr>
            </w:pPr>
            <w:r w:rsidRPr="007B0327">
              <w:rPr>
                <w:b/>
                <w:szCs w:val="22"/>
              </w:rPr>
              <w:t xml:space="preserve">Čl. </w:t>
            </w:r>
            <w:r w:rsidR="00542CEF" w:rsidRPr="007B0327">
              <w:rPr>
                <w:b/>
                <w:szCs w:val="22"/>
              </w:rPr>
              <w:t>V</w:t>
            </w:r>
            <w:r w:rsidR="003F5229" w:rsidRPr="007B0327">
              <w:rPr>
                <w:b/>
                <w:szCs w:val="22"/>
              </w:rPr>
              <w:t>I</w:t>
            </w: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497CCC" w:rsidRPr="007B0327" w:rsidRDefault="00497CCC" w:rsidP="00F0085E">
            <w:pPr>
              <w:pStyle w:val="Normlny0"/>
              <w:jc w:val="center"/>
              <w:rPr>
                <w:szCs w:val="22"/>
              </w:rPr>
            </w:pPr>
          </w:p>
          <w:p w:rsidR="00762B93" w:rsidRPr="007B0327" w:rsidRDefault="00762B93" w:rsidP="00F0085E">
            <w:pPr>
              <w:pStyle w:val="Normlny0"/>
              <w:jc w:val="center"/>
              <w:rPr>
                <w:szCs w:val="22"/>
              </w:rPr>
            </w:pPr>
            <w:r w:rsidRPr="007B0327">
              <w:rPr>
                <w:szCs w:val="22"/>
              </w:rPr>
              <w:t>§ 206</w:t>
            </w:r>
          </w:p>
          <w:p w:rsidR="00762B93" w:rsidRPr="007B0327" w:rsidRDefault="00762B93" w:rsidP="00F0085E">
            <w:pPr>
              <w:pStyle w:val="Normlny0"/>
              <w:jc w:val="center"/>
              <w:rPr>
                <w:szCs w:val="22"/>
              </w:rPr>
            </w:pPr>
          </w:p>
          <w:p w:rsidR="00762B93" w:rsidRPr="007B0327" w:rsidRDefault="00762B93" w:rsidP="00F0085E">
            <w:pPr>
              <w:pStyle w:val="Normlny0"/>
              <w:jc w:val="center"/>
              <w:rPr>
                <w:szCs w:val="22"/>
              </w:rPr>
            </w:pPr>
          </w:p>
          <w:p w:rsidR="00762B93" w:rsidRPr="007B0327" w:rsidRDefault="00762B93" w:rsidP="00F0085E">
            <w:pPr>
              <w:pStyle w:val="Normlny0"/>
              <w:jc w:val="center"/>
              <w:rPr>
                <w:szCs w:val="22"/>
              </w:rPr>
            </w:pPr>
            <w:r w:rsidRPr="007B0327">
              <w:rPr>
                <w:szCs w:val="22"/>
              </w:rPr>
              <w:t>Príloha</w:t>
            </w:r>
          </w:p>
          <w:p w:rsidR="00F0085E" w:rsidRPr="007B0327" w:rsidRDefault="00F0085E" w:rsidP="00F0085E">
            <w:pPr>
              <w:pStyle w:val="Normlny0"/>
              <w:jc w:val="center"/>
              <w:rPr>
                <w:szCs w:val="22"/>
              </w:rPr>
            </w:pPr>
            <w:r w:rsidRPr="007B0327">
              <w:rPr>
                <w:szCs w:val="22"/>
              </w:rPr>
              <w:t xml:space="preserve">č. </w:t>
            </w:r>
            <w:r w:rsidR="00762B93" w:rsidRPr="007B0327">
              <w:rPr>
                <w:szCs w:val="22"/>
              </w:rPr>
              <w:t xml:space="preserve">2 </w:t>
            </w:r>
          </w:p>
          <w:p w:rsidR="00762B93" w:rsidRPr="007B0327" w:rsidRDefault="00762B93" w:rsidP="00F0085E">
            <w:pPr>
              <w:pStyle w:val="Normlny0"/>
              <w:jc w:val="center"/>
              <w:rPr>
                <w:szCs w:val="22"/>
              </w:rPr>
            </w:pPr>
            <w:r w:rsidRPr="007B0327">
              <w:rPr>
                <w:b/>
                <w:szCs w:val="22"/>
              </w:rPr>
              <w:t>bod 7</w:t>
            </w:r>
            <w:r w:rsidR="00F0085E" w:rsidRPr="007B0327">
              <w:rPr>
                <w:b/>
                <w:szCs w:val="22"/>
              </w:rPr>
              <w:t xml:space="preserve"> </w:t>
            </w:r>
          </w:p>
          <w:p w:rsidR="00497CCC" w:rsidRPr="007B0327" w:rsidRDefault="00497CCC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F0085E">
            <w:pPr>
              <w:pStyle w:val="Normlny0"/>
              <w:jc w:val="center"/>
              <w:rPr>
                <w:b/>
              </w:rPr>
            </w:pPr>
          </w:p>
          <w:p w:rsidR="009E09FA" w:rsidRPr="007B0327" w:rsidRDefault="009E09FA" w:rsidP="009E09FA">
            <w:pPr>
              <w:pStyle w:val="Normlny0"/>
              <w:jc w:val="center"/>
              <w:rPr>
                <w:b/>
              </w:rPr>
            </w:pPr>
            <w:r w:rsidRPr="007B0327">
              <w:t>§ 35 O 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004069" w:rsidRPr="007B0327" w:rsidRDefault="00004069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004069" w:rsidRPr="007B0327" w:rsidRDefault="00004069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3D5C31" w:rsidRPr="007B0327" w:rsidRDefault="003D5C31" w:rsidP="003D5C31">
            <w:pPr>
              <w:pStyle w:val="Normlny0"/>
              <w:rPr>
                <w:b/>
              </w:rPr>
            </w:pPr>
            <w:r w:rsidRPr="007B0327">
              <w:rPr>
                <w:b/>
              </w:rPr>
              <w:t>Tento zákon nadobúda účinnosť dňom vyhlásenia, okrem čl. I bodov 1 až 38, 42 až 58, 61 až 117, § 122yd v bode 118, bodov 119 a 120, čl. II a IV, ktoré nadobúdajú účinnosť 29. decembra 2020, čl. I bodov 39 až 41, ktoré nadobúdajú účinnosť 28. júna 2021, a čl. I bodov 59 a 60, ktoré nadobúdajú účinnosť 1. januára 2022.</w:t>
            </w:r>
          </w:p>
          <w:p w:rsidR="00497CCC" w:rsidRPr="007B0327" w:rsidRDefault="00497CCC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27C4B" w:rsidRPr="007B0327" w:rsidRDefault="00427C4B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762B93" w:rsidRPr="007B0327" w:rsidRDefault="00762B93" w:rsidP="00497CCC">
            <w:pPr>
              <w:pStyle w:val="Normlny0"/>
              <w:jc w:val="both"/>
              <w:rPr>
                <w:szCs w:val="22"/>
              </w:rPr>
            </w:pPr>
            <w:r w:rsidRPr="007B0327">
              <w:rPr>
                <w:szCs w:val="22"/>
              </w:rPr>
              <w:t>Týmto zákonom sa preberajú právne záväzné akty Európskej únie uvedené v prílohe č. 2.</w:t>
            </w:r>
          </w:p>
          <w:p w:rsidR="00762B93" w:rsidRPr="007B0327" w:rsidRDefault="00762B93" w:rsidP="00497CCC">
            <w:pPr>
              <w:pStyle w:val="Normlny0"/>
              <w:jc w:val="both"/>
              <w:rPr>
                <w:b/>
                <w:szCs w:val="22"/>
              </w:rPr>
            </w:pPr>
          </w:p>
          <w:p w:rsidR="00497CCC" w:rsidRPr="007B0327" w:rsidRDefault="00497CCC" w:rsidP="00427C4B">
            <w:pPr>
              <w:adjustRightInd w:val="0"/>
              <w:rPr>
                <w:b/>
                <w:sz w:val="20"/>
                <w:szCs w:val="22"/>
              </w:rPr>
            </w:pPr>
            <w:r w:rsidRPr="007B0327">
              <w:rPr>
                <w:b/>
                <w:sz w:val="20"/>
                <w:szCs w:val="22"/>
              </w:rPr>
              <w:t>7. Smernica Európskeho parlamentu a Rady (EÚ) 2019/2177 z 18. decembra 2019, ktorou sa mení smernica 2009/138/ES o začatí a vykonávaní poistenia a zaistenia (Solventnosť II), smernica 2014/65/EÚ o trhoch s finančnými nástrojmi a smernica (EÚ) 2015/849 o predchádzaní využívaniu finančného systému na účely prania špinavých peňazí alebo financovania terorizm</w:t>
            </w:r>
            <w:r w:rsidR="00F24475" w:rsidRPr="007B0327">
              <w:rPr>
                <w:b/>
                <w:sz w:val="20"/>
                <w:szCs w:val="22"/>
              </w:rPr>
              <w:t>u (Ú. v. EÚ L 334, 27.12.2019).</w:t>
            </w:r>
          </w:p>
          <w:p w:rsidR="009E09FA" w:rsidRPr="007B0327" w:rsidRDefault="009E09FA" w:rsidP="00F24475">
            <w:pPr>
              <w:adjustRightInd w:val="0"/>
              <w:jc w:val="both"/>
              <w:rPr>
                <w:b/>
                <w:sz w:val="20"/>
                <w:szCs w:val="22"/>
              </w:rPr>
            </w:pPr>
          </w:p>
          <w:p w:rsidR="009E09FA" w:rsidRPr="007B0327" w:rsidRDefault="009E09FA" w:rsidP="00004069">
            <w:pPr>
              <w:adjustRightInd w:val="0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004069" w:rsidRPr="007B0327" w:rsidRDefault="00004069" w:rsidP="00497CCC">
            <w:pPr>
              <w:jc w:val="center"/>
              <w:rPr>
                <w:sz w:val="20"/>
                <w:szCs w:val="22"/>
              </w:rPr>
            </w:pPr>
          </w:p>
          <w:p w:rsidR="00004069" w:rsidRPr="007B0327" w:rsidRDefault="00004069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sz w:val="20"/>
                <w:szCs w:val="22"/>
              </w:rPr>
            </w:pPr>
          </w:p>
          <w:p w:rsidR="00497CCC" w:rsidRPr="007B0327" w:rsidRDefault="00497CCC" w:rsidP="00497CCC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  <w:r w:rsidRPr="007B0327">
              <w:rPr>
                <w:b w:val="0"/>
                <w:bCs w:val="0"/>
                <w:sz w:val="20"/>
                <w:szCs w:val="22"/>
              </w:rPr>
              <w:lastRenderedPageBreak/>
              <w:t xml:space="preserve">Ostatné články smernice budú predmetom osobitnej novely. </w:t>
            </w:r>
          </w:p>
        </w:tc>
      </w:tr>
      <w:tr w:rsidR="007B0327" w:rsidRPr="007B0327" w:rsidTr="006065C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rPr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Čl. 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Default"/>
              <w:rPr>
                <w:b/>
                <w:i/>
                <w:color w:val="auto"/>
                <w:sz w:val="20"/>
                <w:szCs w:val="22"/>
              </w:rPr>
            </w:pPr>
            <w:r w:rsidRPr="007B0327">
              <w:rPr>
                <w:b/>
                <w:i/>
                <w:color w:val="auto"/>
                <w:sz w:val="20"/>
                <w:szCs w:val="22"/>
              </w:rPr>
              <w:t>Článok 5</w:t>
            </w:r>
          </w:p>
          <w:p w:rsidR="00497CCC" w:rsidRPr="007B0327" w:rsidRDefault="00497CCC" w:rsidP="00497CCC">
            <w:pPr>
              <w:pStyle w:val="Default"/>
              <w:rPr>
                <w:b/>
                <w:color w:val="auto"/>
                <w:sz w:val="20"/>
                <w:szCs w:val="22"/>
              </w:rPr>
            </w:pPr>
            <w:r w:rsidRPr="007B0327">
              <w:rPr>
                <w:b/>
                <w:color w:val="auto"/>
                <w:sz w:val="20"/>
                <w:szCs w:val="22"/>
              </w:rPr>
              <w:t>Nadobudnutie účinnosti</w:t>
            </w:r>
          </w:p>
          <w:p w:rsidR="00497CCC" w:rsidRPr="007B0327" w:rsidRDefault="00497CCC" w:rsidP="00497CCC">
            <w:pPr>
              <w:pStyle w:val="Default"/>
              <w:rPr>
                <w:b/>
                <w:color w:val="auto"/>
                <w:sz w:val="20"/>
                <w:szCs w:val="22"/>
              </w:rPr>
            </w:pPr>
          </w:p>
          <w:p w:rsidR="00497CCC" w:rsidRPr="007B0327" w:rsidRDefault="00497CCC" w:rsidP="00497CCC">
            <w:pPr>
              <w:pStyle w:val="norm2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Táto smernica nadobúda účinnosť tretím dňom po jej uverejnení v Úradnom vestníku Európskej únie.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Normlny0"/>
              <w:rPr>
                <w:b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pStyle w:val="Normlny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C" w:rsidRPr="007B0327" w:rsidRDefault="00497CCC" w:rsidP="00497CCC">
            <w:pPr>
              <w:jc w:val="center"/>
              <w:rPr>
                <w:b/>
                <w:sz w:val="20"/>
                <w:szCs w:val="20"/>
              </w:rPr>
            </w:pPr>
            <w:r w:rsidRPr="007B0327">
              <w:rPr>
                <w:sz w:val="20"/>
                <w:szCs w:val="22"/>
              </w:rPr>
              <w:t>n.a.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CCC" w:rsidRPr="007B0327" w:rsidRDefault="00497CCC" w:rsidP="00497CCC">
            <w:pPr>
              <w:pStyle w:val="Nadpis1"/>
              <w:rPr>
                <w:bCs w:val="0"/>
                <w:sz w:val="20"/>
                <w:szCs w:val="20"/>
              </w:rPr>
            </w:pPr>
          </w:p>
        </w:tc>
      </w:tr>
    </w:tbl>
    <w:p w:rsidR="00A97A37" w:rsidRPr="007B0327" w:rsidRDefault="00A97A37" w:rsidP="002E7825">
      <w:pPr>
        <w:pStyle w:val="Default"/>
        <w:rPr>
          <w:color w:val="auto"/>
        </w:rPr>
      </w:pPr>
    </w:p>
    <w:p w:rsidR="00AC5D9F" w:rsidRPr="007B0327" w:rsidRDefault="00AC5D9F" w:rsidP="00AC5D9F">
      <w:pPr>
        <w:pStyle w:val="Default"/>
        <w:rPr>
          <w:color w:val="auto"/>
        </w:rPr>
      </w:pPr>
    </w:p>
    <w:p w:rsidR="00AC5D9F" w:rsidRPr="007B0327" w:rsidRDefault="00AC5D9F" w:rsidP="00AC5D9F">
      <w:pPr>
        <w:pStyle w:val="Default"/>
        <w:rPr>
          <w:color w:val="auto"/>
          <w:sz w:val="20"/>
          <w:szCs w:val="20"/>
        </w:rPr>
      </w:pPr>
      <w:r w:rsidRPr="007B0327">
        <w:rPr>
          <w:b/>
          <w:bCs/>
          <w:color w:val="auto"/>
          <w:sz w:val="20"/>
          <w:szCs w:val="20"/>
        </w:rPr>
        <w:t xml:space="preserve">Vysvetlivky </w:t>
      </w:r>
    </w:p>
    <w:p w:rsidR="00AC5D9F" w:rsidRPr="007B0327" w:rsidRDefault="00AC5D9F" w:rsidP="00AC5D9F">
      <w:pPr>
        <w:pStyle w:val="Default"/>
        <w:rPr>
          <w:color w:val="auto"/>
          <w:sz w:val="20"/>
          <w:szCs w:val="20"/>
        </w:rPr>
      </w:pPr>
      <w:r w:rsidRPr="007B0327">
        <w:rPr>
          <w:color w:val="auto"/>
          <w:sz w:val="20"/>
          <w:szCs w:val="20"/>
        </w:rPr>
        <w:t xml:space="preserve">V stĺpci (1) sa smernica člení na jednotlivé časti: </w:t>
      </w:r>
    </w:p>
    <w:p w:rsidR="00AC5D9F" w:rsidRPr="007B0327" w:rsidRDefault="00AC5D9F" w:rsidP="00AC5D9F">
      <w:pPr>
        <w:pStyle w:val="Default"/>
        <w:rPr>
          <w:color w:val="auto"/>
          <w:sz w:val="20"/>
          <w:szCs w:val="20"/>
        </w:rPr>
      </w:pPr>
      <w:r w:rsidRPr="007B0327">
        <w:rPr>
          <w:color w:val="auto"/>
          <w:sz w:val="20"/>
          <w:szCs w:val="20"/>
        </w:rPr>
        <w:t xml:space="preserve">Č - článok </w:t>
      </w:r>
    </w:p>
    <w:p w:rsidR="00AC5D9F" w:rsidRPr="007B0327" w:rsidRDefault="00AC5D9F" w:rsidP="00AC5D9F">
      <w:pPr>
        <w:pStyle w:val="Default"/>
        <w:rPr>
          <w:color w:val="auto"/>
          <w:sz w:val="20"/>
          <w:szCs w:val="20"/>
        </w:rPr>
      </w:pPr>
      <w:r w:rsidRPr="007B0327">
        <w:rPr>
          <w:color w:val="auto"/>
          <w:sz w:val="20"/>
          <w:szCs w:val="20"/>
        </w:rPr>
        <w:t xml:space="preserve">O - odsek </w:t>
      </w:r>
    </w:p>
    <w:p w:rsidR="00AC5D9F" w:rsidRPr="007B0327" w:rsidRDefault="00AC5D9F" w:rsidP="00AC5D9F">
      <w:pPr>
        <w:pStyle w:val="Default"/>
        <w:rPr>
          <w:color w:val="auto"/>
          <w:sz w:val="20"/>
          <w:szCs w:val="20"/>
        </w:rPr>
      </w:pPr>
      <w:r w:rsidRPr="007B0327">
        <w:rPr>
          <w:color w:val="auto"/>
          <w:sz w:val="20"/>
          <w:szCs w:val="20"/>
        </w:rPr>
        <w:t xml:space="preserve">V - veta </w:t>
      </w:r>
    </w:p>
    <w:p w:rsidR="00AC5D9F" w:rsidRPr="007B0327" w:rsidRDefault="00AC5D9F" w:rsidP="00AC5D9F">
      <w:pPr>
        <w:rPr>
          <w:sz w:val="20"/>
          <w:szCs w:val="20"/>
        </w:rPr>
      </w:pPr>
      <w:r w:rsidRPr="007B0327">
        <w:rPr>
          <w:sz w:val="20"/>
          <w:szCs w:val="20"/>
        </w:rPr>
        <w:t>P - číslo (písmeno)</w:t>
      </w:r>
    </w:p>
    <w:p w:rsidR="00AC5D9F" w:rsidRPr="007B0327" w:rsidRDefault="00AC5D9F" w:rsidP="00AC5D9F">
      <w:pPr>
        <w:rPr>
          <w:sz w:val="20"/>
          <w:szCs w:val="20"/>
        </w:rPr>
      </w:pP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V stĺpci (3):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N – bežná transpozícia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lastRenderedPageBreak/>
        <w:t>O – transpozícia s možnosťou voľby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D – transpozícia podľa úvahy (dobrovoľná)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n.a. – transpozícia sa neuskutočňuje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V stĺpci (5):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Č – článok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§ – paragraf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O – odsek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V – veta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P – písmeno (číslo)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V stĺpci (7):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Č – čiastočná zhoda (ak minimálne jedna z podmienok úplnej zhody nie je splnená)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Ž – žiadna zhoda (ak nebola dosiahnutá ani úplná ani čiast. zhoda alebo k prebratiu dôjde v budúcnosti)</w:t>
      </w:r>
    </w:p>
    <w:p w:rsidR="00AC5D9F" w:rsidRPr="007B0327" w:rsidRDefault="00AC5D9F" w:rsidP="00AC5D9F">
      <w:pPr>
        <w:rPr>
          <w:sz w:val="20"/>
          <w:szCs w:val="20"/>
          <w:lang w:eastAsia="en-US"/>
        </w:rPr>
      </w:pPr>
      <w:r w:rsidRPr="007B0327">
        <w:rPr>
          <w:sz w:val="20"/>
          <w:szCs w:val="20"/>
          <w:lang w:eastAsia="en-US"/>
        </w:rPr>
        <w:t>n.a. – neaplikovateľnosť (ak sa ustanovenie smernice netýka SR alebo nie je potrebné ho prebrať)</w:t>
      </w:r>
      <w:bookmarkStart w:id="0" w:name="_GoBack"/>
      <w:bookmarkEnd w:id="0"/>
    </w:p>
    <w:p w:rsidR="00AC5D9F" w:rsidRPr="007B0327" w:rsidRDefault="00AC5D9F" w:rsidP="00AC5D9F">
      <w:pPr>
        <w:rPr>
          <w:sz w:val="20"/>
          <w:szCs w:val="20"/>
        </w:rPr>
      </w:pPr>
    </w:p>
    <w:p w:rsidR="008867F5" w:rsidRPr="007B0327" w:rsidRDefault="008867F5" w:rsidP="00AC5D9F">
      <w:pPr>
        <w:pStyle w:val="Default"/>
        <w:rPr>
          <w:color w:val="auto"/>
        </w:rPr>
      </w:pPr>
    </w:p>
    <w:sectPr w:rsidR="008867F5" w:rsidRPr="007B0327" w:rsidSect="002E782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98" w:rsidRDefault="00563E98" w:rsidP="00D9752C">
      <w:r>
        <w:separator/>
      </w:r>
    </w:p>
  </w:endnote>
  <w:endnote w:type="continuationSeparator" w:id="0">
    <w:p w:rsidR="00563E98" w:rsidRDefault="00563E98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9F" w:rsidRDefault="00AC5D9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B0327">
      <w:rPr>
        <w:noProof/>
      </w:rPr>
      <w:t>2</w:t>
    </w:r>
    <w:r>
      <w:fldChar w:fldCharType="end"/>
    </w:r>
  </w:p>
  <w:p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98" w:rsidRDefault="00563E98" w:rsidP="00D9752C">
      <w:r>
        <w:separator/>
      </w:r>
    </w:p>
  </w:footnote>
  <w:footnote w:type="continuationSeparator" w:id="0">
    <w:p w:rsidR="00563E98" w:rsidRDefault="00563E98" w:rsidP="00D9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ACB"/>
    <w:rsid w:val="00004069"/>
    <w:rsid w:val="00022DD8"/>
    <w:rsid w:val="00023762"/>
    <w:rsid w:val="000239BD"/>
    <w:rsid w:val="00026EB4"/>
    <w:rsid w:val="000325F5"/>
    <w:rsid w:val="0006096D"/>
    <w:rsid w:val="000651F3"/>
    <w:rsid w:val="00095ED3"/>
    <w:rsid w:val="000A4C7D"/>
    <w:rsid w:val="000B2478"/>
    <w:rsid w:val="000B5C85"/>
    <w:rsid w:val="0012648E"/>
    <w:rsid w:val="001275DE"/>
    <w:rsid w:val="00150966"/>
    <w:rsid w:val="0015694D"/>
    <w:rsid w:val="00176115"/>
    <w:rsid w:val="00181047"/>
    <w:rsid w:val="00182498"/>
    <w:rsid w:val="00190A44"/>
    <w:rsid w:val="001B1235"/>
    <w:rsid w:val="001C1B6F"/>
    <w:rsid w:val="001C5BDE"/>
    <w:rsid w:val="001D0B72"/>
    <w:rsid w:val="001D5668"/>
    <w:rsid w:val="00204565"/>
    <w:rsid w:val="0020543A"/>
    <w:rsid w:val="00207A18"/>
    <w:rsid w:val="00211FD0"/>
    <w:rsid w:val="002146E9"/>
    <w:rsid w:val="002564C7"/>
    <w:rsid w:val="002957F9"/>
    <w:rsid w:val="002B00DC"/>
    <w:rsid w:val="002C10EC"/>
    <w:rsid w:val="002C4720"/>
    <w:rsid w:val="002D2F8F"/>
    <w:rsid w:val="002E61DA"/>
    <w:rsid w:val="002E7825"/>
    <w:rsid w:val="002F2BD4"/>
    <w:rsid w:val="002F3DAF"/>
    <w:rsid w:val="00310AD9"/>
    <w:rsid w:val="0031609E"/>
    <w:rsid w:val="0039439D"/>
    <w:rsid w:val="00396B1E"/>
    <w:rsid w:val="003A20D1"/>
    <w:rsid w:val="003A7094"/>
    <w:rsid w:val="003B23C7"/>
    <w:rsid w:val="003D5C31"/>
    <w:rsid w:val="003D7973"/>
    <w:rsid w:val="003E1C6F"/>
    <w:rsid w:val="003E4857"/>
    <w:rsid w:val="003F5229"/>
    <w:rsid w:val="004009F6"/>
    <w:rsid w:val="00404FDD"/>
    <w:rsid w:val="00405D69"/>
    <w:rsid w:val="004247B7"/>
    <w:rsid w:val="00427C4B"/>
    <w:rsid w:val="00446556"/>
    <w:rsid w:val="00452316"/>
    <w:rsid w:val="00462366"/>
    <w:rsid w:val="004869C0"/>
    <w:rsid w:val="004906D6"/>
    <w:rsid w:val="00497CCC"/>
    <w:rsid w:val="004B4957"/>
    <w:rsid w:val="004D1734"/>
    <w:rsid w:val="004D32E9"/>
    <w:rsid w:val="004D777C"/>
    <w:rsid w:val="005007D0"/>
    <w:rsid w:val="005118FA"/>
    <w:rsid w:val="00542CEF"/>
    <w:rsid w:val="00563E98"/>
    <w:rsid w:val="00574975"/>
    <w:rsid w:val="005749D4"/>
    <w:rsid w:val="0057629B"/>
    <w:rsid w:val="00581EDA"/>
    <w:rsid w:val="005A2513"/>
    <w:rsid w:val="005A5F8E"/>
    <w:rsid w:val="005B3E0D"/>
    <w:rsid w:val="005B532E"/>
    <w:rsid w:val="005C0413"/>
    <w:rsid w:val="005D3972"/>
    <w:rsid w:val="005E3CFC"/>
    <w:rsid w:val="006065C7"/>
    <w:rsid w:val="00620D34"/>
    <w:rsid w:val="00653A71"/>
    <w:rsid w:val="00660D2F"/>
    <w:rsid w:val="00683FF6"/>
    <w:rsid w:val="00685013"/>
    <w:rsid w:val="00693771"/>
    <w:rsid w:val="006A1E9C"/>
    <w:rsid w:val="006A3665"/>
    <w:rsid w:val="006B2CE6"/>
    <w:rsid w:val="006B6262"/>
    <w:rsid w:val="0072073D"/>
    <w:rsid w:val="007304A7"/>
    <w:rsid w:val="00747763"/>
    <w:rsid w:val="00750F44"/>
    <w:rsid w:val="00762B93"/>
    <w:rsid w:val="007B0327"/>
    <w:rsid w:val="007B1841"/>
    <w:rsid w:val="007C0457"/>
    <w:rsid w:val="007C0D6D"/>
    <w:rsid w:val="007C42B2"/>
    <w:rsid w:val="007C44BD"/>
    <w:rsid w:val="007D2F8C"/>
    <w:rsid w:val="007D3EFD"/>
    <w:rsid w:val="007F0812"/>
    <w:rsid w:val="007F52BE"/>
    <w:rsid w:val="0081483E"/>
    <w:rsid w:val="00857336"/>
    <w:rsid w:val="0088155E"/>
    <w:rsid w:val="008867F5"/>
    <w:rsid w:val="00891E79"/>
    <w:rsid w:val="008A0EC9"/>
    <w:rsid w:val="008B226D"/>
    <w:rsid w:val="008B35F4"/>
    <w:rsid w:val="008B70A9"/>
    <w:rsid w:val="008D0D17"/>
    <w:rsid w:val="008F7F9E"/>
    <w:rsid w:val="009140A7"/>
    <w:rsid w:val="00921D3E"/>
    <w:rsid w:val="00934615"/>
    <w:rsid w:val="00945C7B"/>
    <w:rsid w:val="00953B17"/>
    <w:rsid w:val="00962217"/>
    <w:rsid w:val="00962FED"/>
    <w:rsid w:val="00975D52"/>
    <w:rsid w:val="00977BE8"/>
    <w:rsid w:val="00986654"/>
    <w:rsid w:val="00992855"/>
    <w:rsid w:val="009A1D60"/>
    <w:rsid w:val="009B64EF"/>
    <w:rsid w:val="009C051E"/>
    <w:rsid w:val="009D0ACB"/>
    <w:rsid w:val="009E09FA"/>
    <w:rsid w:val="009F2EFC"/>
    <w:rsid w:val="00A118AD"/>
    <w:rsid w:val="00A13C67"/>
    <w:rsid w:val="00A15D13"/>
    <w:rsid w:val="00A15D3F"/>
    <w:rsid w:val="00A17194"/>
    <w:rsid w:val="00A30627"/>
    <w:rsid w:val="00A6041C"/>
    <w:rsid w:val="00A676DB"/>
    <w:rsid w:val="00A71447"/>
    <w:rsid w:val="00A7528C"/>
    <w:rsid w:val="00A762B8"/>
    <w:rsid w:val="00A832F0"/>
    <w:rsid w:val="00A9431D"/>
    <w:rsid w:val="00A97A37"/>
    <w:rsid w:val="00AB1406"/>
    <w:rsid w:val="00AB18E5"/>
    <w:rsid w:val="00AB69FB"/>
    <w:rsid w:val="00AC5D9F"/>
    <w:rsid w:val="00AF2B07"/>
    <w:rsid w:val="00AF6EE7"/>
    <w:rsid w:val="00B0127B"/>
    <w:rsid w:val="00B01295"/>
    <w:rsid w:val="00B11BC2"/>
    <w:rsid w:val="00B21EB7"/>
    <w:rsid w:val="00B46758"/>
    <w:rsid w:val="00B50A2C"/>
    <w:rsid w:val="00B55DE2"/>
    <w:rsid w:val="00B622E8"/>
    <w:rsid w:val="00B72F7E"/>
    <w:rsid w:val="00B769EB"/>
    <w:rsid w:val="00B90327"/>
    <w:rsid w:val="00B91095"/>
    <w:rsid w:val="00BA3524"/>
    <w:rsid w:val="00BA3830"/>
    <w:rsid w:val="00BA5BF7"/>
    <w:rsid w:val="00BA7A67"/>
    <w:rsid w:val="00BB07C9"/>
    <w:rsid w:val="00BC4E9F"/>
    <w:rsid w:val="00BC60CC"/>
    <w:rsid w:val="00BF6C43"/>
    <w:rsid w:val="00C0000B"/>
    <w:rsid w:val="00C133B3"/>
    <w:rsid w:val="00C26ED7"/>
    <w:rsid w:val="00C50433"/>
    <w:rsid w:val="00C548DB"/>
    <w:rsid w:val="00C5581D"/>
    <w:rsid w:val="00C83651"/>
    <w:rsid w:val="00C84B55"/>
    <w:rsid w:val="00CC4851"/>
    <w:rsid w:val="00CC78CF"/>
    <w:rsid w:val="00CD6028"/>
    <w:rsid w:val="00CD71B4"/>
    <w:rsid w:val="00CF03F6"/>
    <w:rsid w:val="00D004F2"/>
    <w:rsid w:val="00D010C8"/>
    <w:rsid w:val="00D0520E"/>
    <w:rsid w:val="00D10052"/>
    <w:rsid w:val="00D24E20"/>
    <w:rsid w:val="00D35676"/>
    <w:rsid w:val="00D50B44"/>
    <w:rsid w:val="00D64153"/>
    <w:rsid w:val="00D676E2"/>
    <w:rsid w:val="00D752F2"/>
    <w:rsid w:val="00D82975"/>
    <w:rsid w:val="00D854AE"/>
    <w:rsid w:val="00D9215D"/>
    <w:rsid w:val="00D9752C"/>
    <w:rsid w:val="00DA2DC7"/>
    <w:rsid w:val="00DA5F1F"/>
    <w:rsid w:val="00DB602D"/>
    <w:rsid w:val="00DD182F"/>
    <w:rsid w:val="00DE1C67"/>
    <w:rsid w:val="00DF6F35"/>
    <w:rsid w:val="00E03B42"/>
    <w:rsid w:val="00E256BE"/>
    <w:rsid w:val="00E31F2A"/>
    <w:rsid w:val="00E405EB"/>
    <w:rsid w:val="00E4457E"/>
    <w:rsid w:val="00E774D5"/>
    <w:rsid w:val="00E85C5D"/>
    <w:rsid w:val="00E9684F"/>
    <w:rsid w:val="00E971D9"/>
    <w:rsid w:val="00EA6F89"/>
    <w:rsid w:val="00EF08CA"/>
    <w:rsid w:val="00EF6C01"/>
    <w:rsid w:val="00F0085E"/>
    <w:rsid w:val="00F24475"/>
    <w:rsid w:val="00F40995"/>
    <w:rsid w:val="00F534B2"/>
    <w:rsid w:val="00F537F2"/>
    <w:rsid w:val="00F55DD7"/>
    <w:rsid w:val="00F6585D"/>
    <w:rsid w:val="00F821CE"/>
    <w:rsid w:val="00F90EA0"/>
    <w:rsid w:val="00F947F8"/>
    <w:rsid w:val="00F9661F"/>
    <w:rsid w:val="00FA6309"/>
    <w:rsid w:val="00FB619F"/>
    <w:rsid w:val="00FC6F8B"/>
    <w:rsid w:val="00FE0642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C67C4F-ADC2-4E47-BB9D-BEDC345D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E7825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2E7825"/>
    <w:rPr>
      <w:rFonts w:ascii="Times New Roman" w:hAnsi="Times New Roman" w:cs="Times New Roman"/>
      <w:b/>
      <w:bCs/>
      <w:lang w:val="x-none" w:eastAsia="sk-SK"/>
    </w:rPr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2E782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E7825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rFonts w:cs="Times New Roman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rFonts w:cs="Times New Roman"/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9752C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9752C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15D13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15D13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D13"/>
    <w:rPr>
      <w:rFonts w:ascii="Segoe UI" w:hAnsi="Segoe UI" w:cs="Segoe UI"/>
      <w:sz w:val="18"/>
      <w:szCs w:val="18"/>
      <w:lang w:val="x-none"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841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31"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40"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4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447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0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2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5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46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74"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39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432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4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4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0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4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487"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40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42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45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47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32851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2857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857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4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6726-4D51-4883-8188-29689729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Matko</dc:creator>
  <cp:keywords/>
  <dc:description/>
  <cp:lastModifiedBy>Bartikova Anna</cp:lastModifiedBy>
  <cp:revision>2</cp:revision>
  <cp:lastPrinted>2020-06-09T06:51:00Z</cp:lastPrinted>
  <dcterms:created xsi:type="dcterms:W3CDTF">2020-08-20T05:10:00Z</dcterms:created>
  <dcterms:modified xsi:type="dcterms:W3CDTF">2020-08-20T05:10:00Z</dcterms:modified>
</cp:coreProperties>
</file>