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682"/>
        <w:gridCol w:w="6095"/>
        <w:gridCol w:w="709"/>
        <w:gridCol w:w="851"/>
        <w:gridCol w:w="708"/>
        <w:gridCol w:w="5670"/>
        <w:gridCol w:w="567"/>
        <w:gridCol w:w="918"/>
      </w:tblGrid>
      <w:tr w:rsidR="00966983" w:rsidRPr="00966983">
        <w:tc>
          <w:tcPr>
            <w:tcW w:w="16200" w:type="dxa"/>
            <w:gridSpan w:val="8"/>
            <w:tcBorders>
              <w:top w:val="single" w:sz="12" w:space="0" w:color="auto"/>
              <w:left w:val="single" w:sz="12" w:space="0" w:color="auto"/>
              <w:bottom w:val="single" w:sz="4" w:space="0" w:color="auto"/>
              <w:right w:val="single" w:sz="12" w:space="0" w:color="auto"/>
            </w:tcBorders>
          </w:tcPr>
          <w:p w:rsidR="005528A5" w:rsidRPr="00966983" w:rsidRDefault="005528A5" w:rsidP="00D11A45">
            <w:pPr>
              <w:pStyle w:val="Nadpis1"/>
              <w:rPr>
                <w:sz w:val="18"/>
                <w:szCs w:val="18"/>
              </w:rPr>
            </w:pPr>
            <w:r w:rsidRPr="00966983">
              <w:rPr>
                <w:sz w:val="18"/>
                <w:szCs w:val="18"/>
              </w:rPr>
              <w:t>TABUĽKA  ZHODY</w:t>
            </w:r>
          </w:p>
          <w:p w:rsidR="00A839BE" w:rsidRPr="00966983" w:rsidRDefault="00A839BE" w:rsidP="00A839BE">
            <w:pPr>
              <w:tabs>
                <w:tab w:val="left" w:pos="0"/>
              </w:tabs>
              <w:jc w:val="center"/>
              <w:rPr>
                <w:b/>
                <w:bCs/>
                <w:sz w:val="20"/>
                <w:szCs w:val="20"/>
              </w:rPr>
            </w:pPr>
            <w:r w:rsidRPr="00966983">
              <w:rPr>
                <w:b/>
                <w:sz w:val="20"/>
                <w:szCs w:val="20"/>
              </w:rPr>
              <w:t xml:space="preserve">k návrhu zákona, </w:t>
            </w:r>
            <w:r w:rsidRPr="00966983">
              <w:rPr>
                <w:b/>
                <w:bCs/>
                <w:sz w:val="20"/>
                <w:szCs w:val="20"/>
              </w:rPr>
              <w:t>ktorým sa mení a dopĺňa zákon č. 483/2001 Z. z. o bankách a o zmene a doplnení niektorých zákonov v znení neskorších predpisov</w:t>
            </w:r>
          </w:p>
          <w:p w:rsidR="005528A5" w:rsidRPr="00966983" w:rsidRDefault="00A839BE" w:rsidP="00A839BE">
            <w:pPr>
              <w:tabs>
                <w:tab w:val="left" w:pos="0"/>
              </w:tabs>
              <w:jc w:val="center"/>
              <w:rPr>
                <w:bCs/>
                <w:sz w:val="18"/>
                <w:szCs w:val="18"/>
              </w:rPr>
            </w:pPr>
            <w:r w:rsidRPr="00966983">
              <w:rPr>
                <w:b/>
                <w:bCs/>
                <w:sz w:val="20"/>
                <w:szCs w:val="20"/>
              </w:rPr>
              <w:t xml:space="preserve">a ktorým sa menia a dopĺňajú niektoré zákony </w:t>
            </w:r>
            <w:r w:rsidR="004A48A1" w:rsidRPr="00966983">
              <w:rPr>
                <w:b/>
                <w:sz w:val="20"/>
                <w:szCs w:val="20"/>
              </w:rPr>
              <w:t>s právom Európskej únie</w:t>
            </w:r>
          </w:p>
        </w:tc>
      </w:tr>
      <w:tr w:rsidR="00966983" w:rsidRPr="00966983">
        <w:tc>
          <w:tcPr>
            <w:tcW w:w="16200" w:type="dxa"/>
            <w:gridSpan w:val="8"/>
            <w:tcBorders>
              <w:top w:val="single" w:sz="12" w:space="0" w:color="auto"/>
              <w:left w:val="single" w:sz="12" w:space="0" w:color="auto"/>
              <w:bottom w:val="single" w:sz="4" w:space="0" w:color="auto"/>
              <w:right w:val="single" w:sz="12" w:space="0" w:color="auto"/>
            </w:tcBorders>
          </w:tcPr>
          <w:p w:rsidR="00E36264" w:rsidRPr="00966983" w:rsidRDefault="00E36264" w:rsidP="00ED3975">
            <w:pPr>
              <w:pStyle w:val="Hlavika"/>
              <w:jc w:val="both"/>
              <w:rPr>
                <w:bCs/>
                <w:sz w:val="18"/>
                <w:szCs w:val="18"/>
              </w:rPr>
            </w:pPr>
            <w:r w:rsidRPr="00966983">
              <w:rPr>
                <w:b/>
                <w:sz w:val="18"/>
                <w:szCs w:val="18"/>
              </w:rPr>
              <w:t>Názov smernice:</w:t>
            </w:r>
            <w:r w:rsidRPr="00966983">
              <w:rPr>
                <w:sz w:val="18"/>
                <w:szCs w:val="18"/>
              </w:rPr>
              <w:t xml:space="preserve">  </w:t>
            </w:r>
            <w:r w:rsidR="00ED48AE" w:rsidRPr="00966983">
              <w:rPr>
                <w:bCs/>
                <w:sz w:val="18"/>
                <w:szCs w:val="18"/>
              </w:rPr>
              <w:t>Smernica EURÓPSKEHO PARLAMENTU A RADY (EÚ) 2015/2366 z 25. novembra 2015 o platobných službách na vnútornom trhu, ktorou sa menia smernice 2002/65/ES, 2009/110/ES a 2013/36/EÚ a nariadenie (EÚ) č. 1093/2010 a ktorou sa zrušuje smernica 2007/64/ES</w:t>
            </w:r>
          </w:p>
          <w:p w:rsidR="00EA50BA" w:rsidRPr="00966983" w:rsidRDefault="00EA50BA" w:rsidP="00ED3975">
            <w:pPr>
              <w:pStyle w:val="Hlavika"/>
              <w:jc w:val="both"/>
              <w:rPr>
                <w:bCs/>
                <w:sz w:val="18"/>
                <w:szCs w:val="18"/>
              </w:rPr>
            </w:pPr>
          </w:p>
          <w:p w:rsidR="00E36264" w:rsidRPr="00966983" w:rsidRDefault="00E36264" w:rsidP="00DE2284">
            <w:pPr>
              <w:pStyle w:val="Hlavika"/>
              <w:jc w:val="both"/>
              <w:rPr>
                <w:sz w:val="18"/>
                <w:szCs w:val="18"/>
              </w:rPr>
            </w:pPr>
          </w:p>
        </w:tc>
      </w:tr>
      <w:tr w:rsidR="00966983" w:rsidRPr="00966983" w:rsidTr="00CF6042">
        <w:trPr>
          <w:trHeight w:val="567"/>
        </w:trPr>
        <w:tc>
          <w:tcPr>
            <w:tcW w:w="7486" w:type="dxa"/>
            <w:gridSpan w:val="3"/>
            <w:tcBorders>
              <w:top w:val="single" w:sz="4" w:space="0" w:color="auto"/>
              <w:left w:val="single" w:sz="12" w:space="0" w:color="auto"/>
              <w:bottom w:val="single" w:sz="4" w:space="0" w:color="auto"/>
              <w:right w:val="single" w:sz="12" w:space="0" w:color="auto"/>
            </w:tcBorders>
          </w:tcPr>
          <w:p w:rsidR="005528A5" w:rsidRPr="00966983" w:rsidRDefault="004A48A1" w:rsidP="00ED3975">
            <w:pPr>
              <w:pStyle w:val="Nadpis4"/>
              <w:rPr>
                <w:sz w:val="18"/>
                <w:szCs w:val="18"/>
              </w:rPr>
            </w:pPr>
            <w:r w:rsidRPr="00966983">
              <w:rPr>
                <w:sz w:val="18"/>
                <w:szCs w:val="18"/>
              </w:rPr>
              <w:t>Smernica</w:t>
            </w:r>
            <w:r w:rsidR="005528A5" w:rsidRPr="00966983">
              <w:rPr>
                <w:sz w:val="18"/>
                <w:szCs w:val="18"/>
              </w:rPr>
              <w:t xml:space="preserve"> </w:t>
            </w:r>
          </w:p>
          <w:p w:rsidR="00302EAA" w:rsidRPr="00966983" w:rsidRDefault="00302EAA" w:rsidP="00302EAA">
            <w:pPr>
              <w:rPr>
                <w:sz w:val="18"/>
                <w:szCs w:val="18"/>
              </w:rPr>
            </w:pPr>
          </w:p>
          <w:p w:rsidR="005528A5" w:rsidRPr="00966983" w:rsidRDefault="00ED48AE" w:rsidP="00ED3975">
            <w:pPr>
              <w:pStyle w:val="Hlavika"/>
              <w:jc w:val="both"/>
              <w:rPr>
                <w:sz w:val="18"/>
                <w:szCs w:val="18"/>
              </w:rPr>
            </w:pPr>
            <w:r w:rsidRPr="00966983">
              <w:rPr>
                <w:bCs/>
                <w:sz w:val="18"/>
                <w:szCs w:val="18"/>
              </w:rPr>
              <w:t>Smernica EURÓPSKEHO PARLAMENTU A RADY (EÚ) 2015/2366 z 25. novembra 2015 o platobných službách na vnútornom trhu, ktorou sa menia smernice 2002/65/ES, 2009/110/ES a 2013/36/EÚ a nariadenie (EÚ) č. 1093/2010 a ktorou sa zrušuje smernica 2007/64/ES</w:t>
            </w:r>
          </w:p>
        </w:tc>
        <w:tc>
          <w:tcPr>
            <w:tcW w:w="8714" w:type="dxa"/>
            <w:gridSpan w:val="5"/>
            <w:tcBorders>
              <w:top w:val="single" w:sz="4" w:space="0" w:color="auto"/>
              <w:left w:val="nil"/>
              <w:bottom w:val="single" w:sz="4" w:space="0" w:color="auto"/>
              <w:right w:val="single" w:sz="12" w:space="0" w:color="auto"/>
            </w:tcBorders>
          </w:tcPr>
          <w:p w:rsidR="005528A5" w:rsidRPr="00966983" w:rsidRDefault="00E36264" w:rsidP="00ED3975">
            <w:pPr>
              <w:pStyle w:val="Nadpis4"/>
              <w:rPr>
                <w:sz w:val="18"/>
                <w:szCs w:val="18"/>
              </w:rPr>
            </w:pPr>
            <w:r w:rsidRPr="00966983">
              <w:rPr>
                <w:sz w:val="18"/>
                <w:szCs w:val="18"/>
              </w:rPr>
              <w:t xml:space="preserve">Všeobecne záväzné právne predpisy </w:t>
            </w:r>
            <w:r w:rsidR="005528A5" w:rsidRPr="00966983">
              <w:rPr>
                <w:sz w:val="18"/>
                <w:szCs w:val="18"/>
              </w:rPr>
              <w:t>Slovenskej republiky</w:t>
            </w:r>
          </w:p>
          <w:p w:rsidR="005528A5" w:rsidRPr="00966983" w:rsidRDefault="005528A5" w:rsidP="00ED3975">
            <w:pPr>
              <w:pStyle w:val="Hlavika"/>
              <w:tabs>
                <w:tab w:val="left" w:pos="709"/>
              </w:tabs>
              <w:rPr>
                <w:sz w:val="18"/>
                <w:szCs w:val="18"/>
              </w:rPr>
            </w:pPr>
          </w:p>
          <w:p w:rsidR="00A839BE" w:rsidRPr="00966983" w:rsidRDefault="00A839BE" w:rsidP="00A839BE">
            <w:pPr>
              <w:tabs>
                <w:tab w:val="left" w:pos="0"/>
              </w:tabs>
              <w:jc w:val="both"/>
              <w:rPr>
                <w:b/>
                <w:bCs/>
                <w:sz w:val="20"/>
                <w:szCs w:val="20"/>
              </w:rPr>
            </w:pPr>
            <w:r w:rsidRPr="00966983">
              <w:rPr>
                <w:b/>
                <w:sz w:val="20"/>
                <w:szCs w:val="20"/>
              </w:rPr>
              <w:t xml:space="preserve">Návrh zákona, </w:t>
            </w:r>
            <w:r w:rsidRPr="00966983">
              <w:rPr>
                <w:b/>
                <w:bCs/>
                <w:sz w:val="20"/>
                <w:szCs w:val="20"/>
              </w:rPr>
              <w:t>ktorým sa mení a dopĺňa zákon č. 483/2001 Z. z. o bankách a o zmene a doplnení niektorých</w:t>
            </w:r>
            <w:r w:rsidRPr="00966983">
              <w:rPr>
                <w:bCs/>
                <w:sz w:val="20"/>
                <w:szCs w:val="20"/>
              </w:rPr>
              <w:t xml:space="preserve"> </w:t>
            </w:r>
            <w:r w:rsidRPr="00966983">
              <w:rPr>
                <w:b/>
                <w:bCs/>
                <w:sz w:val="20"/>
                <w:szCs w:val="20"/>
              </w:rPr>
              <w:t>zákonov v znení neskorších predpisov a ktorým sa menia a dopĺňajú niektoré zákony (ďalej „návrh zákona“)</w:t>
            </w:r>
          </w:p>
          <w:p w:rsidR="004A48A1" w:rsidRPr="00966983" w:rsidRDefault="004A48A1" w:rsidP="00ED3975">
            <w:pPr>
              <w:pStyle w:val="Hlavika"/>
              <w:tabs>
                <w:tab w:val="left" w:pos="709"/>
              </w:tabs>
              <w:rPr>
                <w:sz w:val="18"/>
                <w:szCs w:val="18"/>
              </w:rPr>
            </w:pPr>
          </w:p>
          <w:p w:rsidR="000B4E3F" w:rsidRPr="00966983" w:rsidRDefault="005E72BC" w:rsidP="004A48A1">
            <w:pPr>
              <w:pStyle w:val="Hlavika"/>
              <w:tabs>
                <w:tab w:val="left" w:pos="709"/>
              </w:tabs>
              <w:rPr>
                <w:sz w:val="18"/>
                <w:szCs w:val="18"/>
              </w:rPr>
            </w:pPr>
            <w:r w:rsidRPr="00966983">
              <w:rPr>
                <w:sz w:val="18"/>
                <w:szCs w:val="18"/>
              </w:rPr>
              <w:t>Zákon č. 492/2009 Z. z. o platobných službách a o zmene a doplnení niektorých zákonov v znení neskorších predpisov (ďalej len „492/2009“)</w:t>
            </w: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528A5" w:rsidRPr="00966983" w:rsidRDefault="005528A5" w:rsidP="00ED3975">
            <w:pPr>
              <w:jc w:val="center"/>
              <w:rPr>
                <w:sz w:val="18"/>
                <w:szCs w:val="18"/>
              </w:rPr>
            </w:pPr>
            <w:r w:rsidRPr="00966983">
              <w:rPr>
                <w:sz w:val="18"/>
                <w:szCs w:val="18"/>
              </w:rPr>
              <w:t>1</w:t>
            </w:r>
          </w:p>
        </w:tc>
        <w:tc>
          <w:tcPr>
            <w:tcW w:w="6095" w:type="dxa"/>
            <w:tcBorders>
              <w:top w:val="single" w:sz="4" w:space="0" w:color="auto"/>
              <w:left w:val="single" w:sz="4" w:space="0" w:color="auto"/>
              <w:bottom w:val="single" w:sz="4" w:space="0" w:color="auto"/>
              <w:right w:val="single" w:sz="4" w:space="0" w:color="auto"/>
            </w:tcBorders>
          </w:tcPr>
          <w:p w:rsidR="005528A5" w:rsidRPr="00966983" w:rsidRDefault="005528A5" w:rsidP="00ED3975">
            <w:pPr>
              <w:jc w:val="center"/>
              <w:rPr>
                <w:sz w:val="18"/>
                <w:szCs w:val="18"/>
              </w:rPr>
            </w:pPr>
            <w:r w:rsidRPr="00966983">
              <w:rPr>
                <w:sz w:val="18"/>
                <w:szCs w:val="18"/>
              </w:rPr>
              <w:t>2</w:t>
            </w:r>
          </w:p>
        </w:tc>
        <w:tc>
          <w:tcPr>
            <w:tcW w:w="709" w:type="dxa"/>
            <w:tcBorders>
              <w:top w:val="single" w:sz="4" w:space="0" w:color="auto"/>
              <w:left w:val="single" w:sz="4" w:space="0" w:color="auto"/>
              <w:bottom w:val="single" w:sz="4" w:space="0" w:color="auto"/>
              <w:right w:val="single" w:sz="12" w:space="0" w:color="auto"/>
            </w:tcBorders>
          </w:tcPr>
          <w:p w:rsidR="005528A5" w:rsidRPr="00966983" w:rsidRDefault="005528A5" w:rsidP="00ED3975">
            <w:pPr>
              <w:jc w:val="center"/>
              <w:rPr>
                <w:sz w:val="18"/>
                <w:szCs w:val="18"/>
              </w:rPr>
            </w:pPr>
            <w:r w:rsidRPr="00966983">
              <w:rPr>
                <w:sz w:val="18"/>
                <w:szCs w:val="18"/>
              </w:rPr>
              <w:t>3</w:t>
            </w:r>
          </w:p>
        </w:tc>
        <w:tc>
          <w:tcPr>
            <w:tcW w:w="851" w:type="dxa"/>
            <w:tcBorders>
              <w:top w:val="single" w:sz="4" w:space="0" w:color="auto"/>
              <w:left w:val="nil"/>
              <w:bottom w:val="single" w:sz="4" w:space="0" w:color="auto"/>
              <w:right w:val="single" w:sz="4" w:space="0" w:color="auto"/>
            </w:tcBorders>
          </w:tcPr>
          <w:p w:rsidR="005528A5" w:rsidRPr="00966983" w:rsidRDefault="005528A5" w:rsidP="00ED3975">
            <w:pPr>
              <w:jc w:val="center"/>
              <w:rPr>
                <w:sz w:val="18"/>
                <w:szCs w:val="18"/>
              </w:rPr>
            </w:pPr>
            <w:r w:rsidRPr="00966983">
              <w:rPr>
                <w:sz w:val="18"/>
                <w:szCs w:val="18"/>
              </w:rPr>
              <w:t>4</w:t>
            </w:r>
          </w:p>
        </w:tc>
        <w:tc>
          <w:tcPr>
            <w:tcW w:w="708" w:type="dxa"/>
            <w:tcBorders>
              <w:top w:val="single" w:sz="4" w:space="0" w:color="auto"/>
              <w:left w:val="single" w:sz="4" w:space="0" w:color="auto"/>
              <w:bottom w:val="single" w:sz="4" w:space="0" w:color="auto"/>
              <w:right w:val="single" w:sz="4" w:space="0" w:color="auto"/>
            </w:tcBorders>
          </w:tcPr>
          <w:p w:rsidR="005528A5" w:rsidRPr="00966983" w:rsidRDefault="005528A5" w:rsidP="00ED3975">
            <w:pPr>
              <w:pStyle w:val="Zkladntext2"/>
              <w:jc w:val="center"/>
            </w:pPr>
            <w:r w:rsidRPr="00966983">
              <w:t>5</w:t>
            </w:r>
          </w:p>
        </w:tc>
        <w:tc>
          <w:tcPr>
            <w:tcW w:w="5670" w:type="dxa"/>
            <w:tcBorders>
              <w:top w:val="single" w:sz="4" w:space="0" w:color="auto"/>
              <w:left w:val="single" w:sz="4" w:space="0" w:color="auto"/>
              <w:bottom w:val="single" w:sz="4" w:space="0" w:color="auto"/>
              <w:right w:val="single" w:sz="4" w:space="0" w:color="auto"/>
            </w:tcBorders>
          </w:tcPr>
          <w:p w:rsidR="005528A5" w:rsidRPr="00966983" w:rsidRDefault="005528A5" w:rsidP="00ED3975">
            <w:pPr>
              <w:pStyle w:val="Zkladntext2"/>
              <w:jc w:val="center"/>
            </w:pPr>
            <w:r w:rsidRPr="00966983">
              <w:t>6</w:t>
            </w:r>
          </w:p>
        </w:tc>
        <w:tc>
          <w:tcPr>
            <w:tcW w:w="567" w:type="dxa"/>
            <w:tcBorders>
              <w:top w:val="single" w:sz="4" w:space="0" w:color="auto"/>
              <w:left w:val="single" w:sz="4" w:space="0" w:color="auto"/>
              <w:bottom w:val="single" w:sz="4" w:space="0" w:color="auto"/>
              <w:right w:val="single" w:sz="4" w:space="0" w:color="auto"/>
            </w:tcBorders>
          </w:tcPr>
          <w:p w:rsidR="005528A5" w:rsidRPr="00966983" w:rsidRDefault="005528A5" w:rsidP="00ED3975">
            <w:pPr>
              <w:jc w:val="center"/>
              <w:rPr>
                <w:sz w:val="18"/>
                <w:szCs w:val="18"/>
              </w:rPr>
            </w:pPr>
            <w:r w:rsidRPr="00966983">
              <w:rPr>
                <w:sz w:val="18"/>
                <w:szCs w:val="18"/>
              </w:rPr>
              <w:t>7</w:t>
            </w:r>
          </w:p>
        </w:tc>
        <w:tc>
          <w:tcPr>
            <w:tcW w:w="918" w:type="dxa"/>
            <w:tcBorders>
              <w:top w:val="single" w:sz="4" w:space="0" w:color="auto"/>
              <w:left w:val="single" w:sz="4" w:space="0" w:color="auto"/>
              <w:bottom w:val="single" w:sz="4" w:space="0" w:color="auto"/>
              <w:right w:val="single" w:sz="12" w:space="0" w:color="auto"/>
            </w:tcBorders>
          </w:tcPr>
          <w:p w:rsidR="005528A5" w:rsidRPr="00966983" w:rsidRDefault="005528A5" w:rsidP="00ED3975">
            <w:pPr>
              <w:jc w:val="center"/>
              <w:rPr>
                <w:sz w:val="18"/>
                <w:szCs w:val="18"/>
              </w:rPr>
            </w:pPr>
            <w:r w:rsidRPr="00966983">
              <w:rPr>
                <w:sz w:val="18"/>
                <w:szCs w:val="18"/>
              </w:rPr>
              <w:t>8</w:t>
            </w: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528A5" w:rsidRPr="00966983" w:rsidRDefault="005528A5" w:rsidP="00ED3975">
            <w:pPr>
              <w:pStyle w:val="Normlny0"/>
              <w:jc w:val="center"/>
              <w:rPr>
                <w:sz w:val="18"/>
                <w:szCs w:val="18"/>
              </w:rPr>
            </w:pPr>
            <w:r w:rsidRPr="00966983">
              <w:rPr>
                <w:sz w:val="18"/>
                <w:szCs w:val="18"/>
              </w:rPr>
              <w:t>Článok</w:t>
            </w:r>
          </w:p>
          <w:p w:rsidR="005528A5" w:rsidRPr="00966983" w:rsidRDefault="005528A5" w:rsidP="00ED3975">
            <w:pPr>
              <w:pStyle w:val="Normlny0"/>
              <w:jc w:val="center"/>
              <w:rPr>
                <w:sz w:val="18"/>
                <w:szCs w:val="18"/>
              </w:rPr>
            </w:pPr>
            <w:r w:rsidRPr="00966983">
              <w:rPr>
                <w:sz w:val="18"/>
                <w:szCs w:val="18"/>
              </w:rPr>
              <w:t>(Č, O,</w:t>
            </w:r>
          </w:p>
          <w:p w:rsidR="005528A5" w:rsidRPr="00966983" w:rsidRDefault="005528A5" w:rsidP="00ED3975">
            <w:pPr>
              <w:pStyle w:val="Normlny0"/>
              <w:jc w:val="center"/>
              <w:rPr>
                <w:sz w:val="18"/>
                <w:szCs w:val="18"/>
              </w:rPr>
            </w:pPr>
            <w:r w:rsidRPr="00966983">
              <w:rPr>
                <w:sz w:val="18"/>
                <w:szCs w:val="18"/>
              </w:rPr>
              <w:t>V, P)</w:t>
            </w:r>
          </w:p>
        </w:tc>
        <w:tc>
          <w:tcPr>
            <w:tcW w:w="6095" w:type="dxa"/>
            <w:tcBorders>
              <w:top w:val="single" w:sz="4" w:space="0" w:color="auto"/>
              <w:left w:val="single" w:sz="4" w:space="0" w:color="auto"/>
              <w:bottom w:val="single" w:sz="4" w:space="0" w:color="auto"/>
              <w:right w:val="single" w:sz="4" w:space="0" w:color="auto"/>
            </w:tcBorders>
          </w:tcPr>
          <w:p w:rsidR="005528A5" w:rsidRPr="00966983" w:rsidRDefault="005528A5" w:rsidP="00ED3975">
            <w:pPr>
              <w:pStyle w:val="Normlny0"/>
              <w:jc w:val="center"/>
              <w:rPr>
                <w:sz w:val="18"/>
                <w:szCs w:val="18"/>
              </w:rPr>
            </w:pPr>
            <w:r w:rsidRPr="00966983">
              <w:rPr>
                <w:sz w:val="18"/>
                <w:szCs w:val="18"/>
              </w:rPr>
              <w:t>Text</w:t>
            </w:r>
          </w:p>
        </w:tc>
        <w:tc>
          <w:tcPr>
            <w:tcW w:w="709" w:type="dxa"/>
            <w:tcBorders>
              <w:top w:val="single" w:sz="4" w:space="0" w:color="auto"/>
              <w:left w:val="single" w:sz="4" w:space="0" w:color="auto"/>
              <w:bottom w:val="single" w:sz="4" w:space="0" w:color="auto"/>
              <w:right w:val="single" w:sz="12" w:space="0" w:color="auto"/>
            </w:tcBorders>
          </w:tcPr>
          <w:p w:rsidR="005528A5" w:rsidRPr="00966983" w:rsidRDefault="005528A5" w:rsidP="00ED3975">
            <w:pPr>
              <w:pStyle w:val="Normlny0"/>
              <w:jc w:val="center"/>
              <w:rPr>
                <w:sz w:val="18"/>
                <w:szCs w:val="18"/>
              </w:rPr>
            </w:pPr>
            <w:r w:rsidRPr="00966983">
              <w:rPr>
                <w:sz w:val="18"/>
                <w:szCs w:val="18"/>
              </w:rPr>
              <w:t>Spôsob transp.</w:t>
            </w:r>
          </w:p>
          <w:p w:rsidR="005528A5" w:rsidRPr="00966983" w:rsidRDefault="005528A5" w:rsidP="00ED3975">
            <w:pPr>
              <w:pStyle w:val="Normlny0"/>
              <w:jc w:val="center"/>
              <w:rPr>
                <w:sz w:val="18"/>
                <w:szCs w:val="18"/>
              </w:rPr>
            </w:pPr>
            <w:r w:rsidRPr="00966983">
              <w:rPr>
                <w:sz w:val="18"/>
                <w:szCs w:val="18"/>
              </w:rPr>
              <w:t>(N, O, D, n.a.)</w:t>
            </w:r>
          </w:p>
        </w:tc>
        <w:tc>
          <w:tcPr>
            <w:tcW w:w="851" w:type="dxa"/>
            <w:tcBorders>
              <w:top w:val="single" w:sz="4" w:space="0" w:color="auto"/>
              <w:left w:val="nil"/>
              <w:bottom w:val="single" w:sz="4" w:space="0" w:color="auto"/>
              <w:right w:val="single" w:sz="4" w:space="0" w:color="auto"/>
            </w:tcBorders>
          </w:tcPr>
          <w:p w:rsidR="005528A5" w:rsidRPr="00966983" w:rsidRDefault="005528A5" w:rsidP="00ED3975">
            <w:pPr>
              <w:pStyle w:val="Normlny0"/>
              <w:jc w:val="center"/>
              <w:rPr>
                <w:sz w:val="18"/>
                <w:szCs w:val="18"/>
              </w:rPr>
            </w:pPr>
            <w:r w:rsidRPr="00966983">
              <w:rPr>
                <w:sz w:val="18"/>
                <w:szCs w:val="18"/>
              </w:rPr>
              <w:t>Číslo</w:t>
            </w:r>
          </w:p>
          <w:p w:rsidR="005528A5" w:rsidRPr="00966983" w:rsidRDefault="005528A5" w:rsidP="00ED3975">
            <w:pPr>
              <w:pStyle w:val="Normlny0"/>
              <w:jc w:val="center"/>
              <w:rPr>
                <w:sz w:val="18"/>
                <w:szCs w:val="18"/>
              </w:rPr>
            </w:pPr>
            <w:r w:rsidRPr="00966983">
              <w:rPr>
                <w:sz w:val="18"/>
                <w:szCs w:val="18"/>
              </w:rPr>
              <w:t>predpisu</w:t>
            </w:r>
          </w:p>
        </w:tc>
        <w:tc>
          <w:tcPr>
            <w:tcW w:w="708" w:type="dxa"/>
            <w:tcBorders>
              <w:top w:val="single" w:sz="4" w:space="0" w:color="auto"/>
              <w:left w:val="single" w:sz="4" w:space="0" w:color="auto"/>
              <w:bottom w:val="single" w:sz="4" w:space="0" w:color="auto"/>
              <w:right w:val="single" w:sz="4" w:space="0" w:color="auto"/>
            </w:tcBorders>
          </w:tcPr>
          <w:p w:rsidR="005528A5" w:rsidRPr="00966983" w:rsidRDefault="005528A5" w:rsidP="00ED3975">
            <w:pPr>
              <w:pStyle w:val="Normlny0"/>
              <w:jc w:val="center"/>
              <w:rPr>
                <w:sz w:val="18"/>
                <w:szCs w:val="18"/>
              </w:rPr>
            </w:pPr>
            <w:r w:rsidRPr="00966983">
              <w:rPr>
                <w:sz w:val="18"/>
                <w:szCs w:val="18"/>
              </w:rPr>
              <w:t>Článok (Č, §, O, V, P)</w:t>
            </w:r>
          </w:p>
        </w:tc>
        <w:tc>
          <w:tcPr>
            <w:tcW w:w="5670" w:type="dxa"/>
            <w:tcBorders>
              <w:top w:val="single" w:sz="4" w:space="0" w:color="auto"/>
              <w:left w:val="single" w:sz="4" w:space="0" w:color="auto"/>
              <w:bottom w:val="single" w:sz="4" w:space="0" w:color="auto"/>
              <w:right w:val="single" w:sz="4" w:space="0" w:color="auto"/>
            </w:tcBorders>
          </w:tcPr>
          <w:p w:rsidR="005528A5" w:rsidRPr="00966983" w:rsidRDefault="005528A5" w:rsidP="00ED3975">
            <w:pPr>
              <w:pStyle w:val="Normlny0"/>
              <w:jc w:val="center"/>
              <w:rPr>
                <w:sz w:val="18"/>
                <w:szCs w:val="18"/>
              </w:rPr>
            </w:pPr>
            <w:r w:rsidRPr="00966983">
              <w:rPr>
                <w:sz w:val="18"/>
                <w:szCs w:val="18"/>
              </w:rPr>
              <w:t>Text</w:t>
            </w:r>
          </w:p>
        </w:tc>
        <w:tc>
          <w:tcPr>
            <w:tcW w:w="567" w:type="dxa"/>
            <w:tcBorders>
              <w:top w:val="single" w:sz="4" w:space="0" w:color="auto"/>
              <w:left w:val="single" w:sz="4" w:space="0" w:color="auto"/>
              <w:bottom w:val="single" w:sz="4" w:space="0" w:color="auto"/>
              <w:right w:val="single" w:sz="4" w:space="0" w:color="auto"/>
            </w:tcBorders>
          </w:tcPr>
          <w:p w:rsidR="005528A5" w:rsidRPr="00966983" w:rsidRDefault="005528A5" w:rsidP="00ED3975">
            <w:pPr>
              <w:pStyle w:val="Normlny0"/>
              <w:jc w:val="center"/>
              <w:rPr>
                <w:sz w:val="18"/>
                <w:szCs w:val="18"/>
              </w:rPr>
            </w:pPr>
            <w:r w:rsidRPr="00966983">
              <w:rPr>
                <w:sz w:val="18"/>
                <w:szCs w:val="18"/>
              </w:rPr>
              <w:t>Zhoda</w:t>
            </w:r>
          </w:p>
        </w:tc>
        <w:tc>
          <w:tcPr>
            <w:tcW w:w="918" w:type="dxa"/>
            <w:tcBorders>
              <w:top w:val="single" w:sz="4" w:space="0" w:color="auto"/>
              <w:left w:val="single" w:sz="4" w:space="0" w:color="auto"/>
              <w:bottom w:val="single" w:sz="4" w:space="0" w:color="auto"/>
              <w:right w:val="single" w:sz="12" w:space="0" w:color="auto"/>
            </w:tcBorders>
          </w:tcPr>
          <w:p w:rsidR="005528A5" w:rsidRPr="00966983" w:rsidRDefault="005528A5" w:rsidP="00ED3975">
            <w:pPr>
              <w:pStyle w:val="Normlny0"/>
              <w:jc w:val="center"/>
              <w:rPr>
                <w:sz w:val="18"/>
                <w:szCs w:val="18"/>
              </w:rPr>
            </w:pPr>
            <w:r w:rsidRPr="00966983">
              <w:rPr>
                <w:sz w:val="18"/>
                <w:szCs w:val="18"/>
              </w:rPr>
              <w:t>Poznámky</w:t>
            </w: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0C3FD0" w:rsidRPr="00966983" w:rsidRDefault="000C3FD0" w:rsidP="000C3FD0">
            <w:pPr>
              <w:rPr>
                <w:sz w:val="18"/>
                <w:szCs w:val="18"/>
              </w:rPr>
            </w:pPr>
            <w:r w:rsidRPr="00966983">
              <w:rPr>
                <w:sz w:val="18"/>
                <w:szCs w:val="18"/>
              </w:rPr>
              <w:t>Č 6</w:t>
            </w:r>
          </w:p>
          <w:p w:rsidR="000C3FD0" w:rsidRPr="00966983" w:rsidRDefault="000B5751" w:rsidP="000C3FD0">
            <w:pPr>
              <w:rPr>
                <w:sz w:val="18"/>
                <w:szCs w:val="18"/>
              </w:rPr>
            </w:pPr>
            <w:r w:rsidRPr="00966983">
              <w:rPr>
                <w:sz w:val="18"/>
                <w:szCs w:val="18"/>
              </w:rPr>
              <w:t>O 3</w:t>
            </w:r>
          </w:p>
        </w:tc>
        <w:tc>
          <w:tcPr>
            <w:tcW w:w="6095" w:type="dxa"/>
            <w:tcBorders>
              <w:top w:val="single" w:sz="4" w:space="0" w:color="auto"/>
              <w:left w:val="single" w:sz="4" w:space="0" w:color="auto"/>
              <w:bottom w:val="single" w:sz="4" w:space="0" w:color="auto"/>
              <w:right w:val="single" w:sz="4" w:space="0" w:color="auto"/>
            </w:tcBorders>
          </w:tcPr>
          <w:p w:rsidR="000B5751" w:rsidRPr="00966983" w:rsidRDefault="000B5751" w:rsidP="000B5751">
            <w:pPr>
              <w:adjustRightInd w:val="0"/>
              <w:rPr>
                <w:sz w:val="18"/>
                <w:szCs w:val="18"/>
              </w:rPr>
            </w:pPr>
            <w:r w:rsidRPr="00966983">
              <w:rPr>
                <w:sz w:val="18"/>
                <w:szCs w:val="18"/>
              </w:rPr>
              <w:t>3. Členské štáty vyžadujú, aby v prípade, že vplyv, ktorý uplatňuje navrhovaný nadobúdateľ uvedený v odseku 2, má pravdepodobne negatívny dosah na prudenciálne a spoľahlivé riadenie platobnej inštitúcie, príslušné orgány vyjadrili svoj nesúhlas alebo prijali iné primerané opatrenia na ukončenie tohto stavu. Takéto opatrenia môžu zahŕňať zákazy, sankcie voči členom predstavenstva alebo osobám zodpovedným za riadenie, alebo pozastavenie výkonu hlasovacích práv spojených s podielmi v držbe akcionárov alebo členov dotknutej platobnej inštitúcie.</w:t>
            </w:r>
          </w:p>
          <w:p w:rsidR="000B5751" w:rsidRPr="00966983" w:rsidRDefault="000B5751" w:rsidP="000B5751">
            <w:pPr>
              <w:adjustRightInd w:val="0"/>
              <w:rPr>
                <w:sz w:val="18"/>
                <w:szCs w:val="18"/>
              </w:rPr>
            </w:pPr>
          </w:p>
          <w:p w:rsidR="000C3FD0" w:rsidRPr="00966983" w:rsidRDefault="000B5751" w:rsidP="000B5751">
            <w:pPr>
              <w:adjustRightInd w:val="0"/>
              <w:rPr>
                <w:sz w:val="18"/>
                <w:szCs w:val="18"/>
              </w:rPr>
            </w:pPr>
            <w:r w:rsidRPr="00966983">
              <w:rPr>
                <w:sz w:val="18"/>
                <w:szCs w:val="18"/>
              </w:rPr>
              <w:t>Podobné opatrenia sa uplatňujú na fyzické alebo právnické osoby, ktoré nedodržiavajú povinnosť poskytovať informácie vopred, ako sa ustanovuje v tomto článku.</w:t>
            </w:r>
          </w:p>
        </w:tc>
        <w:tc>
          <w:tcPr>
            <w:tcW w:w="709" w:type="dxa"/>
            <w:tcBorders>
              <w:top w:val="single" w:sz="4" w:space="0" w:color="auto"/>
              <w:left w:val="single" w:sz="4" w:space="0" w:color="auto"/>
              <w:bottom w:val="single" w:sz="4" w:space="0" w:color="auto"/>
              <w:right w:val="single" w:sz="12" w:space="0" w:color="auto"/>
            </w:tcBorders>
          </w:tcPr>
          <w:p w:rsidR="000C3FD0" w:rsidRPr="00966983" w:rsidRDefault="000C3FD0" w:rsidP="000C3FD0">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0C3FD0" w:rsidRPr="00966983" w:rsidRDefault="000C3FD0" w:rsidP="009C569D">
            <w:pPr>
              <w:jc w:val="center"/>
              <w:rPr>
                <w:sz w:val="18"/>
                <w:szCs w:val="18"/>
              </w:rPr>
            </w:pPr>
            <w:r w:rsidRPr="00966983">
              <w:rPr>
                <w:sz w:val="18"/>
                <w:szCs w:val="18"/>
              </w:rPr>
              <w:t>492/2009</w:t>
            </w:r>
            <w:r w:rsidRPr="00966983">
              <w:rPr>
                <w:b/>
                <w:sz w:val="18"/>
                <w:szCs w:val="18"/>
              </w:rPr>
              <w:t xml:space="preserve"> a návrh zákona</w:t>
            </w:r>
            <w:r w:rsidR="00E75C01" w:rsidRPr="00966983">
              <w:rPr>
                <w:b/>
                <w:sz w:val="18"/>
                <w:szCs w:val="18"/>
              </w:rPr>
              <w:t xml:space="preserve"> čl.</w:t>
            </w:r>
            <w:r w:rsidR="009C569D" w:rsidRPr="00966983">
              <w:rPr>
                <w:b/>
                <w:sz w:val="18"/>
                <w:szCs w:val="18"/>
              </w:rPr>
              <w:t xml:space="preserve"> </w:t>
            </w:r>
            <w:r w:rsidR="00E75C01" w:rsidRPr="00966983">
              <w:rPr>
                <w:b/>
                <w:sz w:val="18"/>
                <w:szCs w:val="18"/>
              </w:rPr>
              <w:t>I</w:t>
            </w:r>
            <w:r w:rsidR="009C569D" w:rsidRPr="00966983">
              <w:rPr>
                <w:b/>
                <w:sz w:val="18"/>
                <w:szCs w:val="18"/>
              </w:rPr>
              <w:t>V</w:t>
            </w:r>
          </w:p>
        </w:tc>
        <w:tc>
          <w:tcPr>
            <w:tcW w:w="708" w:type="dxa"/>
            <w:tcBorders>
              <w:top w:val="single" w:sz="4" w:space="0" w:color="auto"/>
              <w:left w:val="single" w:sz="4" w:space="0" w:color="auto"/>
              <w:bottom w:val="single" w:sz="4" w:space="0" w:color="auto"/>
              <w:right w:val="single" w:sz="4" w:space="0" w:color="auto"/>
            </w:tcBorders>
          </w:tcPr>
          <w:p w:rsidR="00E75C01" w:rsidRPr="00966983" w:rsidRDefault="000C3FD0" w:rsidP="000C3FD0">
            <w:pPr>
              <w:pStyle w:val="Normlny0"/>
              <w:jc w:val="center"/>
              <w:rPr>
                <w:sz w:val="18"/>
                <w:szCs w:val="18"/>
              </w:rPr>
            </w:pPr>
            <w:r w:rsidRPr="00966983">
              <w:rPr>
                <w:sz w:val="18"/>
                <w:szCs w:val="18"/>
              </w:rPr>
              <w:t>§ 66 O</w:t>
            </w:r>
            <w:r w:rsidR="00E75C01" w:rsidRPr="00966983">
              <w:rPr>
                <w:sz w:val="18"/>
                <w:szCs w:val="18"/>
              </w:rPr>
              <w:t> </w:t>
            </w:r>
            <w:r w:rsidRPr="00966983">
              <w:rPr>
                <w:sz w:val="18"/>
                <w:szCs w:val="18"/>
              </w:rPr>
              <w:t>1</w:t>
            </w:r>
            <w:r w:rsidR="000B5751" w:rsidRPr="00966983">
              <w:rPr>
                <w:sz w:val="18"/>
                <w:szCs w:val="18"/>
              </w:rPr>
              <w:t>1</w:t>
            </w:r>
          </w:p>
        </w:tc>
        <w:tc>
          <w:tcPr>
            <w:tcW w:w="5670" w:type="dxa"/>
            <w:tcBorders>
              <w:top w:val="single" w:sz="4" w:space="0" w:color="auto"/>
              <w:left w:val="single" w:sz="4" w:space="0" w:color="auto"/>
              <w:bottom w:val="single" w:sz="4" w:space="0" w:color="auto"/>
              <w:right w:val="single" w:sz="4" w:space="0" w:color="auto"/>
            </w:tcBorders>
          </w:tcPr>
          <w:p w:rsidR="000C3FD0" w:rsidRPr="00966983" w:rsidRDefault="000C3FD0" w:rsidP="000C3FD0">
            <w:pPr>
              <w:pStyle w:val="Normlny0"/>
              <w:jc w:val="both"/>
              <w:rPr>
                <w:sz w:val="18"/>
                <w:szCs w:val="18"/>
              </w:rPr>
            </w:pPr>
            <w:r w:rsidRPr="00966983">
              <w:rPr>
                <w:sz w:val="18"/>
                <w:szCs w:val="18"/>
              </w:rPr>
              <w:t xml:space="preserve">(11) Ak nadobudnutie kvalifikovanej účasti na platobnej inštitúcii osobou podľa odseku 3 písm. a) môže mať nepriaznivý vplyv na obozretné a riadne riadenie platobnej inštitúcie alebo osoba nesplnila podmienky na udelenie predchádzajúceho súhlasu podľa odseku </w:t>
            </w:r>
            <w:r w:rsidRPr="00966983">
              <w:rPr>
                <w:b/>
                <w:sz w:val="18"/>
                <w:szCs w:val="18"/>
              </w:rPr>
              <w:t>2 písm. a)</w:t>
            </w:r>
            <w:r w:rsidRPr="00966983">
              <w:rPr>
                <w:sz w:val="18"/>
                <w:szCs w:val="18"/>
              </w:rPr>
              <w:t xml:space="preserve">, Národná banka Slovenska zamietne žiadosť o udelenie predchádzajúceho súhlasu podľa odseku 1 písm. a) takej osobe alebo prijme primerané opatrenia na ukončenie tohto stavu. Také opatrenia môžu zahŕňať zákazy, opatrenia na nápravu voči členom štatutárneho orgánu alebo osobám zodpovedným za riadenie platobnej inštitúcie alebo pozastavenie hlasovacích práv spojených s podielmi v držbe akcionárov alebo spoločníkov platobnej inštitúcie.  </w:t>
            </w:r>
          </w:p>
        </w:tc>
        <w:tc>
          <w:tcPr>
            <w:tcW w:w="567" w:type="dxa"/>
            <w:tcBorders>
              <w:top w:val="single" w:sz="4" w:space="0" w:color="auto"/>
              <w:left w:val="single" w:sz="4" w:space="0" w:color="auto"/>
              <w:bottom w:val="single" w:sz="4" w:space="0" w:color="auto"/>
              <w:right w:val="single" w:sz="4" w:space="0" w:color="auto"/>
            </w:tcBorders>
          </w:tcPr>
          <w:p w:rsidR="000C3FD0" w:rsidRPr="00966983" w:rsidRDefault="00E75C01" w:rsidP="000C3FD0">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0C3FD0" w:rsidRPr="00966983" w:rsidRDefault="000C3FD0" w:rsidP="000C3FD0">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14</w:t>
            </w:r>
          </w:p>
          <w:p w:rsidR="005B36B3" w:rsidRPr="00966983" w:rsidRDefault="005B36B3" w:rsidP="005B36B3">
            <w:pPr>
              <w:rPr>
                <w:sz w:val="18"/>
                <w:szCs w:val="18"/>
              </w:rPr>
            </w:pPr>
            <w:r w:rsidRPr="00966983">
              <w:rPr>
                <w:sz w:val="18"/>
                <w:szCs w:val="18"/>
              </w:rPr>
              <w:t>O 4</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4. Príslušné orgány oznámia orgánu EBA dôvody odňatia akéhokoľvek povolenia a akejkoľvek výnimky podľa článku 32 alebo 33.</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5B36B3" w:rsidRPr="00966983" w:rsidRDefault="005B36B3" w:rsidP="009C569D">
            <w:pPr>
              <w:jc w:val="center"/>
              <w:rPr>
                <w:sz w:val="18"/>
                <w:szCs w:val="18"/>
              </w:rPr>
            </w:pPr>
            <w:r w:rsidRPr="00966983">
              <w:rPr>
                <w:sz w:val="18"/>
                <w:szCs w:val="18"/>
              </w:rPr>
              <w:t>492/2009</w:t>
            </w:r>
            <w:r w:rsidRPr="00966983">
              <w:rPr>
                <w:b/>
                <w:sz w:val="18"/>
                <w:szCs w:val="18"/>
              </w:rPr>
              <w:t xml:space="preserve"> a návrh zákona</w:t>
            </w:r>
            <w:r w:rsidR="00E75C01" w:rsidRPr="00966983">
              <w:rPr>
                <w:b/>
                <w:sz w:val="18"/>
                <w:szCs w:val="18"/>
              </w:rPr>
              <w:t xml:space="preserve"> čl.</w:t>
            </w:r>
            <w:r w:rsidR="009C569D" w:rsidRPr="00966983">
              <w:rPr>
                <w:b/>
                <w:sz w:val="18"/>
                <w:szCs w:val="18"/>
              </w:rPr>
              <w:t xml:space="preserve"> </w:t>
            </w:r>
            <w:r w:rsidR="00211ECA" w:rsidRPr="00966983">
              <w:rPr>
                <w:b/>
                <w:sz w:val="18"/>
                <w:szCs w:val="18"/>
              </w:rPr>
              <w:t>I</w:t>
            </w:r>
            <w:r w:rsidR="009C569D" w:rsidRPr="00966983">
              <w:rPr>
                <w:b/>
                <w:sz w:val="18"/>
                <w:szCs w:val="18"/>
              </w:rPr>
              <w:t>V</w:t>
            </w:r>
            <w:r w:rsidR="00E75C01" w:rsidRPr="00966983">
              <w:rPr>
                <w:b/>
                <w:sz w:val="18"/>
                <w:szCs w:val="18"/>
              </w:rPr>
              <w:t xml:space="preserve"> </w:t>
            </w:r>
            <w:r w:rsidR="00E75C01" w:rsidRPr="00966983">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xml:space="preserve">§ 98 </w:t>
            </w:r>
          </w:p>
          <w:p w:rsidR="005B36B3" w:rsidRPr="00966983" w:rsidRDefault="005B36B3" w:rsidP="005B36B3">
            <w:pPr>
              <w:pStyle w:val="Normlny0"/>
              <w:jc w:val="center"/>
              <w:rPr>
                <w:sz w:val="18"/>
                <w:szCs w:val="18"/>
              </w:rPr>
            </w:pPr>
            <w:r w:rsidRPr="00966983">
              <w:rPr>
                <w:sz w:val="18"/>
                <w:szCs w:val="18"/>
              </w:rPr>
              <w:t>O 13</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3C0EDD">
            <w:pPr>
              <w:jc w:val="both"/>
              <w:rPr>
                <w:sz w:val="18"/>
                <w:szCs w:val="18"/>
              </w:rPr>
            </w:pPr>
            <w:r w:rsidRPr="00966983">
              <w:rPr>
                <w:sz w:val="18"/>
                <w:szCs w:val="18"/>
              </w:rPr>
              <w:t xml:space="preserve">(13) Národná banka Slovenska informuje Európsky orgán dohľadu (Európsky orgán pre bankovníctvo) o udelení povolenia podľa § 63, § 82 ods. 1 a § 87 ods. 1 a registrácie podľa </w:t>
            </w:r>
            <w:r w:rsidRPr="00966983">
              <w:rPr>
                <w:b/>
                <w:sz w:val="18"/>
                <w:szCs w:val="18"/>
              </w:rPr>
              <w:t>§ 79a ods. 8 a § 79b a o dôvodoch odobratia povolenia podľa § 67, 84 a § 87 ods. 8 a registrácie podľa</w:t>
            </w:r>
            <w:r w:rsidRPr="00966983">
              <w:rPr>
                <w:sz w:val="18"/>
                <w:szCs w:val="18"/>
              </w:rPr>
              <w:t xml:space="preserve"> </w:t>
            </w:r>
            <w:r w:rsidRPr="00966983">
              <w:rPr>
                <w:b/>
                <w:sz w:val="18"/>
                <w:szCs w:val="18"/>
              </w:rPr>
              <w:t>§ 79a ods. 8 a § 79b ods. 7</w:t>
            </w:r>
            <w:r w:rsidRPr="00966983">
              <w:rPr>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211ECA"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AC58F2" w:rsidRPr="00966983" w:rsidRDefault="00AC58F2" w:rsidP="00AC58F2">
            <w:pPr>
              <w:rPr>
                <w:sz w:val="18"/>
                <w:szCs w:val="18"/>
              </w:rPr>
            </w:pPr>
            <w:r w:rsidRPr="00966983">
              <w:rPr>
                <w:sz w:val="18"/>
                <w:szCs w:val="18"/>
              </w:rPr>
              <w:t>Č 23</w:t>
            </w:r>
          </w:p>
          <w:p w:rsidR="00AC58F2" w:rsidRPr="00966983" w:rsidRDefault="00AC58F2" w:rsidP="00AC58F2">
            <w:pPr>
              <w:rPr>
                <w:sz w:val="18"/>
                <w:szCs w:val="18"/>
              </w:rPr>
            </w:pPr>
            <w:r w:rsidRPr="00966983">
              <w:rPr>
                <w:sz w:val="18"/>
                <w:szCs w:val="18"/>
              </w:rPr>
              <w:t>O 1</w:t>
            </w:r>
          </w:p>
        </w:tc>
        <w:tc>
          <w:tcPr>
            <w:tcW w:w="6095" w:type="dxa"/>
            <w:tcBorders>
              <w:top w:val="single" w:sz="4" w:space="0" w:color="auto"/>
              <w:left w:val="single" w:sz="4" w:space="0" w:color="auto"/>
              <w:bottom w:val="single" w:sz="4" w:space="0" w:color="auto"/>
              <w:right w:val="single" w:sz="4" w:space="0" w:color="auto"/>
            </w:tcBorders>
          </w:tcPr>
          <w:p w:rsidR="00AC58F2" w:rsidRPr="00966983" w:rsidRDefault="00AC58F2" w:rsidP="00AC58F2">
            <w:pPr>
              <w:rPr>
                <w:sz w:val="18"/>
                <w:szCs w:val="18"/>
              </w:rPr>
            </w:pPr>
            <w:r w:rsidRPr="00966983">
              <w:rPr>
                <w:sz w:val="18"/>
                <w:szCs w:val="18"/>
              </w:rPr>
              <w:t>Dohľad</w:t>
            </w:r>
          </w:p>
          <w:p w:rsidR="00AC58F2" w:rsidRPr="00966983" w:rsidRDefault="00AC58F2" w:rsidP="00AC58F2">
            <w:pPr>
              <w:rPr>
                <w:sz w:val="18"/>
                <w:szCs w:val="18"/>
              </w:rPr>
            </w:pPr>
            <w:r w:rsidRPr="00966983">
              <w:rPr>
                <w:sz w:val="18"/>
                <w:szCs w:val="18"/>
              </w:rPr>
              <w:t>1. Členské štáty zabezpečia, aby boli kontroly vykonávané príslušnými orgánmi na účely kontroly nepretržitého dodržiavania tejto hlavy primerané, zodpovedajúce a aby sa nimi reagovalo na riziká, ktorým sú platobné inštitúcie vystavené.</w:t>
            </w:r>
          </w:p>
          <w:p w:rsidR="00AC58F2" w:rsidRPr="00966983" w:rsidRDefault="00AC58F2" w:rsidP="00AC58F2">
            <w:pPr>
              <w:rPr>
                <w:sz w:val="18"/>
                <w:szCs w:val="18"/>
              </w:rPr>
            </w:pPr>
          </w:p>
          <w:p w:rsidR="00AC58F2" w:rsidRPr="00966983" w:rsidRDefault="00AC58F2" w:rsidP="00AC58F2">
            <w:pPr>
              <w:rPr>
                <w:sz w:val="18"/>
                <w:szCs w:val="18"/>
              </w:rPr>
            </w:pPr>
            <w:r w:rsidRPr="00966983">
              <w:rPr>
                <w:sz w:val="18"/>
                <w:szCs w:val="18"/>
              </w:rPr>
              <w:t>S cieľom vykonávať kontrolu dodržiavania tejto hlavy sú príslušné orgány najmä oprávnené prijať tieto opatrenia:</w:t>
            </w:r>
          </w:p>
          <w:p w:rsidR="00AC58F2" w:rsidRPr="00966983" w:rsidRDefault="00AC58F2" w:rsidP="00AC58F2">
            <w:pPr>
              <w:rPr>
                <w:sz w:val="18"/>
                <w:szCs w:val="18"/>
              </w:rPr>
            </w:pPr>
            <w:r w:rsidRPr="00966983">
              <w:rPr>
                <w:sz w:val="18"/>
                <w:szCs w:val="18"/>
              </w:rPr>
              <w:t>a) vyžadovať od platobnej inštitúcie, aby poskytla všetky informácie, ktoré sú potrebné na monitorovanie dodržiavania súladu, vymedzujúce účel žiadosti, ak je to vhodné, a lehotu, v ktorej sa tieto informácie majú poskytnúť;</w:t>
            </w:r>
          </w:p>
          <w:p w:rsidR="00AC58F2" w:rsidRPr="00966983" w:rsidRDefault="00AC58F2" w:rsidP="00AC58F2">
            <w:pPr>
              <w:rPr>
                <w:sz w:val="18"/>
                <w:szCs w:val="18"/>
              </w:rPr>
            </w:pPr>
            <w:r w:rsidRPr="00966983">
              <w:rPr>
                <w:sz w:val="18"/>
                <w:szCs w:val="18"/>
              </w:rPr>
              <w:lastRenderedPageBreak/>
              <w:t>b) vykonávať kontroly na mieste v platobnej inštitúcii, u každého agenta či v každej pobočke poskytujúcej platobné služby, za ktorých konanie nesie platobná inštitúcia zodpovednosť, alebo v každom subjekte, ktorý bol poverený externým vykonávaním činnosti;</w:t>
            </w:r>
          </w:p>
          <w:p w:rsidR="00AC58F2" w:rsidRPr="00966983" w:rsidRDefault="00AC58F2" w:rsidP="00AC58F2">
            <w:pPr>
              <w:rPr>
                <w:sz w:val="18"/>
                <w:szCs w:val="18"/>
              </w:rPr>
            </w:pPr>
            <w:r w:rsidRPr="00966983">
              <w:rPr>
                <w:sz w:val="18"/>
                <w:szCs w:val="18"/>
              </w:rPr>
              <w:t>c) vydávať odporúčania, usmernenia, a v prípade potreby záväzné správne opatrenia;</w:t>
            </w:r>
          </w:p>
          <w:p w:rsidR="00AC58F2" w:rsidRPr="00966983" w:rsidRDefault="00AC58F2" w:rsidP="00AC58F2">
            <w:pPr>
              <w:rPr>
                <w:sz w:val="18"/>
                <w:szCs w:val="18"/>
              </w:rPr>
            </w:pPr>
            <w:r w:rsidRPr="00966983">
              <w:rPr>
                <w:sz w:val="18"/>
                <w:szCs w:val="18"/>
              </w:rPr>
              <w:t>d) pozastaviť platnosť povolenia alebo ho podľa článku 13 odňať.</w:t>
            </w:r>
          </w:p>
        </w:tc>
        <w:tc>
          <w:tcPr>
            <w:tcW w:w="709" w:type="dxa"/>
            <w:tcBorders>
              <w:top w:val="single" w:sz="4" w:space="0" w:color="auto"/>
              <w:left w:val="single" w:sz="4" w:space="0" w:color="auto"/>
              <w:bottom w:val="single" w:sz="4" w:space="0" w:color="auto"/>
              <w:right w:val="single" w:sz="12" w:space="0" w:color="auto"/>
            </w:tcBorders>
          </w:tcPr>
          <w:p w:rsidR="00AC58F2" w:rsidRPr="00966983" w:rsidRDefault="00AC58F2" w:rsidP="005B36B3">
            <w:pPr>
              <w:jc w:val="center"/>
              <w:rPr>
                <w:sz w:val="18"/>
                <w:szCs w:val="18"/>
              </w:rPr>
            </w:pPr>
          </w:p>
        </w:tc>
        <w:tc>
          <w:tcPr>
            <w:tcW w:w="851" w:type="dxa"/>
            <w:tcBorders>
              <w:top w:val="single" w:sz="4" w:space="0" w:color="auto"/>
              <w:left w:val="nil"/>
              <w:bottom w:val="single" w:sz="4" w:space="0" w:color="auto"/>
              <w:right w:val="single" w:sz="4" w:space="0" w:color="auto"/>
            </w:tcBorders>
          </w:tcPr>
          <w:p w:rsidR="00AC58F2" w:rsidRPr="00966983" w:rsidRDefault="00AC58F2" w:rsidP="009C569D">
            <w:pPr>
              <w:jc w:val="center"/>
              <w:rPr>
                <w:sz w:val="18"/>
                <w:szCs w:val="18"/>
              </w:rPr>
            </w:pPr>
            <w:r w:rsidRPr="00966983">
              <w:rPr>
                <w:sz w:val="18"/>
                <w:szCs w:val="18"/>
              </w:rPr>
              <w:t>492/2009</w:t>
            </w:r>
            <w:r w:rsidRPr="00966983">
              <w:rPr>
                <w:b/>
                <w:sz w:val="18"/>
                <w:szCs w:val="18"/>
              </w:rPr>
              <w:t xml:space="preserve"> a návrh zákona čl. IV </w:t>
            </w:r>
            <w:r w:rsidRPr="00966983">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AC58F2" w:rsidRPr="00966983" w:rsidRDefault="00AC58F2" w:rsidP="005B36B3">
            <w:pPr>
              <w:pStyle w:val="Normlny0"/>
              <w:jc w:val="center"/>
              <w:rPr>
                <w:sz w:val="18"/>
                <w:szCs w:val="18"/>
              </w:rPr>
            </w:pPr>
            <w:r w:rsidRPr="00966983">
              <w:rPr>
                <w:sz w:val="18"/>
                <w:szCs w:val="18"/>
              </w:rPr>
              <w:t>§ 100</w:t>
            </w:r>
          </w:p>
        </w:tc>
        <w:tc>
          <w:tcPr>
            <w:tcW w:w="5670" w:type="dxa"/>
            <w:tcBorders>
              <w:top w:val="single" w:sz="4" w:space="0" w:color="auto"/>
              <w:left w:val="single" w:sz="4" w:space="0" w:color="auto"/>
              <w:bottom w:val="single" w:sz="4" w:space="0" w:color="auto"/>
              <w:right w:val="single" w:sz="4" w:space="0" w:color="auto"/>
            </w:tcBorders>
          </w:tcPr>
          <w:p w:rsidR="00AC58F2" w:rsidRPr="00966983" w:rsidRDefault="00AC58F2" w:rsidP="00C35E03">
            <w:pPr>
              <w:jc w:val="both"/>
              <w:rPr>
                <w:sz w:val="18"/>
                <w:szCs w:val="18"/>
              </w:rPr>
            </w:pPr>
            <w:r w:rsidRPr="00966983">
              <w:rPr>
                <w:sz w:val="18"/>
                <w:szCs w:val="18"/>
              </w:rPr>
              <w:t xml:space="preserve">Na výkon dohľadu zvereného Národnej banke Slovenska týmto zákonom sa primerane vzťahujú ustanovenia osobitých predpisov39) o dohľade nad finančným trhom, ak tento zákon neustanovuje inak s tým, že na výkon dohľadu na mieste, na výkon dohľadu na diaľku a na konanie a rozhodovanie v prvom stupni pri výkone pôsobnosti podľa tohto zákona sú príslušné útvary určené organizačným poriadkom Národnej banky Slovenska. Na podpisovanie rozhodnutia v prvom stupni a poverenia na výkon dohľadu na mieste je oprávnený vedúci príslušného útvaru alebo ním poverený vedúci zamestnanec príslušného útvaru. Na konanie vo veciach zverených Národnej banke </w:t>
            </w:r>
            <w:r w:rsidRPr="00966983">
              <w:rPr>
                <w:sz w:val="18"/>
                <w:szCs w:val="18"/>
              </w:rPr>
              <w:lastRenderedPageBreak/>
              <w:t xml:space="preserve">Slovenska týmto zákonom sa nevzťahuje </w:t>
            </w:r>
            <w:r w:rsidRPr="00966983">
              <w:rPr>
                <w:b/>
                <w:strike/>
                <w:sz w:val="18"/>
                <w:szCs w:val="18"/>
              </w:rPr>
              <w:t>všeobecný predpis o správnom konaní</w:t>
            </w:r>
            <w:r w:rsidR="00C35E03" w:rsidRPr="00966983">
              <w:rPr>
                <w:b/>
                <w:sz w:val="18"/>
                <w:szCs w:val="18"/>
              </w:rPr>
              <w:t xml:space="preserve"> správny poriadok</w:t>
            </w:r>
            <w:r w:rsidRPr="00966983">
              <w:rPr>
                <w:sz w:val="18"/>
                <w:szCs w:val="18"/>
              </w:rPr>
              <w:t>.</w:t>
            </w:r>
            <w:r w:rsidRPr="00966983">
              <w:rPr>
                <w:b/>
                <w:strike/>
                <w:sz w:val="18"/>
                <w:szCs w:val="18"/>
              </w:rPr>
              <w:t>54)</w:t>
            </w:r>
          </w:p>
        </w:tc>
        <w:tc>
          <w:tcPr>
            <w:tcW w:w="567" w:type="dxa"/>
            <w:tcBorders>
              <w:top w:val="single" w:sz="4" w:space="0" w:color="auto"/>
              <w:left w:val="single" w:sz="4" w:space="0" w:color="auto"/>
              <w:bottom w:val="single" w:sz="4" w:space="0" w:color="auto"/>
              <w:right w:val="single" w:sz="4" w:space="0" w:color="auto"/>
            </w:tcBorders>
          </w:tcPr>
          <w:p w:rsidR="00AC58F2" w:rsidRPr="00966983" w:rsidRDefault="00AC58F2" w:rsidP="005B36B3">
            <w:pPr>
              <w:jc w:val="center"/>
              <w:rPr>
                <w:sz w:val="18"/>
                <w:szCs w:val="18"/>
              </w:rPr>
            </w:pPr>
          </w:p>
        </w:tc>
        <w:tc>
          <w:tcPr>
            <w:tcW w:w="918" w:type="dxa"/>
            <w:tcBorders>
              <w:top w:val="single" w:sz="4" w:space="0" w:color="auto"/>
              <w:left w:val="single" w:sz="4" w:space="0" w:color="auto"/>
              <w:bottom w:val="single" w:sz="4" w:space="0" w:color="auto"/>
              <w:right w:val="single" w:sz="12" w:space="0" w:color="auto"/>
            </w:tcBorders>
          </w:tcPr>
          <w:p w:rsidR="00AC58F2" w:rsidRPr="00966983" w:rsidRDefault="00AC58F2"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29</w:t>
            </w:r>
          </w:p>
          <w:p w:rsidR="005B36B3" w:rsidRPr="00966983" w:rsidRDefault="005B36B3" w:rsidP="005B36B3">
            <w:pPr>
              <w:rPr>
                <w:sz w:val="18"/>
                <w:szCs w:val="18"/>
              </w:rPr>
            </w:pPr>
            <w:r w:rsidRPr="00966983">
              <w:rPr>
                <w:sz w:val="18"/>
                <w:szCs w:val="18"/>
              </w:rPr>
              <w:t>O 4</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4. Členské štáty môžu od platobných inštitúcií vykonávajúcich činnosť na ich území prostredníctvom agentov na základe práva usadiť sa, ktorých ústredie sa nachádza v inom členskom štáte, aby stanovili ústredný kontaktný bod na ich území s cieľom zabezpečiť primeranú komunikáciu a oznamovanie informácií v súlade s hlavami III a IV bez toho, aby boli dotknuté akékoľvek ustanovenia o boji proti praniu špinavých peňazí a financovaniu terorizmu, a uľahčiť dohľad vykonávaný príslušnými orgánmi domovského členského štátu a hostiteľských členských štátov, a to aj prostredníctvom poskytovania dokumentov a informácií príslušným orgánom na ich žiadosť.</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D</w:t>
            </w:r>
          </w:p>
        </w:tc>
        <w:tc>
          <w:tcPr>
            <w:tcW w:w="851" w:type="dxa"/>
            <w:tcBorders>
              <w:top w:val="single" w:sz="4" w:space="0" w:color="auto"/>
              <w:left w:val="nil"/>
              <w:bottom w:val="single" w:sz="4" w:space="0" w:color="auto"/>
              <w:right w:val="single" w:sz="4" w:space="0" w:color="auto"/>
            </w:tcBorders>
          </w:tcPr>
          <w:p w:rsidR="005B36B3" w:rsidRPr="00966983" w:rsidRDefault="005B36B3" w:rsidP="009C569D">
            <w:pPr>
              <w:jc w:val="center"/>
              <w:rPr>
                <w:sz w:val="18"/>
                <w:szCs w:val="18"/>
              </w:rPr>
            </w:pPr>
            <w:r w:rsidRPr="00966983">
              <w:rPr>
                <w:sz w:val="18"/>
                <w:szCs w:val="18"/>
              </w:rPr>
              <w:t>492/2009</w:t>
            </w:r>
            <w:r w:rsidRPr="00966983">
              <w:rPr>
                <w:b/>
                <w:sz w:val="18"/>
                <w:szCs w:val="18"/>
              </w:rPr>
              <w:t xml:space="preserve"> a návrh zákona</w:t>
            </w:r>
            <w:r w:rsidRPr="00966983">
              <w:rPr>
                <w:sz w:val="18"/>
                <w:szCs w:val="18"/>
              </w:rPr>
              <w:t xml:space="preserve"> </w:t>
            </w:r>
            <w:r w:rsidR="00E75C01" w:rsidRPr="00966983">
              <w:rPr>
                <w:b/>
                <w:sz w:val="18"/>
                <w:szCs w:val="18"/>
              </w:rPr>
              <w:t>čl.</w:t>
            </w:r>
            <w:r w:rsidR="009C569D" w:rsidRPr="00966983">
              <w:rPr>
                <w:b/>
                <w:sz w:val="18"/>
                <w:szCs w:val="18"/>
              </w:rPr>
              <w:t xml:space="preserve"> </w:t>
            </w:r>
            <w:r w:rsidR="00211ECA" w:rsidRPr="00966983">
              <w:rPr>
                <w:b/>
                <w:sz w:val="18"/>
                <w:szCs w:val="18"/>
              </w:rPr>
              <w:t>I</w:t>
            </w:r>
            <w:r w:rsidR="009C569D" w:rsidRPr="00966983">
              <w:rPr>
                <w:b/>
                <w:sz w:val="18"/>
                <w:szCs w:val="18"/>
              </w:rPr>
              <w:t>V</w:t>
            </w:r>
            <w:r w:rsidR="00E75C01" w:rsidRPr="00966983">
              <w:rPr>
                <w:b/>
                <w:sz w:val="18"/>
                <w:szCs w:val="18"/>
              </w:rPr>
              <w:t xml:space="preserve"> </w:t>
            </w:r>
            <w:r w:rsidR="00E75C01" w:rsidRPr="00966983">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79 O 13</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both"/>
              <w:rPr>
                <w:sz w:val="18"/>
                <w:szCs w:val="18"/>
                <w:lang w:eastAsia="sk-SK"/>
              </w:rPr>
            </w:pPr>
            <w:r w:rsidRPr="00966983">
              <w:rPr>
                <w:sz w:val="18"/>
                <w:szCs w:val="18"/>
                <w:lang w:eastAsia="sk-SK"/>
              </w:rPr>
              <w:t>(13) Platobné inštitúcie, ktorých ústredie sa nachádza v inom členskom štáte a ktoré poskytujú platobné služby na území Slovenskej republiky prostredníctvom agentov platobných služieb, sú povinné určiť si na území Slovenskej republiky ústredné kontaktné miesto podľa osobitného predpisu,</w:t>
            </w:r>
            <w:r w:rsidR="003231C0" w:rsidRPr="00966983">
              <w:rPr>
                <w:b/>
                <w:sz w:val="18"/>
                <w:szCs w:val="18"/>
                <w:vertAlign w:val="superscript"/>
                <w:lang w:eastAsia="sk-SK"/>
              </w:rPr>
              <w:t>58da</w:t>
            </w:r>
            <w:r w:rsidRPr="00966983">
              <w:rPr>
                <w:b/>
                <w:sz w:val="18"/>
                <w:szCs w:val="18"/>
                <w:lang w:eastAsia="sk-SK"/>
              </w:rPr>
              <w:t>)</w:t>
            </w:r>
            <w:r w:rsidRPr="00966983">
              <w:rPr>
                <w:sz w:val="18"/>
                <w:szCs w:val="18"/>
                <w:lang w:eastAsia="sk-SK"/>
              </w:rPr>
              <w:t xml:space="preserve"> prostredníctvom ktorého zabezpečia primeranú komunikáciu a oznamovanie informácií o dodržiavaní ustanovení druhej časti tohto zákona okrem § 44a až 44f a ustanovení šiestej a siedmej časti tohto zákona; tým nie sú dotknuté ustanovenia osobitného predpisu.</w:t>
            </w:r>
            <w:r w:rsidRPr="00966983">
              <w:rPr>
                <w:sz w:val="18"/>
                <w:szCs w:val="18"/>
                <w:vertAlign w:val="superscript"/>
                <w:lang w:eastAsia="sk-SK"/>
              </w:rPr>
              <w:t>58</w:t>
            </w:r>
            <w:r w:rsidRPr="00966983">
              <w:rPr>
                <w:sz w:val="18"/>
                <w:szCs w:val="18"/>
                <w:lang w:eastAsia="sk-SK"/>
              </w:rPr>
              <w:t>) Ústredné kontaktné miesto bude tiež slúžiť na uľahčenie výkonu dohľadu vykonávaného príslušnými orgánmi domovského členského štátu, ako aj Národnou bankou Slovenska, a to aj prostredníctvom poskytovania dokumentov a informácií týmto orgánom na ich žiadosť.</w:t>
            </w:r>
          </w:p>
          <w:p w:rsidR="005B36B3" w:rsidRPr="00966983" w:rsidRDefault="005B36B3" w:rsidP="005B36B3">
            <w:pPr>
              <w:pStyle w:val="Normlny0"/>
              <w:jc w:val="both"/>
              <w:rPr>
                <w:sz w:val="18"/>
                <w:szCs w:val="18"/>
                <w:lang w:eastAsia="sk-SK"/>
              </w:rPr>
            </w:pPr>
          </w:p>
          <w:p w:rsidR="005B36B3" w:rsidRPr="00966983" w:rsidRDefault="003231C0" w:rsidP="003231C0">
            <w:pPr>
              <w:pStyle w:val="Normlny0"/>
              <w:jc w:val="both"/>
              <w:rPr>
                <w:sz w:val="18"/>
                <w:szCs w:val="18"/>
              </w:rPr>
            </w:pPr>
            <w:r w:rsidRPr="00966983">
              <w:rPr>
                <w:b/>
                <w:sz w:val="18"/>
                <w:szCs w:val="18"/>
                <w:vertAlign w:val="superscript"/>
                <w:lang w:eastAsia="sk-SK"/>
              </w:rPr>
              <w:t>58da</w:t>
            </w:r>
            <w:r w:rsidR="005B36B3" w:rsidRPr="00966983">
              <w:rPr>
                <w:sz w:val="18"/>
                <w:szCs w:val="18"/>
                <w:lang w:eastAsia="sk-SK"/>
              </w:rPr>
              <w:t xml:space="preserve">) </w:t>
            </w:r>
            <w:r w:rsidR="005B36B3" w:rsidRPr="00966983">
              <w:rPr>
                <w:b/>
                <w:sz w:val="18"/>
                <w:szCs w:val="18"/>
                <w:lang w:eastAsia="sk-SK"/>
              </w:rPr>
              <w:t>Delegované nariadenie Komisie (EÚ) 2018/1108 zo 7. mája 2018, ktorým sa dopĺňa smernica Európskeho parlamentu a Rady (EÚ) 2015/849 o regulačné technické predpisy týkajúce sa kritérií na určenie centrálnych kontaktných miest vydavateľov elektronických peňazí a poskytovateľov platobných služieb a o pravidlá pre ich funkcie (Ú. v. EÚ L 203, 10. 8. 2018)</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211ECA"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32</w:t>
            </w:r>
          </w:p>
          <w:p w:rsidR="005B36B3" w:rsidRPr="00966983" w:rsidRDefault="005B36B3" w:rsidP="005B36B3">
            <w:pPr>
              <w:rPr>
                <w:sz w:val="18"/>
                <w:szCs w:val="18"/>
              </w:rPr>
            </w:pPr>
            <w:r w:rsidRPr="00966983">
              <w:rPr>
                <w:sz w:val="18"/>
                <w:szCs w:val="18"/>
              </w:rPr>
              <w:t>O 1</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O d d i e l 4</w:t>
            </w:r>
          </w:p>
          <w:p w:rsidR="005B36B3" w:rsidRPr="00966983" w:rsidRDefault="005B36B3" w:rsidP="005B36B3">
            <w:pPr>
              <w:rPr>
                <w:sz w:val="18"/>
                <w:szCs w:val="18"/>
              </w:rPr>
            </w:pPr>
            <w:r w:rsidRPr="00966983">
              <w:rPr>
                <w:sz w:val="18"/>
                <w:szCs w:val="18"/>
              </w:rPr>
              <w:t>V ý n i m k a</w:t>
            </w:r>
          </w:p>
          <w:p w:rsidR="005B36B3" w:rsidRPr="00966983" w:rsidRDefault="005B36B3" w:rsidP="005B36B3">
            <w:pPr>
              <w:rPr>
                <w:sz w:val="18"/>
                <w:szCs w:val="18"/>
              </w:rPr>
            </w:pPr>
            <w:r w:rsidRPr="00966983">
              <w:rPr>
                <w:sz w:val="18"/>
                <w:szCs w:val="18"/>
              </w:rPr>
              <w:t>Článok 32</w:t>
            </w:r>
          </w:p>
          <w:p w:rsidR="005B36B3" w:rsidRPr="00966983" w:rsidRDefault="005B36B3" w:rsidP="005B36B3">
            <w:pPr>
              <w:rPr>
                <w:sz w:val="18"/>
                <w:szCs w:val="18"/>
              </w:rPr>
            </w:pPr>
            <w:r w:rsidRPr="00966983">
              <w:rPr>
                <w:sz w:val="18"/>
                <w:szCs w:val="18"/>
              </w:rPr>
              <w:t>Podmienky</w:t>
            </w:r>
          </w:p>
          <w:p w:rsidR="005B36B3" w:rsidRPr="00966983" w:rsidRDefault="005B36B3" w:rsidP="005B36B3">
            <w:pPr>
              <w:rPr>
                <w:sz w:val="18"/>
                <w:szCs w:val="18"/>
              </w:rPr>
            </w:pPr>
            <w:r w:rsidRPr="00966983">
              <w:rPr>
                <w:sz w:val="18"/>
                <w:szCs w:val="18"/>
              </w:rPr>
              <w:t>1. Členské štáty môžu neuplatňovať alebo svojim príslušným orgánom povoliť, aby neuplatňovali na fyzické alebo právnické osoby poskytujúce platobné služby uvedené v prílohe I bodoch 1 až 6 celý postup alebo jeho časť a podmienky uvedené v oddieloch 1, 2 a 3, s výnimkou článkov 14, 15, 22, 24, 25 a 26, ak:</w:t>
            </w:r>
          </w:p>
          <w:p w:rsidR="005B36B3" w:rsidRPr="00966983" w:rsidRDefault="005B36B3" w:rsidP="005B36B3">
            <w:pPr>
              <w:rPr>
                <w:sz w:val="18"/>
                <w:szCs w:val="18"/>
              </w:rPr>
            </w:pPr>
            <w:r w:rsidRPr="00966983">
              <w:rPr>
                <w:sz w:val="18"/>
                <w:szCs w:val="18"/>
              </w:rPr>
              <w:t>a) mesačný priemer z celkovej hodnoty platobných transakcií vykonaných dotknutou osobou za predchádzajúcich 12 mesiacov vrátane agentov, za ktorých činnosť nesie plnú zodpovednosť, nepresahuje limit, ktorý stanovil členský štát, ale v každom prípade ak nepresahuje sumu 3 milióny EUR. Uvedená požiadavka sa posúdi na základe celkovej sumy platobných transakcií predpokladanej v podnikateľskom pláne, pokiaľ príslušné orgány nepožadujú úpravu tohto plánu, a</w:t>
            </w:r>
          </w:p>
          <w:p w:rsidR="005B36B3" w:rsidRPr="00966983" w:rsidRDefault="005B36B3" w:rsidP="005B36B3">
            <w:pPr>
              <w:rPr>
                <w:sz w:val="18"/>
                <w:szCs w:val="18"/>
              </w:rPr>
            </w:pPr>
            <w:r w:rsidRPr="00966983">
              <w:rPr>
                <w:sz w:val="18"/>
                <w:szCs w:val="18"/>
              </w:rPr>
              <w:t>b) ak žiadna z fyzických osôb zodpovedných za riadenie alebo prevádzku podniku nebola odsúdená za trestné činy spojené s praním špinavých peňazí alebo financovaním terorizmu alebo iné finančné trestné činy.</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D</w:t>
            </w:r>
          </w:p>
        </w:tc>
        <w:tc>
          <w:tcPr>
            <w:tcW w:w="851" w:type="dxa"/>
            <w:tcBorders>
              <w:top w:val="single" w:sz="4" w:space="0" w:color="auto"/>
              <w:left w:val="nil"/>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t>492/2009</w:t>
            </w:r>
            <w:r w:rsidRPr="00966983">
              <w:rPr>
                <w:b/>
                <w:sz w:val="18"/>
                <w:szCs w:val="18"/>
              </w:rPr>
              <w:t xml:space="preserve"> a návrh zákona</w:t>
            </w:r>
          </w:p>
          <w:p w:rsidR="005B36B3" w:rsidRPr="00966983" w:rsidRDefault="00211ECA" w:rsidP="009C569D">
            <w:pPr>
              <w:jc w:val="center"/>
              <w:rPr>
                <w:sz w:val="18"/>
                <w:szCs w:val="18"/>
              </w:rPr>
            </w:pPr>
            <w:r w:rsidRPr="00966983">
              <w:rPr>
                <w:b/>
                <w:sz w:val="18"/>
                <w:szCs w:val="18"/>
              </w:rPr>
              <w:t>čl.</w:t>
            </w:r>
            <w:r w:rsidR="009C569D" w:rsidRPr="00966983">
              <w:rPr>
                <w:b/>
                <w:sz w:val="18"/>
                <w:szCs w:val="18"/>
              </w:rPr>
              <w:t xml:space="preserve"> </w:t>
            </w:r>
            <w:r w:rsidRPr="00966983">
              <w:rPr>
                <w:b/>
                <w:sz w:val="18"/>
                <w:szCs w:val="18"/>
              </w:rPr>
              <w:t>I</w:t>
            </w:r>
            <w:r w:rsidR="009C569D" w:rsidRPr="00966983">
              <w:rPr>
                <w:b/>
                <w:sz w:val="18"/>
                <w:szCs w:val="18"/>
              </w:rPr>
              <w:t>V</w:t>
            </w:r>
            <w:r w:rsidRPr="00966983">
              <w:rPr>
                <w:b/>
                <w:sz w:val="18"/>
                <w:szCs w:val="18"/>
              </w:rPr>
              <w:t xml:space="preserve"> </w:t>
            </w:r>
            <w:r w:rsidRPr="00966983">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79a</w:t>
            </w:r>
            <w:r w:rsidR="00211ECA" w:rsidRPr="00966983">
              <w:rPr>
                <w:sz w:val="18"/>
                <w:szCs w:val="18"/>
              </w:rPr>
              <w:t xml:space="preserve">   O 1</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r w:rsidRPr="00966983">
              <w:rPr>
                <w:sz w:val="18"/>
                <w:szCs w:val="18"/>
              </w:rPr>
              <w:t xml:space="preserve">(1) Poskytovateľ platobných služieb v obmedzenom rozsahu je poskytovateľ platobných služieb, ktorý je oprávnený poskytovať platobné služby podľa § 2 ods. 1 písm. </w:t>
            </w:r>
            <w:r w:rsidRPr="00966983">
              <w:rPr>
                <w:b/>
                <w:sz w:val="18"/>
                <w:szCs w:val="18"/>
              </w:rPr>
              <w:t>a) až f)</w:t>
            </w:r>
            <w:r w:rsidRPr="00966983">
              <w:rPr>
                <w:sz w:val="18"/>
                <w:szCs w:val="18"/>
              </w:rPr>
              <w:t xml:space="preserve"> v obmedzenom rozsahu, a to na základe rozhodnutia o registrácii na poskytovanie týchto platobných služieb, ak priemer z celkovej sumy platobných operácií vykonaných týmto poskytovateľom platobných služieb za posledných 12 mesiacov nepresahuje sumu 3 000 000 eur za mesiac, a to vrátane platobných operácií vykonaných prostredníctvom agentov platobných služieb, a súčasne žiadna z fyzických osôb zodpovedných za riadenie alebo prevádzku tohto poskytovateľa platobných služieb nebola odsúdená za trestný čin súvisiaci s legalizáciou príjmov z trestnej činnosti alebo financovaním terorizmu alebo iný hospodársky trestný čin. Ak priemer z celkovej sumy platobných operácií podľa prvej vety nie je známy, poskytovateľ platobných služieb v obmedzenom rozsahu namiesto tohto priemeru použije hodnotu uvedenú v obchodnom pláne podnikania zohľadňujúcom požiadavky Národnej banky Slovenska a vychádzajúcom z navrhovanej stratégie činnosti žiadateľa obsiahnutého v žiadosti podľa § 64 ods. 4 písm. i).</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C923B7"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32</w:t>
            </w:r>
          </w:p>
          <w:p w:rsidR="005B36B3" w:rsidRPr="00966983" w:rsidRDefault="005B36B3" w:rsidP="005B36B3">
            <w:pPr>
              <w:rPr>
                <w:sz w:val="18"/>
                <w:szCs w:val="18"/>
              </w:rPr>
            </w:pPr>
            <w:r w:rsidRPr="00966983">
              <w:rPr>
                <w:sz w:val="18"/>
                <w:szCs w:val="18"/>
              </w:rPr>
              <w:t>O 4</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4. Členské štáty môžu taktiež stanoviť, aby každá fyzická alebo právnická osoba zapísaná do registra v súlade s odsekom 1 tohto článku mohla vykonávať iba určité činnosti uvedené v článku 18.</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D</w:t>
            </w:r>
          </w:p>
        </w:tc>
        <w:tc>
          <w:tcPr>
            <w:tcW w:w="851" w:type="dxa"/>
            <w:tcBorders>
              <w:top w:val="single" w:sz="4" w:space="0" w:color="auto"/>
              <w:left w:val="nil"/>
              <w:bottom w:val="single" w:sz="4" w:space="0" w:color="auto"/>
              <w:right w:val="single" w:sz="4" w:space="0" w:color="auto"/>
            </w:tcBorders>
          </w:tcPr>
          <w:p w:rsidR="005B36B3" w:rsidRPr="00966983" w:rsidRDefault="005B36B3" w:rsidP="009C569D">
            <w:pPr>
              <w:jc w:val="center"/>
              <w:rPr>
                <w:sz w:val="18"/>
                <w:szCs w:val="18"/>
              </w:rPr>
            </w:pPr>
            <w:r w:rsidRPr="00966983">
              <w:rPr>
                <w:sz w:val="18"/>
                <w:szCs w:val="18"/>
              </w:rPr>
              <w:t>492/2009</w:t>
            </w:r>
            <w:r w:rsidRPr="00966983">
              <w:rPr>
                <w:b/>
                <w:sz w:val="18"/>
                <w:szCs w:val="18"/>
              </w:rPr>
              <w:t> a návrh zákona</w:t>
            </w:r>
            <w:r w:rsidR="00C923B7" w:rsidRPr="00966983">
              <w:rPr>
                <w:b/>
                <w:sz w:val="18"/>
                <w:szCs w:val="18"/>
              </w:rPr>
              <w:t xml:space="preserve"> čl.</w:t>
            </w:r>
            <w:r w:rsidR="009C569D" w:rsidRPr="00966983">
              <w:rPr>
                <w:b/>
                <w:sz w:val="18"/>
                <w:szCs w:val="18"/>
              </w:rPr>
              <w:t xml:space="preserve"> </w:t>
            </w:r>
            <w:r w:rsidR="00C923B7" w:rsidRPr="00966983">
              <w:rPr>
                <w:b/>
                <w:sz w:val="18"/>
                <w:szCs w:val="18"/>
              </w:rPr>
              <w:t>I</w:t>
            </w:r>
            <w:r w:rsidR="009C569D" w:rsidRPr="00966983">
              <w:rPr>
                <w:b/>
                <w:sz w:val="18"/>
                <w:szCs w:val="18"/>
              </w:rPr>
              <w:t>V</w:t>
            </w:r>
            <w:r w:rsidR="00C923B7" w:rsidRPr="00966983">
              <w:rPr>
                <w:b/>
                <w:sz w:val="18"/>
                <w:szCs w:val="18"/>
              </w:rPr>
              <w:t xml:space="preserve"> </w:t>
            </w:r>
            <w:r w:rsidR="00C923B7" w:rsidRPr="00966983">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79a O 11</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r w:rsidRPr="00966983">
              <w:rPr>
                <w:sz w:val="18"/>
                <w:szCs w:val="18"/>
              </w:rPr>
              <w:t xml:space="preserve">(11) Poskytovateľ platobných služieb v obmedzenom rozsahu je okrem poskytovania platobných služieb podľa § 2 ods. 1 písm. </w:t>
            </w:r>
            <w:r w:rsidRPr="00966983">
              <w:rPr>
                <w:b/>
                <w:sz w:val="18"/>
                <w:szCs w:val="18"/>
              </w:rPr>
              <w:t>a) až f)</w:t>
            </w:r>
            <w:r w:rsidRPr="00966983">
              <w:rPr>
                <w:sz w:val="18"/>
                <w:szCs w:val="18"/>
              </w:rPr>
              <w:t xml:space="preserve"> oprávnený vykonávať aj obchodné činnosti podľa § 77 ods. 1.</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C923B7"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lastRenderedPageBreak/>
              <w:t>Č 33</w:t>
            </w:r>
          </w:p>
          <w:p w:rsidR="005B36B3" w:rsidRPr="00966983" w:rsidRDefault="005B36B3" w:rsidP="005B36B3">
            <w:pPr>
              <w:rPr>
                <w:sz w:val="18"/>
                <w:szCs w:val="18"/>
              </w:rPr>
            </w:pPr>
            <w:r w:rsidRPr="00966983">
              <w:rPr>
                <w:sz w:val="18"/>
                <w:szCs w:val="18"/>
              </w:rPr>
              <w:t>O 1</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Zkladntext"/>
            </w:pPr>
            <w:r w:rsidRPr="00966983">
              <w:t>Poskytovatelia služieb informovania o účte</w:t>
            </w:r>
          </w:p>
          <w:p w:rsidR="005B36B3" w:rsidRPr="00966983" w:rsidRDefault="005B36B3" w:rsidP="005B36B3">
            <w:pPr>
              <w:pStyle w:val="Zkladntext"/>
              <w:adjustRightInd/>
            </w:pPr>
            <w:r w:rsidRPr="00966983">
              <w:t>1. Fyzické alebo právnické osoby, ktoré poskytujú len platobné služby uvedené v prílohe I bode 8, sú vyňaté z uplatňovania postupu a podmienok stanovených v oddieloch 1 a 2 s výnimkou článku 5 ods. 1 písm. a), b), e) až h), j), l), n), p) a q), článku 5 ods. 3 a článkov 14 a 15. Oddiel 3 sa uplatňuje s výnimkou článku 23 ods. 3.</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5B36B3" w:rsidRPr="00966983" w:rsidRDefault="005B36B3" w:rsidP="009C569D">
            <w:pPr>
              <w:jc w:val="center"/>
              <w:rPr>
                <w:sz w:val="18"/>
                <w:szCs w:val="18"/>
              </w:rPr>
            </w:pPr>
            <w:r w:rsidRPr="00966983">
              <w:rPr>
                <w:sz w:val="18"/>
                <w:szCs w:val="18"/>
              </w:rPr>
              <w:t>492/2009</w:t>
            </w:r>
            <w:r w:rsidRPr="00966983">
              <w:rPr>
                <w:b/>
                <w:sz w:val="18"/>
                <w:szCs w:val="18"/>
              </w:rPr>
              <w:t> a návrh zákona</w:t>
            </w:r>
            <w:r w:rsidR="00C923B7" w:rsidRPr="00966983">
              <w:rPr>
                <w:b/>
                <w:sz w:val="18"/>
                <w:szCs w:val="18"/>
              </w:rPr>
              <w:t xml:space="preserve"> čl.</w:t>
            </w:r>
            <w:r w:rsidR="009C569D" w:rsidRPr="00966983">
              <w:rPr>
                <w:b/>
                <w:sz w:val="18"/>
                <w:szCs w:val="18"/>
              </w:rPr>
              <w:t xml:space="preserve"> </w:t>
            </w:r>
            <w:r w:rsidR="00C923B7" w:rsidRPr="00966983">
              <w:rPr>
                <w:b/>
                <w:sz w:val="18"/>
                <w:szCs w:val="18"/>
              </w:rPr>
              <w:t>I</w:t>
            </w:r>
            <w:r w:rsidR="009C569D" w:rsidRPr="00966983">
              <w:rPr>
                <w:b/>
                <w:sz w:val="18"/>
                <w:szCs w:val="18"/>
              </w:rPr>
              <w:t>V</w:t>
            </w:r>
            <w:r w:rsidR="00C923B7" w:rsidRPr="00966983">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79b O 2</w:t>
            </w: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r w:rsidRPr="00966983">
              <w:rPr>
                <w:sz w:val="18"/>
                <w:szCs w:val="18"/>
              </w:rPr>
              <w:t>O 5</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r w:rsidRPr="00966983">
              <w:rPr>
                <w:sz w:val="18"/>
                <w:szCs w:val="18"/>
              </w:rPr>
              <w:t xml:space="preserve">(2) Na žiadosť o vydanie rozhodnutia o registrácii podľa odseku 1 sa primerane vzťahujú ustanovenia § 64 ods. 3 písm. a) až f) a h), ods. 4 písm. a), d) až g), i) až l), </w:t>
            </w:r>
            <w:r w:rsidRPr="00966983">
              <w:rPr>
                <w:b/>
                <w:sz w:val="18"/>
                <w:szCs w:val="18"/>
              </w:rPr>
              <w:t>q) až u)</w:t>
            </w:r>
            <w:r w:rsidRPr="00966983">
              <w:rPr>
                <w:sz w:val="18"/>
                <w:szCs w:val="18"/>
              </w:rPr>
              <w:t>, w) až y).</w:t>
            </w:r>
          </w:p>
          <w:p w:rsidR="005B36B3" w:rsidRPr="00966983" w:rsidRDefault="005B36B3" w:rsidP="005B36B3">
            <w:pPr>
              <w:jc w:val="both"/>
              <w:rPr>
                <w:sz w:val="18"/>
                <w:szCs w:val="18"/>
              </w:rPr>
            </w:pPr>
          </w:p>
          <w:p w:rsidR="005B36B3" w:rsidRPr="00966983" w:rsidRDefault="005B36B3" w:rsidP="005B36B3">
            <w:pPr>
              <w:jc w:val="both"/>
              <w:rPr>
                <w:sz w:val="18"/>
                <w:szCs w:val="18"/>
              </w:rPr>
            </w:pPr>
            <w:r w:rsidRPr="00966983">
              <w:rPr>
                <w:sz w:val="18"/>
                <w:szCs w:val="18"/>
              </w:rPr>
              <w:t xml:space="preserve">(5) Národná banka Slovenska žiadosť o vydanie rozhodnutia o registrácii podľa odseku 1 zamietne, ak žiadosť neobsahuje niektorú z náležitostí podľa </w:t>
            </w:r>
            <w:r w:rsidRPr="00966983">
              <w:rPr>
                <w:b/>
                <w:sz w:val="18"/>
                <w:szCs w:val="18"/>
              </w:rPr>
              <w:t>odsekov 2 a 3</w:t>
            </w:r>
            <w:r w:rsidRPr="00966983">
              <w:rPr>
                <w:sz w:val="18"/>
                <w:szCs w:val="18"/>
              </w:rPr>
              <w:t>. Dôvodom na zamietnutie žiadosti o vydanie rozhodnutia o registrácii podľa odseku 1 nesmú byť ekonomické potreby trhu. Dôvodom na zamietnutie žiadosti o vydanie rozhodnutia o registrácii podľa odseku 1 môže byť zachovanie stability platobného systému alebo nesplnenie podmienok podľa odseku 6.</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C923B7"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33</w:t>
            </w:r>
          </w:p>
          <w:p w:rsidR="005B36B3" w:rsidRPr="00966983" w:rsidRDefault="005B36B3" w:rsidP="005B36B3">
            <w:pPr>
              <w:rPr>
                <w:sz w:val="18"/>
                <w:szCs w:val="18"/>
              </w:rPr>
            </w:pPr>
            <w:r w:rsidRPr="00966983">
              <w:rPr>
                <w:sz w:val="18"/>
                <w:szCs w:val="18"/>
              </w:rPr>
              <w:t>O 2</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Zkladntext"/>
            </w:pPr>
            <w:r w:rsidRPr="00966983">
              <w:t>2. S osobami uvedenými v odseku 1 tohto článku sa zaobchádza ako s platobnými inštitúciami s tým, že sa na ne nevzťahujú hlavy III a IV, s výnimkou článkov 41, 45 a 52 a prípadne článkov 67, 69 a 95 až 98.</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5B36B3" w:rsidRPr="00966983" w:rsidRDefault="005B36B3" w:rsidP="009C569D">
            <w:pPr>
              <w:jc w:val="center"/>
              <w:rPr>
                <w:sz w:val="18"/>
                <w:szCs w:val="18"/>
              </w:rPr>
            </w:pPr>
            <w:r w:rsidRPr="00966983">
              <w:rPr>
                <w:sz w:val="18"/>
                <w:szCs w:val="18"/>
              </w:rPr>
              <w:t>492/2009</w:t>
            </w:r>
            <w:r w:rsidRPr="00966983">
              <w:rPr>
                <w:b/>
                <w:sz w:val="18"/>
                <w:szCs w:val="18"/>
              </w:rPr>
              <w:t> a návrh zákona</w:t>
            </w:r>
            <w:r w:rsidR="00C923B7" w:rsidRPr="00966983">
              <w:rPr>
                <w:b/>
                <w:sz w:val="18"/>
                <w:szCs w:val="18"/>
              </w:rPr>
              <w:t xml:space="preserve"> čl.</w:t>
            </w:r>
            <w:r w:rsidR="009C569D" w:rsidRPr="00966983">
              <w:rPr>
                <w:b/>
                <w:sz w:val="18"/>
                <w:szCs w:val="18"/>
              </w:rPr>
              <w:t xml:space="preserve"> </w:t>
            </w:r>
            <w:r w:rsidR="00C923B7" w:rsidRPr="00966983">
              <w:rPr>
                <w:b/>
                <w:sz w:val="18"/>
                <w:szCs w:val="18"/>
              </w:rPr>
              <w:t>I</w:t>
            </w:r>
            <w:r w:rsidR="009C569D" w:rsidRPr="00966983">
              <w:rPr>
                <w:b/>
                <w:sz w:val="18"/>
                <w:szCs w:val="18"/>
              </w:rPr>
              <w:t>V</w:t>
            </w:r>
            <w:r w:rsidR="00C923B7" w:rsidRPr="00966983">
              <w:rPr>
                <w:b/>
                <w:sz w:val="18"/>
                <w:szCs w:val="18"/>
              </w:rPr>
              <w:t xml:space="preserve"> </w:t>
            </w:r>
            <w:r w:rsidR="00C923B7" w:rsidRPr="00966983">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79b O 2</w:t>
            </w: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r w:rsidRPr="00966983">
              <w:rPr>
                <w:sz w:val="18"/>
                <w:szCs w:val="18"/>
              </w:rPr>
              <w:t>O 5</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r w:rsidRPr="00966983">
              <w:rPr>
                <w:sz w:val="18"/>
                <w:szCs w:val="18"/>
              </w:rPr>
              <w:t xml:space="preserve">(2) Na žiadosť o vydanie rozhodnutia o registrácii podľa odseku 1 sa primerane vzťahujú ustanovenia § 64 ods. 3 písm. a) až f) a h), ods. 4 písm. a), d) až g), i) až l), </w:t>
            </w:r>
            <w:r w:rsidRPr="00966983">
              <w:rPr>
                <w:b/>
                <w:sz w:val="18"/>
                <w:szCs w:val="18"/>
              </w:rPr>
              <w:t>q) až u)</w:t>
            </w:r>
            <w:r w:rsidRPr="00966983">
              <w:rPr>
                <w:sz w:val="18"/>
                <w:szCs w:val="18"/>
              </w:rPr>
              <w:t>, w) až y).</w:t>
            </w:r>
          </w:p>
          <w:p w:rsidR="005B36B3" w:rsidRPr="00966983" w:rsidRDefault="005B36B3" w:rsidP="005B36B3">
            <w:pPr>
              <w:jc w:val="both"/>
              <w:rPr>
                <w:sz w:val="18"/>
                <w:szCs w:val="18"/>
              </w:rPr>
            </w:pPr>
          </w:p>
          <w:p w:rsidR="005B36B3" w:rsidRPr="00966983" w:rsidRDefault="005B36B3" w:rsidP="005B36B3">
            <w:pPr>
              <w:jc w:val="both"/>
              <w:rPr>
                <w:sz w:val="18"/>
                <w:szCs w:val="18"/>
              </w:rPr>
            </w:pPr>
            <w:r w:rsidRPr="00966983">
              <w:rPr>
                <w:sz w:val="18"/>
                <w:szCs w:val="18"/>
              </w:rPr>
              <w:t xml:space="preserve">(5) Národná banka Slovenska žiadosť o vydanie rozhodnutia o registrácii podľa odseku 1 zamietne, ak žiadosť neobsahuje niektorú z náležitostí podľa </w:t>
            </w:r>
            <w:r w:rsidRPr="00966983">
              <w:rPr>
                <w:b/>
                <w:sz w:val="18"/>
                <w:szCs w:val="18"/>
              </w:rPr>
              <w:t>odsekov 2 a 3</w:t>
            </w:r>
            <w:r w:rsidRPr="00966983">
              <w:rPr>
                <w:sz w:val="18"/>
                <w:szCs w:val="18"/>
              </w:rPr>
              <w:t>. Dôvodom na zamietnutie žiadosti o vydanie rozhodnutia o registrácii podľa odseku 1 nesmú byť ekonomické potreby trhu. Dôvodom na zamietnutie žiadosti o vydanie rozhodnutia o registrácii podľa odseku 1 môže byť zachovanie stability platobného systému alebo nesplnenie podmienok podľa odseku 6.</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C923B7"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65</w:t>
            </w:r>
          </w:p>
          <w:p w:rsidR="005B36B3" w:rsidRPr="00966983" w:rsidRDefault="005B36B3" w:rsidP="005B36B3">
            <w:pPr>
              <w:rPr>
                <w:sz w:val="18"/>
                <w:szCs w:val="18"/>
              </w:rPr>
            </w:pPr>
            <w:r w:rsidRPr="00966983">
              <w:rPr>
                <w:sz w:val="18"/>
                <w:szCs w:val="18"/>
              </w:rPr>
              <w:t>O 2</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2. Poskytovateľ platobných služieb môže požiadať o potvrdenie uvedené v odseku 1, ak sú splnené všetky tieto podmienky:</w:t>
            </w:r>
          </w:p>
          <w:p w:rsidR="005B36B3" w:rsidRPr="00966983" w:rsidRDefault="005B36B3" w:rsidP="005B36B3">
            <w:pPr>
              <w:rPr>
                <w:sz w:val="18"/>
                <w:szCs w:val="18"/>
              </w:rPr>
            </w:pPr>
            <w:r w:rsidRPr="00966983">
              <w:rPr>
                <w:sz w:val="18"/>
                <w:szCs w:val="18"/>
              </w:rPr>
              <w:t>a) platiteľ udelil výslovný súhlas poskytovateľovi platobných služieb s tým, aby poskytovateľ platobných služieb požadoval potvrdenie uvedené v odseku 1;</w:t>
            </w:r>
          </w:p>
          <w:p w:rsidR="005B36B3" w:rsidRPr="00966983" w:rsidRDefault="005B36B3" w:rsidP="005B36B3">
            <w:pPr>
              <w:rPr>
                <w:sz w:val="18"/>
                <w:szCs w:val="18"/>
              </w:rPr>
            </w:pPr>
            <w:r w:rsidRPr="00966983">
              <w:rPr>
                <w:sz w:val="18"/>
                <w:szCs w:val="18"/>
              </w:rPr>
              <w:t>b) platiteľ inicioval platobnú transakciu viazanú na kartu v predmetnej sume s použitím platobného nástroja viazaného na kartu, ktorý vydal poskytovateľ platobných služieb;</w:t>
            </w:r>
          </w:p>
          <w:p w:rsidR="005B36B3" w:rsidRPr="00966983" w:rsidRDefault="005B36B3" w:rsidP="005B36B3">
            <w:pPr>
              <w:rPr>
                <w:sz w:val="18"/>
                <w:szCs w:val="18"/>
              </w:rPr>
            </w:pPr>
            <w:r w:rsidRPr="00966983">
              <w:rPr>
                <w:sz w:val="18"/>
                <w:szCs w:val="18"/>
              </w:rPr>
              <w:t>c) pri každej žiadosti o potvrdenie sa poskytovateľ platobných služieb autentifikuje voči poskytovateľovi platobných služieb spravujúcemu účet a v súlade s článkom 98 ods. 1 písm. d) bezpečne komunikuje s poskytovateľom platobných služieb spravujúcim účet.</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t>492/2009</w:t>
            </w:r>
            <w:r w:rsidRPr="00966983">
              <w:rPr>
                <w:b/>
                <w:sz w:val="20"/>
                <w:szCs w:val="20"/>
              </w:rPr>
              <w:t> </w:t>
            </w:r>
            <w:r w:rsidRPr="00966983">
              <w:rPr>
                <w:b/>
                <w:sz w:val="18"/>
                <w:szCs w:val="18"/>
              </w:rPr>
              <w:t>a návrh zákona</w:t>
            </w:r>
            <w:r w:rsidR="00C923B7" w:rsidRPr="00966983">
              <w:rPr>
                <w:b/>
                <w:sz w:val="18"/>
                <w:szCs w:val="18"/>
              </w:rPr>
              <w:t xml:space="preserve"> čl.</w:t>
            </w:r>
            <w:r w:rsidR="009C569D" w:rsidRPr="00966983">
              <w:rPr>
                <w:b/>
                <w:sz w:val="18"/>
                <w:szCs w:val="18"/>
              </w:rPr>
              <w:t xml:space="preserve"> </w:t>
            </w:r>
            <w:r w:rsidR="00C923B7" w:rsidRPr="00966983">
              <w:rPr>
                <w:b/>
                <w:sz w:val="18"/>
                <w:szCs w:val="18"/>
              </w:rPr>
              <w:t>I</w:t>
            </w:r>
            <w:r w:rsidR="009C569D" w:rsidRPr="00966983">
              <w:rPr>
                <w:b/>
                <w:sz w:val="18"/>
                <w:szCs w:val="18"/>
              </w:rPr>
              <w:t>V</w:t>
            </w:r>
            <w:r w:rsidR="00C923B7" w:rsidRPr="00966983">
              <w:rPr>
                <w:b/>
                <w:sz w:val="18"/>
                <w:szCs w:val="18"/>
              </w:rPr>
              <w:t xml:space="preserve"> </w:t>
            </w:r>
            <w:r w:rsidR="00C923B7" w:rsidRPr="00966983">
              <w:rPr>
                <w:sz w:val="18"/>
                <w:szCs w:val="18"/>
              </w:rPr>
              <w:t xml:space="preserve"> </w:t>
            </w:r>
          </w:p>
          <w:p w:rsidR="005B36B3" w:rsidRPr="00966983" w:rsidRDefault="005B36B3" w:rsidP="005B36B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28b O 2</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r w:rsidRPr="00966983">
              <w:rPr>
                <w:sz w:val="18"/>
                <w:szCs w:val="18"/>
              </w:rPr>
              <w:t>(2) Poskytovateľ platobných služieb môže požiadať o zaslanie potvrdenia podľa odseku 1, ak</w:t>
            </w:r>
          </w:p>
          <w:p w:rsidR="005B36B3" w:rsidRPr="00966983" w:rsidRDefault="005B36B3" w:rsidP="005B36B3">
            <w:pPr>
              <w:jc w:val="both"/>
              <w:rPr>
                <w:sz w:val="18"/>
                <w:szCs w:val="18"/>
              </w:rPr>
            </w:pPr>
            <w:r w:rsidRPr="00966983">
              <w:rPr>
                <w:sz w:val="18"/>
                <w:szCs w:val="18"/>
              </w:rPr>
              <w:t>a) mu platiteľ udelil súhlas, aby požadoval vydanie potvrdenia podľa odseku 1,</w:t>
            </w:r>
          </w:p>
          <w:p w:rsidR="005B36B3" w:rsidRPr="00966983" w:rsidRDefault="005B36B3" w:rsidP="005B36B3">
            <w:pPr>
              <w:jc w:val="both"/>
              <w:rPr>
                <w:sz w:val="18"/>
                <w:szCs w:val="18"/>
              </w:rPr>
            </w:pPr>
            <w:r w:rsidRPr="00966983">
              <w:rPr>
                <w:sz w:val="18"/>
                <w:szCs w:val="18"/>
              </w:rPr>
              <w:t>b) platiteľ dal podnet na vykonanie platobnej operácie viazanej na platobnú kartu na danú sumu s použitím platobného prostriedku viazaného na platobnú kartu, ktorú vydal tento poskytovateľ platobných služieb,</w:t>
            </w:r>
          </w:p>
          <w:p w:rsidR="005B36B3" w:rsidRPr="00966983" w:rsidRDefault="005B36B3" w:rsidP="005B36B3">
            <w:pPr>
              <w:jc w:val="both"/>
              <w:rPr>
                <w:sz w:val="18"/>
                <w:szCs w:val="18"/>
              </w:rPr>
            </w:pPr>
            <w:r w:rsidRPr="00966983">
              <w:rPr>
                <w:sz w:val="18"/>
                <w:szCs w:val="18"/>
              </w:rPr>
              <w:t xml:space="preserve">c) sa pri každej žiadosti o vydanie potvrdenia poskytovateľ platobných služieb autentifikuje poskytovateľovi platobných služieb, ktorý vedie platobný účet a bezpečne s ním komunikuje podľa osobitného predpisu </w:t>
            </w:r>
            <w:r w:rsidRPr="00966983">
              <w:rPr>
                <w:b/>
                <w:strike/>
                <w:sz w:val="18"/>
                <w:szCs w:val="18"/>
              </w:rPr>
              <w:t>o vydaní regulačného technického predpisu vydaného  na základe  osobitného predpisu</w:t>
            </w:r>
            <w:r w:rsidRPr="00966983">
              <w:rPr>
                <w:b/>
                <w:sz w:val="18"/>
                <w:szCs w:val="18"/>
              </w:rPr>
              <w:t>.</w:t>
            </w:r>
            <w:r w:rsidRPr="00966983">
              <w:rPr>
                <w:sz w:val="18"/>
                <w:szCs w:val="18"/>
              </w:rPr>
              <w:t xml:space="preserve"> </w:t>
            </w:r>
            <w:r w:rsidRPr="00966983">
              <w:rPr>
                <w:sz w:val="18"/>
                <w:szCs w:val="18"/>
                <w:vertAlign w:val="superscript"/>
              </w:rPr>
              <w:t>15a)</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C923B7"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66</w:t>
            </w:r>
          </w:p>
          <w:p w:rsidR="005B36B3" w:rsidRPr="00966983" w:rsidRDefault="005B36B3" w:rsidP="005B36B3">
            <w:pPr>
              <w:rPr>
                <w:sz w:val="18"/>
                <w:szCs w:val="18"/>
              </w:rPr>
            </w:pPr>
            <w:r w:rsidRPr="00966983">
              <w:rPr>
                <w:sz w:val="18"/>
                <w:szCs w:val="18"/>
              </w:rPr>
              <w:t>O 3</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3. Poskytovateľ platobných iniciačných služieb:</w:t>
            </w:r>
          </w:p>
          <w:p w:rsidR="005B36B3" w:rsidRPr="00966983" w:rsidRDefault="005B36B3" w:rsidP="005B36B3">
            <w:pPr>
              <w:rPr>
                <w:sz w:val="18"/>
                <w:szCs w:val="18"/>
              </w:rPr>
            </w:pPr>
            <w:r w:rsidRPr="00966983">
              <w:rPr>
                <w:sz w:val="18"/>
                <w:szCs w:val="18"/>
              </w:rPr>
              <w:t>a) nesmie mať nikdy v súvislosti s poskytovaním platobnej iniciačnej služby v držbe finančné prostriedky platiteľa;</w:t>
            </w:r>
          </w:p>
          <w:p w:rsidR="005B36B3" w:rsidRPr="00966983" w:rsidRDefault="005B36B3" w:rsidP="005B36B3">
            <w:pPr>
              <w:rPr>
                <w:sz w:val="18"/>
                <w:szCs w:val="18"/>
              </w:rPr>
            </w:pPr>
            <w:r w:rsidRPr="00966983">
              <w:rPr>
                <w:sz w:val="18"/>
                <w:szCs w:val="18"/>
              </w:rPr>
              <w:t>b) zabezpečí, aby personalizované bezpečnostné údaje používateľa platobných služieb neboli, s výnimkou používateľa a vydavateľa personalizovaných bezpečnostných prvkov, prístupné iným stranám a aby sa zasielali prostredníctvom poskytovateľa platobných iniciačných služieb bezpečnými a efektívnymi kanálmi;</w:t>
            </w:r>
          </w:p>
          <w:p w:rsidR="005B36B3" w:rsidRPr="00966983" w:rsidRDefault="005B36B3" w:rsidP="005B36B3">
            <w:pPr>
              <w:rPr>
                <w:sz w:val="18"/>
                <w:szCs w:val="18"/>
              </w:rPr>
            </w:pPr>
            <w:r w:rsidRPr="00966983">
              <w:rPr>
                <w:sz w:val="18"/>
                <w:szCs w:val="18"/>
              </w:rPr>
              <w:t>c) zabezpečí, aby sa akékoľvek iné informácie o používateľovi platobných služieb získané pri poskytovaní platobných iniciačných služieb, poskytovali len príjemcovi platby a len na základe výslovného súhlasu používateľa platobných služieb;</w:t>
            </w:r>
          </w:p>
          <w:p w:rsidR="005B36B3" w:rsidRPr="00966983" w:rsidRDefault="005B36B3" w:rsidP="005B36B3">
            <w:pPr>
              <w:rPr>
                <w:sz w:val="18"/>
                <w:szCs w:val="18"/>
              </w:rPr>
            </w:pPr>
            <w:r w:rsidRPr="00966983">
              <w:rPr>
                <w:sz w:val="18"/>
                <w:szCs w:val="18"/>
              </w:rPr>
              <w:t>d) vždy, keď sa iniciuje platba, sa identifikuje voči poskytovateľovi platobných služieb spravujúcemu účet platiteľa a v súlade s článkom 98 ods. 1 písm. d) bezpečným spôsobom komunikuje s poskytovateľom platobných služieb spravujúcim účet, platiteľom a príjemcom platby;</w:t>
            </w:r>
          </w:p>
          <w:p w:rsidR="005B36B3" w:rsidRPr="00966983" w:rsidRDefault="005B36B3" w:rsidP="005B36B3">
            <w:pPr>
              <w:rPr>
                <w:sz w:val="18"/>
                <w:szCs w:val="18"/>
              </w:rPr>
            </w:pPr>
            <w:r w:rsidRPr="00966983">
              <w:rPr>
                <w:sz w:val="18"/>
                <w:szCs w:val="18"/>
              </w:rPr>
              <w:t>e) neuchováva citlivé platobné údaje používateľa platobných služieb;</w:t>
            </w:r>
          </w:p>
          <w:p w:rsidR="005B36B3" w:rsidRPr="00966983" w:rsidRDefault="005B36B3" w:rsidP="005B36B3">
            <w:pPr>
              <w:rPr>
                <w:sz w:val="18"/>
                <w:szCs w:val="18"/>
              </w:rPr>
            </w:pPr>
            <w:r w:rsidRPr="00966983">
              <w:rPr>
                <w:sz w:val="18"/>
                <w:szCs w:val="18"/>
              </w:rPr>
              <w:lastRenderedPageBreak/>
              <w:t>f) nepožaduje od používateľa platobných služieb žiadne iné údaje než tie, ktoré sú nevyhnutné na poskytnutie platobnej iniciačnej služby;</w:t>
            </w:r>
          </w:p>
          <w:p w:rsidR="005B36B3" w:rsidRPr="00966983" w:rsidRDefault="005B36B3" w:rsidP="005B36B3">
            <w:pPr>
              <w:rPr>
                <w:sz w:val="18"/>
                <w:szCs w:val="18"/>
              </w:rPr>
            </w:pPr>
            <w:r w:rsidRPr="00966983">
              <w:rPr>
                <w:sz w:val="18"/>
                <w:szCs w:val="18"/>
              </w:rPr>
              <w:t>g) nepoužíva alebo neuchováva žiadne údaje na iné účely, než je poskytnutie platobnej iniciačnej služby výslovne požadovanej platiteľom, ani k takýmto údajom nepristupuje;</w:t>
            </w:r>
          </w:p>
          <w:p w:rsidR="005B36B3" w:rsidRPr="00966983" w:rsidRDefault="005B36B3" w:rsidP="005B36B3">
            <w:pPr>
              <w:rPr>
                <w:sz w:val="18"/>
                <w:szCs w:val="18"/>
              </w:rPr>
            </w:pPr>
            <w:r w:rsidRPr="00966983">
              <w:rPr>
                <w:sz w:val="18"/>
                <w:szCs w:val="18"/>
              </w:rPr>
              <w:t>h) nemení sumu, príjemcu platby ani žiadny iný prvok transakcie.</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lastRenderedPageBreak/>
              <w:t>N</w:t>
            </w:r>
          </w:p>
        </w:tc>
        <w:tc>
          <w:tcPr>
            <w:tcW w:w="851" w:type="dxa"/>
            <w:tcBorders>
              <w:top w:val="single" w:sz="4" w:space="0" w:color="auto"/>
              <w:left w:val="nil"/>
              <w:bottom w:val="single" w:sz="4" w:space="0" w:color="auto"/>
              <w:right w:val="single" w:sz="4" w:space="0" w:color="auto"/>
            </w:tcBorders>
          </w:tcPr>
          <w:p w:rsidR="005B36B3" w:rsidRPr="00966983" w:rsidRDefault="005B36B3" w:rsidP="005B36B3">
            <w:pPr>
              <w:jc w:val="center"/>
              <w:rPr>
                <w:b/>
                <w:sz w:val="18"/>
                <w:szCs w:val="18"/>
              </w:rPr>
            </w:pPr>
            <w:r w:rsidRPr="00966983">
              <w:rPr>
                <w:sz w:val="18"/>
                <w:szCs w:val="18"/>
              </w:rPr>
              <w:t>492/2009</w:t>
            </w:r>
          </w:p>
          <w:p w:rsidR="005B36B3" w:rsidRPr="00966983" w:rsidRDefault="005B36B3" w:rsidP="005B36B3">
            <w:pPr>
              <w:jc w:val="center"/>
              <w:rPr>
                <w:sz w:val="18"/>
                <w:szCs w:val="18"/>
              </w:rPr>
            </w:pPr>
            <w:r w:rsidRPr="00966983">
              <w:rPr>
                <w:b/>
                <w:sz w:val="18"/>
                <w:szCs w:val="18"/>
              </w:rPr>
              <w:t>a návrh zákona</w:t>
            </w:r>
            <w:r w:rsidR="00C923B7" w:rsidRPr="00966983">
              <w:rPr>
                <w:b/>
                <w:sz w:val="18"/>
                <w:szCs w:val="18"/>
              </w:rPr>
              <w:t xml:space="preserve"> čl.</w:t>
            </w:r>
            <w:r w:rsidR="009C569D" w:rsidRPr="00966983">
              <w:rPr>
                <w:b/>
                <w:sz w:val="18"/>
                <w:szCs w:val="18"/>
              </w:rPr>
              <w:t xml:space="preserve"> </w:t>
            </w:r>
            <w:r w:rsidR="00C923B7" w:rsidRPr="00966983">
              <w:rPr>
                <w:b/>
                <w:sz w:val="18"/>
                <w:szCs w:val="18"/>
              </w:rPr>
              <w:t>I</w:t>
            </w:r>
            <w:r w:rsidR="009C569D" w:rsidRPr="00966983">
              <w:rPr>
                <w:b/>
                <w:sz w:val="18"/>
                <w:szCs w:val="18"/>
              </w:rPr>
              <w:t>V</w:t>
            </w:r>
            <w:r w:rsidR="00C923B7" w:rsidRPr="00966983">
              <w:rPr>
                <w:b/>
                <w:sz w:val="18"/>
                <w:szCs w:val="18"/>
              </w:rPr>
              <w:t xml:space="preserve"> </w:t>
            </w:r>
            <w:r w:rsidR="00C923B7" w:rsidRPr="00966983">
              <w:rPr>
                <w:sz w:val="18"/>
                <w:szCs w:val="18"/>
              </w:rPr>
              <w:t xml:space="preserve"> </w:t>
            </w:r>
          </w:p>
          <w:p w:rsidR="005B36B3" w:rsidRPr="00966983" w:rsidRDefault="005B36B3" w:rsidP="005B36B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3a O 3 a 4</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r w:rsidRPr="00966983">
              <w:rPr>
                <w:sz w:val="18"/>
                <w:szCs w:val="18"/>
              </w:rPr>
              <w:t>(3) Poskytovateľ platobných iniciačných služieb je povinný</w:t>
            </w:r>
          </w:p>
          <w:p w:rsidR="005B36B3" w:rsidRPr="00966983" w:rsidRDefault="005B36B3" w:rsidP="005B36B3">
            <w:pPr>
              <w:jc w:val="both"/>
              <w:rPr>
                <w:sz w:val="18"/>
                <w:szCs w:val="18"/>
              </w:rPr>
            </w:pPr>
            <w:r w:rsidRPr="00966983">
              <w:rPr>
                <w:sz w:val="18"/>
                <w:szCs w:val="18"/>
              </w:rPr>
              <w:t>a) zabezpečiť, aby personalizované bezpečnostné prvky používateľa platobných služieb boli prístupné len tomuto používateľovi a ich vydavateľovi,</w:t>
            </w:r>
          </w:p>
          <w:p w:rsidR="005B36B3" w:rsidRPr="00966983" w:rsidRDefault="005B36B3" w:rsidP="005B36B3">
            <w:pPr>
              <w:jc w:val="both"/>
              <w:rPr>
                <w:sz w:val="18"/>
                <w:szCs w:val="18"/>
              </w:rPr>
            </w:pPr>
            <w:r w:rsidRPr="00966983">
              <w:rPr>
                <w:sz w:val="18"/>
                <w:szCs w:val="18"/>
              </w:rPr>
              <w:t>b) zabezpečiť zasielanie personalizovaných bezpečnostných prvkov používateľa platobných služieb bezpečnými a efektívnymi prostriedkami tak, aby neboli prístupné iným osobám,</w:t>
            </w:r>
          </w:p>
          <w:p w:rsidR="005B36B3" w:rsidRPr="00966983" w:rsidRDefault="005B36B3" w:rsidP="005B36B3">
            <w:pPr>
              <w:jc w:val="both"/>
              <w:rPr>
                <w:sz w:val="18"/>
                <w:szCs w:val="18"/>
              </w:rPr>
            </w:pPr>
            <w:r w:rsidRPr="00966983">
              <w:rPr>
                <w:sz w:val="18"/>
                <w:szCs w:val="18"/>
              </w:rPr>
              <w:t>c) zabezpečiť, aby sa akékoľvek iné informácie o platiteľovi získané pri poskytovaní platobných iniciačných služieb, okrem informácií podľa písmena a), poskytli len príjemcovi, a to na základe preukázateľného súhlasu platiteľa,</w:t>
            </w:r>
          </w:p>
          <w:p w:rsidR="005B36B3" w:rsidRPr="00966983" w:rsidRDefault="005B36B3" w:rsidP="005B36B3">
            <w:pPr>
              <w:pStyle w:val="Textkomentra"/>
              <w:jc w:val="both"/>
              <w:rPr>
                <w:sz w:val="18"/>
                <w:szCs w:val="18"/>
              </w:rPr>
            </w:pPr>
            <w:r w:rsidRPr="00966983">
              <w:rPr>
                <w:sz w:val="18"/>
                <w:szCs w:val="18"/>
              </w:rPr>
              <w:t>d) identifikovať sa pri každom poskytnutí platobnej iniciačnej služby u poskytovateľa platobných služieb, ktorý vedie platobný účet a komunikovať s ním a s používateľom platobných služieb bezpečným spôsobom, v súlade s osobitným predpisom</w:t>
            </w:r>
            <w:r w:rsidRPr="00966983">
              <w:rPr>
                <w:b/>
                <w:strike/>
                <w:sz w:val="18"/>
                <w:szCs w:val="18"/>
              </w:rPr>
              <w:t xml:space="preserve"> o vydaní regulačného technického predpisu vydaným  na základe osobitného predpisu</w:t>
            </w:r>
            <w:r w:rsidRPr="00966983">
              <w:rPr>
                <w:b/>
                <w:sz w:val="18"/>
                <w:szCs w:val="18"/>
              </w:rPr>
              <w:t>.</w:t>
            </w:r>
            <w:r w:rsidRPr="00966983">
              <w:rPr>
                <w:sz w:val="18"/>
                <w:szCs w:val="18"/>
                <w:vertAlign w:val="superscript"/>
              </w:rPr>
              <w:t>15a</w:t>
            </w:r>
            <w:r w:rsidRPr="00966983">
              <w:rPr>
                <w:sz w:val="18"/>
                <w:szCs w:val="18"/>
              </w:rPr>
              <w:t>)</w:t>
            </w:r>
          </w:p>
          <w:p w:rsidR="005B36B3" w:rsidRPr="00966983" w:rsidRDefault="005B36B3" w:rsidP="005B36B3">
            <w:pPr>
              <w:jc w:val="both"/>
              <w:rPr>
                <w:sz w:val="18"/>
                <w:szCs w:val="18"/>
              </w:rPr>
            </w:pPr>
          </w:p>
          <w:p w:rsidR="005B36B3" w:rsidRPr="00966983" w:rsidRDefault="005B36B3" w:rsidP="005B36B3">
            <w:pPr>
              <w:jc w:val="both"/>
              <w:rPr>
                <w:sz w:val="18"/>
                <w:szCs w:val="18"/>
              </w:rPr>
            </w:pPr>
            <w:r w:rsidRPr="00966983">
              <w:rPr>
                <w:sz w:val="18"/>
                <w:szCs w:val="18"/>
              </w:rPr>
              <w:t>(4) Poskytovateľ platobných iniciačných služieb nemôže</w:t>
            </w:r>
          </w:p>
          <w:p w:rsidR="005B36B3" w:rsidRPr="00966983" w:rsidRDefault="005B36B3" w:rsidP="005B36B3">
            <w:pPr>
              <w:jc w:val="both"/>
              <w:rPr>
                <w:sz w:val="18"/>
                <w:szCs w:val="18"/>
              </w:rPr>
            </w:pPr>
            <w:r w:rsidRPr="00966983">
              <w:rPr>
                <w:sz w:val="18"/>
                <w:szCs w:val="18"/>
              </w:rPr>
              <w:t>a) uchovávať citlivé platobné údaje  používateľa platobných služieb,</w:t>
            </w:r>
          </w:p>
          <w:p w:rsidR="005B36B3" w:rsidRPr="00966983" w:rsidRDefault="005B36B3" w:rsidP="005B36B3">
            <w:pPr>
              <w:jc w:val="both"/>
              <w:rPr>
                <w:sz w:val="18"/>
                <w:szCs w:val="18"/>
              </w:rPr>
            </w:pPr>
            <w:r w:rsidRPr="00966983">
              <w:rPr>
                <w:sz w:val="18"/>
                <w:szCs w:val="18"/>
              </w:rPr>
              <w:t xml:space="preserve">b) požadovať od používateľa platobných služieb žiadne iné údaje okrem tých, ktoré sú nevyhnutné na poskytnutie platobnej iniciačnej služby, </w:t>
            </w:r>
          </w:p>
          <w:p w:rsidR="005B36B3" w:rsidRPr="00966983" w:rsidRDefault="005B36B3" w:rsidP="005B36B3">
            <w:pPr>
              <w:jc w:val="both"/>
              <w:rPr>
                <w:sz w:val="18"/>
                <w:szCs w:val="18"/>
              </w:rPr>
            </w:pPr>
            <w:r w:rsidRPr="00966983">
              <w:rPr>
                <w:sz w:val="18"/>
                <w:szCs w:val="18"/>
              </w:rPr>
              <w:t xml:space="preserve">c) mať prístup, používať alebo uchovávať údaje na iné účely, ako je poskytnutie platobnej iniciačnej služby preukázateľne požadovanej platiteľom, </w:t>
            </w:r>
          </w:p>
          <w:p w:rsidR="005B36B3" w:rsidRPr="00966983" w:rsidRDefault="005B36B3" w:rsidP="005B36B3">
            <w:pPr>
              <w:jc w:val="both"/>
              <w:rPr>
                <w:sz w:val="18"/>
                <w:szCs w:val="18"/>
              </w:rPr>
            </w:pPr>
            <w:r w:rsidRPr="00966983">
              <w:rPr>
                <w:sz w:val="18"/>
                <w:szCs w:val="18"/>
              </w:rPr>
              <w:t>d) meniť sumu, príjemcu alebo iný údaj platobnej operácie,</w:t>
            </w:r>
          </w:p>
          <w:p w:rsidR="005B36B3" w:rsidRPr="00966983" w:rsidRDefault="005B36B3" w:rsidP="005B36B3">
            <w:pPr>
              <w:jc w:val="both"/>
              <w:rPr>
                <w:b/>
                <w:sz w:val="18"/>
                <w:szCs w:val="18"/>
              </w:rPr>
            </w:pPr>
            <w:r w:rsidRPr="00966983">
              <w:rPr>
                <w:sz w:val="18"/>
                <w:szCs w:val="18"/>
              </w:rPr>
              <w:t>e) mať v držbe finančné prostriedky platiteľa kedykoľvek počas poskytovania platobnej iniciačnej služby.</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lastRenderedPageBreak/>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66</w:t>
            </w:r>
          </w:p>
          <w:p w:rsidR="005B36B3" w:rsidRPr="00966983" w:rsidRDefault="005B36B3" w:rsidP="005B36B3">
            <w:pPr>
              <w:rPr>
                <w:sz w:val="18"/>
                <w:szCs w:val="18"/>
              </w:rPr>
            </w:pPr>
            <w:r w:rsidRPr="00966983">
              <w:rPr>
                <w:sz w:val="18"/>
                <w:szCs w:val="18"/>
              </w:rPr>
              <w:t>O 4</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4. Poskytovateľ platobných služieb spravujúci účet:</w:t>
            </w:r>
          </w:p>
          <w:p w:rsidR="005B36B3" w:rsidRPr="00966983" w:rsidRDefault="005B36B3" w:rsidP="005B36B3">
            <w:pPr>
              <w:rPr>
                <w:sz w:val="18"/>
                <w:szCs w:val="18"/>
              </w:rPr>
            </w:pPr>
            <w:r w:rsidRPr="00966983">
              <w:rPr>
                <w:sz w:val="18"/>
                <w:szCs w:val="18"/>
              </w:rPr>
              <w:t>a) v súlade s článkom 98 ods. 1 písm. d) bezpečne komunikuje s poskytovateľmi platobných iniciačných služieb;</w:t>
            </w:r>
          </w:p>
          <w:p w:rsidR="005B36B3" w:rsidRPr="00966983" w:rsidRDefault="005B36B3" w:rsidP="005B36B3">
            <w:pPr>
              <w:rPr>
                <w:sz w:val="18"/>
                <w:szCs w:val="18"/>
              </w:rPr>
            </w:pPr>
            <w:r w:rsidRPr="00966983">
              <w:rPr>
                <w:sz w:val="18"/>
                <w:szCs w:val="18"/>
              </w:rPr>
              <w:t>b) ihneď po prijatí platobného príkazu od poskytovateľa platobných iniciačných služieb poskytne alebo sprístupní poskytovateľovi platobných iniciačných služieb všetky informácie o iniciovaní platobnej transakcie a všetky informácie prístupné poskytovateľovi platobných služieb spravujúcemu účet týkajúce sa vykonania platobnej transakcie;</w:t>
            </w:r>
          </w:p>
          <w:p w:rsidR="005B36B3" w:rsidRPr="00966983" w:rsidRDefault="005B36B3" w:rsidP="005B36B3">
            <w:pPr>
              <w:rPr>
                <w:sz w:val="18"/>
                <w:szCs w:val="18"/>
              </w:rPr>
            </w:pPr>
            <w:r w:rsidRPr="00966983">
              <w:rPr>
                <w:sz w:val="18"/>
                <w:szCs w:val="18"/>
              </w:rPr>
              <w:t>c) zaobchádza s platobnými príkazmi zaslanými prostredníctvom služieb poskytovateľa platobných iniciačných služieb bez akejkoľvek diskriminácie, okrem objektívne odôvodnených prípadov, ako s platobnými príkazmi, ktoré zaslal priamo platiteľ, najmä pokiaľ ide o ich načasovanie, prioritu a poplatky.</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t>492/2009</w:t>
            </w:r>
            <w:r w:rsidRPr="00966983">
              <w:rPr>
                <w:b/>
                <w:sz w:val="18"/>
                <w:szCs w:val="18"/>
              </w:rPr>
              <w:t xml:space="preserve"> a návrh zákona</w:t>
            </w:r>
            <w:r w:rsidR="00CE565A" w:rsidRPr="00966983">
              <w:rPr>
                <w:b/>
                <w:sz w:val="18"/>
                <w:szCs w:val="18"/>
              </w:rPr>
              <w:t xml:space="preserve"> čl.</w:t>
            </w:r>
            <w:r w:rsidR="009C569D" w:rsidRPr="00966983">
              <w:rPr>
                <w:b/>
                <w:sz w:val="18"/>
                <w:szCs w:val="18"/>
              </w:rPr>
              <w:t xml:space="preserve"> </w:t>
            </w:r>
            <w:r w:rsidR="00CE565A" w:rsidRPr="00966983">
              <w:rPr>
                <w:b/>
                <w:sz w:val="18"/>
                <w:szCs w:val="18"/>
              </w:rPr>
              <w:t>I</w:t>
            </w:r>
            <w:r w:rsidR="009C569D" w:rsidRPr="00966983">
              <w:rPr>
                <w:b/>
                <w:sz w:val="18"/>
                <w:szCs w:val="18"/>
              </w:rPr>
              <w:t>V</w:t>
            </w:r>
            <w:r w:rsidR="00CE565A" w:rsidRPr="00966983">
              <w:rPr>
                <w:sz w:val="18"/>
                <w:szCs w:val="18"/>
              </w:rPr>
              <w:t xml:space="preserve"> </w:t>
            </w:r>
          </w:p>
          <w:p w:rsidR="005B36B3" w:rsidRPr="00966983" w:rsidRDefault="005B36B3" w:rsidP="005B36B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3a O 5</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r w:rsidRPr="00966983">
              <w:rPr>
                <w:sz w:val="18"/>
                <w:szCs w:val="18"/>
              </w:rPr>
              <w:t>(5) Poskytovateľ platobných služieb, ktorý vedie platobný účet, je povinný</w:t>
            </w:r>
          </w:p>
          <w:p w:rsidR="005B36B3" w:rsidRPr="00966983" w:rsidRDefault="005B36B3" w:rsidP="005B36B3">
            <w:pPr>
              <w:jc w:val="both"/>
              <w:rPr>
                <w:sz w:val="18"/>
                <w:szCs w:val="18"/>
              </w:rPr>
            </w:pPr>
            <w:r w:rsidRPr="00966983">
              <w:rPr>
                <w:sz w:val="18"/>
                <w:szCs w:val="18"/>
              </w:rPr>
              <w:t xml:space="preserve">a) komunikovať bezpečným spôsobom s poskytovateľom platobných iniciačných služieb v súlade s osobitným predpisom </w:t>
            </w:r>
            <w:r w:rsidRPr="00966983">
              <w:rPr>
                <w:b/>
                <w:strike/>
                <w:sz w:val="18"/>
                <w:szCs w:val="18"/>
              </w:rPr>
              <w:t>o vydaní regulačného technického predpisu vydaným  na základe  osobitného predpisu</w:t>
            </w:r>
            <w:r w:rsidRPr="00966983">
              <w:rPr>
                <w:sz w:val="18"/>
                <w:szCs w:val="18"/>
              </w:rPr>
              <w:t>15a) a bezodkladne po prijatí platobného príkazu od poskytovateľa platobných iniciačných služieb mu poskytnúť alebo sprístupniť všetky informácie o začatí platobnej operácie, ako aj všetky  informácie týkajúce sa jej vykonania, ktoré sú prístupné poskytovateľovi platobných služieb, ktorý vedie platobný účet,</w:t>
            </w:r>
          </w:p>
          <w:p w:rsidR="005B36B3" w:rsidRPr="00966983" w:rsidRDefault="005B36B3" w:rsidP="005B36B3">
            <w:pPr>
              <w:jc w:val="both"/>
              <w:rPr>
                <w:sz w:val="18"/>
                <w:szCs w:val="18"/>
              </w:rPr>
            </w:pPr>
            <w:r w:rsidRPr="00966983">
              <w:rPr>
                <w:sz w:val="18"/>
                <w:szCs w:val="18"/>
              </w:rPr>
              <w:t>b) uplatňovať na platobné príkazy zaslané prostredníctvom poskytovateľa platobných iniciačných služieb prístup rovnakého zaobchádzania ako s platobnými príkazmi, ktoré zaslal priamo platiteľ, najmä ak ide  o načasovanie, prioritu a poplatky, okrem objektívne odôvodnených prípadov.</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67</w:t>
            </w:r>
          </w:p>
          <w:p w:rsidR="005B36B3" w:rsidRPr="00966983" w:rsidRDefault="005B36B3" w:rsidP="005B36B3">
            <w:pPr>
              <w:rPr>
                <w:sz w:val="18"/>
                <w:szCs w:val="18"/>
              </w:rPr>
            </w:pPr>
            <w:r w:rsidRPr="00966983">
              <w:rPr>
                <w:sz w:val="18"/>
                <w:szCs w:val="18"/>
              </w:rPr>
              <w:t>O 2</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2. Poskytovateľ služieb informovania o účte:</w:t>
            </w:r>
          </w:p>
          <w:p w:rsidR="005B36B3" w:rsidRPr="00966983" w:rsidRDefault="005B36B3" w:rsidP="005B36B3">
            <w:pPr>
              <w:rPr>
                <w:sz w:val="18"/>
                <w:szCs w:val="18"/>
              </w:rPr>
            </w:pPr>
            <w:r w:rsidRPr="00966983">
              <w:rPr>
                <w:sz w:val="18"/>
                <w:szCs w:val="18"/>
              </w:rPr>
              <w:t>a) poskytuje služby len na základe výslovného súhlasu používateľa platobných služieb;</w:t>
            </w:r>
          </w:p>
          <w:p w:rsidR="005B36B3" w:rsidRPr="00966983" w:rsidRDefault="005B36B3" w:rsidP="005B36B3">
            <w:pPr>
              <w:rPr>
                <w:sz w:val="18"/>
                <w:szCs w:val="18"/>
              </w:rPr>
            </w:pPr>
            <w:r w:rsidRPr="00966983">
              <w:rPr>
                <w:sz w:val="18"/>
                <w:szCs w:val="18"/>
              </w:rPr>
              <w:t>b) zabezpečí, aby personalizované bezpečnostné prvky používateľa platobných služieb neboli, s výnimkou používateľa a vydavateľa personalizovaných bezpečnostných prvkov, prístupné iným stranám, a aby sa zasielali prostredníctvom poskytovateľa služieb informovania o účte bezpečnými a efektívnymi kanálmi;</w:t>
            </w:r>
          </w:p>
          <w:p w:rsidR="005B36B3" w:rsidRPr="00966983" w:rsidRDefault="005B36B3" w:rsidP="005B36B3">
            <w:pPr>
              <w:rPr>
                <w:sz w:val="18"/>
                <w:szCs w:val="18"/>
              </w:rPr>
            </w:pPr>
            <w:r w:rsidRPr="00966983">
              <w:rPr>
                <w:sz w:val="18"/>
                <w:szCs w:val="18"/>
              </w:rPr>
              <w:t>c) pri každej komunikácii sa identifikuje voči poskytovateľovi(-m) platobných služieb používateľa platobných služieb spravujúcemu(-im) účet a v súlade s článkom 98 ods. 1 písm. d) bezpečne komunikuje s poskytovateľom(-mi) platobných služieb spravujúcim(-i) účet a s používateľom platobných služieb;</w:t>
            </w:r>
          </w:p>
          <w:p w:rsidR="005B36B3" w:rsidRPr="00966983" w:rsidRDefault="005B36B3" w:rsidP="005B36B3">
            <w:pPr>
              <w:rPr>
                <w:sz w:val="18"/>
                <w:szCs w:val="18"/>
              </w:rPr>
            </w:pPr>
          </w:p>
          <w:p w:rsidR="00BA689C" w:rsidRPr="00966983" w:rsidRDefault="00BA689C" w:rsidP="005B36B3">
            <w:pPr>
              <w:rPr>
                <w:sz w:val="18"/>
                <w:szCs w:val="18"/>
              </w:rPr>
            </w:pPr>
          </w:p>
          <w:p w:rsidR="005B36B3" w:rsidRPr="00966983" w:rsidRDefault="005B36B3" w:rsidP="005B36B3">
            <w:pPr>
              <w:rPr>
                <w:sz w:val="18"/>
                <w:szCs w:val="18"/>
              </w:rPr>
            </w:pPr>
            <w:r w:rsidRPr="00966983">
              <w:rPr>
                <w:sz w:val="18"/>
                <w:szCs w:val="18"/>
              </w:rPr>
              <w:t>d) má prístup len k informáciám z určených platobných účtov a súvisiacich platobných transakcií;</w:t>
            </w:r>
          </w:p>
          <w:p w:rsidR="005B36B3" w:rsidRPr="00966983" w:rsidRDefault="005B36B3" w:rsidP="005B36B3">
            <w:pPr>
              <w:rPr>
                <w:sz w:val="18"/>
                <w:szCs w:val="18"/>
              </w:rPr>
            </w:pPr>
          </w:p>
          <w:p w:rsidR="005B36B3" w:rsidRPr="00966983" w:rsidRDefault="005B36B3" w:rsidP="005B36B3">
            <w:pPr>
              <w:rPr>
                <w:sz w:val="18"/>
                <w:szCs w:val="18"/>
              </w:rPr>
            </w:pPr>
          </w:p>
          <w:p w:rsidR="005B36B3" w:rsidRPr="00966983" w:rsidRDefault="005B36B3" w:rsidP="005B36B3">
            <w:pPr>
              <w:rPr>
                <w:sz w:val="18"/>
                <w:szCs w:val="18"/>
              </w:rPr>
            </w:pPr>
          </w:p>
          <w:p w:rsidR="005B36B3" w:rsidRPr="00966983" w:rsidRDefault="005B36B3" w:rsidP="005B36B3">
            <w:pPr>
              <w:rPr>
                <w:sz w:val="18"/>
                <w:szCs w:val="18"/>
              </w:rPr>
            </w:pPr>
            <w:r w:rsidRPr="00966983">
              <w:rPr>
                <w:sz w:val="18"/>
                <w:szCs w:val="18"/>
              </w:rPr>
              <w:t>e) nepožaduje citlivé platobné údaje súvisiace s platobnými účtami;</w:t>
            </w:r>
          </w:p>
          <w:p w:rsidR="005B36B3" w:rsidRPr="00966983" w:rsidRDefault="005B36B3" w:rsidP="005B36B3">
            <w:pPr>
              <w:rPr>
                <w:sz w:val="18"/>
                <w:szCs w:val="18"/>
              </w:rPr>
            </w:pPr>
            <w:r w:rsidRPr="00966983">
              <w:rPr>
                <w:sz w:val="18"/>
                <w:szCs w:val="18"/>
              </w:rPr>
              <w:t>f) v súlade s pravidlami o ochrane údajov nepoužíva ani neuchováva žiadne údaje na iné účely, než je vykonanie služby informovania o účte výslovne požadovanej používateľom platobných služieb, ani k takýmto údajom nepristupuje.</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5B36B3" w:rsidRPr="00966983" w:rsidRDefault="005B36B3" w:rsidP="009C569D">
            <w:pPr>
              <w:jc w:val="center"/>
              <w:rPr>
                <w:sz w:val="18"/>
                <w:szCs w:val="18"/>
              </w:rPr>
            </w:pPr>
            <w:r w:rsidRPr="00966983">
              <w:rPr>
                <w:sz w:val="18"/>
                <w:szCs w:val="18"/>
              </w:rPr>
              <w:t>492/2009</w:t>
            </w:r>
            <w:r w:rsidRPr="00966983">
              <w:rPr>
                <w:b/>
                <w:sz w:val="18"/>
                <w:szCs w:val="18"/>
              </w:rPr>
              <w:t xml:space="preserve"> a návrh zákona</w:t>
            </w:r>
            <w:r w:rsidR="00CE565A" w:rsidRPr="00966983">
              <w:rPr>
                <w:b/>
                <w:sz w:val="18"/>
                <w:szCs w:val="18"/>
              </w:rPr>
              <w:t xml:space="preserve"> čl.</w:t>
            </w:r>
            <w:r w:rsidR="009C569D" w:rsidRPr="00966983">
              <w:rPr>
                <w:b/>
                <w:sz w:val="18"/>
                <w:szCs w:val="18"/>
              </w:rPr>
              <w:t xml:space="preserve"> </w:t>
            </w:r>
            <w:r w:rsidR="00CE565A" w:rsidRPr="00966983">
              <w:rPr>
                <w:b/>
                <w:sz w:val="18"/>
                <w:szCs w:val="18"/>
              </w:rPr>
              <w:t>I</w:t>
            </w:r>
            <w:r w:rsidR="009C569D" w:rsidRPr="00966983">
              <w:rPr>
                <w:b/>
                <w:sz w:val="18"/>
                <w:szCs w:val="18"/>
              </w:rPr>
              <w:t>V</w:t>
            </w:r>
            <w:r w:rsidR="00CE565A" w:rsidRPr="00966983">
              <w:rPr>
                <w:b/>
                <w:sz w:val="18"/>
                <w:szCs w:val="18"/>
              </w:rPr>
              <w:t xml:space="preserve"> </w:t>
            </w:r>
            <w:r w:rsidR="00CE565A" w:rsidRPr="00966983">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3b O 2</w:t>
            </w: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r w:rsidRPr="00966983">
              <w:rPr>
                <w:sz w:val="18"/>
                <w:szCs w:val="18"/>
              </w:rPr>
              <w:t>O 3</w:t>
            </w: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r w:rsidRPr="00966983">
              <w:rPr>
                <w:sz w:val="18"/>
                <w:szCs w:val="18"/>
              </w:rPr>
              <w:t>O 4</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r w:rsidRPr="00966983">
              <w:rPr>
                <w:sz w:val="18"/>
                <w:szCs w:val="18"/>
              </w:rPr>
              <w:t>(2)Poskytovateľ služieb informovania o platobnom účte je povinný</w:t>
            </w:r>
          </w:p>
          <w:p w:rsidR="005B36B3" w:rsidRPr="00966983" w:rsidRDefault="005B36B3" w:rsidP="005B36B3">
            <w:pPr>
              <w:jc w:val="both"/>
              <w:rPr>
                <w:sz w:val="18"/>
                <w:szCs w:val="18"/>
              </w:rPr>
            </w:pPr>
            <w:r w:rsidRPr="00966983">
              <w:rPr>
                <w:sz w:val="18"/>
                <w:szCs w:val="18"/>
              </w:rPr>
              <w:t>a) poskytovať služby informovania o platobnom účte len na základe preukázateľného súhlasu používateľa platobných služieb,</w:t>
            </w:r>
          </w:p>
          <w:p w:rsidR="005B36B3" w:rsidRPr="00966983" w:rsidRDefault="005B36B3" w:rsidP="005B36B3">
            <w:pPr>
              <w:jc w:val="both"/>
              <w:rPr>
                <w:sz w:val="18"/>
                <w:szCs w:val="18"/>
              </w:rPr>
            </w:pPr>
            <w:r w:rsidRPr="00966983">
              <w:rPr>
                <w:sz w:val="18"/>
                <w:szCs w:val="18"/>
              </w:rPr>
              <w:t>b) zabezpečiť, aby personalizované bezpečnostné prvky používateľa platobných služieb boli prístupné len tomuto používateľovi a ich vydavateľovi,</w:t>
            </w:r>
          </w:p>
          <w:p w:rsidR="005B36B3" w:rsidRPr="00966983" w:rsidRDefault="005B36B3" w:rsidP="005B36B3">
            <w:pPr>
              <w:jc w:val="both"/>
              <w:rPr>
                <w:sz w:val="18"/>
                <w:szCs w:val="18"/>
              </w:rPr>
            </w:pPr>
            <w:r w:rsidRPr="00966983">
              <w:rPr>
                <w:sz w:val="18"/>
                <w:szCs w:val="18"/>
              </w:rPr>
              <w:t>c) zabezpečiť zasielanie personalizovaných bezpečnostných prvkov používateľa platobných služieb bezpečnými a efektívnymi prostriedkami tak, aby neboli prístupné iným osobám,</w:t>
            </w:r>
          </w:p>
          <w:p w:rsidR="005B36B3" w:rsidRPr="00966983" w:rsidRDefault="005B36B3" w:rsidP="005B36B3">
            <w:pPr>
              <w:pStyle w:val="CM4"/>
              <w:jc w:val="both"/>
              <w:rPr>
                <w:rFonts w:ascii="Times New Roman" w:hAnsi="Times New Roman"/>
                <w:sz w:val="18"/>
                <w:szCs w:val="18"/>
              </w:rPr>
            </w:pPr>
            <w:r w:rsidRPr="00966983">
              <w:rPr>
                <w:rFonts w:ascii="Times New Roman" w:hAnsi="Times New Roman"/>
                <w:sz w:val="18"/>
                <w:szCs w:val="18"/>
              </w:rPr>
              <w:t>d) identifikovať sa pri každej komunikácii s poskytovateľom platobných služieb, ktorý vedie platobný účet a komunikovať s ním, ako aj s používateľmi platobných služieb bezpečným spôsobom v súlade s </w:t>
            </w:r>
            <w:r w:rsidRPr="00966983">
              <w:rPr>
                <w:sz w:val="18"/>
                <w:szCs w:val="18"/>
              </w:rPr>
              <w:t>osobitným predpisom</w:t>
            </w:r>
            <w:r w:rsidRPr="00966983">
              <w:rPr>
                <w:rFonts w:ascii="Times New Roman" w:hAnsi="Times New Roman"/>
                <w:sz w:val="18"/>
                <w:szCs w:val="18"/>
              </w:rPr>
              <w:t xml:space="preserve"> </w:t>
            </w:r>
            <w:r w:rsidRPr="00966983">
              <w:rPr>
                <w:rFonts w:ascii="Times New Roman" w:hAnsi="Times New Roman"/>
                <w:strike/>
                <w:sz w:val="18"/>
                <w:szCs w:val="18"/>
              </w:rPr>
              <w:t xml:space="preserve">o </w:t>
            </w:r>
            <w:r w:rsidRPr="00966983">
              <w:rPr>
                <w:rFonts w:ascii="Times New Roman" w:hAnsi="Times New Roman"/>
                <w:b/>
                <w:strike/>
                <w:sz w:val="18"/>
                <w:szCs w:val="18"/>
              </w:rPr>
              <w:t>vydaní regulačného technického predpisu vydaným  na základe  osobitného predpisu</w:t>
            </w:r>
            <w:r w:rsidRPr="00966983">
              <w:rPr>
                <w:rFonts w:ascii="Times New Roman" w:hAnsi="Times New Roman"/>
                <w:b/>
                <w:sz w:val="18"/>
                <w:szCs w:val="18"/>
              </w:rPr>
              <w:t>.</w:t>
            </w:r>
            <w:r w:rsidRPr="00966983">
              <w:rPr>
                <w:rFonts w:ascii="Times New Roman" w:hAnsi="Times New Roman"/>
                <w:sz w:val="18"/>
                <w:szCs w:val="18"/>
                <w:vertAlign w:val="superscript"/>
              </w:rPr>
              <w:t>15a</w:t>
            </w:r>
            <w:r w:rsidRPr="00966983">
              <w:rPr>
                <w:rFonts w:ascii="Times New Roman" w:hAnsi="Times New Roman"/>
                <w:sz w:val="18"/>
                <w:szCs w:val="18"/>
              </w:rPr>
              <w:t>)</w:t>
            </w:r>
          </w:p>
          <w:p w:rsidR="005B36B3" w:rsidRPr="00966983" w:rsidRDefault="005B36B3" w:rsidP="005B36B3">
            <w:pPr>
              <w:jc w:val="both"/>
              <w:rPr>
                <w:sz w:val="18"/>
                <w:szCs w:val="18"/>
              </w:rPr>
            </w:pPr>
          </w:p>
          <w:p w:rsidR="005B36B3" w:rsidRPr="00966983" w:rsidRDefault="005B36B3" w:rsidP="005B36B3">
            <w:pPr>
              <w:jc w:val="both"/>
              <w:rPr>
                <w:sz w:val="18"/>
                <w:szCs w:val="18"/>
              </w:rPr>
            </w:pPr>
            <w:r w:rsidRPr="00966983">
              <w:rPr>
                <w:sz w:val="18"/>
                <w:szCs w:val="18"/>
              </w:rPr>
              <w:t>(3) Poskytovateľ služieb informovania o platobnom účte je oprávnený mať prístup len k informáciám o určených platobných účtoch a o súvisiacich platobným operáciách, ktoré vymedzil používateľ platobných služieb.</w:t>
            </w:r>
          </w:p>
          <w:p w:rsidR="005B36B3" w:rsidRPr="00966983" w:rsidRDefault="005B36B3" w:rsidP="005B36B3">
            <w:pPr>
              <w:jc w:val="both"/>
              <w:rPr>
                <w:sz w:val="18"/>
                <w:szCs w:val="18"/>
              </w:rPr>
            </w:pPr>
          </w:p>
          <w:p w:rsidR="005B36B3" w:rsidRPr="00966983" w:rsidRDefault="005B36B3" w:rsidP="005B36B3">
            <w:pPr>
              <w:pStyle w:val="CM4"/>
              <w:jc w:val="both"/>
              <w:rPr>
                <w:rFonts w:ascii="Times New Roman" w:hAnsi="Times New Roman"/>
                <w:b/>
                <w:sz w:val="18"/>
                <w:szCs w:val="18"/>
              </w:rPr>
            </w:pPr>
            <w:r w:rsidRPr="00966983">
              <w:rPr>
                <w:rFonts w:ascii="Times New Roman" w:hAnsi="Times New Roman"/>
                <w:sz w:val="18"/>
                <w:szCs w:val="18"/>
              </w:rPr>
              <w:t xml:space="preserve">(4) Poskytovateľ služieb informovania o platobnom účte nemôže požadovať od používateľa platobných služieb citlivé platobné údaje súvisiace s platobnými účtami a používať ani uchovávať údaje na iné účely, ako je vykonanie služby informovania o platobnom účte výslovne požadovanej používateľom platobných služieb, ani k takým údajom nemôže pristupovať v </w:t>
            </w:r>
            <w:r w:rsidRPr="00966983">
              <w:rPr>
                <w:rFonts w:ascii="Times New Roman" w:hAnsi="Times New Roman"/>
                <w:sz w:val="18"/>
                <w:szCs w:val="18"/>
              </w:rPr>
              <w:lastRenderedPageBreak/>
              <w:t xml:space="preserve">súlade s </w:t>
            </w:r>
            <w:r w:rsidRPr="00966983">
              <w:rPr>
                <w:sz w:val="18"/>
                <w:szCs w:val="18"/>
              </w:rPr>
              <w:t>osobitným predpisom</w:t>
            </w:r>
            <w:r w:rsidRPr="00966983">
              <w:rPr>
                <w:rFonts w:ascii="Times New Roman" w:hAnsi="Times New Roman"/>
                <w:sz w:val="18"/>
                <w:szCs w:val="18"/>
              </w:rPr>
              <w:t xml:space="preserve"> </w:t>
            </w:r>
            <w:r w:rsidRPr="00966983">
              <w:rPr>
                <w:rFonts w:ascii="Times New Roman" w:hAnsi="Times New Roman"/>
                <w:b/>
                <w:strike/>
                <w:sz w:val="18"/>
                <w:szCs w:val="18"/>
              </w:rPr>
              <w:t>o vydaní regulačného technického predpisu vydaným  na základe osobitného predpisu</w:t>
            </w:r>
            <w:r w:rsidRPr="00966983">
              <w:rPr>
                <w:rFonts w:ascii="Times New Roman" w:hAnsi="Times New Roman"/>
                <w:b/>
                <w:sz w:val="18"/>
                <w:szCs w:val="18"/>
              </w:rPr>
              <w:t>.</w:t>
            </w:r>
            <w:r w:rsidRPr="00966983">
              <w:rPr>
                <w:rFonts w:ascii="Times New Roman" w:hAnsi="Times New Roman"/>
                <w:sz w:val="18"/>
                <w:szCs w:val="18"/>
                <w:vertAlign w:val="superscript"/>
              </w:rPr>
              <w:t>15a</w:t>
            </w:r>
            <w:r w:rsidRPr="00966983">
              <w:rPr>
                <w:rFonts w:ascii="Times New Roman" w:hAnsi="Times New Roman"/>
                <w:sz w:val="18"/>
                <w:szCs w:val="18"/>
              </w:rPr>
              <w:t>)</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lastRenderedPageBreak/>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67</w:t>
            </w:r>
          </w:p>
          <w:p w:rsidR="005B36B3" w:rsidRPr="00966983" w:rsidRDefault="005B36B3" w:rsidP="005B36B3">
            <w:pPr>
              <w:rPr>
                <w:sz w:val="18"/>
                <w:szCs w:val="18"/>
              </w:rPr>
            </w:pPr>
            <w:r w:rsidRPr="00966983">
              <w:rPr>
                <w:sz w:val="18"/>
                <w:szCs w:val="18"/>
              </w:rPr>
              <w:t>O 3</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3. Vo vzťahu k platobným účtom poskytovateľ platobných služieb spravujúci účet:</w:t>
            </w:r>
          </w:p>
          <w:p w:rsidR="005B36B3" w:rsidRPr="00966983" w:rsidRDefault="005B36B3" w:rsidP="005B36B3">
            <w:pPr>
              <w:rPr>
                <w:sz w:val="18"/>
                <w:szCs w:val="18"/>
              </w:rPr>
            </w:pPr>
          </w:p>
          <w:p w:rsidR="005B36B3" w:rsidRPr="00966983" w:rsidRDefault="005B36B3" w:rsidP="005B36B3">
            <w:pPr>
              <w:rPr>
                <w:sz w:val="18"/>
                <w:szCs w:val="18"/>
              </w:rPr>
            </w:pPr>
            <w:r w:rsidRPr="00966983">
              <w:rPr>
                <w:sz w:val="18"/>
                <w:szCs w:val="18"/>
              </w:rPr>
              <w:t>a) v súlade s článkom 98 ods. 1 písm. d) bezpečne komunikuje s poskytovateľmi služieb informovania o účte a</w:t>
            </w:r>
          </w:p>
          <w:p w:rsidR="005B36B3" w:rsidRPr="00966983" w:rsidRDefault="005B36B3" w:rsidP="005B36B3">
            <w:pPr>
              <w:rPr>
                <w:sz w:val="18"/>
                <w:szCs w:val="18"/>
              </w:rPr>
            </w:pPr>
            <w:r w:rsidRPr="00966983">
              <w:rPr>
                <w:sz w:val="18"/>
                <w:szCs w:val="18"/>
              </w:rPr>
              <w:t>b) zaobchádza so žiadosťami o údaje zaslanými prostredníctvom služieb poskytovateľa služieb informovania o účte bez akejkoľvek diskriminácie, okrem objektívne odôvodnených prípadov.</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t>492/2009</w:t>
            </w:r>
            <w:r w:rsidRPr="00966983">
              <w:rPr>
                <w:b/>
                <w:sz w:val="18"/>
                <w:szCs w:val="18"/>
              </w:rPr>
              <w:t xml:space="preserve"> a návrh zákona</w:t>
            </w:r>
            <w:r w:rsidR="00BA689C" w:rsidRPr="00966983">
              <w:rPr>
                <w:b/>
                <w:sz w:val="18"/>
                <w:szCs w:val="18"/>
              </w:rPr>
              <w:t xml:space="preserve"> čl.</w:t>
            </w:r>
            <w:r w:rsidR="009C569D" w:rsidRPr="00966983">
              <w:rPr>
                <w:b/>
                <w:sz w:val="18"/>
                <w:szCs w:val="18"/>
              </w:rPr>
              <w:t xml:space="preserve"> </w:t>
            </w:r>
            <w:r w:rsidR="00BA689C" w:rsidRPr="00966983">
              <w:rPr>
                <w:b/>
                <w:sz w:val="18"/>
                <w:szCs w:val="18"/>
              </w:rPr>
              <w:t>I</w:t>
            </w:r>
            <w:r w:rsidR="009C569D" w:rsidRPr="00966983">
              <w:rPr>
                <w:b/>
                <w:sz w:val="18"/>
                <w:szCs w:val="18"/>
              </w:rPr>
              <w:t>V</w:t>
            </w:r>
            <w:r w:rsidR="00BA689C" w:rsidRPr="00966983">
              <w:rPr>
                <w:b/>
                <w:sz w:val="18"/>
                <w:szCs w:val="18"/>
              </w:rPr>
              <w:t xml:space="preserve"> </w:t>
            </w:r>
            <w:r w:rsidR="00BA689C" w:rsidRPr="00966983">
              <w:rPr>
                <w:sz w:val="18"/>
                <w:szCs w:val="18"/>
              </w:rPr>
              <w:t xml:space="preserve"> </w:t>
            </w:r>
          </w:p>
          <w:p w:rsidR="005B36B3" w:rsidRPr="00966983" w:rsidRDefault="005B36B3" w:rsidP="005B36B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3b O 5</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r w:rsidRPr="00966983">
              <w:rPr>
                <w:sz w:val="18"/>
                <w:szCs w:val="18"/>
              </w:rPr>
              <w:t>(5) Poskytovateľ platobných služieb, ktorý vedie platobný účet je povinný</w:t>
            </w:r>
          </w:p>
          <w:p w:rsidR="005B36B3" w:rsidRPr="00966983" w:rsidRDefault="005B36B3" w:rsidP="005B36B3">
            <w:pPr>
              <w:pStyle w:val="CM4"/>
              <w:jc w:val="both"/>
              <w:rPr>
                <w:rFonts w:ascii="Times New Roman" w:hAnsi="Times New Roman"/>
                <w:sz w:val="18"/>
                <w:szCs w:val="18"/>
              </w:rPr>
            </w:pPr>
            <w:r w:rsidRPr="00966983">
              <w:rPr>
                <w:rFonts w:ascii="Times New Roman" w:hAnsi="Times New Roman"/>
                <w:sz w:val="18"/>
                <w:szCs w:val="18"/>
              </w:rPr>
              <w:t xml:space="preserve">a) komunikovať bezpečným spôsobom s poskytovateľom služieb informovania o platobnom účte v súlade s osobitným predpisom </w:t>
            </w:r>
            <w:r w:rsidRPr="00966983">
              <w:rPr>
                <w:rFonts w:ascii="Times New Roman" w:hAnsi="Times New Roman"/>
                <w:b/>
                <w:strike/>
                <w:sz w:val="18"/>
                <w:szCs w:val="18"/>
              </w:rPr>
              <w:t>o vydaní regulačného technického predpisu vydaným  na základe  osobitného predpisu</w:t>
            </w:r>
            <w:r w:rsidRPr="00966983">
              <w:rPr>
                <w:rFonts w:ascii="Times New Roman" w:hAnsi="Times New Roman"/>
                <w:sz w:val="18"/>
                <w:szCs w:val="18"/>
              </w:rPr>
              <w:t>15a) a</w:t>
            </w:r>
          </w:p>
          <w:p w:rsidR="005B36B3" w:rsidRPr="00966983" w:rsidRDefault="005B36B3" w:rsidP="005B36B3">
            <w:pPr>
              <w:pStyle w:val="CM4"/>
              <w:jc w:val="both"/>
              <w:rPr>
                <w:sz w:val="18"/>
                <w:szCs w:val="18"/>
              </w:rPr>
            </w:pPr>
            <w:r w:rsidRPr="00966983">
              <w:rPr>
                <w:rFonts w:ascii="Times New Roman" w:hAnsi="Times New Roman"/>
                <w:sz w:val="18"/>
                <w:szCs w:val="18"/>
              </w:rPr>
              <w:t>b) dodržiavať zásady rovnakého zaobchádzania pri žiadosti o poskytnutie služieb informovania o platobnom účte zaslanej prostredníctvom poskytovateľa služieb informovania o platobnom účte, okrem objektívne odôvodnených prípadov.</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98</w:t>
            </w:r>
          </w:p>
          <w:p w:rsidR="005B36B3" w:rsidRPr="00966983" w:rsidRDefault="005B36B3" w:rsidP="005B36B3">
            <w:pPr>
              <w:rPr>
                <w:sz w:val="18"/>
                <w:szCs w:val="18"/>
              </w:rPr>
            </w:pPr>
            <w:r w:rsidRPr="00966983">
              <w:rPr>
                <w:sz w:val="18"/>
                <w:szCs w:val="18"/>
              </w:rPr>
              <w:t>O 1</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adjustRightInd w:val="0"/>
              <w:rPr>
                <w:sz w:val="18"/>
                <w:szCs w:val="18"/>
                <w:lang w:eastAsia="en-US"/>
              </w:rPr>
            </w:pPr>
            <w:r w:rsidRPr="00966983">
              <w:rPr>
                <w:sz w:val="18"/>
                <w:szCs w:val="18"/>
                <w:lang w:eastAsia="en-US"/>
              </w:rPr>
              <w:t>Regulačné technické predpisy týkajúce sa autentifikácie a komunikácie</w:t>
            </w:r>
          </w:p>
          <w:p w:rsidR="005B36B3" w:rsidRPr="00966983" w:rsidRDefault="005B36B3" w:rsidP="005B36B3">
            <w:pPr>
              <w:adjustRightInd w:val="0"/>
              <w:rPr>
                <w:sz w:val="18"/>
                <w:szCs w:val="18"/>
                <w:lang w:eastAsia="en-US"/>
              </w:rPr>
            </w:pPr>
            <w:r w:rsidRPr="00966983">
              <w:rPr>
                <w:sz w:val="18"/>
                <w:szCs w:val="18"/>
                <w:lang w:eastAsia="en-US"/>
              </w:rPr>
              <w:t>1. EBA vypracuje v súlade s článkom 10 nariadenia (EÚ) č. 1093/2010 v úzkej spolupráci s ECB a po konzultáciách so všetkými príslušnými zainteresovanými stranami, a to aj s tými na trhu s platobnými službami, zohľadňujúc všetky dotknuté záujmy, návrh regulačných technických predpisov určených poskytovateľom platobných služieb uvedeným v článku 1 ods. 1 tejto smernice, v ktorých vymedzí:</w:t>
            </w:r>
          </w:p>
          <w:p w:rsidR="005B36B3" w:rsidRPr="00966983" w:rsidRDefault="005B36B3" w:rsidP="005B36B3">
            <w:pPr>
              <w:adjustRightInd w:val="0"/>
              <w:rPr>
                <w:sz w:val="18"/>
                <w:szCs w:val="18"/>
                <w:lang w:eastAsia="en-US"/>
              </w:rPr>
            </w:pPr>
            <w:r w:rsidRPr="00966983">
              <w:rPr>
                <w:sz w:val="18"/>
                <w:szCs w:val="18"/>
                <w:lang w:eastAsia="en-US"/>
              </w:rPr>
              <w:t>a) požiadavky na silnú autentifikáciu zákazníka uvedenú v článku 97 ods. 1 a 2;</w:t>
            </w:r>
          </w:p>
          <w:p w:rsidR="005B36B3" w:rsidRPr="00966983" w:rsidRDefault="005B36B3" w:rsidP="005B36B3">
            <w:pPr>
              <w:adjustRightInd w:val="0"/>
              <w:rPr>
                <w:sz w:val="18"/>
                <w:szCs w:val="18"/>
                <w:lang w:eastAsia="en-US"/>
              </w:rPr>
            </w:pPr>
            <w:r w:rsidRPr="00966983">
              <w:rPr>
                <w:sz w:val="18"/>
                <w:szCs w:val="18"/>
                <w:lang w:eastAsia="en-US"/>
              </w:rPr>
              <w:t>b) výnimky z uplatňovania článku 97 ods. 1, 2 a 3 na základe kritérií stanovených v odseku 3 tohto článku;</w:t>
            </w:r>
          </w:p>
          <w:p w:rsidR="005B36B3" w:rsidRPr="00966983" w:rsidRDefault="005B36B3" w:rsidP="005B36B3">
            <w:pPr>
              <w:adjustRightInd w:val="0"/>
              <w:rPr>
                <w:sz w:val="18"/>
                <w:szCs w:val="18"/>
                <w:lang w:eastAsia="en-US"/>
              </w:rPr>
            </w:pPr>
            <w:r w:rsidRPr="00966983">
              <w:rPr>
                <w:sz w:val="18"/>
                <w:szCs w:val="18"/>
                <w:lang w:eastAsia="en-US"/>
              </w:rPr>
              <w:t>c) požiadavky na to, aby boli bezpečnostné opatrenia v súlade s článkom 97 ods. 3 s cieľom chrániť dôvernosť a integritu personalizovaných bezpečnostných prvkov používateľov platobných služieb, a</w:t>
            </w:r>
          </w:p>
          <w:p w:rsidR="005B36B3" w:rsidRPr="00966983" w:rsidRDefault="005B36B3" w:rsidP="005B36B3">
            <w:pPr>
              <w:adjustRightInd w:val="0"/>
              <w:rPr>
                <w:sz w:val="18"/>
                <w:szCs w:val="18"/>
                <w:lang w:eastAsia="en-US"/>
              </w:rPr>
            </w:pPr>
            <w:r w:rsidRPr="00966983">
              <w:rPr>
                <w:sz w:val="18"/>
                <w:szCs w:val="18"/>
                <w:lang w:eastAsia="en-US"/>
              </w:rPr>
              <w:t>d) požiadavky na spoločné a bezpečné otvorené komunikačné normy na účely identifikácie, autentifikácie, oznamovania a informovania, ako aj na vykonávanie bezpečnostných opatrení, medzi poskytovateľmi platobných služieb spravujúcimi účet, poskytovateľmi platobných iniciačných služieb, poskytovateľmi služieb informovania o účte, platiteľmi, príjemcami platby a inými poskytovateľmi platobných služieb.</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BA689C" w:rsidP="00BA689C">
            <w:pPr>
              <w:rPr>
                <w:sz w:val="18"/>
                <w:szCs w:val="18"/>
              </w:rPr>
            </w:pPr>
            <w:r w:rsidRPr="00966983">
              <w:rPr>
                <w:sz w:val="18"/>
                <w:szCs w:val="18"/>
              </w:rPr>
              <w:t>n.a.</w:t>
            </w:r>
          </w:p>
        </w:tc>
        <w:tc>
          <w:tcPr>
            <w:tcW w:w="851" w:type="dxa"/>
            <w:tcBorders>
              <w:top w:val="single" w:sz="4" w:space="0" w:color="auto"/>
              <w:left w:val="nil"/>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t>492/2009</w:t>
            </w:r>
            <w:r w:rsidRPr="00966983">
              <w:rPr>
                <w:b/>
                <w:sz w:val="18"/>
                <w:szCs w:val="18"/>
              </w:rPr>
              <w:t xml:space="preserve"> a návrh zákona</w:t>
            </w:r>
            <w:r w:rsidRPr="00966983">
              <w:rPr>
                <w:sz w:val="18"/>
                <w:szCs w:val="18"/>
              </w:rPr>
              <w:t xml:space="preserve"> </w:t>
            </w:r>
            <w:r w:rsidR="009C569D" w:rsidRPr="00966983">
              <w:rPr>
                <w:b/>
                <w:sz w:val="18"/>
                <w:szCs w:val="18"/>
              </w:rPr>
              <w:t xml:space="preserve">čl. IV </w:t>
            </w:r>
            <w:r w:rsidR="009C569D" w:rsidRPr="00966983">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3c O 6</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both"/>
              <w:rPr>
                <w:sz w:val="18"/>
                <w:szCs w:val="18"/>
              </w:rPr>
            </w:pPr>
            <w:r w:rsidRPr="00966983">
              <w:rPr>
                <w:sz w:val="18"/>
                <w:szCs w:val="18"/>
              </w:rPr>
              <w:t xml:space="preserve">(6) Poskytovateľ platobných služieb, ktorý vedie platobný účet, poskytovateľ platobných iniciačných služieb a poskytovateľ služieb informovania o platobnom účte postupujú pri silnej autentifikácii používateľa platobných služieb podľa odsekov 1 až 5 v súlade s osobitným predpisom </w:t>
            </w:r>
            <w:r w:rsidRPr="00966983">
              <w:rPr>
                <w:b/>
                <w:strike/>
                <w:sz w:val="18"/>
                <w:szCs w:val="18"/>
              </w:rPr>
              <w:t>o vydaní regulačného technického predpisu vydaného  na základe  osobitného predpisu</w:t>
            </w:r>
            <w:r w:rsidRPr="00966983">
              <w:rPr>
                <w:sz w:val="18"/>
                <w:szCs w:val="18"/>
                <w:vertAlign w:val="superscript"/>
              </w:rPr>
              <w:t>15a</w:t>
            </w:r>
            <w:r w:rsidRPr="00966983">
              <w:rPr>
                <w:sz w:val="18"/>
                <w:szCs w:val="18"/>
              </w:rPr>
              <w:t>).</w:t>
            </w:r>
          </w:p>
          <w:p w:rsidR="005B36B3" w:rsidRPr="00966983" w:rsidRDefault="005B36B3" w:rsidP="005B36B3">
            <w:pPr>
              <w:pStyle w:val="Normlny0"/>
              <w:jc w:val="both"/>
              <w:rPr>
                <w:sz w:val="18"/>
                <w:szCs w:val="18"/>
              </w:rPr>
            </w:pPr>
          </w:p>
          <w:p w:rsidR="005B36B3" w:rsidRPr="00966983" w:rsidRDefault="005B36B3" w:rsidP="005B36B3">
            <w:pPr>
              <w:pStyle w:val="Normlny0"/>
              <w:jc w:val="both"/>
              <w:rPr>
                <w:sz w:val="18"/>
                <w:szCs w:val="18"/>
              </w:rPr>
            </w:pPr>
            <w:r w:rsidRPr="00966983">
              <w:rPr>
                <w:sz w:val="18"/>
                <w:szCs w:val="18"/>
                <w:vertAlign w:val="superscript"/>
              </w:rPr>
              <w:t>15a</w:t>
            </w:r>
            <w:r w:rsidRPr="00966983">
              <w:rPr>
                <w:sz w:val="18"/>
                <w:szCs w:val="18"/>
              </w:rPr>
              <w:t xml:space="preserve">) </w:t>
            </w:r>
            <w:r w:rsidRPr="00966983">
              <w:rPr>
                <w:b/>
                <w:sz w:val="18"/>
                <w:szCs w:val="18"/>
              </w:rPr>
              <w:t>Delegované nariadenie Komisie (EÚ) č. 2018/389 z 27. novembra 2017, ktorým sa dopĺňa smernica Európskeho parlamentu a Rady (EÚ) 2015/2366, pokiaľ ide o regulačné technické predpisy pre silnú autentifikáciu zákazníka a spoločné a bezpečné otvorené komunikačné normy (Ú. v. EÚ L 69, 13. 3. 2018)</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101</w:t>
            </w:r>
          </w:p>
          <w:p w:rsidR="005B36B3" w:rsidRPr="00966983" w:rsidRDefault="005B36B3" w:rsidP="005B36B3">
            <w:pPr>
              <w:rPr>
                <w:sz w:val="18"/>
                <w:szCs w:val="18"/>
              </w:rPr>
            </w:pPr>
            <w:r w:rsidRPr="00966983">
              <w:rPr>
                <w:sz w:val="18"/>
                <w:szCs w:val="18"/>
              </w:rPr>
              <w:t>O 4</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adjustRightInd w:val="0"/>
              <w:rPr>
                <w:sz w:val="18"/>
                <w:szCs w:val="18"/>
                <w:lang w:eastAsia="en-US"/>
              </w:rPr>
            </w:pPr>
            <w:r w:rsidRPr="00966983">
              <w:rPr>
                <w:sz w:val="18"/>
                <w:szCs w:val="18"/>
                <w:lang w:eastAsia="en-US"/>
              </w:rPr>
              <w:t>4. Informácie uvedené v odseku 3 sa uvedú jasným, zrozumiteľným a ľahko prístupným spôsobom na webovom sídle poskytovateľa platobných služieb, ak nejaké má, na pobočke a vo všeobecných obchodných podmienkach zmluvy medzi poskytovateľom platobných služieb a používateľom platobných služieb. Ďalej sa uvedie, ako sa dajú získať ďalšie informácie o príslušnom subjekte alternatívneho riešenia sporov a o podmienkach, na základe ktorých sa na tento subjekt možno obrátiť.</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9310DA" w:rsidRPr="00966983" w:rsidRDefault="005B36B3" w:rsidP="005B36B3">
            <w:pPr>
              <w:jc w:val="center"/>
              <w:rPr>
                <w:b/>
                <w:sz w:val="18"/>
                <w:szCs w:val="18"/>
              </w:rPr>
            </w:pPr>
            <w:r w:rsidRPr="00966983">
              <w:rPr>
                <w:sz w:val="18"/>
                <w:szCs w:val="18"/>
              </w:rPr>
              <w:t>492/2009</w:t>
            </w:r>
            <w:r w:rsidRPr="00966983">
              <w:rPr>
                <w:b/>
                <w:sz w:val="18"/>
                <w:szCs w:val="18"/>
              </w:rPr>
              <w:t xml:space="preserve"> </w:t>
            </w:r>
          </w:p>
          <w:p w:rsidR="009310DA" w:rsidRPr="00966983" w:rsidRDefault="009310DA" w:rsidP="005B36B3">
            <w:pPr>
              <w:jc w:val="center"/>
              <w:rPr>
                <w:b/>
                <w:sz w:val="18"/>
                <w:szCs w:val="18"/>
              </w:rPr>
            </w:pPr>
          </w:p>
          <w:p w:rsidR="009310DA" w:rsidRPr="00966983" w:rsidRDefault="009310DA" w:rsidP="005B36B3">
            <w:pPr>
              <w:jc w:val="center"/>
              <w:rPr>
                <w:b/>
                <w:sz w:val="18"/>
                <w:szCs w:val="18"/>
              </w:rPr>
            </w:pPr>
          </w:p>
          <w:p w:rsidR="009310DA" w:rsidRPr="00966983" w:rsidRDefault="009310DA" w:rsidP="005B36B3">
            <w:pPr>
              <w:jc w:val="center"/>
              <w:rPr>
                <w:b/>
                <w:sz w:val="18"/>
                <w:szCs w:val="18"/>
              </w:rPr>
            </w:pPr>
          </w:p>
          <w:p w:rsidR="009310DA" w:rsidRPr="00966983" w:rsidRDefault="009310DA" w:rsidP="005B36B3">
            <w:pPr>
              <w:jc w:val="center"/>
              <w:rPr>
                <w:b/>
                <w:sz w:val="18"/>
                <w:szCs w:val="18"/>
              </w:rPr>
            </w:pPr>
          </w:p>
          <w:p w:rsidR="005B36B3" w:rsidRPr="00966983" w:rsidRDefault="005B36B3" w:rsidP="005B36B3">
            <w:pPr>
              <w:jc w:val="center"/>
              <w:rPr>
                <w:sz w:val="18"/>
                <w:szCs w:val="18"/>
              </w:rPr>
            </w:pPr>
            <w:r w:rsidRPr="00966983">
              <w:rPr>
                <w:b/>
                <w:sz w:val="18"/>
                <w:szCs w:val="18"/>
              </w:rPr>
              <w:t xml:space="preserve"> návrh zákona</w:t>
            </w:r>
            <w:r w:rsidR="009310DA" w:rsidRPr="00966983">
              <w:rPr>
                <w:b/>
                <w:sz w:val="18"/>
                <w:szCs w:val="18"/>
              </w:rPr>
              <w:t xml:space="preserve"> čl.</w:t>
            </w:r>
            <w:r w:rsidR="009C569D" w:rsidRPr="00966983">
              <w:rPr>
                <w:b/>
                <w:sz w:val="18"/>
                <w:szCs w:val="18"/>
              </w:rPr>
              <w:t xml:space="preserve"> </w:t>
            </w:r>
            <w:r w:rsidR="009310DA" w:rsidRPr="00966983">
              <w:rPr>
                <w:b/>
                <w:sz w:val="18"/>
                <w:szCs w:val="18"/>
              </w:rPr>
              <w:t>I</w:t>
            </w:r>
            <w:r w:rsidR="009C569D" w:rsidRPr="00966983">
              <w:rPr>
                <w:b/>
                <w:sz w:val="18"/>
                <w:szCs w:val="18"/>
              </w:rPr>
              <w:t>V</w:t>
            </w:r>
          </w:p>
          <w:p w:rsidR="005B36B3" w:rsidRPr="00966983" w:rsidRDefault="005B36B3" w:rsidP="005B36B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90 O 5</w:t>
            </w: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r w:rsidRPr="00966983">
              <w:rPr>
                <w:sz w:val="18"/>
                <w:szCs w:val="18"/>
              </w:rPr>
              <w:t xml:space="preserve">§ 91 O 1 </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both"/>
              <w:rPr>
                <w:sz w:val="18"/>
                <w:szCs w:val="18"/>
              </w:rPr>
            </w:pPr>
            <w:r w:rsidRPr="00966983">
              <w:rPr>
                <w:sz w:val="18"/>
                <w:szCs w:val="18"/>
              </w:rPr>
              <w:t>(5) Poskytovateľ platobných služieb je povinný informácie podľa odseku 3 uviesť jednoznačným a zrozumiteľným a ľahko dostupným spôsobom vo svojich obchodných priestoroch, obchodných podmienkach a na svojom webovom sídle, ak ho má zriadené.</w:t>
            </w:r>
          </w:p>
          <w:p w:rsidR="005B36B3" w:rsidRPr="00966983" w:rsidRDefault="005B36B3" w:rsidP="005B36B3">
            <w:pPr>
              <w:pStyle w:val="Normlny0"/>
              <w:jc w:val="both"/>
              <w:rPr>
                <w:sz w:val="18"/>
                <w:szCs w:val="18"/>
              </w:rPr>
            </w:pPr>
          </w:p>
          <w:p w:rsidR="005B36B3" w:rsidRPr="00966983" w:rsidRDefault="005B36B3" w:rsidP="005B36B3">
            <w:pPr>
              <w:pStyle w:val="Normlny0"/>
              <w:jc w:val="both"/>
              <w:rPr>
                <w:b/>
                <w:sz w:val="18"/>
                <w:szCs w:val="18"/>
              </w:rPr>
            </w:pPr>
            <w:r w:rsidRPr="00966983">
              <w:rPr>
                <w:b/>
                <w:sz w:val="18"/>
                <w:szCs w:val="18"/>
              </w:rPr>
              <w:t xml:space="preserve">(1) </w:t>
            </w:r>
            <w:r w:rsidR="00F31840" w:rsidRPr="00966983">
              <w:rPr>
                <w:b/>
                <w:sz w:val="18"/>
                <w:szCs w:val="18"/>
              </w:rPr>
              <w:t xml:space="preserve">Poskytovateľ platobných služieb je povinný používateľovi platobných služieb, ktorým je spotrebiteľ, poskytnúť alebo sprístupniť informáciu o možnosti alternatívneho riešenia sporov prostredníctvom subjektov alternatívneho riešenia sporov, ktoré sú oprávnené riešiť spory súvisiace s poskytovaním platobných služieb, a to o využití tejto možnosti riešenia podľa voľby spotrebiteľa vrátane výberu príslušného subjektu alternatívneho riešenia sporov podľa voľby spotrebiteľa. Poskytovateľ platobných služieb je tiež povinný poskytnúť alebo sprístupniť informáciu o spôsobe akým sa dajú získať ďalšie informácie o príslušnom subjekte alternatívneho riešenia sporov a o podmienkach, na základe ktorých sa na tento subjekt možno obrátiť. Poskytovateľ platobných služieb je povinný informácie podľa prvej a druhej vety uvádzať jednoznačným, zrozumiteľným a ľahko dostupným spôsobom vo svojich </w:t>
            </w:r>
            <w:r w:rsidR="00F31840" w:rsidRPr="00966983">
              <w:rPr>
                <w:b/>
                <w:sz w:val="18"/>
                <w:szCs w:val="18"/>
              </w:rPr>
              <w:lastRenderedPageBreak/>
              <w:t>obchodných priestoroch, obchodných podmienkach a aj na svojom webovom sídle, ak ho má zriadené.</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lastRenderedPageBreak/>
              <w:t>U</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111</w:t>
            </w:r>
          </w:p>
          <w:p w:rsidR="005B36B3" w:rsidRPr="00966983" w:rsidRDefault="005B36B3" w:rsidP="005B36B3">
            <w:pPr>
              <w:rPr>
                <w:sz w:val="18"/>
                <w:szCs w:val="18"/>
              </w:rPr>
            </w:pPr>
            <w:r w:rsidRPr="00966983">
              <w:rPr>
                <w:sz w:val="18"/>
                <w:szCs w:val="18"/>
              </w:rPr>
              <w:t>O 1</w:t>
            </w:r>
          </w:p>
          <w:p w:rsidR="005B36B3" w:rsidRPr="00966983" w:rsidRDefault="005B36B3" w:rsidP="005B36B3">
            <w:pPr>
              <w:rPr>
                <w:sz w:val="18"/>
                <w:szCs w:val="18"/>
              </w:rPr>
            </w:pPr>
          </w:p>
        </w:tc>
        <w:tc>
          <w:tcPr>
            <w:tcW w:w="6095" w:type="dxa"/>
            <w:tcBorders>
              <w:top w:val="single" w:sz="4" w:space="0" w:color="auto"/>
              <w:left w:val="single" w:sz="4" w:space="0" w:color="auto"/>
              <w:bottom w:val="single" w:sz="4" w:space="0" w:color="auto"/>
              <w:right w:val="single" w:sz="4" w:space="0" w:color="auto"/>
            </w:tcBorders>
          </w:tcPr>
          <w:p w:rsidR="000053E4" w:rsidRPr="00966983" w:rsidRDefault="000053E4" w:rsidP="000053E4">
            <w:pPr>
              <w:adjustRightInd w:val="0"/>
              <w:rPr>
                <w:sz w:val="18"/>
                <w:szCs w:val="18"/>
                <w:lang w:eastAsia="en-US"/>
              </w:rPr>
            </w:pPr>
            <w:r w:rsidRPr="00966983">
              <w:rPr>
                <w:sz w:val="18"/>
                <w:szCs w:val="18"/>
                <w:lang w:eastAsia="en-US"/>
              </w:rPr>
              <w:t>Zmeny smernice 2009/110/ES</w:t>
            </w:r>
          </w:p>
          <w:p w:rsidR="000053E4" w:rsidRPr="00966983" w:rsidRDefault="000053E4" w:rsidP="000053E4">
            <w:pPr>
              <w:adjustRightInd w:val="0"/>
              <w:rPr>
                <w:sz w:val="18"/>
                <w:szCs w:val="18"/>
                <w:lang w:eastAsia="en-US"/>
              </w:rPr>
            </w:pPr>
            <w:r w:rsidRPr="00966983">
              <w:rPr>
                <w:sz w:val="18"/>
                <w:szCs w:val="18"/>
                <w:lang w:eastAsia="en-US"/>
              </w:rPr>
              <w:t>Smernica 2009/110/ES sa mení takto:</w:t>
            </w:r>
          </w:p>
          <w:p w:rsidR="005B36B3" w:rsidRPr="00966983" w:rsidRDefault="005B36B3" w:rsidP="005B36B3">
            <w:pPr>
              <w:adjustRightInd w:val="0"/>
              <w:rPr>
                <w:sz w:val="18"/>
                <w:szCs w:val="18"/>
                <w:lang w:eastAsia="en-US"/>
              </w:rPr>
            </w:pPr>
            <w:r w:rsidRPr="00966983">
              <w:rPr>
                <w:sz w:val="18"/>
                <w:szCs w:val="18"/>
                <w:lang w:eastAsia="en-US"/>
              </w:rPr>
              <w:t>1. Článok 3 sa mení takto:</w:t>
            </w:r>
          </w:p>
          <w:p w:rsidR="005B36B3" w:rsidRPr="00966983" w:rsidRDefault="005B36B3" w:rsidP="005B36B3">
            <w:pPr>
              <w:adjustRightInd w:val="0"/>
              <w:rPr>
                <w:sz w:val="18"/>
                <w:szCs w:val="18"/>
                <w:lang w:eastAsia="en-US"/>
              </w:rPr>
            </w:pPr>
            <w:r w:rsidRPr="00966983">
              <w:rPr>
                <w:sz w:val="18"/>
                <w:szCs w:val="18"/>
                <w:lang w:eastAsia="en-US"/>
              </w:rPr>
              <w:t>a) Odsek 1 sa nahrádza takto:</w:t>
            </w:r>
          </w:p>
          <w:p w:rsidR="005B36B3" w:rsidRPr="00966983" w:rsidRDefault="005B36B3" w:rsidP="005B36B3">
            <w:pPr>
              <w:adjustRightInd w:val="0"/>
              <w:rPr>
                <w:sz w:val="18"/>
                <w:szCs w:val="18"/>
                <w:lang w:eastAsia="en-US"/>
              </w:rPr>
            </w:pPr>
            <w:r w:rsidRPr="00966983">
              <w:rPr>
                <w:sz w:val="18"/>
                <w:szCs w:val="18"/>
                <w:lang w:eastAsia="en-US"/>
              </w:rPr>
              <w:t>„1. Bez toho, aby bola dotknutá táto smernica, sa článok 5, články 11 až 17, článok 19 ods. 5 a 6 a články 20 až 31 smernice Európskeho parlamentu a Rady (EÚ) 2015/2366 (*) vrátane delegovaných aktov prijatých podľa článku 15 ods. 4, článku 28 ods. 5 a článku 29 ods. 7 primerane uplatňujú na inštitúcie elektronického peňažníctva.</w:t>
            </w:r>
          </w:p>
          <w:p w:rsidR="005B36B3" w:rsidRPr="00966983" w:rsidRDefault="005B36B3" w:rsidP="005B36B3">
            <w:pPr>
              <w:adjustRightInd w:val="0"/>
              <w:rPr>
                <w:sz w:val="18"/>
                <w:szCs w:val="18"/>
                <w:lang w:eastAsia="en-US"/>
              </w:rPr>
            </w:pPr>
            <w:r w:rsidRPr="00966983">
              <w:rPr>
                <w:sz w:val="18"/>
                <w:szCs w:val="18"/>
                <w:lang w:eastAsia="en-US"/>
              </w:rPr>
              <w:t>___________</w:t>
            </w:r>
          </w:p>
          <w:p w:rsidR="005B36B3" w:rsidRPr="00966983" w:rsidRDefault="005B36B3" w:rsidP="005B36B3">
            <w:pPr>
              <w:adjustRightInd w:val="0"/>
              <w:rPr>
                <w:sz w:val="18"/>
                <w:szCs w:val="18"/>
                <w:lang w:eastAsia="en-US"/>
              </w:rPr>
            </w:pPr>
            <w:r w:rsidRPr="00966983">
              <w:rPr>
                <w:sz w:val="18"/>
                <w:szCs w:val="18"/>
                <w:lang w:eastAsia="en-US"/>
              </w:rPr>
              <w:t>(*) Smernica Európskeho parlamentu a Rady (EÚ) 2015/2366 z 25. novembra 2015 o platobných službách na vnútornom trhu, ktorou sa menia smernice 2002/65/ES, 2009/110/ES a 2013/36/EÚ a nariadenie (EÚ) č. 1093/2010, a ktorou sa zrušuje smernica 2007/64/ES (Ú. v. EÚ L 337, 23.12.2015, s. 35).“</w:t>
            </w:r>
          </w:p>
          <w:p w:rsidR="005B36B3" w:rsidRPr="00966983" w:rsidRDefault="005B36B3" w:rsidP="005B36B3">
            <w:pPr>
              <w:adjustRightInd w:val="0"/>
              <w:rPr>
                <w:sz w:val="18"/>
                <w:szCs w:val="18"/>
                <w:lang w:eastAsia="en-US"/>
              </w:rPr>
            </w:pPr>
            <w:r w:rsidRPr="00966983">
              <w:rPr>
                <w:sz w:val="18"/>
                <w:szCs w:val="18"/>
                <w:lang w:eastAsia="en-US"/>
              </w:rPr>
              <w:t>b) Odseky 4 a 5 sa nahrádzajú takto:</w:t>
            </w:r>
          </w:p>
          <w:p w:rsidR="005B36B3" w:rsidRPr="00966983" w:rsidRDefault="005B36B3" w:rsidP="005B36B3">
            <w:pPr>
              <w:adjustRightInd w:val="0"/>
              <w:rPr>
                <w:sz w:val="18"/>
                <w:szCs w:val="18"/>
                <w:lang w:eastAsia="en-US"/>
              </w:rPr>
            </w:pPr>
            <w:r w:rsidRPr="00966983">
              <w:rPr>
                <w:sz w:val="18"/>
                <w:szCs w:val="18"/>
                <w:lang w:eastAsia="en-US"/>
              </w:rPr>
              <w:t>„4. Členské štáty umožnia inštitúciám elektronického peňažníctva, aby distribuovali a zamieňali elektronické peniaze prostredníctvom fyzických alebo právnických osôb, ktoré konajú v ich mene. Ak inštitúcia elektronického peňažníctva distribuuje elektronické peniaze v inom členskom štáte tak, že využije takúto fyzickú alebo právnickú osobu, články 27 až 31, s výnimkou článku 29 ods. 4 a 5 smernice Európskeho parlamentu a Rady (EÚ) 2015/2366, vrátane delegovaných aktov prijatých v súlade s jej článkom 28 ods. 5 a článkom 29 ods. 7, sa primerane uplatňujú na takúto inštitúciu elektronického peňažníctva.</w:t>
            </w:r>
          </w:p>
          <w:p w:rsidR="005B36B3" w:rsidRPr="00966983" w:rsidRDefault="005B36B3" w:rsidP="005B36B3">
            <w:pPr>
              <w:adjustRightInd w:val="0"/>
              <w:rPr>
                <w:sz w:val="18"/>
                <w:szCs w:val="18"/>
                <w:lang w:eastAsia="en-US"/>
              </w:rPr>
            </w:pPr>
            <w:r w:rsidRPr="00966983">
              <w:rPr>
                <w:sz w:val="18"/>
                <w:szCs w:val="18"/>
                <w:lang w:eastAsia="en-US"/>
              </w:rPr>
              <w:t>5. Bez toho, aby bol dotknutý odsek 4 tohto článku, inštitúcie elektronického peňažníctva nevydávajú elektronické peniaze prostredníctvom sprostredkovateľov. Inštitúcie elektronického peňažníctva môžu poskytovať platobné služby uvedené v článku 6 ods. 1 písm. a) tejto smernice prostredníctvom sprostredkovateľov, ak sú splnené podmienky stanovené v článku 19 smernice (EÚ) 2015/2366.“</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0053E4" w:rsidRPr="00966983" w:rsidRDefault="005B36B3" w:rsidP="000053E4">
            <w:pPr>
              <w:jc w:val="center"/>
              <w:rPr>
                <w:sz w:val="18"/>
                <w:szCs w:val="18"/>
              </w:rPr>
            </w:pPr>
            <w:r w:rsidRPr="00966983">
              <w:rPr>
                <w:sz w:val="18"/>
                <w:szCs w:val="18"/>
              </w:rPr>
              <w:t>492/2009</w:t>
            </w:r>
            <w:r w:rsidRPr="00966983">
              <w:rPr>
                <w:b/>
                <w:sz w:val="18"/>
                <w:szCs w:val="18"/>
              </w:rPr>
              <w:t xml:space="preserve"> a návrh zákona</w:t>
            </w:r>
            <w:r w:rsidR="000053E4" w:rsidRPr="00966983">
              <w:rPr>
                <w:b/>
                <w:sz w:val="18"/>
                <w:szCs w:val="18"/>
              </w:rPr>
              <w:t xml:space="preserve"> čl.</w:t>
            </w:r>
            <w:r w:rsidR="009C569D" w:rsidRPr="00966983">
              <w:rPr>
                <w:b/>
                <w:sz w:val="18"/>
                <w:szCs w:val="18"/>
              </w:rPr>
              <w:t xml:space="preserve"> </w:t>
            </w:r>
            <w:r w:rsidR="000053E4" w:rsidRPr="00966983">
              <w:rPr>
                <w:b/>
                <w:sz w:val="18"/>
                <w:szCs w:val="18"/>
              </w:rPr>
              <w:t>I</w:t>
            </w:r>
            <w:r w:rsidR="009C569D" w:rsidRPr="00966983">
              <w:rPr>
                <w:b/>
                <w:sz w:val="18"/>
                <w:szCs w:val="18"/>
              </w:rPr>
              <w:t>V</w:t>
            </w:r>
          </w:p>
          <w:p w:rsidR="005B36B3" w:rsidRPr="00966983" w:rsidRDefault="005B36B3" w:rsidP="005B36B3">
            <w:pPr>
              <w:jc w:val="center"/>
              <w:rPr>
                <w:sz w:val="18"/>
                <w:szCs w:val="18"/>
              </w:rPr>
            </w:pPr>
          </w:p>
          <w:p w:rsidR="005B36B3" w:rsidRPr="00966983" w:rsidRDefault="005B36B3" w:rsidP="005B36B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86 O 27</w:t>
            </w: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p>
          <w:p w:rsidR="005B36B3" w:rsidRPr="00966983" w:rsidRDefault="005B36B3" w:rsidP="005B36B3">
            <w:pPr>
              <w:pStyle w:val="Normlny0"/>
              <w:jc w:val="center"/>
              <w:rPr>
                <w:sz w:val="18"/>
                <w:szCs w:val="18"/>
              </w:rPr>
            </w:pPr>
            <w:r w:rsidRPr="00966983">
              <w:rPr>
                <w:sz w:val="18"/>
                <w:szCs w:val="18"/>
              </w:rPr>
              <w:t>§ 82 O 6</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r w:rsidRPr="00966983">
              <w:rPr>
                <w:sz w:val="18"/>
                <w:szCs w:val="18"/>
              </w:rPr>
              <w:t>(27) Inštitúcie elektronických peňazí, ktorých ústredie sa nachádza v inom členskom štáte a ktoré vydávajú a spravujú elektronické peniaze na území Slovenskej republiky prostredníctvom inej osoby podľa § 81 ods. 10, sú povinné určiť si na území Slovenskej republiky ústredné kontaktné miesto podľa osobitného predpisu,</w:t>
            </w:r>
            <w:r w:rsidR="003231C0" w:rsidRPr="00966983">
              <w:rPr>
                <w:b/>
                <w:sz w:val="18"/>
                <w:szCs w:val="18"/>
                <w:vertAlign w:val="superscript"/>
              </w:rPr>
              <w:t>58da</w:t>
            </w:r>
            <w:r w:rsidRPr="00966983">
              <w:rPr>
                <w:b/>
                <w:sz w:val="18"/>
                <w:szCs w:val="18"/>
              </w:rPr>
              <w:t>)</w:t>
            </w:r>
            <w:r w:rsidRPr="00966983">
              <w:rPr>
                <w:sz w:val="18"/>
                <w:szCs w:val="18"/>
              </w:rPr>
              <w:t xml:space="preserve"> prostredníctvom ktorého zabezpečia primeranú komunikáciu a oznamovanie informácií o dodržiavaní ustanovení piatej až siedmej časti tohto zákona; tým nie sú dotknuté ustanovenia osobitného predpisu.</w:t>
            </w:r>
            <w:r w:rsidR="003231C0" w:rsidRPr="00966983">
              <w:rPr>
                <w:sz w:val="18"/>
                <w:szCs w:val="18"/>
                <w:vertAlign w:val="superscript"/>
              </w:rPr>
              <w:t>58</w:t>
            </w:r>
            <w:r w:rsidRPr="00966983">
              <w:rPr>
                <w:sz w:val="18"/>
                <w:szCs w:val="18"/>
              </w:rPr>
              <w:t>) Ústredné kontaktné miesto je určené na uľahčenie výkonu dohľadu vykonávaného príslušnými orgánmi domovského členského štátu, ako aj Národnou bankou Slovenska, a to aj prostredníctvom poskytovania dokumentov a informácií týmto orgánom na ich žiadosť.</w:t>
            </w:r>
          </w:p>
          <w:p w:rsidR="005B36B3" w:rsidRPr="00966983" w:rsidRDefault="005B36B3" w:rsidP="005B36B3">
            <w:pPr>
              <w:jc w:val="both"/>
              <w:rPr>
                <w:sz w:val="18"/>
                <w:szCs w:val="18"/>
              </w:rPr>
            </w:pPr>
          </w:p>
          <w:p w:rsidR="005B36B3" w:rsidRPr="00966983" w:rsidRDefault="005B36B3" w:rsidP="005B36B3">
            <w:pPr>
              <w:jc w:val="both"/>
              <w:rPr>
                <w:sz w:val="18"/>
                <w:szCs w:val="18"/>
              </w:rPr>
            </w:pPr>
            <w:r w:rsidRPr="00966983">
              <w:rPr>
                <w:sz w:val="18"/>
                <w:szCs w:val="18"/>
              </w:rPr>
              <w:t>(6) Národná banka Slovenska žiadosť o udelenie povolenia zamietne, ak žiadateľ nesplní alebo nepreukáže splnenie niektorej z podmienok uvedených v odseku 2</w:t>
            </w:r>
            <w:r w:rsidRPr="00966983">
              <w:rPr>
                <w:b/>
                <w:sz w:val="18"/>
                <w:szCs w:val="18"/>
              </w:rPr>
              <w:t>,</w:t>
            </w:r>
            <w:r w:rsidR="00A85729" w:rsidRPr="00966983">
              <w:rPr>
                <w:b/>
                <w:sz w:val="18"/>
                <w:szCs w:val="18"/>
              </w:rPr>
              <w:t xml:space="preserve"> </w:t>
            </w:r>
            <w:r w:rsidRPr="00966983">
              <w:rPr>
                <w:b/>
                <w:sz w:val="18"/>
                <w:szCs w:val="18"/>
              </w:rPr>
              <w:t>nepredloží žiadosť podľa odsekov 3 a 4</w:t>
            </w:r>
            <w:r w:rsidRPr="00966983">
              <w:rPr>
                <w:sz w:val="18"/>
                <w:szCs w:val="18"/>
              </w:rPr>
              <w:t xml:space="preserve"> alebo na základe získaných informácií o osobách podľa odseku 3 písm. b) nie je presvedčená alebo má pochybnosti o ich vhodnosti z hľadiska zabezpečenia riadneho a obozretného riadenia inštitúcie elektronických peňazí. Dôvodom na zamietnutie žiadosti o udelenie povolenia nesmú byť ekonomické potreby trhu.</w:t>
            </w: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0053E4"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r w:rsidRPr="00966983">
              <w:rPr>
                <w:sz w:val="18"/>
                <w:szCs w:val="18"/>
              </w:rPr>
              <w:t>Č 115</w:t>
            </w:r>
          </w:p>
          <w:p w:rsidR="005B36B3" w:rsidRPr="00966983" w:rsidRDefault="005B36B3" w:rsidP="005B36B3">
            <w:pPr>
              <w:rPr>
                <w:sz w:val="18"/>
                <w:szCs w:val="18"/>
              </w:rPr>
            </w:pPr>
            <w:r w:rsidRPr="00966983">
              <w:rPr>
                <w:sz w:val="18"/>
                <w:szCs w:val="18"/>
              </w:rPr>
              <w:t>O 4</w:t>
            </w: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adjustRightInd w:val="0"/>
              <w:rPr>
                <w:sz w:val="18"/>
                <w:szCs w:val="18"/>
                <w:lang w:eastAsia="en-US"/>
              </w:rPr>
            </w:pPr>
            <w:r w:rsidRPr="00966983">
              <w:rPr>
                <w:sz w:val="18"/>
                <w:szCs w:val="18"/>
                <w:lang w:eastAsia="en-US"/>
              </w:rPr>
              <w:t>4. Odchylne od odseku 2 členské štáty zabezpečia uplatňovanie bezpečnostných opatrení, ktoré sú uvedené v článkoch 65, 66, 67 a 97, od 18 mesiacov po dátume nadobudnutia účinnosti regulačných technických predpisov uvedených v článku 98.</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w:t>
            </w:r>
          </w:p>
        </w:tc>
        <w:tc>
          <w:tcPr>
            <w:tcW w:w="851" w:type="dxa"/>
            <w:tcBorders>
              <w:top w:val="single" w:sz="4" w:space="0" w:color="auto"/>
              <w:left w:val="nil"/>
              <w:bottom w:val="single" w:sz="4" w:space="0" w:color="auto"/>
              <w:right w:val="single" w:sz="4" w:space="0" w:color="auto"/>
            </w:tcBorders>
          </w:tcPr>
          <w:p w:rsidR="005B36B3" w:rsidRPr="00966983" w:rsidRDefault="005B36B3" w:rsidP="009C569D">
            <w:pPr>
              <w:jc w:val="center"/>
              <w:rPr>
                <w:sz w:val="18"/>
                <w:szCs w:val="18"/>
              </w:rPr>
            </w:pPr>
            <w:r w:rsidRPr="00966983">
              <w:rPr>
                <w:sz w:val="18"/>
                <w:szCs w:val="18"/>
              </w:rPr>
              <w:t>492/2009</w:t>
            </w:r>
            <w:r w:rsidRPr="00966983">
              <w:rPr>
                <w:b/>
                <w:sz w:val="18"/>
                <w:szCs w:val="18"/>
              </w:rPr>
              <w:t xml:space="preserve"> a návrh zákona</w:t>
            </w:r>
            <w:r w:rsidR="00A31B70" w:rsidRPr="00966983">
              <w:rPr>
                <w:b/>
                <w:sz w:val="18"/>
                <w:szCs w:val="18"/>
              </w:rPr>
              <w:t xml:space="preserve"> čl.</w:t>
            </w:r>
            <w:r w:rsidR="009C569D" w:rsidRPr="00966983">
              <w:rPr>
                <w:b/>
                <w:sz w:val="18"/>
                <w:szCs w:val="18"/>
              </w:rPr>
              <w:t xml:space="preserve"> </w:t>
            </w:r>
            <w:r w:rsidR="00A31B70" w:rsidRPr="00966983">
              <w:rPr>
                <w:b/>
                <w:sz w:val="18"/>
                <w:szCs w:val="18"/>
              </w:rPr>
              <w:t>I</w:t>
            </w:r>
            <w:r w:rsidR="009C569D" w:rsidRPr="00966983">
              <w:rPr>
                <w:b/>
                <w:sz w:val="18"/>
                <w:szCs w:val="18"/>
              </w:rPr>
              <w:t>V</w:t>
            </w:r>
            <w:r w:rsidRPr="00966983">
              <w:rPr>
                <w:sz w:val="18"/>
                <w:szCs w:val="18"/>
              </w:rPr>
              <w:t xml:space="preserve"> </w:t>
            </w: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r w:rsidRPr="00966983">
              <w:rPr>
                <w:sz w:val="18"/>
                <w:szCs w:val="18"/>
              </w:rPr>
              <w:t>§ 101h O 9</w:t>
            </w: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lang w:eastAsia="en-US"/>
              </w:rPr>
            </w:pPr>
            <w:r w:rsidRPr="00966983">
              <w:rPr>
                <w:sz w:val="18"/>
                <w:szCs w:val="18"/>
              </w:rPr>
              <w:t xml:space="preserve">(9) </w:t>
            </w:r>
            <w:r w:rsidRPr="00966983">
              <w:rPr>
                <w:sz w:val="18"/>
                <w:szCs w:val="18"/>
                <w:lang w:eastAsia="en-US"/>
              </w:rPr>
              <w:t xml:space="preserve">Bezpečnostné opatrenia podľa § 3a ods. 3 písm. d) a ods. 5 písm. a), § 3b ods. 2 písm. d), ods. 4 a ods. 5 písm. a), § 3c a § 28b ods. 2 písm. c) sa začnú uplatňovať po uplynutí 18 mesiacov odo dňa účinnosti osobitného predpisu </w:t>
            </w:r>
            <w:r w:rsidRPr="00966983">
              <w:rPr>
                <w:b/>
                <w:strike/>
                <w:sz w:val="18"/>
                <w:szCs w:val="18"/>
                <w:lang w:eastAsia="en-US"/>
              </w:rPr>
              <w:t>o</w:t>
            </w:r>
            <w:r w:rsidRPr="00966983">
              <w:rPr>
                <w:b/>
                <w:sz w:val="18"/>
                <w:szCs w:val="18"/>
                <w:lang w:eastAsia="en-US"/>
              </w:rPr>
              <w:t xml:space="preserve"> </w:t>
            </w:r>
            <w:r w:rsidRPr="00966983">
              <w:rPr>
                <w:b/>
                <w:strike/>
                <w:sz w:val="18"/>
                <w:szCs w:val="18"/>
                <w:lang w:eastAsia="en-US"/>
              </w:rPr>
              <w:t>vydaní regulačného technického predpisu vydaného na základe osobitného predpisu</w:t>
            </w:r>
            <w:r w:rsidRPr="00966983">
              <w:rPr>
                <w:sz w:val="18"/>
                <w:szCs w:val="18"/>
                <w:lang w:eastAsia="en-US"/>
              </w:rPr>
              <w:t>,15a) tým nie sú dotknuté ustanovenia § 12 ods. 3 písm. d) a ods. 4 a § 24 ods. 1. Poskytovateľ platobných služieb, ktorý vedie platobný účet počas 18 mesiacov podľa prvej vety, postupuje podľa bezpečnostných opatrení, ktoré už má zavedené.</w:t>
            </w:r>
          </w:p>
          <w:p w:rsidR="005B36B3" w:rsidRPr="00966983" w:rsidRDefault="005B36B3" w:rsidP="005B36B3">
            <w:pPr>
              <w:pStyle w:val="Normlny0"/>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0053E4" w:rsidP="005B36B3">
            <w:pPr>
              <w:jc w:val="center"/>
              <w:rPr>
                <w:sz w:val="18"/>
                <w:szCs w:val="18"/>
              </w:rPr>
            </w:pPr>
            <w:r w:rsidRPr="00966983">
              <w:rPr>
                <w:sz w:val="18"/>
                <w:szCs w:val="18"/>
              </w:rPr>
              <w:t>Ú</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r w:rsidR="00966983" w:rsidRPr="00966983" w:rsidTr="00CF6042">
        <w:tc>
          <w:tcPr>
            <w:tcW w:w="682" w:type="dxa"/>
            <w:tcBorders>
              <w:top w:val="single" w:sz="4" w:space="0" w:color="auto"/>
              <w:left w:val="single" w:sz="12" w:space="0" w:color="auto"/>
              <w:bottom w:val="single" w:sz="4" w:space="0" w:color="auto"/>
              <w:right w:val="single" w:sz="4" w:space="0" w:color="auto"/>
            </w:tcBorders>
          </w:tcPr>
          <w:p w:rsidR="005B36B3" w:rsidRPr="00966983" w:rsidRDefault="005B36B3" w:rsidP="005B36B3">
            <w:pPr>
              <w:rPr>
                <w:sz w:val="18"/>
                <w:szCs w:val="18"/>
              </w:rPr>
            </w:pPr>
          </w:p>
        </w:tc>
        <w:tc>
          <w:tcPr>
            <w:tcW w:w="6095"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adjustRightInd w:val="0"/>
              <w:rPr>
                <w:sz w:val="18"/>
                <w:szCs w:val="18"/>
                <w:lang w:eastAsia="en-US"/>
              </w:rPr>
            </w:pPr>
            <w:r w:rsidRPr="00966983">
              <w:rPr>
                <w:sz w:val="18"/>
                <w:szCs w:val="18"/>
                <w:lang w:eastAsia="en-US"/>
              </w:rPr>
              <w:t>PRÍLOHA II</w:t>
            </w:r>
          </w:p>
          <w:p w:rsidR="005B36B3" w:rsidRPr="00966983" w:rsidRDefault="005B36B3" w:rsidP="005B36B3">
            <w:pPr>
              <w:adjustRightInd w:val="0"/>
              <w:rPr>
                <w:sz w:val="18"/>
                <w:szCs w:val="18"/>
                <w:lang w:eastAsia="en-US"/>
              </w:rPr>
            </w:pPr>
            <w:r w:rsidRPr="00966983">
              <w:rPr>
                <w:sz w:val="18"/>
                <w:szCs w:val="18"/>
                <w:lang w:eastAsia="en-US"/>
              </w:rPr>
              <w:t>TABUĽKA ZHODY</w:t>
            </w:r>
          </w:p>
        </w:tc>
        <w:tc>
          <w:tcPr>
            <w:tcW w:w="709"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jc w:val="center"/>
              <w:rPr>
                <w:sz w:val="18"/>
                <w:szCs w:val="18"/>
              </w:rPr>
            </w:pPr>
            <w:r w:rsidRPr="00966983">
              <w:rPr>
                <w:sz w:val="18"/>
                <w:szCs w:val="18"/>
              </w:rPr>
              <w:t>n.a.</w:t>
            </w:r>
          </w:p>
        </w:tc>
        <w:tc>
          <w:tcPr>
            <w:tcW w:w="851" w:type="dxa"/>
            <w:tcBorders>
              <w:top w:val="single" w:sz="4" w:space="0" w:color="auto"/>
              <w:left w:val="nil"/>
              <w:bottom w:val="single" w:sz="4" w:space="0" w:color="auto"/>
              <w:right w:val="single" w:sz="4" w:space="0" w:color="auto"/>
            </w:tcBorders>
          </w:tcPr>
          <w:p w:rsidR="005B36B3" w:rsidRPr="00966983" w:rsidRDefault="005B36B3" w:rsidP="005B36B3">
            <w:pPr>
              <w:jc w:val="center"/>
              <w:rPr>
                <w:sz w:val="18"/>
                <w:szCs w:val="18"/>
              </w:rPr>
            </w:pPr>
          </w:p>
        </w:tc>
        <w:tc>
          <w:tcPr>
            <w:tcW w:w="708"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pStyle w:val="Normlny0"/>
              <w:jc w:val="center"/>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both"/>
              <w:rPr>
                <w:sz w:val="18"/>
                <w:szCs w:val="18"/>
              </w:rPr>
            </w:pPr>
          </w:p>
        </w:tc>
        <w:tc>
          <w:tcPr>
            <w:tcW w:w="567" w:type="dxa"/>
            <w:tcBorders>
              <w:top w:val="single" w:sz="4" w:space="0" w:color="auto"/>
              <w:left w:val="single" w:sz="4" w:space="0" w:color="auto"/>
              <w:bottom w:val="single" w:sz="4" w:space="0" w:color="auto"/>
              <w:right w:val="single" w:sz="4" w:space="0" w:color="auto"/>
            </w:tcBorders>
          </w:tcPr>
          <w:p w:rsidR="005B36B3" w:rsidRPr="00966983" w:rsidRDefault="005B36B3" w:rsidP="005B36B3">
            <w:pPr>
              <w:jc w:val="center"/>
              <w:rPr>
                <w:sz w:val="18"/>
                <w:szCs w:val="18"/>
              </w:rPr>
            </w:pPr>
            <w:r w:rsidRPr="00966983">
              <w:rPr>
                <w:sz w:val="18"/>
                <w:szCs w:val="18"/>
              </w:rPr>
              <w:t>n.a.</w:t>
            </w:r>
          </w:p>
        </w:tc>
        <w:tc>
          <w:tcPr>
            <w:tcW w:w="918" w:type="dxa"/>
            <w:tcBorders>
              <w:top w:val="single" w:sz="4" w:space="0" w:color="auto"/>
              <w:left w:val="single" w:sz="4" w:space="0" w:color="auto"/>
              <w:bottom w:val="single" w:sz="4" w:space="0" w:color="auto"/>
              <w:right w:val="single" w:sz="12" w:space="0" w:color="auto"/>
            </w:tcBorders>
          </w:tcPr>
          <w:p w:rsidR="005B36B3" w:rsidRPr="00966983" w:rsidRDefault="005B36B3" w:rsidP="005B36B3">
            <w:pPr>
              <w:pStyle w:val="Nadpis1"/>
              <w:rPr>
                <w:b w:val="0"/>
                <w:bCs w:val="0"/>
                <w:sz w:val="18"/>
                <w:szCs w:val="18"/>
              </w:rPr>
            </w:pPr>
          </w:p>
        </w:tc>
      </w:tr>
    </w:tbl>
    <w:p w:rsidR="005528A5" w:rsidRPr="00966983" w:rsidRDefault="005528A5" w:rsidP="00ED3975">
      <w:pPr>
        <w:autoSpaceDE/>
        <w:autoSpaceDN/>
        <w:rPr>
          <w:sz w:val="18"/>
          <w:szCs w:val="18"/>
        </w:rPr>
      </w:pPr>
      <w:r w:rsidRPr="00966983">
        <w:rPr>
          <w:sz w:val="18"/>
          <w:szCs w:val="18"/>
        </w:rPr>
        <w:t>LEGENDA:</w:t>
      </w:r>
    </w:p>
    <w:tbl>
      <w:tblPr>
        <w:tblW w:w="15730" w:type="dxa"/>
        <w:tblCellMar>
          <w:left w:w="70" w:type="dxa"/>
          <w:right w:w="70" w:type="dxa"/>
        </w:tblCellMar>
        <w:tblLook w:val="0000" w:firstRow="0" w:lastRow="0" w:firstColumn="0" w:lastColumn="0" w:noHBand="0" w:noVBand="0"/>
      </w:tblPr>
      <w:tblGrid>
        <w:gridCol w:w="2410"/>
        <w:gridCol w:w="3780"/>
        <w:gridCol w:w="2340"/>
        <w:gridCol w:w="7200"/>
      </w:tblGrid>
      <w:tr w:rsidR="005528A5" w:rsidRPr="00966983">
        <w:tc>
          <w:tcPr>
            <w:tcW w:w="2410" w:type="dxa"/>
            <w:tcBorders>
              <w:top w:val="nil"/>
              <w:left w:val="nil"/>
              <w:bottom w:val="nil"/>
              <w:right w:val="nil"/>
            </w:tcBorders>
          </w:tcPr>
          <w:p w:rsidR="005528A5" w:rsidRPr="00966983" w:rsidRDefault="005528A5" w:rsidP="00ED3975">
            <w:pPr>
              <w:pStyle w:val="Normlny0"/>
              <w:autoSpaceDE/>
              <w:autoSpaceDN/>
              <w:rPr>
                <w:sz w:val="18"/>
                <w:szCs w:val="18"/>
                <w:lang w:eastAsia="sk-SK"/>
              </w:rPr>
            </w:pPr>
            <w:r w:rsidRPr="00966983">
              <w:rPr>
                <w:sz w:val="18"/>
                <w:szCs w:val="18"/>
                <w:lang w:eastAsia="sk-SK"/>
              </w:rPr>
              <w:t>V stĺpci (1):</w:t>
            </w:r>
          </w:p>
          <w:p w:rsidR="005528A5" w:rsidRPr="00966983" w:rsidRDefault="005528A5" w:rsidP="00ED3975">
            <w:pPr>
              <w:autoSpaceDE/>
              <w:autoSpaceDN/>
              <w:rPr>
                <w:sz w:val="18"/>
                <w:szCs w:val="18"/>
              </w:rPr>
            </w:pPr>
            <w:r w:rsidRPr="00966983">
              <w:rPr>
                <w:sz w:val="18"/>
                <w:szCs w:val="18"/>
              </w:rPr>
              <w:t>Č – článok</w:t>
            </w:r>
          </w:p>
          <w:p w:rsidR="005528A5" w:rsidRPr="00966983" w:rsidRDefault="005528A5" w:rsidP="00ED3975">
            <w:pPr>
              <w:autoSpaceDE/>
              <w:autoSpaceDN/>
              <w:rPr>
                <w:sz w:val="18"/>
                <w:szCs w:val="18"/>
              </w:rPr>
            </w:pPr>
            <w:r w:rsidRPr="00966983">
              <w:rPr>
                <w:sz w:val="18"/>
                <w:szCs w:val="18"/>
              </w:rPr>
              <w:t>O – odsek</w:t>
            </w:r>
          </w:p>
          <w:p w:rsidR="005528A5" w:rsidRPr="00966983" w:rsidRDefault="005528A5" w:rsidP="00ED3975">
            <w:pPr>
              <w:autoSpaceDE/>
              <w:autoSpaceDN/>
              <w:rPr>
                <w:sz w:val="18"/>
                <w:szCs w:val="18"/>
              </w:rPr>
            </w:pPr>
            <w:r w:rsidRPr="00966983">
              <w:rPr>
                <w:sz w:val="18"/>
                <w:szCs w:val="18"/>
              </w:rPr>
              <w:t>V – veta</w:t>
            </w:r>
          </w:p>
          <w:p w:rsidR="005528A5" w:rsidRPr="00966983" w:rsidRDefault="005528A5" w:rsidP="00ED3975">
            <w:pPr>
              <w:autoSpaceDE/>
              <w:autoSpaceDN/>
              <w:rPr>
                <w:sz w:val="18"/>
                <w:szCs w:val="18"/>
              </w:rPr>
            </w:pPr>
            <w:r w:rsidRPr="00966983">
              <w:rPr>
                <w:sz w:val="18"/>
                <w:szCs w:val="18"/>
              </w:rPr>
              <w:t>P – číslo (písmeno)</w:t>
            </w:r>
          </w:p>
          <w:p w:rsidR="005528A5" w:rsidRPr="00966983" w:rsidRDefault="005528A5" w:rsidP="00ED3975">
            <w:pPr>
              <w:autoSpaceDE/>
              <w:autoSpaceDN/>
              <w:rPr>
                <w:sz w:val="18"/>
                <w:szCs w:val="18"/>
              </w:rPr>
            </w:pPr>
          </w:p>
        </w:tc>
        <w:tc>
          <w:tcPr>
            <w:tcW w:w="3780" w:type="dxa"/>
            <w:tcBorders>
              <w:top w:val="nil"/>
              <w:left w:val="nil"/>
              <w:bottom w:val="nil"/>
              <w:right w:val="nil"/>
            </w:tcBorders>
          </w:tcPr>
          <w:p w:rsidR="005528A5" w:rsidRPr="00966983" w:rsidRDefault="005528A5" w:rsidP="00ED3975">
            <w:pPr>
              <w:pStyle w:val="Normlny0"/>
              <w:autoSpaceDE/>
              <w:autoSpaceDN/>
              <w:rPr>
                <w:sz w:val="18"/>
                <w:szCs w:val="18"/>
                <w:lang w:eastAsia="sk-SK"/>
              </w:rPr>
            </w:pPr>
            <w:r w:rsidRPr="00966983">
              <w:rPr>
                <w:sz w:val="18"/>
                <w:szCs w:val="18"/>
                <w:lang w:eastAsia="sk-SK"/>
              </w:rPr>
              <w:t>V stĺpci (3):</w:t>
            </w:r>
          </w:p>
          <w:p w:rsidR="005528A5" w:rsidRPr="00966983" w:rsidRDefault="005528A5" w:rsidP="00ED3975">
            <w:pPr>
              <w:autoSpaceDE/>
              <w:autoSpaceDN/>
              <w:rPr>
                <w:sz w:val="18"/>
                <w:szCs w:val="18"/>
              </w:rPr>
            </w:pPr>
            <w:r w:rsidRPr="00966983">
              <w:rPr>
                <w:sz w:val="18"/>
                <w:szCs w:val="18"/>
              </w:rPr>
              <w:t>N – bežná transpozícia</w:t>
            </w:r>
          </w:p>
          <w:p w:rsidR="005528A5" w:rsidRPr="00966983" w:rsidRDefault="005528A5" w:rsidP="00ED3975">
            <w:pPr>
              <w:autoSpaceDE/>
              <w:autoSpaceDN/>
              <w:rPr>
                <w:sz w:val="18"/>
                <w:szCs w:val="18"/>
              </w:rPr>
            </w:pPr>
            <w:r w:rsidRPr="00966983">
              <w:rPr>
                <w:sz w:val="18"/>
                <w:szCs w:val="18"/>
              </w:rPr>
              <w:t>O – transpozícia s možnosťou voľby</w:t>
            </w:r>
          </w:p>
          <w:p w:rsidR="005528A5" w:rsidRPr="00966983" w:rsidRDefault="005528A5" w:rsidP="00ED3975">
            <w:pPr>
              <w:autoSpaceDE/>
              <w:autoSpaceDN/>
              <w:rPr>
                <w:sz w:val="18"/>
                <w:szCs w:val="18"/>
              </w:rPr>
            </w:pPr>
            <w:r w:rsidRPr="00966983">
              <w:rPr>
                <w:sz w:val="18"/>
                <w:szCs w:val="18"/>
              </w:rPr>
              <w:t>D – transpozícia podľa úvahy (dobrovoľná)</w:t>
            </w:r>
          </w:p>
          <w:p w:rsidR="005528A5" w:rsidRPr="00966983" w:rsidRDefault="005528A5" w:rsidP="00ED3975">
            <w:pPr>
              <w:autoSpaceDE/>
              <w:autoSpaceDN/>
              <w:rPr>
                <w:sz w:val="18"/>
                <w:szCs w:val="18"/>
              </w:rPr>
            </w:pPr>
            <w:r w:rsidRPr="00966983">
              <w:rPr>
                <w:sz w:val="18"/>
                <w:szCs w:val="18"/>
              </w:rPr>
              <w:t>n.a. – transpozícia sa neuskutočňuje</w:t>
            </w:r>
          </w:p>
        </w:tc>
        <w:tc>
          <w:tcPr>
            <w:tcW w:w="2340" w:type="dxa"/>
            <w:tcBorders>
              <w:top w:val="nil"/>
              <w:left w:val="nil"/>
              <w:bottom w:val="nil"/>
              <w:right w:val="nil"/>
            </w:tcBorders>
          </w:tcPr>
          <w:p w:rsidR="005528A5" w:rsidRPr="00966983" w:rsidRDefault="005528A5" w:rsidP="00ED3975">
            <w:pPr>
              <w:pStyle w:val="Normlny0"/>
              <w:autoSpaceDE/>
              <w:autoSpaceDN/>
              <w:rPr>
                <w:sz w:val="18"/>
                <w:szCs w:val="18"/>
                <w:lang w:eastAsia="sk-SK"/>
              </w:rPr>
            </w:pPr>
            <w:r w:rsidRPr="00966983">
              <w:rPr>
                <w:sz w:val="18"/>
                <w:szCs w:val="18"/>
                <w:lang w:eastAsia="sk-SK"/>
              </w:rPr>
              <w:t>V stĺpci (5):</w:t>
            </w:r>
          </w:p>
          <w:p w:rsidR="005528A5" w:rsidRPr="00966983" w:rsidRDefault="005528A5" w:rsidP="00ED3975">
            <w:pPr>
              <w:autoSpaceDE/>
              <w:autoSpaceDN/>
              <w:rPr>
                <w:sz w:val="18"/>
                <w:szCs w:val="18"/>
              </w:rPr>
            </w:pPr>
            <w:r w:rsidRPr="00966983">
              <w:rPr>
                <w:sz w:val="18"/>
                <w:szCs w:val="18"/>
              </w:rPr>
              <w:t>Č – článok</w:t>
            </w:r>
          </w:p>
          <w:p w:rsidR="005528A5" w:rsidRPr="00966983" w:rsidRDefault="005528A5" w:rsidP="00ED3975">
            <w:pPr>
              <w:autoSpaceDE/>
              <w:autoSpaceDN/>
              <w:rPr>
                <w:sz w:val="18"/>
                <w:szCs w:val="18"/>
              </w:rPr>
            </w:pPr>
            <w:r w:rsidRPr="00966983">
              <w:rPr>
                <w:sz w:val="18"/>
                <w:szCs w:val="18"/>
              </w:rPr>
              <w:t>§ – paragraf</w:t>
            </w:r>
          </w:p>
          <w:p w:rsidR="005528A5" w:rsidRPr="00966983" w:rsidRDefault="005528A5" w:rsidP="00ED3975">
            <w:pPr>
              <w:autoSpaceDE/>
              <w:autoSpaceDN/>
              <w:rPr>
                <w:sz w:val="18"/>
                <w:szCs w:val="18"/>
              </w:rPr>
            </w:pPr>
            <w:r w:rsidRPr="00966983">
              <w:rPr>
                <w:sz w:val="18"/>
                <w:szCs w:val="18"/>
              </w:rPr>
              <w:t>O – odsek</w:t>
            </w:r>
          </w:p>
          <w:p w:rsidR="005528A5" w:rsidRPr="00966983" w:rsidRDefault="005528A5" w:rsidP="00ED3975">
            <w:pPr>
              <w:autoSpaceDE/>
              <w:autoSpaceDN/>
              <w:rPr>
                <w:sz w:val="18"/>
                <w:szCs w:val="18"/>
              </w:rPr>
            </w:pPr>
            <w:r w:rsidRPr="00966983">
              <w:rPr>
                <w:sz w:val="18"/>
                <w:szCs w:val="18"/>
              </w:rPr>
              <w:t>V – veta</w:t>
            </w:r>
          </w:p>
          <w:p w:rsidR="005528A5" w:rsidRPr="00966983" w:rsidRDefault="005528A5" w:rsidP="00ED3975">
            <w:pPr>
              <w:autoSpaceDE/>
              <w:autoSpaceDN/>
              <w:rPr>
                <w:sz w:val="18"/>
                <w:szCs w:val="18"/>
              </w:rPr>
            </w:pPr>
            <w:r w:rsidRPr="00966983">
              <w:rPr>
                <w:sz w:val="18"/>
                <w:szCs w:val="18"/>
              </w:rPr>
              <w:t>P – písmeno (číslo)</w:t>
            </w:r>
          </w:p>
        </w:tc>
        <w:tc>
          <w:tcPr>
            <w:tcW w:w="7200" w:type="dxa"/>
            <w:tcBorders>
              <w:top w:val="nil"/>
              <w:left w:val="nil"/>
              <w:bottom w:val="nil"/>
              <w:right w:val="nil"/>
            </w:tcBorders>
          </w:tcPr>
          <w:p w:rsidR="005528A5" w:rsidRPr="00966983" w:rsidRDefault="005528A5" w:rsidP="00ED3975">
            <w:pPr>
              <w:pStyle w:val="Normlny0"/>
              <w:autoSpaceDE/>
              <w:autoSpaceDN/>
              <w:rPr>
                <w:sz w:val="18"/>
                <w:szCs w:val="18"/>
                <w:lang w:eastAsia="sk-SK"/>
              </w:rPr>
            </w:pPr>
            <w:r w:rsidRPr="00966983">
              <w:rPr>
                <w:sz w:val="18"/>
                <w:szCs w:val="18"/>
                <w:lang w:eastAsia="sk-SK"/>
              </w:rPr>
              <w:t>V stĺpci (7):</w:t>
            </w:r>
          </w:p>
          <w:p w:rsidR="005528A5" w:rsidRPr="00966983" w:rsidRDefault="005528A5" w:rsidP="00ED3975">
            <w:pPr>
              <w:autoSpaceDE/>
              <w:autoSpaceDN/>
              <w:ind w:left="290" w:hanging="290"/>
              <w:rPr>
                <w:sz w:val="18"/>
                <w:szCs w:val="18"/>
              </w:rPr>
            </w:pPr>
            <w:r w:rsidRPr="00966983">
              <w:rPr>
                <w:sz w:val="18"/>
                <w:szCs w:val="18"/>
              </w:rPr>
              <w:t xml:space="preserve">Ú – úplná zhoda (ak bolo ustanovenie smernice prebraté v celom rozsahu, správne, v príslušnej forme, so zabezpečenou inštitucionálnou </w:t>
            </w:r>
            <w:r w:rsidR="0009119F" w:rsidRPr="00966983">
              <w:rPr>
                <w:sz w:val="18"/>
                <w:szCs w:val="18"/>
              </w:rPr>
              <w:t>i</w:t>
            </w:r>
            <w:r w:rsidRPr="00966983">
              <w:rPr>
                <w:sz w:val="18"/>
                <w:szCs w:val="18"/>
              </w:rPr>
              <w:t>nfraštruktúrou, s príslušnými sankciami a vo vzájomnej súvislosti)</w:t>
            </w:r>
          </w:p>
          <w:p w:rsidR="005528A5" w:rsidRPr="00966983" w:rsidRDefault="005528A5" w:rsidP="00ED3975">
            <w:pPr>
              <w:autoSpaceDE/>
              <w:autoSpaceDN/>
              <w:rPr>
                <w:sz w:val="18"/>
                <w:szCs w:val="18"/>
              </w:rPr>
            </w:pPr>
            <w:r w:rsidRPr="00966983">
              <w:rPr>
                <w:sz w:val="18"/>
                <w:szCs w:val="18"/>
              </w:rPr>
              <w:t>Č – čiastočná zhoda (ak minimálne jedna z podmienok úplnej zhody nie je splnená)</w:t>
            </w:r>
          </w:p>
          <w:p w:rsidR="005528A5" w:rsidRPr="00966983" w:rsidRDefault="005528A5" w:rsidP="00ED3975">
            <w:pPr>
              <w:pStyle w:val="Zarkazkladnhotextu2"/>
              <w:rPr>
                <w:sz w:val="18"/>
                <w:szCs w:val="18"/>
              </w:rPr>
            </w:pPr>
            <w:r w:rsidRPr="00966983">
              <w:rPr>
                <w:sz w:val="18"/>
                <w:szCs w:val="18"/>
              </w:rPr>
              <w:lastRenderedPageBreak/>
              <w:t>Ž – žiadna zhoda (ak nebola dosiahnutá ani úplná ani čiast. zhoda alebo k prebratiu dôjde v budúcnosti)</w:t>
            </w:r>
          </w:p>
          <w:p w:rsidR="005528A5" w:rsidRPr="00966983" w:rsidRDefault="005528A5" w:rsidP="00ED3975">
            <w:pPr>
              <w:autoSpaceDE/>
              <w:autoSpaceDN/>
              <w:ind w:left="290" w:hanging="290"/>
              <w:rPr>
                <w:sz w:val="18"/>
                <w:szCs w:val="18"/>
              </w:rPr>
            </w:pPr>
            <w:r w:rsidRPr="00966983">
              <w:rPr>
                <w:sz w:val="18"/>
                <w:szCs w:val="18"/>
              </w:rPr>
              <w:t>n.a. – neaplikovateľnosť (ak sa ustanovenie smernice netýka SR alebo nie je potrebné ho prebrať)</w:t>
            </w:r>
          </w:p>
        </w:tc>
      </w:tr>
    </w:tbl>
    <w:p w:rsidR="00B04CF9" w:rsidRPr="00966983" w:rsidRDefault="00B04CF9" w:rsidP="00ED3975">
      <w:pPr>
        <w:autoSpaceDE/>
        <w:autoSpaceDN/>
        <w:rPr>
          <w:sz w:val="18"/>
          <w:szCs w:val="18"/>
        </w:rPr>
      </w:pPr>
    </w:p>
    <w:tbl>
      <w:tblPr>
        <w:tblW w:w="1616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1186"/>
        <w:gridCol w:w="14974"/>
      </w:tblGrid>
      <w:tr w:rsidR="00966983" w:rsidRPr="00966983" w:rsidTr="00B04CF9">
        <w:trPr>
          <w:cantSplit/>
        </w:trPr>
        <w:tc>
          <w:tcPr>
            <w:tcW w:w="16160" w:type="dxa"/>
            <w:gridSpan w:val="2"/>
            <w:tcBorders>
              <w:top w:val="single" w:sz="12" w:space="0" w:color="auto"/>
              <w:left w:val="single" w:sz="12" w:space="0" w:color="auto"/>
              <w:bottom w:val="single" w:sz="4" w:space="0" w:color="auto"/>
              <w:right w:val="single" w:sz="12" w:space="0" w:color="auto"/>
            </w:tcBorders>
          </w:tcPr>
          <w:p w:rsidR="00B04CF9" w:rsidRPr="00966983" w:rsidRDefault="00B04CF9" w:rsidP="00BE0762">
            <w:pPr>
              <w:pStyle w:val="Nadpis2"/>
              <w:spacing w:before="0"/>
              <w:rPr>
                <w:sz w:val="18"/>
                <w:szCs w:val="18"/>
              </w:rPr>
            </w:pPr>
            <w:r w:rsidRPr="00966983">
              <w:rPr>
                <w:sz w:val="18"/>
                <w:szCs w:val="18"/>
              </w:rPr>
              <w:t>Zoznam všeobecne záväzných právnych predpisov preberajúcich smernicu</w:t>
            </w:r>
            <w:r w:rsidR="00BE0762" w:rsidRPr="00966983">
              <w:rPr>
                <w:b w:val="0"/>
                <w:sz w:val="18"/>
                <w:szCs w:val="18"/>
              </w:rPr>
              <w:t xml:space="preserve"> </w:t>
            </w:r>
            <w:r w:rsidR="00BE0762" w:rsidRPr="00966983">
              <w:rPr>
                <w:sz w:val="18"/>
                <w:szCs w:val="18"/>
              </w:rPr>
              <w:t xml:space="preserve">EURÓPSKEHO PARLAMENTU A RADY (EÚ) </w:t>
            </w:r>
            <w:r w:rsidRPr="00966983">
              <w:rPr>
                <w:sz w:val="18"/>
                <w:szCs w:val="18"/>
              </w:rPr>
              <w:t xml:space="preserve"> 20</w:t>
            </w:r>
            <w:r w:rsidR="00BE0762" w:rsidRPr="00966983">
              <w:rPr>
                <w:sz w:val="18"/>
                <w:szCs w:val="18"/>
              </w:rPr>
              <w:t>15</w:t>
            </w:r>
            <w:r w:rsidRPr="00966983">
              <w:rPr>
                <w:sz w:val="18"/>
                <w:szCs w:val="18"/>
              </w:rPr>
              <w:t>/</w:t>
            </w:r>
            <w:r w:rsidR="00BE0762" w:rsidRPr="00966983">
              <w:rPr>
                <w:sz w:val="18"/>
                <w:szCs w:val="18"/>
              </w:rPr>
              <w:t>2366</w:t>
            </w:r>
          </w:p>
        </w:tc>
      </w:tr>
      <w:tr w:rsidR="00966983" w:rsidRPr="00966983" w:rsidTr="00B04CF9">
        <w:trPr>
          <w:cantSplit/>
        </w:trPr>
        <w:tc>
          <w:tcPr>
            <w:tcW w:w="1186" w:type="dxa"/>
            <w:tcBorders>
              <w:top w:val="single" w:sz="4" w:space="0" w:color="auto"/>
              <w:left w:val="single" w:sz="12" w:space="0" w:color="auto"/>
              <w:bottom w:val="single" w:sz="4" w:space="0" w:color="auto"/>
              <w:right w:val="single" w:sz="4" w:space="0" w:color="auto"/>
            </w:tcBorders>
          </w:tcPr>
          <w:p w:rsidR="00B04CF9" w:rsidRPr="00966983" w:rsidRDefault="00B04CF9" w:rsidP="00ED3975">
            <w:pPr>
              <w:jc w:val="center"/>
              <w:rPr>
                <w:sz w:val="18"/>
                <w:szCs w:val="18"/>
              </w:rPr>
            </w:pPr>
            <w:r w:rsidRPr="00966983">
              <w:rPr>
                <w:sz w:val="18"/>
                <w:szCs w:val="18"/>
              </w:rPr>
              <w:t>Por. č.</w:t>
            </w:r>
          </w:p>
        </w:tc>
        <w:tc>
          <w:tcPr>
            <w:tcW w:w="14974" w:type="dxa"/>
            <w:tcBorders>
              <w:top w:val="single" w:sz="4" w:space="0" w:color="auto"/>
              <w:left w:val="single" w:sz="4" w:space="0" w:color="auto"/>
              <w:bottom w:val="single" w:sz="4" w:space="0" w:color="auto"/>
              <w:right w:val="single" w:sz="12" w:space="0" w:color="auto"/>
            </w:tcBorders>
          </w:tcPr>
          <w:p w:rsidR="00B04CF9" w:rsidRPr="00966983" w:rsidRDefault="00B04CF9" w:rsidP="00ED3975">
            <w:pPr>
              <w:pStyle w:val="Normlny0"/>
              <w:rPr>
                <w:sz w:val="18"/>
                <w:szCs w:val="18"/>
                <w:lang w:eastAsia="sk-SK"/>
              </w:rPr>
            </w:pPr>
            <w:r w:rsidRPr="00966983">
              <w:rPr>
                <w:sz w:val="18"/>
                <w:szCs w:val="18"/>
                <w:lang w:eastAsia="sk-SK"/>
              </w:rPr>
              <w:t>Názov predpisu</w:t>
            </w:r>
          </w:p>
        </w:tc>
      </w:tr>
      <w:tr w:rsidR="00966983" w:rsidRPr="00966983" w:rsidTr="00B04CF9">
        <w:trPr>
          <w:cantSplit/>
        </w:trPr>
        <w:tc>
          <w:tcPr>
            <w:tcW w:w="1186" w:type="dxa"/>
            <w:tcBorders>
              <w:top w:val="single" w:sz="4" w:space="0" w:color="auto"/>
              <w:left w:val="single" w:sz="12" w:space="0" w:color="auto"/>
              <w:bottom w:val="single" w:sz="4" w:space="0" w:color="auto"/>
              <w:right w:val="single" w:sz="4" w:space="0" w:color="auto"/>
            </w:tcBorders>
          </w:tcPr>
          <w:p w:rsidR="00B04CF9" w:rsidRPr="00966983" w:rsidRDefault="00B04CF9" w:rsidP="00ED3975">
            <w:pPr>
              <w:numPr>
                <w:ilvl w:val="0"/>
                <w:numId w:val="1"/>
              </w:numPr>
              <w:jc w:val="center"/>
              <w:rPr>
                <w:sz w:val="18"/>
                <w:szCs w:val="18"/>
              </w:rPr>
            </w:pPr>
          </w:p>
        </w:tc>
        <w:tc>
          <w:tcPr>
            <w:tcW w:w="14974" w:type="dxa"/>
            <w:tcBorders>
              <w:top w:val="single" w:sz="4" w:space="0" w:color="auto"/>
              <w:left w:val="single" w:sz="4" w:space="0" w:color="auto"/>
              <w:bottom w:val="single" w:sz="4" w:space="0" w:color="auto"/>
              <w:right w:val="single" w:sz="12" w:space="0" w:color="auto"/>
            </w:tcBorders>
          </w:tcPr>
          <w:p w:rsidR="00B04CF9" w:rsidRPr="00966983" w:rsidRDefault="00CF36E0" w:rsidP="00BD378A">
            <w:pPr>
              <w:pStyle w:val="abc"/>
              <w:rPr>
                <w:sz w:val="18"/>
                <w:szCs w:val="18"/>
                <w:lang w:eastAsia="sk-SK"/>
              </w:rPr>
            </w:pPr>
            <w:r w:rsidRPr="00966983">
              <w:rPr>
                <w:bCs/>
                <w:sz w:val="18"/>
                <w:szCs w:val="18"/>
              </w:rPr>
              <w:t>zákon č. 492/2009 Z. z. o platobných službách a o zmene a doplnení niektorých zákonov v znení neskorších predpisov</w:t>
            </w:r>
            <w:bookmarkStart w:id="0" w:name="_GoBack"/>
            <w:bookmarkEnd w:id="0"/>
          </w:p>
        </w:tc>
      </w:tr>
    </w:tbl>
    <w:p w:rsidR="00B04CF9" w:rsidRPr="00966983" w:rsidRDefault="00B04CF9" w:rsidP="00ED3975">
      <w:pPr>
        <w:pStyle w:val="Hlavika"/>
        <w:tabs>
          <w:tab w:val="clear" w:pos="4536"/>
          <w:tab w:val="clear" w:pos="9072"/>
        </w:tabs>
        <w:autoSpaceDE/>
        <w:autoSpaceDN/>
        <w:rPr>
          <w:sz w:val="18"/>
          <w:szCs w:val="18"/>
        </w:rPr>
      </w:pPr>
    </w:p>
    <w:p w:rsidR="005528A5" w:rsidRPr="00966983" w:rsidRDefault="005528A5" w:rsidP="00ED3975">
      <w:pPr>
        <w:pStyle w:val="Hlavika"/>
        <w:tabs>
          <w:tab w:val="clear" w:pos="4536"/>
          <w:tab w:val="clear" w:pos="9072"/>
        </w:tabs>
        <w:autoSpaceDE/>
        <w:autoSpaceDN/>
        <w:rPr>
          <w:sz w:val="18"/>
          <w:szCs w:val="18"/>
        </w:rPr>
      </w:pPr>
    </w:p>
    <w:sectPr w:rsidR="005528A5" w:rsidRPr="00966983" w:rsidSect="00B94673">
      <w:footerReference w:type="default" r:id="rId9"/>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24D" w:rsidRDefault="0033424D">
      <w:r>
        <w:separator/>
      </w:r>
    </w:p>
  </w:endnote>
  <w:endnote w:type="continuationSeparator" w:id="0">
    <w:p w:rsidR="0033424D" w:rsidRDefault="0033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EUAlbertina_Bold">
    <w:altName w:val="Times New Roman"/>
    <w:panose1 w:val="00000000000000000000"/>
    <w:charset w:val="EE"/>
    <w:family w:val="auto"/>
    <w:notTrueType/>
    <w:pitch w:val="default"/>
    <w:sig w:usb0="00000007" w:usb1="00000000" w:usb2="00000000" w:usb3="00000000" w:csb0="00000003" w:csb1="00000000"/>
  </w:font>
  <w:font w:name="Cambria">
    <w:altName w:val="Palatino Linotype"/>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D06" w:rsidRDefault="00404D06" w:rsidP="00707EA1">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966983">
      <w:rPr>
        <w:rStyle w:val="slostrany"/>
        <w:noProof/>
      </w:rPr>
      <w:t>7</w:t>
    </w:r>
    <w:r>
      <w:rPr>
        <w:rStyle w:val="slostrany"/>
      </w:rPr>
      <w:fldChar w:fldCharType="end"/>
    </w:r>
  </w:p>
  <w:p w:rsidR="00404D06" w:rsidRDefault="00404D06">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24D" w:rsidRDefault="0033424D">
      <w:r>
        <w:separator/>
      </w:r>
    </w:p>
  </w:footnote>
  <w:footnote w:type="continuationSeparator" w:id="0">
    <w:p w:rsidR="0033424D" w:rsidRDefault="00334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175C"/>
    <w:multiLevelType w:val="hybridMultilevel"/>
    <w:tmpl w:val="BFEC5518"/>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15:restartNumberingAfterBreak="0">
    <w:nsid w:val="1240599F"/>
    <w:multiLevelType w:val="singleLevel"/>
    <w:tmpl w:val="27FA0800"/>
    <w:lvl w:ilvl="0">
      <w:start w:val="1"/>
      <w:numFmt w:val="decimal"/>
      <w:lvlText w:val="%1."/>
      <w:legacy w:legacy="1" w:legacySpace="0" w:legacyIndent="278"/>
      <w:lvlJc w:val="left"/>
      <w:rPr>
        <w:rFonts w:ascii="Times New Roman" w:eastAsiaTheme="minorEastAsia" w:hAnsi="Times New Roman" w:cs="Times New Roman"/>
        <w:color w:val="auto"/>
      </w:rPr>
    </w:lvl>
  </w:abstractNum>
  <w:abstractNum w:abstractNumId="2" w15:restartNumberingAfterBreak="0">
    <w:nsid w:val="1CEA05AD"/>
    <w:multiLevelType w:val="hybridMultilevel"/>
    <w:tmpl w:val="37481808"/>
    <w:lvl w:ilvl="0" w:tplc="668468C2">
      <w:start w:val="1"/>
      <w:numFmt w:val="decimal"/>
      <w:lvlText w:val="%1."/>
      <w:lvlJc w:val="left"/>
      <w:pPr>
        <w:ind w:left="1065" w:hanging="360"/>
      </w:pPr>
      <w:rPr>
        <w:rFonts w:cs="Times New Roman" w:hint="default"/>
        <w:i w:val="0"/>
        <w:strike w:val="0"/>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3" w15:restartNumberingAfterBreak="0">
    <w:nsid w:val="21EC1E2B"/>
    <w:multiLevelType w:val="singleLevel"/>
    <w:tmpl w:val="A30EBB68"/>
    <w:lvl w:ilvl="0">
      <w:start w:val="8"/>
      <w:numFmt w:val="lowerLetter"/>
      <w:lvlText w:val="%1)"/>
      <w:legacy w:legacy="1" w:legacySpace="0" w:legacyIndent="288"/>
      <w:lvlJc w:val="left"/>
      <w:rPr>
        <w:rFonts w:ascii="Times New Roman" w:hAnsi="Times New Roman" w:cs="Times New Roman" w:hint="default"/>
      </w:rPr>
    </w:lvl>
  </w:abstractNum>
  <w:abstractNum w:abstractNumId="4" w15:restartNumberingAfterBreak="0">
    <w:nsid w:val="308D5176"/>
    <w:multiLevelType w:val="singleLevel"/>
    <w:tmpl w:val="C2CCB9AE"/>
    <w:lvl w:ilvl="0">
      <w:start w:val="1"/>
      <w:numFmt w:val="decimal"/>
      <w:lvlText w:val="%1."/>
      <w:legacy w:legacy="1" w:legacySpace="0" w:legacyIndent="273"/>
      <w:lvlJc w:val="left"/>
      <w:rPr>
        <w:rFonts w:ascii="Times New Roman" w:hAnsi="Times New Roman" w:cs="Times New Roman" w:hint="default"/>
      </w:rPr>
    </w:lvl>
  </w:abstractNum>
  <w:abstractNum w:abstractNumId="5" w15:restartNumberingAfterBreak="0">
    <w:nsid w:val="35163D30"/>
    <w:multiLevelType w:val="singleLevel"/>
    <w:tmpl w:val="1A92C680"/>
    <w:lvl w:ilvl="0">
      <w:start w:val="7"/>
      <w:numFmt w:val="lowerLetter"/>
      <w:lvlText w:val="%1)"/>
      <w:legacy w:legacy="1" w:legacySpace="0" w:legacyIndent="288"/>
      <w:lvlJc w:val="left"/>
      <w:rPr>
        <w:rFonts w:ascii="Times New Roman" w:hAnsi="Times New Roman" w:cs="Times New Roman" w:hint="default"/>
      </w:rPr>
    </w:lvl>
  </w:abstractNum>
  <w:abstractNum w:abstractNumId="6" w15:restartNumberingAfterBreak="0">
    <w:nsid w:val="3F0D1CFB"/>
    <w:multiLevelType w:val="hybridMultilevel"/>
    <w:tmpl w:val="EFC87308"/>
    <w:lvl w:ilvl="0" w:tplc="4F447C9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50A4732B"/>
    <w:multiLevelType w:val="hybridMultilevel"/>
    <w:tmpl w:val="5D445F5A"/>
    <w:lvl w:ilvl="0" w:tplc="041B0017">
      <w:start w:val="2"/>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53AA5F64"/>
    <w:multiLevelType w:val="hybridMultilevel"/>
    <w:tmpl w:val="55562D8C"/>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7B85751B"/>
    <w:multiLevelType w:val="singleLevel"/>
    <w:tmpl w:val="B3D20548"/>
    <w:lvl w:ilvl="0">
      <w:start w:val="1"/>
      <w:numFmt w:val="decimal"/>
      <w:lvlText w:val="%1."/>
      <w:legacy w:legacy="1" w:legacySpace="0" w:legacyIndent="278"/>
      <w:lvlJc w:val="left"/>
      <w:rPr>
        <w:rFonts w:ascii="Times New Roman" w:hAnsi="Times New Roman" w:cs="Times New Roman" w:hint="default"/>
        <w:color w:val="auto"/>
      </w:rPr>
    </w:lvl>
  </w:abstractNum>
  <w:num w:numId="1">
    <w:abstractNumId w:val="0"/>
  </w:num>
  <w:num w:numId="2">
    <w:abstractNumId w:val="8"/>
  </w:num>
  <w:num w:numId="3">
    <w:abstractNumId w:val="6"/>
  </w:num>
  <w:num w:numId="4">
    <w:abstractNumId w:val="5"/>
  </w:num>
  <w:num w:numId="5">
    <w:abstractNumId w:val="9"/>
  </w:num>
  <w:num w:numId="6">
    <w:abstractNumId w:val="3"/>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8A5"/>
    <w:rsid w:val="00000B0F"/>
    <w:rsid w:val="000053E4"/>
    <w:rsid w:val="0001073F"/>
    <w:rsid w:val="0001154D"/>
    <w:rsid w:val="00013D30"/>
    <w:rsid w:val="00014221"/>
    <w:rsid w:val="000150A7"/>
    <w:rsid w:val="00017952"/>
    <w:rsid w:val="00017A6B"/>
    <w:rsid w:val="000303FB"/>
    <w:rsid w:val="000334BF"/>
    <w:rsid w:val="00037942"/>
    <w:rsid w:val="00037D8B"/>
    <w:rsid w:val="00040774"/>
    <w:rsid w:val="000410B7"/>
    <w:rsid w:val="00043504"/>
    <w:rsid w:val="00044DD8"/>
    <w:rsid w:val="000459AD"/>
    <w:rsid w:val="00045EF4"/>
    <w:rsid w:val="00047A52"/>
    <w:rsid w:val="000524F7"/>
    <w:rsid w:val="00053DC5"/>
    <w:rsid w:val="000558BE"/>
    <w:rsid w:val="00056521"/>
    <w:rsid w:val="00056EEA"/>
    <w:rsid w:val="00061CE8"/>
    <w:rsid w:val="00063C89"/>
    <w:rsid w:val="000649CB"/>
    <w:rsid w:val="00065560"/>
    <w:rsid w:val="000661C3"/>
    <w:rsid w:val="00067724"/>
    <w:rsid w:val="00071FF2"/>
    <w:rsid w:val="0007704B"/>
    <w:rsid w:val="00082E21"/>
    <w:rsid w:val="00083213"/>
    <w:rsid w:val="000864C8"/>
    <w:rsid w:val="00086FC1"/>
    <w:rsid w:val="00090EBE"/>
    <w:rsid w:val="0009119F"/>
    <w:rsid w:val="00094605"/>
    <w:rsid w:val="00097DC4"/>
    <w:rsid w:val="000A1CDD"/>
    <w:rsid w:val="000A361E"/>
    <w:rsid w:val="000B4118"/>
    <w:rsid w:val="000B4E3F"/>
    <w:rsid w:val="000B55D5"/>
    <w:rsid w:val="000B5751"/>
    <w:rsid w:val="000B5F3F"/>
    <w:rsid w:val="000B72D3"/>
    <w:rsid w:val="000C3FD0"/>
    <w:rsid w:val="000C44A8"/>
    <w:rsid w:val="000C6672"/>
    <w:rsid w:val="000C68DF"/>
    <w:rsid w:val="000D4D16"/>
    <w:rsid w:val="000D5686"/>
    <w:rsid w:val="000D77A0"/>
    <w:rsid w:val="000E48C1"/>
    <w:rsid w:val="000E5E3C"/>
    <w:rsid w:val="000F0264"/>
    <w:rsid w:val="000F0BF6"/>
    <w:rsid w:val="000F46E7"/>
    <w:rsid w:val="00100D53"/>
    <w:rsid w:val="00101215"/>
    <w:rsid w:val="00101BED"/>
    <w:rsid w:val="00102616"/>
    <w:rsid w:val="00104CEE"/>
    <w:rsid w:val="00104EFF"/>
    <w:rsid w:val="001105C4"/>
    <w:rsid w:val="00111326"/>
    <w:rsid w:val="0011191A"/>
    <w:rsid w:val="00114ABB"/>
    <w:rsid w:val="00116FF1"/>
    <w:rsid w:val="00117F62"/>
    <w:rsid w:val="00120072"/>
    <w:rsid w:val="00121A1A"/>
    <w:rsid w:val="00121F74"/>
    <w:rsid w:val="001234FC"/>
    <w:rsid w:val="00125BDA"/>
    <w:rsid w:val="00134064"/>
    <w:rsid w:val="00135F23"/>
    <w:rsid w:val="00143BC3"/>
    <w:rsid w:val="001475F6"/>
    <w:rsid w:val="00147FE0"/>
    <w:rsid w:val="00161FB2"/>
    <w:rsid w:val="0016574E"/>
    <w:rsid w:val="00166336"/>
    <w:rsid w:val="00166AA3"/>
    <w:rsid w:val="00166F8E"/>
    <w:rsid w:val="00167D7F"/>
    <w:rsid w:val="00171968"/>
    <w:rsid w:val="0017304D"/>
    <w:rsid w:val="00174012"/>
    <w:rsid w:val="001740BD"/>
    <w:rsid w:val="0017442D"/>
    <w:rsid w:val="00177467"/>
    <w:rsid w:val="00183FD9"/>
    <w:rsid w:val="001840D9"/>
    <w:rsid w:val="00184B76"/>
    <w:rsid w:val="00190225"/>
    <w:rsid w:val="001908CD"/>
    <w:rsid w:val="001928C3"/>
    <w:rsid w:val="0019477E"/>
    <w:rsid w:val="00196B92"/>
    <w:rsid w:val="00197812"/>
    <w:rsid w:val="001A103F"/>
    <w:rsid w:val="001A46B0"/>
    <w:rsid w:val="001A75BA"/>
    <w:rsid w:val="001B194E"/>
    <w:rsid w:val="001B1D0A"/>
    <w:rsid w:val="001B2965"/>
    <w:rsid w:val="001B2F84"/>
    <w:rsid w:val="001B43FE"/>
    <w:rsid w:val="001B4544"/>
    <w:rsid w:val="001C4FC1"/>
    <w:rsid w:val="001C6F4E"/>
    <w:rsid w:val="001D0BEB"/>
    <w:rsid w:val="001D0C23"/>
    <w:rsid w:val="00200C35"/>
    <w:rsid w:val="00204F59"/>
    <w:rsid w:val="0021176D"/>
    <w:rsid w:val="002118DB"/>
    <w:rsid w:val="00211ECA"/>
    <w:rsid w:val="00214135"/>
    <w:rsid w:val="002200E7"/>
    <w:rsid w:val="002203A2"/>
    <w:rsid w:val="00220552"/>
    <w:rsid w:val="00222193"/>
    <w:rsid w:val="00225218"/>
    <w:rsid w:val="00230342"/>
    <w:rsid w:val="002308B9"/>
    <w:rsid w:val="00231C08"/>
    <w:rsid w:val="002328AA"/>
    <w:rsid w:val="00232D13"/>
    <w:rsid w:val="002337A1"/>
    <w:rsid w:val="00240FC5"/>
    <w:rsid w:val="002421CE"/>
    <w:rsid w:val="00242BEA"/>
    <w:rsid w:val="00243592"/>
    <w:rsid w:val="00243E61"/>
    <w:rsid w:val="00244213"/>
    <w:rsid w:val="00244538"/>
    <w:rsid w:val="00244B55"/>
    <w:rsid w:val="00245E3F"/>
    <w:rsid w:val="00247574"/>
    <w:rsid w:val="00251787"/>
    <w:rsid w:val="00260365"/>
    <w:rsid w:val="00261E82"/>
    <w:rsid w:val="00264034"/>
    <w:rsid w:val="00265187"/>
    <w:rsid w:val="00267A87"/>
    <w:rsid w:val="002723D2"/>
    <w:rsid w:val="00272686"/>
    <w:rsid w:val="00273168"/>
    <w:rsid w:val="0027358A"/>
    <w:rsid w:val="002742CA"/>
    <w:rsid w:val="002763F1"/>
    <w:rsid w:val="00276E2D"/>
    <w:rsid w:val="002774CE"/>
    <w:rsid w:val="0028129B"/>
    <w:rsid w:val="0028266B"/>
    <w:rsid w:val="002835FE"/>
    <w:rsid w:val="00295495"/>
    <w:rsid w:val="00295F5F"/>
    <w:rsid w:val="0029754F"/>
    <w:rsid w:val="0029790D"/>
    <w:rsid w:val="002A1F6F"/>
    <w:rsid w:val="002A28FB"/>
    <w:rsid w:val="002A333B"/>
    <w:rsid w:val="002A4A93"/>
    <w:rsid w:val="002A4EE1"/>
    <w:rsid w:val="002A5038"/>
    <w:rsid w:val="002A6F83"/>
    <w:rsid w:val="002B14B1"/>
    <w:rsid w:val="002C0150"/>
    <w:rsid w:val="002C2186"/>
    <w:rsid w:val="002C4EDF"/>
    <w:rsid w:val="002C573B"/>
    <w:rsid w:val="002C795F"/>
    <w:rsid w:val="002D0DF8"/>
    <w:rsid w:val="002D367D"/>
    <w:rsid w:val="002D3E51"/>
    <w:rsid w:val="002D47BF"/>
    <w:rsid w:val="002D5721"/>
    <w:rsid w:val="002D7728"/>
    <w:rsid w:val="002E0E6F"/>
    <w:rsid w:val="002E17C6"/>
    <w:rsid w:val="002E184F"/>
    <w:rsid w:val="002E358B"/>
    <w:rsid w:val="002E5096"/>
    <w:rsid w:val="002E73BF"/>
    <w:rsid w:val="002F090A"/>
    <w:rsid w:val="002F3695"/>
    <w:rsid w:val="003023A8"/>
    <w:rsid w:val="00302EAA"/>
    <w:rsid w:val="003044D0"/>
    <w:rsid w:val="0030590E"/>
    <w:rsid w:val="00306B44"/>
    <w:rsid w:val="0030711A"/>
    <w:rsid w:val="00312691"/>
    <w:rsid w:val="003150F1"/>
    <w:rsid w:val="00322472"/>
    <w:rsid w:val="003231C0"/>
    <w:rsid w:val="003242FD"/>
    <w:rsid w:val="0032499E"/>
    <w:rsid w:val="003260B6"/>
    <w:rsid w:val="0032664B"/>
    <w:rsid w:val="00330B83"/>
    <w:rsid w:val="00330D38"/>
    <w:rsid w:val="00332DE6"/>
    <w:rsid w:val="0033424D"/>
    <w:rsid w:val="0034122F"/>
    <w:rsid w:val="003474AA"/>
    <w:rsid w:val="003475FD"/>
    <w:rsid w:val="0035573C"/>
    <w:rsid w:val="00356BD0"/>
    <w:rsid w:val="00360ABF"/>
    <w:rsid w:val="003619A9"/>
    <w:rsid w:val="00367FF5"/>
    <w:rsid w:val="00380D49"/>
    <w:rsid w:val="0038135F"/>
    <w:rsid w:val="00384010"/>
    <w:rsid w:val="00386E88"/>
    <w:rsid w:val="00387BED"/>
    <w:rsid w:val="00387E1F"/>
    <w:rsid w:val="003903BB"/>
    <w:rsid w:val="00393BC8"/>
    <w:rsid w:val="003953D5"/>
    <w:rsid w:val="003A0B03"/>
    <w:rsid w:val="003A13A3"/>
    <w:rsid w:val="003A14A0"/>
    <w:rsid w:val="003A5462"/>
    <w:rsid w:val="003A7D1D"/>
    <w:rsid w:val="003A7F09"/>
    <w:rsid w:val="003B0639"/>
    <w:rsid w:val="003B3321"/>
    <w:rsid w:val="003B52A5"/>
    <w:rsid w:val="003B56A5"/>
    <w:rsid w:val="003B56F6"/>
    <w:rsid w:val="003C0B42"/>
    <w:rsid w:val="003C0EDD"/>
    <w:rsid w:val="003C4329"/>
    <w:rsid w:val="003C4836"/>
    <w:rsid w:val="003C5409"/>
    <w:rsid w:val="003D6BEF"/>
    <w:rsid w:val="003E61F7"/>
    <w:rsid w:val="003E762A"/>
    <w:rsid w:val="003F08E2"/>
    <w:rsid w:val="003F268A"/>
    <w:rsid w:val="003F275B"/>
    <w:rsid w:val="003F320E"/>
    <w:rsid w:val="003F4035"/>
    <w:rsid w:val="003F41E4"/>
    <w:rsid w:val="003F5FAC"/>
    <w:rsid w:val="003F6416"/>
    <w:rsid w:val="00402552"/>
    <w:rsid w:val="00404D06"/>
    <w:rsid w:val="004065A0"/>
    <w:rsid w:val="00406991"/>
    <w:rsid w:val="00412F86"/>
    <w:rsid w:val="00414381"/>
    <w:rsid w:val="00415903"/>
    <w:rsid w:val="00420486"/>
    <w:rsid w:val="004240A7"/>
    <w:rsid w:val="00424478"/>
    <w:rsid w:val="0043092E"/>
    <w:rsid w:val="0043225F"/>
    <w:rsid w:val="0043249D"/>
    <w:rsid w:val="0043618B"/>
    <w:rsid w:val="00437FEF"/>
    <w:rsid w:val="00440EA0"/>
    <w:rsid w:val="0044162C"/>
    <w:rsid w:val="00443754"/>
    <w:rsid w:val="00443D62"/>
    <w:rsid w:val="00446AB7"/>
    <w:rsid w:val="00451583"/>
    <w:rsid w:val="004535DA"/>
    <w:rsid w:val="00453B4C"/>
    <w:rsid w:val="00455FE2"/>
    <w:rsid w:val="00461A56"/>
    <w:rsid w:val="0046312D"/>
    <w:rsid w:val="004670E7"/>
    <w:rsid w:val="00467794"/>
    <w:rsid w:val="00471444"/>
    <w:rsid w:val="004731B8"/>
    <w:rsid w:val="0047460C"/>
    <w:rsid w:val="00474638"/>
    <w:rsid w:val="00476EE2"/>
    <w:rsid w:val="00483935"/>
    <w:rsid w:val="004842DE"/>
    <w:rsid w:val="00485038"/>
    <w:rsid w:val="004903D2"/>
    <w:rsid w:val="00492B6B"/>
    <w:rsid w:val="004948C8"/>
    <w:rsid w:val="0049606F"/>
    <w:rsid w:val="004A1612"/>
    <w:rsid w:val="004A48A1"/>
    <w:rsid w:val="004B21FA"/>
    <w:rsid w:val="004B3FC1"/>
    <w:rsid w:val="004B4540"/>
    <w:rsid w:val="004B55BB"/>
    <w:rsid w:val="004B7DB3"/>
    <w:rsid w:val="004C3EB8"/>
    <w:rsid w:val="004C4137"/>
    <w:rsid w:val="004C50B4"/>
    <w:rsid w:val="004C6379"/>
    <w:rsid w:val="004C7098"/>
    <w:rsid w:val="004C7792"/>
    <w:rsid w:val="004D0480"/>
    <w:rsid w:val="004E0783"/>
    <w:rsid w:val="004E5E72"/>
    <w:rsid w:val="004E6067"/>
    <w:rsid w:val="004E79C0"/>
    <w:rsid w:val="004F0619"/>
    <w:rsid w:val="004F0F7E"/>
    <w:rsid w:val="004F7041"/>
    <w:rsid w:val="004F769C"/>
    <w:rsid w:val="0050368C"/>
    <w:rsid w:val="005040C8"/>
    <w:rsid w:val="00504F6D"/>
    <w:rsid w:val="00505BF7"/>
    <w:rsid w:val="00507E45"/>
    <w:rsid w:val="005104C0"/>
    <w:rsid w:val="0051051E"/>
    <w:rsid w:val="0051414A"/>
    <w:rsid w:val="00514359"/>
    <w:rsid w:val="0051677C"/>
    <w:rsid w:val="00516FA6"/>
    <w:rsid w:val="00520732"/>
    <w:rsid w:val="00521935"/>
    <w:rsid w:val="005236D1"/>
    <w:rsid w:val="00523A63"/>
    <w:rsid w:val="00526866"/>
    <w:rsid w:val="00531775"/>
    <w:rsid w:val="00531FA1"/>
    <w:rsid w:val="005336EA"/>
    <w:rsid w:val="00533E4C"/>
    <w:rsid w:val="0054001B"/>
    <w:rsid w:val="005445A1"/>
    <w:rsid w:val="00544B81"/>
    <w:rsid w:val="0055119D"/>
    <w:rsid w:val="005522F3"/>
    <w:rsid w:val="005528A5"/>
    <w:rsid w:val="005545E7"/>
    <w:rsid w:val="00554994"/>
    <w:rsid w:val="0056033D"/>
    <w:rsid w:val="00566FC1"/>
    <w:rsid w:val="00571113"/>
    <w:rsid w:val="00573CC2"/>
    <w:rsid w:val="00575489"/>
    <w:rsid w:val="0057744B"/>
    <w:rsid w:val="0058198A"/>
    <w:rsid w:val="00581A8A"/>
    <w:rsid w:val="00581F49"/>
    <w:rsid w:val="00582659"/>
    <w:rsid w:val="005828CD"/>
    <w:rsid w:val="00584F7B"/>
    <w:rsid w:val="005856A7"/>
    <w:rsid w:val="00590096"/>
    <w:rsid w:val="00590423"/>
    <w:rsid w:val="00590768"/>
    <w:rsid w:val="00593B33"/>
    <w:rsid w:val="00597A5D"/>
    <w:rsid w:val="005A2E89"/>
    <w:rsid w:val="005A478B"/>
    <w:rsid w:val="005A47F2"/>
    <w:rsid w:val="005A7243"/>
    <w:rsid w:val="005A7618"/>
    <w:rsid w:val="005A77B1"/>
    <w:rsid w:val="005B00C1"/>
    <w:rsid w:val="005B17F1"/>
    <w:rsid w:val="005B1E0C"/>
    <w:rsid w:val="005B36B3"/>
    <w:rsid w:val="005B3E0D"/>
    <w:rsid w:val="005B4567"/>
    <w:rsid w:val="005B63DA"/>
    <w:rsid w:val="005B77EB"/>
    <w:rsid w:val="005C2EBA"/>
    <w:rsid w:val="005C3F37"/>
    <w:rsid w:val="005D2450"/>
    <w:rsid w:val="005D2763"/>
    <w:rsid w:val="005D3046"/>
    <w:rsid w:val="005D3FAC"/>
    <w:rsid w:val="005D6A74"/>
    <w:rsid w:val="005E1672"/>
    <w:rsid w:val="005E1E0A"/>
    <w:rsid w:val="005E4FAB"/>
    <w:rsid w:val="005E72BC"/>
    <w:rsid w:val="005F0262"/>
    <w:rsid w:val="005F0480"/>
    <w:rsid w:val="005F0B98"/>
    <w:rsid w:val="005F228B"/>
    <w:rsid w:val="005F3083"/>
    <w:rsid w:val="005F354D"/>
    <w:rsid w:val="005F3DCB"/>
    <w:rsid w:val="005F5092"/>
    <w:rsid w:val="00600854"/>
    <w:rsid w:val="00601299"/>
    <w:rsid w:val="006037FC"/>
    <w:rsid w:val="00603E5D"/>
    <w:rsid w:val="00604789"/>
    <w:rsid w:val="00607A41"/>
    <w:rsid w:val="006125CE"/>
    <w:rsid w:val="00612AC3"/>
    <w:rsid w:val="006134A4"/>
    <w:rsid w:val="0061367C"/>
    <w:rsid w:val="006141C6"/>
    <w:rsid w:val="00616314"/>
    <w:rsid w:val="00617534"/>
    <w:rsid w:val="00622C1C"/>
    <w:rsid w:val="006239F9"/>
    <w:rsid w:val="0062438A"/>
    <w:rsid w:val="0062518E"/>
    <w:rsid w:val="006276B1"/>
    <w:rsid w:val="00631D55"/>
    <w:rsid w:val="00635B9D"/>
    <w:rsid w:val="00637CA7"/>
    <w:rsid w:val="00637F4B"/>
    <w:rsid w:val="0064057C"/>
    <w:rsid w:val="00644012"/>
    <w:rsid w:val="00652B15"/>
    <w:rsid w:val="00654AFF"/>
    <w:rsid w:val="00654BDF"/>
    <w:rsid w:val="0065633B"/>
    <w:rsid w:val="00657288"/>
    <w:rsid w:val="0066037E"/>
    <w:rsid w:val="00663509"/>
    <w:rsid w:val="00665871"/>
    <w:rsid w:val="00670DA9"/>
    <w:rsid w:val="006725BB"/>
    <w:rsid w:val="00672AA5"/>
    <w:rsid w:val="006730DF"/>
    <w:rsid w:val="00675655"/>
    <w:rsid w:val="00676BAF"/>
    <w:rsid w:val="006809E2"/>
    <w:rsid w:val="006842C8"/>
    <w:rsid w:val="006845D8"/>
    <w:rsid w:val="00685A06"/>
    <w:rsid w:val="00687496"/>
    <w:rsid w:val="00690062"/>
    <w:rsid w:val="00690E27"/>
    <w:rsid w:val="00692963"/>
    <w:rsid w:val="0069349A"/>
    <w:rsid w:val="00693EED"/>
    <w:rsid w:val="006A0946"/>
    <w:rsid w:val="006A0A5C"/>
    <w:rsid w:val="006A1669"/>
    <w:rsid w:val="006A1E9F"/>
    <w:rsid w:val="006A23FC"/>
    <w:rsid w:val="006A334D"/>
    <w:rsid w:val="006A4F39"/>
    <w:rsid w:val="006A6625"/>
    <w:rsid w:val="006A6976"/>
    <w:rsid w:val="006B0C35"/>
    <w:rsid w:val="006B4FA0"/>
    <w:rsid w:val="006B720E"/>
    <w:rsid w:val="006B7DE4"/>
    <w:rsid w:val="006C10B0"/>
    <w:rsid w:val="006C2CE5"/>
    <w:rsid w:val="006C2F3E"/>
    <w:rsid w:val="006C6B49"/>
    <w:rsid w:val="006C6F05"/>
    <w:rsid w:val="006D0D9D"/>
    <w:rsid w:val="006D1C16"/>
    <w:rsid w:val="006D279F"/>
    <w:rsid w:val="006E0992"/>
    <w:rsid w:val="006E0EF6"/>
    <w:rsid w:val="006E11BF"/>
    <w:rsid w:val="006E1955"/>
    <w:rsid w:val="006E4A50"/>
    <w:rsid w:val="006E5325"/>
    <w:rsid w:val="006E7CC8"/>
    <w:rsid w:val="006F1BC5"/>
    <w:rsid w:val="00701807"/>
    <w:rsid w:val="00703B89"/>
    <w:rsid w:val="00705C6F"/>
    <w:rsid w:val="007070B2"/>
    <w:rsid w:val="00707EA1"/>
    <w:rsid w:val="0071027C"/>
    <w:rsid w:val="0071231B"/>
    <w:rsid w:val="00714C02"/>
    <w:rsid w:val="00715374"/>
    <w:rsid w:val="00721BBD"/>
    <w:rsid w:val="00722E28"/>
    <w:rsid w:val="007242DF"/>
    <w:rsid w:val="00726B84"/>
    <w:rsid w:val="007274E8"/>
    <w:rsid w:val="0072751D"/>
    <w:rsid w:val="00735576"/>
    <w:rsid w:val="00741C21"/>
    <w:rsid w:val="00745E29"/>
    <w:rsid w:val="00751FB4"/>
    <w:rsid w:val="00752716"/>
    <w:rsid w:val="00752FD5"/>
    <w:rsid w:val="007533DA"/>
    <w:rsid w:val="00754165"/>
    <w:rsid w:val="00760E4A"/>
    <w:rsid w:val="00766313"/>
    <w:rsid w:val="00773871"/>
    <w:rsid w:val="00774534"/>
    <w:rsid w:val="00775F5D"/>
    <w:rsid w:val="0078288A"/>
    <w:rsid w:val="007844A3"/>
    <w:rsid w:val="00787CD1"/>
    <w:rsid w:val="00790D43"/>
    <w:rsid w:val="0079194B"/>
    <w:rsid w:val="00792CDE"/>
    <w:rsid w:val="00795CEA"/>
    <w:rsid w:val="007974E2"/>
    <w:rsid w:val="007A01C1"/>
    <w:rsid w:val="007A0ED3"/>
    <w:rsid w:val="007A15E4"/>
    <w:rsid w:val="007A2B6B"/>
    <w:rsid w:val="007A2CD8"/>
    <w:rsid w:val="007B010A"/>
    <w:rsid w:val="007B3839"/>
    <w:rsid w:val="007B6450"/>
    <w:rsid w:val="007C21D9"/>
    <w:rsid w:val="007C5C48"/>
    <w:rsid w:val="007D04D7"/>
    <w:rsid w:val="007D2022"/>
    <w:rsid w:val="007D32F9"/>
    <w:rsid w:val="007D4635"/>
    <w:rsid w:val="007E5027"/>
    <w:rsid w:val="007E511F"/>
    <w:rsid w:val="007E57FD"/>
    <w:rsid w:val="007E7FD8"/>
    <w:rsid w:val="007F0A6B"/>
    <w:rsid w:val="007F3339"/>
    <w:rsid w:val="007F3A59"/>
    <w:rsid w:val="007F49B2"/>
    <w:rsid w:val="007F5071"/>
    <w:rsid w:val="00802364"/>
    <w:rsid w:val="00802DE4"/>
    <w:rsid w:val="00803633"/>
    <w:rsid w:val="00804DC6"/>
    <w:rsid w:val="008052AC"/>
    <w:rsid w:val="00807DDD"/>
    <w:rsid w:val="008117DA"/>
    <w:rsid w:val="00812D60"/>
    <w:rsid w:val="00812EC6"/>
    <w:rsid w:val="0081758A"/>
    <w:rsid w:val="0082013B"/>
    <w:rsid w:val="008222C3"/>
    <w:rsid w:val="008241CB"/>
    <w:rsid w:val="00824DC0"/>
    <w:rsid w:val="00826456"/>
    <w:rsid w:val="00831091"/>
    <w:rsid w:val="00835218"/>
    <w:rsid w:val="0083603A"/>
    <w:rsid w:val="00842D1E"/>
    <w:rsid w:val="0084335A"/>
    <w:rsid w:val="008450DB"/>
    <w:rsid w:val="00845570"/>
    <w:rsid w:val="008502EB"/>
    <w:rsid w:val="00850B76"/>
    <w:rsid w:val="00851CA6"/>
    <w:rsid w:val="008520EF"/>
    <w:rsid w:val="00860971"/>
    <w:rsid w:val="00863C5C"/>
    <w:rsid w:val="00865033"/>
    <w:rsid w:val="008667CE"/>
    <w:rsid w:val="00870125"/>
    <w:rsid w:val="00875106"/>
    <w:rsid w:val="008771B8"/>
    <w:rsid w:val="0088012D"/>
    <w:rsid w:val="00880D49"/>
    <w:rsid w:val="00883E72"/>
    <w:rsid w:val="00884ADB"/>
    <w:rsid w:val="00884DD5"/>
    <w:rsid w:val="00885E76"/>
    <w:rsid w:val="008872C7"/>
    <w:rsid w:val="0089372B"/>
    <w:rsid w:val="00894789"/>
    <w:rsid w:val="0089739C"/>
    <w:rsid w:val="008A1F4A"/>
    <w:rsid w:val="008A2043"/>
    <w:rsid w:val="008A398D"/>
    <w:rsid w:val="008A6048"/>
    <w:rsid w:val="008A62D6"/>
    <w:rsid w:val="008A6C66"/>
    <w:rsid w:val="008A6FE8"/>
    <w:rsid w:val="008B0217"/>
    <w:rsid w:val="008B7CC2"/>
    <w:rsid w:val="008C5111"/>
    <w:rsid w:val="008D2AD4"/>
    <w:rsid w:val="008D3155"/>
    <w:rsid w:val="008E018E"/>
    <w:rsid w:val="008E12AE"/>
    <w:rsid w:val="008E2CEE"/>
    <w:rsid w:val="008E2EB4"/>
    <w:rsid w:val="008F1347"/>
    <w:rsid w:val="008F3099"/>
    <w:rsid w:val="008F49DE"/>
    <w:rsid w:val="008F4B76"/>
    <w:rsid w:val="008F521C"/>
    <w:rsid w:val="008F7CC4"/>
    <w:rsid w:val="009028CF"/>
    <w:rsid w:val="009037DD"/>
    <w:rsid w:val="00903C4D"/>
    <w:rsid w:val="00904CBA"/>
    <w:rsid w:val="00907443"/>
    <w:rsid w:val="00912463"/>
    <w:rsid w:val="00913119"/>
    <w:rsid w:val="00914CB5"/>
    <w:rsid w:val="00916314"/>
    <w:rsid w:val="00920216"/>
    <w:rsid w:val="00920507"/>
    <w:rsid w:val="00922633"/>
    <w:rsid w:val="009240BA"/>
    <w:rsid w:val="009278EA"/>
    <w:rsid w:val="009310DA"/>
    <w:rsid w:val="009313D9"/>
    <w:rsid w:val="00932114"/>
    <w:rsid w:val="0093797C"/>
    <w:rsid w:val="00937F33"/>
    <w:rsid w:val="00940FC6"/>
    <w:rsid w:val="00941796"/>
    <w:rsid w:val="00943D00"/>
    <w:rsid w:val="0094749B"/>
    <w:rsid w:val="0095154B"/>
    <w:rsid w:val="00952792"/>
    <w:rsid w:val="00954DF2"/>
    <w:rsid w:val="00962C3A"/>
    <w:rsid w:val="00962E27"/>
    <w:rsid w:val="00963449"/>
    <w:rsid w:val="00966983"/>
    <w:rsid w:val="00971819"/>
    <w:rsid w:val="00971E96"/>
    <w:rsid w:val="00975124"/>
    <w:rsid w:val="009762F5"/>
    <w:rsid w:val="00982206"/>
    <w:rsid w:val="00983852"/>
    <w:rsid w:val="0098629A"/>
    <w:rsid w:val="0098651E"/>
    <w:rsid w:val="00987818"/>
    <w:rsid w:val="0099085F"/>
    <w:rsid w:val="0099353B"/>
    <w:rsid w:val="00995588"/>
    <w:rsid w:val="0099775A"/>
    <w:rsid w:val="009A083A"/>
    <w:rsid w:val="009A3828"/>
    <w:rsid w:val="009A6429"/>
    <w:rsid w:val="009A7778"/>
    <w:rsid w:val="009B167A"/>
    <w:rsid w:val="009B64B6"/>
    <w:rsid w:val="009C13CA"/>
    <w:rsid w:val="009C3F09"/>
    <w:rsid w:val="009C569D"/>
    <w:rsid w:val="009D0394"/>
    <w:rsid w:val="009D0691"/>
    <w:rsid w:val="009D106C"/>
    <w:rsid w:val="009D2349"/>
    <w:rsid w:val="009D2F0A"/>
    <w:rsid w:val="009D3FAF"/>
    <w:rsid w:val="009D48AD"/>
    <w:rsid w:val="009D4DA4"/>
    <w:rsid w:val="009D738E"/>
    <w:rsid w:val="009E4DD6"/>
    <w:rsid w:val="009E5762"/>
    <w:rsid w:val="009E59CC"/>
    <w:rsid w:val="009E7872"/>
    <w:rsid w:val="009F0C35"/>
    <w:rsid w:val="009F12A1"/>
    <w:rsid w:val="009F3659"/>
    <w:rsid w:val="00A02516"/>
    <w:rsid w:val="00A02EBD"/>
    <w:rsid w:val="00A04B6D"/>
    <w:rsid w:val="00A10AD2"/>
    <w:rsid w:val="00A11EB0"/>
    <w:rsid w:val="00A12429"/>
    <w:rsid w:val="00A13295"/>
    <w:rsid w:val="00A133FA"/>
    <w:rsid w:val="00A16F57"/>
    <w:rsid w:val="00A17D9D"/>
    <w:rsid w:val="00A243B2"/>
    <w:rsid w:val="00A257DA"/>
    <w:rsid w:val="00A25873"/>
    <w:rsid w:val="00A25889"/>
    <w:rsid w:val="00A2760C"/>
    <w:rsid w:val="00A3097C"/>
    <w:rsid w:val="00A31B70"/>
    <w:rsid w:val="00A4487B"/>
    <w:rsid w:val="00A45135"/>
    <w:rsid w:val="00A506ED"/>
    <w:rsid w:val="00A57C94"/>
    <w:rsid w:val="00A61B06"/>
    <w:rsid w:val="00A63667"/>
    <w:rsid w:val="00A63E7E"/>
    <w:rsid w:val="00A655B3"/>
    <w:rsid w:val="00A656A2"/>
    <w:rsid w:val="00A77359"/>
    <w:rsid w:val="00A80CB1"/>
    <w:rsid w:val="00A839BE"/>
    <w:rsid w:val="00A83CFA"/>
    <w:rsid w:val="00A84473"/>
    <w:rsid w:val="00A85729"/>
    <w:rsid w:val="00A85BF4"/>
    <w:rsid w:val="00A8654E"/>
    <w:rsid w:val="00A87204"/>
    <w:rsid w:val="00A906A0"/>
    <w:rsid w:val="00A92D8D"/>
    <w:rsid w:val="00A93133"/>
    <w:rsid w:val="00A9328D"/>
    <w:rsid w:val="00A93E97"/>
    <w:rsid w:val="00A94EA9"/>
    <w:rsid w:val="00A95C73"/>
    <w:rsid w:val="00A973A7"/>
    <w:rsid w:val="00A97DAF"/>
    <w:rsid w:val="00AA0A9C"/>
    <w:rsid w:val="00AA1A71"/>
    <w:rsid w:val="00AA4D7E"/>
    <w:rsid w:val="00AA5541"/>
    <w:rsid w:val="00AA7242"/>
    <w:rsid w:val="00AB1D44"/>
    <w:rsid w:val="00AB2FD9"/>
    <w:rsid w:val="00AB5FE4"/>
    <w:rsid w:val="00AB6AE6"/>
    <w:rsid w:val="00AC007D"/>
    <w:rsid w:val="00AC3688"/>
    <w:rsid w:val="00AC47FF"/>
    <w:rsid w:val="00AC58F2"/>
    <w:rsid w:val="00AC63CC"/>
    <w:rsid w:val="00AC641C"/>
    <w:rsid w:val="00AD16A8"/>
    <w:rsid w:val="00AD1848"/>
    <w:rsid w:val="00AD60E3"/>
    <w:rsid w:val="00AD6CD3"/>
    <w:rsid w:val="00AD7EE8"/>
    <w:rsid w:val="00AE1662"/>
    <w:rsid w:val="00AE3FF3"/>
    <w:rsid w:val="00AE4CE7"/>
    <w:rsid w:val="00AE62E4"/>
    <w:rsid w:val="00AE72FB"/>
    <w:rsid w:val="00AF150B"/>
    <w:rsid w:val="00B0190D"/>
    <w:rsid w:val="00B04AE6"/>
    <w:rsid w:val="00B04CF9"/>
    <w:rsid w:val="00B069C2"/>
    <w:rsid w:val="00B10F8C"/>
    <w:rsid w:val="00B130F6"/>
    <w:rsid w:val="00B16299"/>
    <w:rsid w:val="00B21C51"/>
    <w:rsid w:val="00B225CE"/>
    <w:rsid w:val="00B25E9E"/>
    <w:rsid w:val="00B33CBD"/>
    <w:rsid w:val="00B40339"/>
    <w:rsid w:val="00B40851"/>
    <w:rsid w:val="00B416D7"/>
    <w:rsid w:val="00B437FB"/>
    <w:rsid w:val="00B43D26"/>
    <w:rsid w:val="00B45D29"/>
    <w:rsid w:val="00B46709"/>
    <w:rsid w:val="00B46A4E"/>
    <w:rsid w:val="00B46C5B"/>
    <w:rsid w:val="00B4743E"/>
    <w:rsid w:val="00B47D16"/>
    <w:rsid w:val="00B507E9"/>
    <w:rsid w:val="00B51844"/>
    <w:rsid w:val="00B519B6"/>
    <w:rsid w:val="00B577E4"/>
    <w:rsid w:val="00B62586"/>
    <w:rsid w:val="00B6669F"/>
    <w:rsid w:val="00B672A1"/>
    <w:rsid w:val="00B675C4"/>
    <w:rsid w:val="00B701D6"/>
    <w:rsid w:val="00B747B3"/>
    <w:rsid w:val="00B77DAC"/>
    <w:rsid w:val="00B8071A"/>
    <w:rsid w:val="00B80C59"/>
    <w:rsid w:val="00B80D5C"/>
    <w:rsid w:val="00B8145C"/>
    <w:rsid w:val="00B82C97"/>
    <w:rsid w:val="00B846A6"/>
    <w:rsid w:val="00B855A9"/>
    <w:rsid w:val="00B931BD"/>
    <w:rsid w:val="00B94673"/>
    <w:rsid w:val="00B94A93"/>
    <w:rsid w:val="00BA30BB"/>
    <w:rsid w:val="00BA689C"/>
    <w:rsid w:val="00BA6C80"/>
    <w:rsid w:val="00BB5113"/>
    <w:rsid w:val="00BB5E90"/>
    <w:rsid w:val="00BC25C4"/>
    <w:rsid w:val="00BC3581"/>
    <w:rsid w:val="00BD2738"/>
    <w:rsid w:val="00BD2C93"/>
    <w:rsid w:val="00BD378A"/>
    <w:rsid w:val="00BD7A77"/>
    <w:rsid w:val="00BE0762"/>
    <w:rsid w:val="00BE1E2C"/>
    <w:rsid w:val="00BE2A90"/>
    <w:rsid w:val="00BE2CB6"/>
    <w:rsid w:val="00BE494D"/>
    <w:rsid w:val="00BE4A8D"/>
    <w:rsid w:val="00BE5CD3"/>
    <w:rsid w:val="00BE6EF7"/>
    <w:rsid w:val="00BF1DA7"/>
    <w:rsid w:val="00BF4157"/>
    <w:rsid w:val="00BF532F"/>
    <w:rsid w:val="00BF703A"/>
    <w:rsid w:val="00BF7539"/>
    <w:rsid w:val="00C034AB"/>
    <w:rsid w:val="00C03A7A"/>
    <w:rsid w:val="00C03CEA"/>
    <w:rsid w:val="00C11A06"/>
    <w:rsid w:val="00C121DA"/>
    <w:rsid w:val="00C1307A"/>
    <w:rsid w:val="00C155CD"/>
    <w:rsid w:val="00C21EE7"/>
    <w:rsid w:val="00C24168"/>
    <w:rsid w:val="00C268A9"/>
    <w:rsid w:val="00C312BC"/>
    <w:rsid w:val="00C323A0"/>
    <w:rsid w:val="00C358D7"/>
    <w:rsid w:val="00C35E03"/>
    <w:rsid w:val="00C413FF"/>
    <w:rsid w:val="00C42A94"/>
    <w:rsid w:val="00C46947"/>
    <w:rsid w:val="00C469BD"/>
    <w:rsid w:val="00C47242"/>
    <w:rsid w:val="00C47DE3"/>
    <w:rsid w:val="00C565B4"/>
    <w:rsid w:val="00C60AF0"/>
    <w:rsid w:val="00C6380A"/>
    <w:rsid w:val="00C70251"/>
    <w:rsid w:val="00C7322F"/>
    <w:rsid w:val="00C73279"/>
    <w:rsid w:val="00C74CDB"/>
    <w:rsid w:val="00C75D8F"/>
    <w:rsid w:val="00C80013"/>
    <w:rsid w:val="00C81435"/>
    <w:rsid w:val="00C820A9"/>
    <w:rsid w:val="00C85E59"/>
    <w:rsid w:val="00C85F3A"/>
    <w:rsid w:val="00C90987"/>
    <w:rsid w:val="00C90E13"/>
    <w:rsid w:val="00C92059"/>
    <w:rsid w:val="00C923B7"/>
    <w:rsid w:val="00C9270F"/>
    <w:rsid w:val="00C951BD"/>
    <w:rsid w:val="00C95AC1"/>
    <w:rsid w:val="00CA05E1"/>
    <w:rsid w:val="00CA0DF6"/>
    <w:rsid w:val="00CA1422"/>
    <w:rsid w:val="00CA2FFE"/>
    <w:rsid w:val="00CA3C17"/>
    <w:rsid w:val="00CB08CB"/>
    <w:rsid w:val="00CB0DB9"/>
    <w:rsid w:val="00CB449F"/>
    <w:rsid w:val="00CC083E"/>
    <w:rsid w:val="00CC1386"/>
    <w:rsid w:val="00CD3268"/>
    <w:rsid w:val="00CD5927"/>
    <w:rsid w:val="00CE0050"/>
    <w:rsid w:val="00CE1645"/>
    <w:rsid w:val="00CE565A"/>
    <w:rsid w:val="00CE5F13"/>
    <w:rsid w:val="00CE5F83"/>
    <w:rsid w:val="00CE7F0D"/>
    <w:rsid w:val="00CF36E0"/>
    <w:rsid w:val="00CF3773"/>
    <w:rsid w:val="00CF6042"/>
    <w:rsid w:val="00CF736F"/>
    <w:rsid w:val="00D0248D"/>
    <w:rsid w:val="00D033DF"/>
    <w:rsid w:val="00D040EA"/>
    <w:rsid w:val="00D041E4"/>
    <w:rsid w:val="00D04864"/>
    <w:rsid w:val="00D06841"/>
    <w:rsid w:val="00D07E55"/>
    <w:rsid w:val="00D1118F"/>
    <w:rsid w:val="00D11A45"/>
    <w:rsid w:val="00D12E53"/>
    <w:rsid w:val="00D136EB"/>
    <w:rsid w:val="00D2252D"/>
    <w:rsid w:val="00D23179"/>
    <w:rsid w:val="00D256B3"/>
    <w:rsid w:val="00D26566"/>
    <w:rsid w:val="00D271FE"/>
    <w:rsid w:val="00D27457"/>
    <w:rsid w:val="00D3162C"/>
    <w:rsid w:val="00D3179A"/>
    <w:rsid w:val="00D335D2"/>
    <w:rsid w:val="00D33609"/>
    <w:rsid w:val="00D35B54"/>
    <w:rsid w:val="00D36D42"/>
    <w:rsid w:val="00D4008E"/>
    <w:rsid w:val="00D54312"/>
    <w:rsid w:val="00D55128"/>
    <w:rsid w:val="00D60D00"/>
    <w:rsid w:val="00D61834"/>
    <w:rsid w:val="00D67605"/>
    <w:rsid w:val="00D756AE"/>
    <w:rsid w:val="00D76312"/>
    <w:rsid w:val="00D80548"/>
    <w:rsid w:val="00D8247F"/>
    <w:rsid w:val="00D847BC"/>
    <w:rsid w:val="00D8644C"/>
    <w:rsid w:val="00D87E2A"/>
    <w:rsid w:val="00D92123"/>
    <w:rsid w:val="00D967E9"/>
    <w:rsid w:val="00D96D3D"/>
    <w:rsid w:val="00DA082D"/>
    <w:rsid w:val="00DA1758"/>
    <w:rsid w:val="00DA2048"/>
    <w:rsid w:val="00DA2306"/>
    <w:rsid w:val="00DA47E5"/>
    <w:rsid w:val="00DA5DCC"/>
    <w:rsid w:val="00DB0114"/>
    <w:rsid w:val="00DB43BE"/>
    <w:rsid w:val="00DB6723"/>
    <w:rsid w:val="00DC1750"/>
    <w:rsid w:val="00DC3D50"/>
    <w:rsid w:val="00DC4657"/>
    <w:rsid w:val="00DD0AC7"/>
    <w:rsid w:val="00DD35A1"/>
    <w:rsid w:val="00DD3A45"/>
    <w:rsid w:val="00DD4BFA"/>
    <w:rsid w:val="00DE0FF2"/>
    <w:rsid w:val="00DE1217"/>
    <w:rsid w:val="00DE1332"/>
    <w:rsid w:val="00DE2284"/>
    <w:rsid w:val="00DE3729"/>
    <w:rsid w:val="00DF3742"/>
    <w:rsid w:val="00DF7592"/>
    <w:rsid w:val="00E02CF1"/>
    <w:rsid w:val="00E0505F"/>
    <w:rsid w:val="00E113D9"/>
    <w:rsid w:val="00E11BC7"/>
    <w:rsid w:val="00E12973"/>
    <w:rsid w:val="00E132DB"/>
    <w:rsid w:val="00E13A8E"/>
    <w:rsid w:val="00E1425B"/>
    <w:rsid w:val="00E20CED"/>
    <w:rsid w:val="00E22BA5"/>
    <w:rsid w:val="00E26DDF"/>
    <w:rsid w:val="00E31350"/>
    <w:rsid w:val="00E32504"/>
    <w:rsid w:val="00E33A07"/>
    <w:rsid w:val="00E34126"/>
    <w:rsid w:val="00E346CF"/>
    <w:rsid w:val="00E36264"/>
    <w:rsid w:val="00E37089"/>
    <w:rsid w:val="00E3789C"/>
    <w:rsid w:val="00E40047"/>
    <w:rsid w:val="00E40D47"/>
    <w:rsid w:val="00E41514"/>
    <w:rsid w:val="00E44F32"/>
    <w:rsid w:val="00E505FA"/>
    <w:rsid w:val="00E50D89"/>
    <w:rsid w:val="00E55A2E"/>
    <w:rsid w:val="00E647B8"/>
    <w:rsid w:val="00E66F9B"/>
    <w:rsid w:val="00E70543"/>
    <w:rsid w:val="00E70CE6"/>
    <w:rsid w:val="00E70D41"/>
    <w:rsid w:val="00E7313B"/>
    <w:rsid w:val="00E75067"/>
    <w:rsid w:val="00E75BE9"/>
    <w:rsid w:val="00E75C01"/>
    <w:rsid w:val="00E808A9"/>
    <w:rsid w:val="00E809D3"/>
    <w:rsid w:val="00E827AA"/>
    <w:rsid w:val="00E82C04"/>
    <w:rsid w:val="00E8492C"/>
    <w:rsid w:val="00E879D6"/>
    <w:rsid w:val="00E87F1C"/>
    <w:rsid w:val="00E920E2"/>
    <w:rsid w:val="00E923D7"/>
    <w:rsid w:val="00E94563"/>
    <w:rsid w:val="00E9694F"/>
    <w:rsid w:val="00E9756B"/>
    <w:rsid w:val="00EA127F"/>
    <w:rsid w:val="00EA19B9"/>
    <w:rsid w:val="00EA1EF7"/>
    <w:rsid w:val="00EA2DDF"/>
    <w:rsid w:val="00EA350C"/>
    <w:rsid w:val="00EA4DD0"/>
    <w:rsid w:val="00EA50BA"/>
    <w:rsid w:val="00EA7C14"/>
    <w:rsid w:val="00EB04D8"/>
    <w:rsid w:val="00EB1360"/>
    <w:rsid w:val="00EB13F8"/>
    <w:rsid w:val="00EB1BEE"/>
    <w:rsid w:val="00EB2954"/>
    <w:rsid w:val="00EB7C46"/>
    <w:rsid w:val="00EC1B04"/>
    <w:rsid w:val="00EC2937"/>
    <w:rsid w:val="00EC5158"/>
    <w:rsid w:val="00ED1720"/>
    <w:rsid w:val="00ED20CF"/>
    <w:rsid w:val="00ED2892"/>
    <w:rsid w:val="00ED3398"/>
    <w:rsid w:val="00ED3975"/>
    <w:rsid w:val="00ED43D5"/>
    <w:rsid w:val="00ED466E"/>
    <w:rsid w:val="00ED48AE"/>
    <w:rsid w:val="00EE0632"/>
    <w:rsid w:val="00EE20F0"/>
    <w:rsid w:val="00EE2AA4"/>
    <w:rsid w:val="00EE39B1"/>
    <w:rsid w:val="00EE47D0"/>
    <w:rsid w:val="00EE7BA5"/>
    <w:rsid w:val="00EE7C0D"/>
    <w:rsid w:val="00EE7D31"/>
    <w:rsid w:val="00EF2508"/>
    <w:rsid w:val="00EF5ECA"/>
    <w:rsid w:val="00F00E41"/>
    <w:rsid w:val="00F01E95"/>
    <w:rsid w:val="00F04207"/>
    <w:rsid w:val="00F045F1"/>
    <w:rsid w:val="00F06084"/>
    <w:rsid w:val="00F1314E"/>
    <w:rsid w:val="00F142B1"/>
    <w:rsid w:val="00F156E7"/>
    <w:rsid w:val="00F219FF"/>
    <w:rsid w:val="00F261C0"/>
    <w:rsid w:val="00F26B8C"/>
    <w:rsid w:val="00F31840"/>
    <w:rsid w:val="00F3189E"/>
    <w:rsid w:val="00F31F21"/>
    <w:rsid w:val="00F31F6F"/>
    <w:rsid w:val="00F338F7"/>
    <w:rsid w:val="00F33C9D"/>
    <w:rsid w:val="00F343D0"/>
    <w:rsid w:val="00F3655B"/>
    <w:rsid w:val="00F423A8"/>
    <w:rsid w:val="00F4425F"/>
    <w:rsid w:val="00F463C1"/>
    <w:rsid w:val="00F46500"/>
    <w:rsid w:val="00F473FD"/>
    <w:rsid w:val="00F50E44"/>
    <w:rsid w:val="00F52794"/>
    <w:rsid w:val="00F55551"/>
    <w:rsid w:val="00F6099A"/>
    <w:rsid w:val="00F61B06"/>
    <w:rsid w:val="00F65FD8"/>
    <w:rsid w:val="00F6762E"/>
    <w:rsid w:val="00F71AE6"/>
    <w:rsid w:val="00F759F4"/>
    <w:rsid w:val="00F75E0E"/>
    <w:rsid w:val="00F774F0"/>
    <w:rsid w:val="00F83C44"/>
    <w:rsid w:val="00F8480A"/>
    <w:rsid w:val="00F8655C"/>
    <w:rsid w:val="00F93A2B"/>
    <w:rsid w:val="00F93C65"/>
    <w:rsid w:val="00F94EDF"/>
    <w:rsid w:val="00FA374A"/>
    <w:rsid w:val="00FA3AB5"/>
    <w:rsid w:val="00FA79BF"/>
    <w:rsid w:val="00FA79E3"/>
    <w:rsid w:val="00FB20EE"/>
    <w:rsid w:val="00FB45E0"/>
    <w:rsid w:val="00FB4915"/>
    <w:rsid w:val="00FB52ED"/>
    <w:rsid w:val="00FB73A6"/>
    <w:rsid w:val="00FB7911"/>
    <w:rsid w:val="00FC014C"/>
    <w:rsid w:val="00FC0293"/>
    <w:rsid w:val="00FC21A0"/>
    <w:rsid w:val="00FC431F"/>
    <w:rsid w:val="00FC58E3"/>
    <w:rsid w:val="00FC5A4E"/>
    <w:rsid w:val="00FD15AD"/>
    <w:rsid w:val="00FD3CB2"/>
    <w:rsid w:val="00FE2284"/>
    <w:rsid w:val="00FE7889"/>
    <w:rsid w:val="00FE7DB2"/>
    <w:rsid w:val="00FF2F41"/>
    <w:rsid w:val="00FF6B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7D51C0-EF98-4F40-B2C6-FD1AF2E6F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header" w:semiHidden="1"/>
    <w:lsdException w:name="footer" w:semiHidden="1"/>
    <w:lsdException w:name="caption" w:semiHidden="1" w:uiPriority="35" w:unhideWhenUsed="1" w:qFormat="1"/>
    <w:lsdException w:name="footnote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A46B0"/>
    <w:pPr>
      <w:autoSpaceDE w:val="0"/>
      <w:autoSpaceDN w:val="0"/>
      <w:spacing w:after="0" w:line="240" w:lineRule="auto"/>
    </w:pPr>
    <w:rPr>
      <w:sz w:val="24"/>
      <w:szCs w:val="24"/>
    </w:rPr>
  </w:style>
  <w:style w:type="paragraph" w:styleId="Nadpis1">
    <w:name w:val="heading 1"/>
    <w:basedOn w:val="Normlny"/>
    <w:next w:val="Normlny"/>
    <w:link w:val="Nadpis1Char"/>
    <w:uiPriority w:val="99"/>
    <w:qFormat/>
    <w:rsid w:val="00B94673"/>
    <w:pPr>
      <w:keepNext/>
      <w:jc w:val="center"/>
      <w:outlineLvl w:val="0"/>
    </w:pPr>
    <w:rPr>
      <w:b/>
      <w:bCs/>
    </w:rPr>
  </w:style>
  <w:style w:type="paragraph" w:styleId="Nadpis2">
    <w:name w:val="heading 2"/>
    <w:basedOn w:val="Normlny"/>
    <w:next w:val="Normlny"/>
    <w:link w:val="Nadpis2Char"/>
    <w:uiPriority w:val="99"/>
    <w:qFormat/>
    <w:rsid w:val="00B94673"/>
    <w:pPr>
      <w:keepNext/>
      <w:spacing w:before="120"/>
      <w:jc w:val="center"/>
      <w:outlineLvl w:val="1"/>
    </w:pPr>
    <w:rPr>
      <w:b/>
      <w:bCs/>
      <w:sz w:val="20"/>
      <w:szCs w:val="20"/>
    </w:rPr>
  </w:style>
  <w:style w:type="paragraph" w:styleId="Nadpis3">
    <w:name w:val="heading 3"/>
    <w:basedOn w:val="Normlny"/>
    <w:next w:val="Normlny"/>
    <w:link w:val="Nadpis3Char"/>
    <w:uiPriority w:val="99"/>
    <w:qFormat/>
    <w:rsid w:val="00B94673"/>
    <w:pPr>
      <w:keepNext/>
      <w:adjustRightInd w:val="0"/>
      <w:outlineLvl w:val="2"/>
    </w:pPr>
    <w:rPr>
      <w:b/>
      <w:bCs/>
      <w:sz w:val="18"/>
      <w:szCs w:val="18"/>
      <w:lang w:val="en-US" w:eastAsia="en-US"/>
    </w:rPr>
  </w:style>
  <w:style w:type="paragraph" w:styleId="Nadpis4">
    <w:name w:val="heading 4"/>
    <w:basedOn w:val="Normlny"/>
    <w:next w:val="Normlny"/>
    <w:link w:val="Nadpis4Char"/>
    <w:uiPriority w:val="99"/>
    <w:qFormat/>
    <w:rsid w:val="00B94673"/>
    <w:pPr>
      <w:keepNext/>
      <w:jc w:val="center"/>
      <w:outlineLvl w:val="3"/>
    </w:pPr>
    <w:rPr>
      <w:b/>
      <w:bCs/>
      <w:sz w:val="22"/>
      <w:szCs w:val="22"/>
    </w:rPr>
  </w:style>
  <w:style w:type="paragraph" w:styleId="Nadpis5">
    <w:name w:val="heading 5"/>
    <w:basedOn w:val="Normlny"/>
    <w:next w:val="Normlny"/>
    <w:link w:val="Nadpis5Char"/>
    <w:uiPriority w:val="99"/>
    <w:qFormat/>
    <w:rsid w:val="00B94673"/>
    <w:pPr>
      <w:keepNext/>
      <w:adjustRightInd w:val="0"/>
      <w:outlineLvl w:val="4"/>
    </w:pPr>
    <w:rPr>
      <w:rFonts w:ascii="EUAlbertina_Bold" w:hAnsi="EUAlbertina_Bold" w:cs="EUAlbertina_Bold"/>
      <w:b/>
      <w:bCs/>
      <w:sz w:val="19"/>
      <w:szCs w:val="19"/>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B94673"/>
    <w:rPr>
      <w:rFonts w:ascii="Cambria" w:hAnsi="Cambria" w:cs="Cambria"/>
      <w:b/>
      <w:bCs/>
      <w:kern w:val="32"/>
      <w:sz w:val="32"/>
      <w:szCs w:val="32"/>
    </w:rPr>
  </w:style>
  <w:style w:type="character" w:customStyle="1" w:styleId="Nadpis2Char">
    <w:name w:val="Nadpis 2 Char"/>
    <w:basedOn w:val="Predvolenpsmoodseku"/>
    <w:link w:val="Nadpis2"/>
    <w:uiPriority w:val="99"/>
    <w:locked/>
    <w:rsid w:val="00B94673"/>
    <w:rPr>
      <w:rFonts w:ascii="Cambria" w:hAnsi="Cambria" w:cs="Cambria"/>
      <w:b/>
      <w:bCs/>
      <w:i/>
      <w:iCs/>
      <w:sz w:val="28"/>
      <w:szCs w:val="28"/>
    </w:rPr>
  </w:style>
  <w:style w:type="character" w:customStyle="1" w:styleId="Nadpis3Char">
    <w:name w:val="Nadpis 3 Char"/>
    <w:basedOn w:val="Predvolenpsmoodseku"/>
    <w:link w:val="Nadpis3"/>
    <w:uiPriority w:val="99"/>
    <w:semiHidden/>
    <w:locked/>
    <w:rsid w:val="00B94673"/>
    <w:rPr>
      <w:rFonts w:ascii="Cambria" w:hAnsi="Cambria" w:cs="Cambria"/>
      <w:b/>
      <w:bCs/>
      <w:sz w:val="26"/>
      <w:szCs w:val="26"/>
    </w:rPr>
  </w:style>
  <w:style w:type="character" w:customStyle="1" w:styleId="Nadpis4Char">
    <w:name w:val="Nadpis 4 Char"/>
    <w:basedOn w:val="Predvolenpsmoodseku"/>
    <w:link w:val="Nadpis4"/>
    <w:uiPriority w:val="99"/>
    <w:semiHidden/>
    <w:locked/>
    <w:rsid w:val="00B94673"/>
    <w:rPr>
      <w:rFonts w:ascii="Calibri" w:hAnsi="Calibri" w:cs="Calibri"/>
      <w:b/>
      <w:bCs/>
      <w:sz w:val="28"/>
      <w:szCs w:val="28"/>
    </w:rPr>
  </w:style>
  <w:style w:type="character" w:customStyle="1" w:styleId="Nadpis5Char">
    <w:name w:val="Nadpis 5 Char"/>
    <w:basedOn w:val="Predvolenpsmoodseku"/>
    <w:link w:val="Nadpis5"/>
    <w:uiPriority w:val="99"/>
    <w:semiHidden/>
    <w:locked/>
    <w:rsid w:val="00B94673"/>
    <w:rPr>
      <w:rFonts w:ascii="Calibri" w:hAnsi="Calibri" w:cs="Calibri"/>
      <w:b/>
      <w:bCs/>
      <w:i/>
      <w:iCs/>
      <w:sz w:val="26"/>
      <w:szCs w:val="26"/>
    </w:rPr>
  </w:style>
  <w:style w:type="paragraph" w:styleId="Hlavika">
    <w:name w:val="header"/>
    <w:basedOn w:val="Normlny"/>
    <w:link w:val="HlavikaChar"/>
    <w:uiPriority w:val="99"/>
    <w:rsid w:val="00B94673"/>
    <w:pPr>
      <w:tabs>
        <w:tab w:val="center" w:pos="4536"/>
        <w:tab w:val="right" w:pos="9072"/>
      </w:tabs>
    </w:pPr>
  </w:style>
  <w:style w:type="character" w:customStyle="1" w:styleId="HlavikaChar">
    <w:name w:val="Hlavička Char"/>
    <w:basedOn w:val="Predvolenpsmoodseku"/>
    <w:link w:val="Hlavika"/>
    <w:uiPriority w:val="99"/>
    <w:locked/>
    <w:rsid w:val="00B94673"/>
    <w:rPr>
      <w:rFonts w:cs="Times New Roman"/>
      <w:sz w:val="24"/>
      <w:szCs w:val="24"/>
    </w:rPr>
  </w:style>
  <w:style w:type="paragraph" w:styleId="Zkladntext3">
    <w:name w:val="Body Text 3"/>
    <w:basedOn w:val="Normlny"/>
    <w:link w:val="Zkladntext3Char"/>
    <w:uiPriority w:val="99"/>
    <w:rsid w:val="00B94673"/>
    <w:pPr>
      <w:spacing w:line="240" w:lineRule="atLeast"/>
      <w:jc w:val="both"/>
    </w:pPr>
  </w:style>
  <w:style w:type="character" w:customStyle="1" w:styleId="Zkladntext3Char">
    <w:name w:val="Základný text 3 Char"/>
    <w:basedOn w:val="Predvolenpsmoodseku"/>
    <w:link w:val="Zkladntext3"/>
    <w:uiPriority w:val="99"/>
    <w:semiHidden/>
    <w:locked/>
    <w:rsid w:val="00B94673"/>
    <w:rPr>
      <w:rFonts w:cs="Times New Roman"/>
      <w:sz w:val="16"/>
      <w:szCs w:val="16"/>
    </w:rPr>
  </w:style>
  <w:style w:type="paragraph" w:styleId="Zkladntext2">
    <w:name w:val="Body Text 2"/>
    <w:basedOn w:val="Normlny"/>
    <w:link w:val="Zkladntext2Char"/>
    <w:uiPriority w:val="99"/>
    <w:rsid w:val="00B94673"/>
    <w:pPr>
      <w:jc w:val="both"/>
    </w:pPr>
    <w:rPr>
      <w:sz w:val="18"/>
      <w:szCs w:val="18"/>
    </w:rPr>
  </w:style>
  <w:style w:type="character" w:customStyle="1" w:styleId="Zkladntext2Char">
    <w:name w:val="Základný text 2 Char"/>
    <w:basedOn w:val="Predvolenpsmoodseku"/>
    <w:link w:val="Zkladntext2"/>
    <w:uiPriority w:val="99"/>
    <w:semiHidden/>
    <w:locked/>
    <w:rsid w:val="00B94673"/>
    <w:rPr>
      <w:rFonts w:cs="Times New Roman"/>
      <w:sz w:val="24"/>
      <w:szCs w:val="24"/>
    </w:rPr>
  </w:style>
  <w:style w:type="paragraph" w:customStyle="1" w:styleId="Normlny0">
    <w:name w:val="_Normálny"/>
    <w:basedOn w:val="Normlny"/>
    <w:uiPriority w:val="99"/>
    <w:rsid w:val="00B94673"/>
    <w:rPr>
      <w:sz w:val="20"/>
      <w:szCs w:val="20"/>
      <w:lang w:eastAsia="en-US"/>
    </w:rPr>
  </w:style>
  <w:style w:type="paragraph" w:styleId="Textpoznmkypodiarou">
    <w:name w:val="footnote text"/>
    <w:basedOn w:val="Normlny"/>
    <w:link w:val="TextpoznmkypodiarouChar"/>
    <w:uiPriority w:val="99"/>
    <w:semiHidden/>
    <w:rsid w:val="00B94673"/>
    <w:rPr>
      <w:sz w:val="20"/>
      <w:szCs w:val="20"/>
    </w:rPr>
  </w:style>
  <w:style w:type="character" w:customStyle="1" w:styleId="TextpoznmkypodiarouChar">
    <w:name w:val="Text poznámky pod čiarou Char"/>
    <w:basedOn w:val="Predvolenpsmoodseku"/>
    <w:link w:val="Textpoznmkypodiarou"/>
    <w:uiPriority w:val="99"/>
    <w:semiHidden/>
    <w:locked/>
    <w:rsid w:val="00B94673"/>
    <w:rPr>
      <w:rFonts w:cs="Times New Roman"/>
      <w:sz w:val="20"/>
      <w:szCs w:val="20"/>
    </w:rPr>
  </w:style>
  <w:style w:type="paragraph" w:customStyle="1" w:styleId="abc">
    <w:name w:val="abc"/>
    <w:basedOn w:val="Normlny"/>
    <w:uiPriority w:val="99"/>
    <w:rsid w:val="00B94673"/>
    <w:pPr>
      <w:widowControl w:val="0"/>
      <w:tabs>
        <w:tab w:val="left" w:pos="360"/>
        <w:tab w:val="left" w:pos="680"/>
      </w:tabs>
      <w:jc w:val="both"/>
    </w:pPr>
    <w:rPr>
      <w:sz w:val="20"/>
      <w:szCs w:val="20"/>
      <w:lang w:eastAsia="en-US"/>
    </w:rPr>
  </w:style>
  <w:style w:type="paragraph" w:customStyle="1" w:styleId="PARA">
    <w:name w:val="PARA"/>
    <w:basedOn w:val="Normlny"/>
    <w:next w:val="Normlny"/>
    <w:uiPriority w:val="99"/>
    <w:rsid w:val="00B94673"/>
    <w:pPr>
      <w:keepNext/>
      <w:keepLines/>
      <w:tabs>
        <w:tab w:val="left" w:pos="680"/>
      </w:tabs>
      <w:spacing w:before="240" w:after="120"/>
      <w:jc w:val="center"/>
    </w:pPr>
    <w:rPr>
      <w:lang w:val="en-US"/>
    </w:rPr>
  </w:style>
  <w:style w:type="character" w:styleId="Odkaznapoznmkupodiarou">
    <w:name w:val="footnote reference"/>
    <w:basedOn w:val="Predvolenpsmoodseku"/>
    <w:uiPriority w:val="99"/>
    <w:semiHidden/>
    <w:rsid w:val="00B94673"/>
    <w:rPr>
      <w:rFonts w:cs="Times New Roman"/>
      <w:vertAlign w:val="superscript"/>
    </w:rPr>
  </w:style>
  <w:style w:type="paragraph" w:styleId="Pta">
    <w:name w:val="footer"/>
    <w:basedOn w:val="Normlny"/>
    <w:link w:val="PtaChar"/>
    <w:uiPriority w:val="99"/>
    <w:rsid w:val="00B94673"/>
    <w:pPr>
      <w:tabs>
        <w:tab w:val="center" w:pos="4536"/>
        <w:tab w:val="right" w:pos="9072"/>
      </w:tabs>
      <w:autoSpaceDE/>
      <w:autoSpaceDN/>
    </w:pPr>
  </w:style>
  <w:style w:type="character" w:customStyle="1" w:styleId="PtaChar">
    <w:name w:val="Päta Char"/>
    <w:basedOn w:val="Predvolenpsmoodseku"/>
    <w:link w:val="Pta"/>
    <w:uiPriority w:val="99"/>
    <w:semiHidden/>
    <w:locked/>
    <w:rsid w:val="00B94673"/>
    <w:rPr>
      <w:rFonts w:cs="Times New Roman"/>
      <w:sz w:val="24"/>
      <w:szCs w:val="24"/>
    </w:rPr>
  </w:style>
  <w:style w:type="paragraph" w:styleId="Zarkazkladnhotextu2">
    <w:name w:val="Body Text Indent 2"/>
    <w:basedOn w:val="Normlny"/>
    <w:link w:val="Zarkazkladnhotextu2Char"/>
    <w:uiPriority w:val="99"/>
    <w:rsid w:val="00B94673"/>
    <w:pPr>
      <w:autoSpaceDE/>
      <w:autoSpaceDN/>
      <w:ind w:left="290" w:hanging="290"/>
    </w:pPr>
    <w:rPr>
      <w:sz w:val="20"/>
      <w:szCs w:val="20"/>
    </w:rPr>
  </w:style>
  <w:style w:type="character" w:customStyle="1" w:styleId="Zarkazkladnhotextu2Char">
    <w:name w:val="Zarážka základného textu 2 Char"/>
    <w:basedOn w:val="Predvolenpsmoodseku"/>
    <w:link w:val="Zarkazkladnhotextu2"/>
    <w:uiPriority w:val="99"/>
    <w:semiHidden/>
    <w:locked/>
    <w:rsid w:val="00B94673"/>
    <w:rPr>
      <w:rFonts w:cs="Times New Roman"/>
      <w:sz w:val="24"/>
      <w:szCs w:val="24"/>
    </w:rPr>
  </w:style>
  <w:style w:type="character" w:styleId="slostrany">
    <w:name w:val="page number"/>
    <w:basedOn w:val="Predvolenpsmoodseku"/>
    <w:uiPriority w:val="99"/>
    <w:rsid w:val="00B94673"/>
    <w:rPr>
      <w:rFonts w:cs="Times New Roman"/>
    </w:rPr>
  </w:style>
  <w:style w:type="paragraph" w:customStyle="1" w:styleId="Point1">
    <w:name w:val="Point 1"/>
    <w:basedOn w:val="Normlny"/>
    <w:uiPriority w:val="99"/>
    <w:rsid w:val="00B94673"/>
    <w:pPr>
      <w:autoSpaceDE/>
      <w:autoSpaceDN/>
      <w:spacing w:before="120" w:after="120" w:line="360" w:lineRule="auto"/>
      <w:ind w:left="1417" w:hanging="567"/>
    </w:pPr>
    <w:rPr>
      <w:lang w:eastAsia="en-US"/>
    </w:rPr>
  </w:style>
  <w:style w:type="paragraph" w:styleId="Zkladntext">
    <w:name w:val="Body Text"/>
    <w:basedOn w:val="Normlny"/>
    <w:link w:val="ZkladntextChar"/>
    <w:uiPriority w:val="99"/>
    <w:rsid w:val="00B94673"/>
    <w:pPr>
      <w:adjustRightInd w:val="0"/>
    </w:pPr>
    <w:rPr>
      <w:sz w:val="18"/>
      <w:szCs w:val="18"/>
      <w:lang w:eastAsia="en-US"/>
    </w:rPr>
  </w:style>
  <w:style w:type="character" w:customStyle="1" w:styleId="ZkladntextChar">
    <w:name w:val="Základný text Char"/>
    <w:basedOn w:val="Predvolenpsmoodseku"/>
    <w:link w:val="Zkladntext"/>
    <w:uiPriority w:val="99"/>
    <w:semiHidden/>
    <w:locked/>
    <w:rsid w:val="00B94673"/>
    <w:rPr>
      <w:rFonts w:cs="Times New Roman"/>
      <w:sz w:val="24"/>
      <w:szCs w:val="24"/>
    </w:rPr>
  </w:style>
  <w:style w:type="paragraph" w:styleId="Zarkazkladnhotextu3">
    <w:name w:val="Body Text Indent 3"/>
    <w:basedOn w:val="Normlny"/>
    <w:link w:val="Zarkazkladnhotextu3Char"/>
    <w:uiPriority w:val="99"/>
    <w:rsid w:val="00B94673"/>
    <w:pPr>
      <w:ind w:firstLine="360"/>
      <w:jc w:val="both"/>
    </w:pPr>
    <w:rPr>
      <w:sz w:val="18"/>
      <w:szCs w:val="18"/>
    </w:rPr>
  </w:style>
  <w:style w:type="character" w:customStyle="1" w:styleId="Zarkazkladnhotextu3Char">
    <w:name w:val="Zarážka základného textu 3 Char"/>
    <w:basedOn w:val="Predvolenpsmoodseku"/>
    <w:link w:val="Zarkazkladnhotextu3"/>
    <w:uiPriority w:val="99"/>
    <w:semiHidden/>
    <w:locked/>
    <w:rsid w:val="00B94673"/>
    <w:rPr>
      <w:rFonts w:cs="Times New Roman"/>
      <w:sz w:val="16"/>
      <w:szCs w:val="16"/>
    </w:rPr>
  </w:style>
  <w:style w:type="paragraph" w:customStyle="1" w:styleId="Paragraphedeliste">
    <w:name w:val="Paragraphe de liste"/>
    <w:basedOn w:val="Normlny"/>
    <w:uiPriority w:val="99"/>
    <w:rsid w:val="00B94673"/>
    <w:pPr>
      <w:autoSpaceDE/>
      <w:autoSpaceDN/>
      <w:ind w:left="720"/>
    </w:pPr>
    <w:rPr>
      <w:lang w:eastAsia="en-US"/>
    </w:rPr>
  </w:style>
  <w:style w:type="paragraph" w:customStyle="1" w:styleId="Default">
    <w:name w:val="Default"/>
    <w:uiPriority w:val="99"/>
    <w:rsid w:val="00B94673"/>
    <w:pPr>
      <w:autoSpaceDE w:val="0"/>
      <w:autoSpaceDN w:val="0"/>
      <w:adjustRightInd w:val="0"/>
      <w:spacing w:after="0" w:line="240" w:lineRule="auto"/>
    </w:pPr>
    <w:rPr>
      <w:color w:val="000000"/>
      <w:sz w:val="24"/>
      <w:szCs w:val="24"/>
      <w:lang w:val="en-US" w:eastAsia="en-US"/>
    </w:rPr>
  </w:style>
  <w:style w:type="character" w:styleId="Siln">
    <w:name w:val="Strong"/>
    <w:basedOn w:val="Predvolenpsmoodseku"/>
    <w:uiPriority w:val="99"/>
    <w:qFormat/>
    <w:rsid w:val="00B94673"/>
    <w:rPr>
      <w:rFonts w:cs="Times New Roman"/>
      <w:b/>
      <w:bCs/>
    </w:rPr>
  </w:style>
  <w:style w:type="paragraph" w:customStyle="1" w:styleId="ManualNumPar1">
    <w:name w:val="Manual NumPar 1"/>
    <w:basedOn w:val="Normlny"/>
    <w:next w:val="Normlny"/>
    <w:uiPriority w:val="99"/>
    <w:rsid w:val="00B94673"/>
    <w:pPr>
      <w:autoSpaceDE/>
      <w:autoSpaceDN/>
      <w:spacing w:before="120" w:after="120" w:line="360" w:lineRule="auto"/>
      <w:ind w:left="850" w:hanging="850"/>
    </w:pPr>
    <w:rPr>
      <w:lang w:eastAsia="en-US"/>
    </w:rPr>
  </w:style>
  <w:style w:type="paragraph" w:customStyle="1" w:styleId="Point0">
    <w:name w:val="Point 0"/>
    <w:basedOn w:val="Normlny"/>
    <w:uiPriority w:val="99"/>
    <w:rsid w:val="00B94673"/>
    <w:pPr>
      <w:autoSpaceDE/>
      <w:autoSpaceDN/>
      <w:spacing w:before="120" w:after="120" w:line="360" w:lineRule="auto"/>
      <w:ind w:left="850" w:hanging="850"/>
    </w:pPr>
    <w:rPr>
      <w:lang w:eastAsia="en-US"/>
    </w:rPr>
  </w:style>
  <w:style w:type="paragraph" w:customStyle="1" w:styleId="Text4">
    <w:name w:val="Text 4"/>
    <w:basedOn w:val="Normlny"/>
    <w:uiPriority w:val="99"/>
    <w:rsid w:val="00B94673"/>
    <w:pPr>
      <w:autoSpaceDE/>
      <w:autoSpaceDN/>
      <w:spacing w:before="120" w:after="120" w:line="360" w:lineRule="auto"/>
      <w:ind w:left="850"/>
    </w:pPr>
    <w:rPr>
      <w:lang w:eastAsia="en-US"/>
    </w:rPr>
  </w:style>
  <w:style w:type="paragraph" w:styleId="Textbubliny">
    <w:name w:val="Balloon Text"/>
    <w:basedOn w:val="Normlny"/>
    <w:link w:val="TextbublinyChar"/>
    <w:uiPriority w:val="99"/>
    <w:semiHidden/>
    <w:unhideWhenUsed/>
    <w:rsid w:val="003F08E2"/>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3F08E2"/>
    <w:rPr>
      <w:rFonts w:ascii="Tahoma" w:hAnsi="Tahoma" w:cs="Tahoma"/>
      <w:sz w:val="16"/>
      <w:szCs w:val="16"/>
    </w:rPr>
  </w:style>
  <w:style w:type="paragraph" w:styleId="Textkomentra">
    <w:name w:val="annotation text"/>
    <w:basedOn w:val="Normlny"/>
    <w:link w:val="TextkomentraChar"/>
    <w:uiPriority w:val="99"/>
    <w:rsid w:val="006125CE"/>
    <w:rPr>
      <w:sz w:val="20"/>
      <w:szCs w:val="20"/>
    </w:rPr>
  </w:style>
  <w:style w:type="character" w:customStyle="1" w:styleId="TextkomentraChar">
    <w:name w:val="Text komentára Char"/>
    <w:basedOn w:val="Predvolenpsmoodseku"/>
    <w:link w:val="Textkomentra"/>
    <w:uiPriority w:val="99"/>
    <w:locked/>
    <w:rsid w:val="006125CE"/>
    <w:rPr>
      <w:rFonts w:cs="Times New Roman"/>
      <w:sz w:val="20"/>
      <w:szCs w:val="20"/>
    </w:rPr>
  </w:style>
  <w:style w:type="character" w:styleId="Odkaznakomentr">
    <w:name w:val="annotation reference"/>
    <w:basedOn w:val="Predvolenpsmoodseku"/>
    <w:uiPriority w:val="99"/>
    <w:rsid w:val="006125CE"/>
    <w:rPr>
      <w:rFonts w:cs="Times New Roman"/>
      <w:sz w:val="16"/>
      <w:szCs w:val="16"/>
    </w:rPr>
  </w:style>
  <w:style w:type="paragraph" w:styleId="Odsekzoznamu">
    <w:name w:val="List Paragraph"/>
    <w:basedOn w:val="Normlny"/>
    <w:uiPriority w:val="34"/>
    <w:qFormat/>
    <w:rsid w:val="002308B9"/>
    <w:pPr>
      <w:ind w:left="720"/>
      <w:contextualSpacing/>
    </w:pPr>
  </w:style>
  <w:style w:type="paragraph" w:styleId="Predmetkomentra">
    <w:name w:val="annotation subject"/>
    <w:basedOn w:val="Textkomentra"/>
    <w:next w:val="Textkomentra"/>
    <w:link w:val="PredmetkomentraChar"/>
    <w:uiPriority w:val="99"/>
    <w:rsid w:val="006125CE"/>
    <w:rPr>
      <w:b/>
      <w:bCs/>
    </w:rPr>
  </w:style>
  <w:style w:type="character" w:customStyle="1" w:styleId="PredmetkomentraChar">
    <w:name w:val="Predmet komentára Char"/>
    <w:basedOn w:val="TextkomentraChar"/>
    <w:link w:val="Predmetkomentra"/>
    <w:uiPriority w:val="99"/>
    <w:locked/>
    <w:rsid w:val="006125CE"/>
    <w:rPr>
      <w:rFonts w:cs="Times New Roman"/>
      <w:b/>
      <w:bCs/>
      <w:sz w:val="20"/>
      <w:szCs w:val="20"/>
    </w:rPr>
  </w:style>
  <w:style w:type="character" w:styleId="Hypertextovprepojenie">
    <w:name w:val="Hyperlink"/>
    <w:basedOn w:val="Predvolenpsmoodseku"/>
    <w:uiPriority w:val="99"/>
    <w:rsid w:val="008502EB"/>
    <w:rPr>
      <w:rFonts w:cs="Times New Roman"/>
      <w:color w:val="0000FF" w:themeColor="hyperlink"/>
      <w:u w:val="single"/>
    </w:rPr>
  </w:style>
  <w:style w:type="character" w:customStyle="1" w:styleId="FontStyle35">
    <w:name w:val="Font Style35"/>
    <w:basedOn w:val="Predvolenpsmoodseku"/>
    <w:uiPriority w:val="99"/>
    <w:rsid w:val="000558BE"/>
    <w:rPr>
      <w:rFonts w:ascii="Bookman Old Style" w:hAnsi="Bookman Old Style" w:cs="Bookman Old Style"/>
      <w:color w:val="000000"/>
      <w:sz w:val="20"/>
      <w:szCs w:val="20"/>
    </w:rPr>
  </w:style>
  <w:style w:type="paragraph" w:customStyle="1" w:styleId="Style9">
    <w:name w:val="Style9"/>
    <w:basedOn w:val="Normlny"/>
    <w:uiPriority w:val="99"/>
    <w:rsid w:val="000558BE"/>
    <w:pPr>
      <w:widowControl w:val="0"/>
      <w:adjustRightInd w:val="0"/>
      <w:spacing w:line="274" w:lineRule="exact"/>
      <w:ind w:hanging="341"/>
      <w:jc w:val="both"/>
    </w:pPr>
    <w:rPr>
      <w:rFonts w:ascii="Bookman Old Style" w:eastAsiaTheme="minorEastAsia" w:hAnsi="Bookman Old Style"/>
    </w:rPr>
  </w:style>
  <w:style w:type="paragraph" w:customStyle="1" w:styleId="Style11">
    <w:name w:val="Style11"/>
    <w:basedOn w:val="Normlny"/>
    <w:uiPriority w:val="99"/>
    <w:rsid w:val="00514359"/>
    <w:pPr>
      <w:widowControl w:val="0"/>
      <w:adjustRightInd w:val="0"/>
      <w:spacing w:line="271" w:lineRule="exact"/>
      <w:ind w:firstLine="250"/>
      <w:jc w:val="both"/>
    </w:pPr>
    <w:rPr>
      <w:rFonts w:ascii="Bookman Old Style" w:eastAsiaTheme="minorEastAsia" w:hAnsi="Bookman Old Style"/>
    </w:rPr>
  </w:style>
  <w:style w:type="paragraph" w:customStyle="1" w:styleId="CM1">
    <w:name w:val="CM1"/>
    <w:basedOn w:val="Normlny"/>
    <w:next w:val="Normlny"/>
    <w:uiPriority w:val="99"/>
    <w:rsid w:val="001234FC"/>
    <w:pPr>
      <w:adjustRightInd w:val="0"/>
    </w:pPr>
    <w:rPr>
      <w:rFonts w:ascii="EUAlbertina" w:eastAsiaTheme="minorEastAsia" w:hAnsi="EUAlbertina"/>
    </w:rPr>
  </w:style>
  <w:style w:type="paragraph" w:customStyle="1" w:styleId="Style6">
    <w:name w:val="Style6"/>
    <w:basedOn w:val="Normlny"/>
    <w:uiPriority w:val="99"/>
    <w:rsid w:val="009E4DD6"/>
    <w:pPr>
      <w:widowControl w:val="0"/>
      <w:adjustRightInd w:val="0"/>
      <w:spacing w:line="269" w:lineRule="exact"/>
      <w:ind w:hanging="274"/>
      <w:jc w:val="both"/>
    </w:pPr>
    <w:rPr>
      <w:rFonts w:ascii="Bookman Old Style" w:eastAsiaTheme="minorEastAsia" w:hAnsi="Bookman Old Style"/>
    </w:rPr>
  </w:style>
  <w:style w:type="paragraph" w:customStyle="1" w:styleId="Style8">
    <w:name w:val="Style8"/>
    <w:basedOn w:val="Normlny"/>
    <w:uiPriority w:val="99"/>
    <w:rsid w:val="002C795F"/>
    <w:pPr>
      <w:widowControl w:val="0"/>
      <w:adjustRightInd w:val="0"/>
      <w:jc w:val="both"/>
    </w:pPr>
    <w:rPr>
      <w:rFonts w:ascii="Bookman Old Style" w:eastAsiaTheme="minorEastAsia" w:hAnsi="Bookman Old Style"/>
    </w:rPr>
  </w:style>
  <w:style w:type="paragraph" w:customStyle="1" w:styleId="Style10">
    <w:name w:val="Style10"/>
    <w:basedOn w:val="Normlny"/>
    <w:uiPriority w:val="99"/>
    <w:rsid w:val="002C795F"/>
    <w:pPr>
      <w:widowControl w:val="0"/>
      <w:adjustRightInd w:val="0"/>
    </w:pPr>
    <w:rPr>
      <w:rFonts w:ascii="Bookman Old Style" w:eastAsiaTheme="minorEastAsia" w:hAnsi="Bookman Old Style"/>
    </w:rPr>
  </w:style>
  <w:style w:type="paragraph" w:customStyle="1" w:styleId="CM4">
    <w:name w:val="CM4"/>
    <w:basedOn w:val="Normlny"/>
    <w:next w:val="Normlny"/>
    <w:uiPriority w:val="99"/>
    <w:rsid w:val="00FF2F41"/>
    <w:pPr>
      <w:adjustRightInd w:val="0"/>
    </w:pPr>
    <w:rPr>
      <w:rFonts w:ascii="EUAlbertina" w:eastAsiaTheme="minorEastAsia"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1784">
      <w:marLeft w:val="0"/>
      <w:marRight w:val="0"/>
      <w:marTop w:val="0"/>
      <w:marBottom w:val="0"/>
      <w:divBdr>
        <w:top w:val="none" w:sz="0" w:space="0" w:color="auto"/>
        <w:left w:val="none" w:sz="0" w:space="0" w:color="auto"/>
        <w:bottom w:val="none" w:sz="0" w:space="0" w:color="auto"/>
        <w:right w:val="none" w:sz="0" w:space="0" w:color="auto"/>
      </w:divBdr>
    </w:div>
    <w:div w:id="119031787">
      <w:marLeft w:val="0"/>
      <w:marRight w:val="0"/>
      <w:marTop w:val="0"/>
      <w:marBottom w:val="0"/>
      <w:divBdr>
        <w:top w:val="none" w:sz="0" w:space="0" w:color="auto"/>
        <w:left w:val="none" w:sz="0" w:space="0" w:color="auto"/>
        <w:bottom w:val="none" w:sz="0" w:space="0" w:color="auto"/>
        <w:right w:val="none" w:sz="0" w:space="0" w:color="auto"/>
      </w:divBdr>
      <w:divsChild>
        <w:div w:id="119031786">
          <w:marLeft w:val="0"/>
          <w:marRight w:val="0"/>
          <w:marTop w:val="0"/>
          <w:marBottom w:val="0"/>
          <w:divBdr>
            <w:top w:val="none" w:sz="0" w:space="0" w:color="auto"/>
            <w:left w:val="none" w:sz="0" w:space="0" w:color="auto"/>
            <w:bottom w:val="none" w:sz="0" w:space="0" w:color="auto"/>
            <w:right w:val="none" w:sz="0" w:space="0" w:color="auto"/>
          </w:divBdr>
          <w:divsChild>
            <w:div w:id="119031789">
              <w:marLeft w:val="0"/>
              <w:marRight w:val="0"/>
              <w:marTop w:val="0"/>
              <w:marBottom w:val="0"/>
              <w:divBdr>
                <w:top w:val="none" w:sz="0" w:space="0" w:color="auto"/>
                <w:left w:val="none" w:sz="0" w:space="0" w:color="auto"/>
                <w:bottom w:val="none" w:sz="0" w:space="0" w:color="auto"/>
                <w:right w:val="none" w:sz="0" w:space="0" w:color="auto"/>
              </w:divBdr>
              <w:divsChild>
                <w:div w:id="119031785">
                  <w:marLeft w:val="0"/>
                  <w:marRight w:val="0"/>
                  <w:marTop w:val="0"/>
                  <w:marBottom w:val="0"/>
                  <w:divBdr>
                    <w:top w:val="none" w:sz="0" w:space="0" w:color="auto"/>
                    <w:left w:val="none" w:sz="0" w:space="0" w:color="auto"/>
                    <w:bottom w:val="none" w:sz="0" w:space="0" w:color="auto"/>
                    <w:right w:val="none" w:sz="0" w:space="0" w:color="auto"/>
                  </w:divBdr>
                  <w:divsChild>
                    <w:div w:id="1190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07d_TZ_2015-2366_MPK_final"/>
    <f:field ref="objsubject" par="" edit="true" text=""/>
    <f:field ref="objcreatedby" par="" text="Bartíková, Anna, Mgr. Ing."/>
    <f:field ref="objcreatedat" par="" text="11.6.2020 6:33:48"/>
    <f:field ref="objchangedby" par="" text="Administrator, System"/>
    <f:field ref="objmodifiedat" par="" text="11.6.2020 6:33:4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57E24C6-C1C3-42CB-B789-45630A4FD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4510</Words>
  <Characters>25713</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TABUĽKA  ZHODY</vt:lpstr>
    </vt:vector>
  </TitlesOfParts>
  <Company>ÚV SR</Company>
  <LinksUpToDate>false</LinksUpToDate>
  <CharactersWithSpaces>30163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subject/>
  <dc:creator>bodorova</dc:creator>
  <cp:keywords/>
  <dc:description/>
  <cp:lastModifiedBy>Bartikova Anna</cp:lastModifiedBy>
  <cp:revision>2</cp:revision>
  <cp:lastPrinted>2017-05-17T07:15:00Z</cp:lastPrinted>
  <dcterms:created xsi:type="dcterms:W3CDTF">2020-08-20T05:07:00Z</dcterms:created>
  <dcterms:modified xsi:type="dcterms:W3CDTF">2020-08-20T05:07:00Z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Finančné právo_x000d_
Bankové a finančné inštitúcie</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Ing. Anna Bartíková</vt:lpwstr>
  </property>
  <property fmtid="{D5CDD505-2E9C-101B-9397-08002B2CF9AE}" pid="12" name="FSC#SKEDITIONSLOVLEX@103.510:zodppredkladatel">
    <vt:lpwstr>Ing. Eduard Heger</vt:lpwstr>
  </property>
  <property fmtid="{D5CDD505-2E9C-101B-9397-08002B2CF9AE}" pid="13" name="FSC#SKEDITIONSLOVLEX@103.510:dalsipredkladatel">
    <vt:lpwstr/>
  </property>
  <property fmtid="{D5CDD505-2E9C-101B-9397-08002B2CF9AE}" pid="14" name="FSC#SKEDITIONSLOVLEX@103.510:nazovpredpis">
    <vt:lpwstr>, ktorým sa mení a dopĺňa zákon č. 483/2001 Z. z. o bankách a o zmene a doplnení niektorých zákonov v znení neskorších predpisov a ktorým sa menia a dopĺňajú niektoré zákony</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financií Slovenskej republiky</vt:lpwstr>
  </property>
  <property fmtid="{D5CDD505-2E9C-101B-9397-08002B2CF9AE}" pid="20" name="FSC#SKEDITIONSLOVLEX@103.510:pripomienkovatelia">
    <vt:lpwstr>Ministerstvo financií Slovenskej republiky, Ministerstvo financií Slovenskej republiky, Ministerstvo financií Slovenskej republiky, Ministerstvo financií Slovenskej republiky, Ministerstvo financií Slovenskej republiky, Ministerstvo financií Slovenskej re</vt:lpwstr>
  </property>
  <property fmtid="{D5CDD505-2E9C-101B-9397-08002B2CF9AE}" pid="21" name="FSC#SKEDITIONSLOVLEX@103.510:autorpredpis">
    <vt:lpwstr/>
  </property>
  <property fmtid="{D5CDD505-2E9C-101B-9397-08002B2CF9AE}" pid="22" name="FSC#SKEDITIONSLOVLEX@103.510:podnetpredpis">
    <vt:lpwstr>Transpozícia právnych predpisov Európskej únie</vt:lpwstr>
  </property>
  <property fmtid="{D5CDD505-2E9C-101B-9397-08002B2CF9AE}" pid="23" name="FSC#SKEDITIONSLOVLEX@103.510:plnynazovpredpis">
    <vt:lpwstr> Zákon, ktorým sa mení a dopĺňa zákon č. 483/2001 Z. z. o bankách a o zmene a doplnení niektorých zákonov v znení neskorších predpisov a ktorým sa menia a dopĺňajú niektoré zákony</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MF/007822/2020-632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LP/2020/199</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 _x000d_
podpredseda vlády a minister financií Slovenskej republiky</vt:lpwstr>
  </property>
  <property fmtid="{D5CDD505-2E9C-101B-9397-08002B2CF9AE}" pid="137" name="FSC#SKEDITIONSLOVLEX@103.510:AttrStrListDocPropUznesenieNaVedomie">
    <vt:lpwstr>predseda Národnej rady Slovenskej republiky_x000d_
guvernér Národnej banky Slovenska</vt:lpwstr>
  </property>
  <property fmtid="{D5CDD505-2E9C-101B-9397-08002B2CF9AE}" pid="138" name="FSC#SKEDITIONSLOVLEX@103.510:funkciaPred">
    <vt:lpwstr>štátny radca</vt:lpwstr>
  </property>
  <property fmtid="{D5CDD505-2E9C-101B-9397-08002B2CF9AE}" pid="139" name="FSC#SKEDITIONSLOVLEX@103.510:funkciaPredAkuzativ">
    <vt:lpwstr>štátneho radcu</vt:lpwstr>
  </property>
  <property fmtid="{D5CDD505-2E9C-101B-9397-08002B2CF9AE}" pid="140" name="FSC#SKEDITIONSLOVLEX@103.510:funkciaPredDativ">
    <vt:lpwstr>štátnemu radcovi</vt:lpwstr>
  </property>
  <property fmtid="{D5CDD505-2E9C-101B-9397-08002B2CF9AE}" pid="141" name="FSC#SKEDITIONSLOVLEX@103.510:funkciaZodpPred">
    <vt:lpwstr>minister financií</vt:lpwstr>
  </property>
  <property fmtid="{D5CDD505-2E9C-101B-9397-08002B2CF9AE}" pid="142" name="FSC#SKEDITIONSLOVLEX@103.510:funkciaZodpPredAkuzativ">
    <vt:lpwstr>ministra financií Slovenskej republiky</vt:lpwstr>
  </property>
  <property fmtid="{D5CDD505-2E9C-101B-9397-08002B2CF9AE}" pid="143" name="FSC#SKEDITIONSLOVLEX@103.510:funkciaZodpPredDativ">
    <vt:lpwstr>ministrovi financií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Eduard Heger_x000d_
minister financií</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justify;"&gt;&amp;nbsp;&amp;nbsp;&amp;nbsp;&amp;nbsp;&amp;nbsp;&amp;nbsp;&amp;nbsp;&amp;nbsp;&amp;nbsp;&amp;nbsp;&amp;nbsp; Dôvodom návrhu zákona, ktorým sa mení a&amp;nbsp;dopĺňa zákon č. 483/2001 Z. z. o&amp;nbsp;bankách a&amp;nbsp;o&amp;nbsp;zmene a&amp;nbsp;doplnení niektorých zákonov v&amp;nbsp;zne</vt:lpwstr>
  </property>
  <property fmtid="{D5CDD505-2E9C-101B-9397-08002B2CF9AE}" pid="150" name="FSC#SKEDITIONSLOVLEX@103.510:vytvorenedna">
    <vt:lpwstr>11. 6. 2020</vt:lpwstr>
  </property>
  <property fmtid="{D5CDD505-2E9C-101B-9397-08002B2CF9AE}" pid="151" name="FSC#COOSYSTEM@1.1:Container">
    <vt:lpwstr>COO.2145.1000.3.3893885</vt:lpwstr>
  </property>
  <property fmtid="{D5CDD505-2E9C-101B-9397-08002B2CF9AE}" pid="152" name="FSC#FSCFOLIO@1.1001:docpropproject">
    <vt:lpwstr/>
  </property>
</Properties>
</file>