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riekatabuky"/>
        <w:tblW w:w="0" w:type="auto"/>
        <w:tblLook w:val="04A0" w:firstRow="1" w:lastRow="0" w:firstColumn="1" w:lastColumn="0" w:noHBand="0" w:noVBand="1"/>
      </w:tblPr>
      <w:tblGrid>
        <w:gridCol w:w="9212"/>
      </w:tblGrid>
      <w:tr w:rsidR="009F2DFA" w:rsidRPr="00F04CCD" w:rsidTr="007B71A4">
        <w:trPr>
          <w:trHeight w:val="567"/>
        </w:trPr>
        <w:tc>
          <w:tcPr>
            <w:tcW w:w="9212" w:type="dxa"/>
            <w:shd w:val="clear" w:color="auto" w:fill="D9D9D9" w:themeFill="background1" w:themeFillShade="D9"/>
          </w:tcPr>
          <w:p w:rsidR="009F2DFA" w:rsidRPr="00042C66" w:rsidRDefault="008A1252" w:rsidP="007B71A4">
            <w:pPr>
              <w:jc w:val="center"/>
              <w:rPr>
                <w:b/>
                <w:sz w:val="24"/>
              </w:rPr>
            </w:pPr>
            <w:bookmarkStart w:id="0" w:name="_GoBack"/>
            <w:bookmarkEnd w:id="0"/>
            <w:r w:rsidRPr="008A1252">
              <w:rPr>
                <w:b/>
                <w:sz w:val="28"/>
              </w:rPr>
              <w:t xml:space="preserve">Analýza </w:t>
            </w:r>
            <w:r>
              <w:rPr>
                <w:b/>
                <w:sz w:val="28"/>
              </w:rPr>
              <w:t>v</w:t>
            </w:r>
            <w:r w:rsidR="009F2DFA" w:rsidRPr="00042C66">
              <w:rPr>
                <w:b/>
                <w:sz w:val="28"/>
              </w:rPr>
              <w:t>plyv</w:t>
            </w:r>
            <w:r>
              <w:rPr>
                <w:b/>
                <w:sz w:val="28"/>
              </w:rPr>
              <w:t>ov</w:t>
            </w:r>
            <w:r w:rsidR="009F2DFA" w:rsidRPr="00042C66">
              <w:rPr>
                <w:b/>
                <w:sz w:val="28"/>
              </w:rPr>
              <w:t xml:space="preserve"> na podnikateľské prostredie </w:t>
            </w:r>
          </w:p>
          <w:p w:rsidR="009F2DFA" w:rsidRPr="00F04CCD" w:rsidRDefault="009F2DFA" w:rsidP="00780BA6">
            <w:pPr>
              <w:jc w:val="center"/>
              <w:rPr>
                <w:b/>
              </w:rPr>
            </w:pPr>
            <w:r w:rsidRPr="00042C66">
              <w:rPr>
                <w:b/>
                <w:sz w:val="24"/>
              </w:rPr>
              <w:t xml:space="preserve">(vrátane </w:t>
            </w:r>
            <w:r w:rsidR="00780BA6">
              <w:rPr>
                <w:b/>
                <w:sz w:val="24"/>
              </w:rPr>
              <w:t xml:space="preserve">testu </w:t>
            </w:r>
            <w:r w:rsidRPr="00042C66">
              <w:rPr>
                <w:b/>
                <w:sz w:val="24"/>
              </w:rPr>
              <w:t>MSP)</w:t>
            </w:r>
          </w:p>
        </w:tc>
      </w:tr>
      <w:tr w:rsidR="009F2DFA" w:rsidRPr="00F04CCD" w:rsidTr="007B71A4">
        <w:trPr>
          <w:trHeight w:val="567"/>
        </w:trPr>
        <w:tc>
          <w:tcPr>
            <w:tcW w:w="9212" w:type="dxa"/>
            <w:shd w:val="clear" w:color="auto" w:fill="D9D9D9" w:themeFill="background1" w:themeFillShade="D9"/>
          </w:tcPr>
          <w:p w:rsidR="009F2DFA" w:rsidRPr="00042C66" w:rsidRDefault="009F2DFA" w:rsidP="007B71A4">
            <w:pPr>
              <w:rPr>
                <w:b/>
                <w:sz w:val="24"/>
              </w:rPr>
            </w:pPr>
            <w:r w:rsidRPr="00042C66">
              <w:rPr>
                <w:b/>
                <w:sz w:val="24"/>
              </w:rPr>
              <w:t>Materiál bude mať vplyv s ohľadom na veľkostnú kategóriu podnikov:</w:t>
            </w:r>
          </w:p>
        </w:tc>
      </w:tr>
      <w:tr w:rsidR="009F2DFA" w:rsidRPr="00F04CCD" w:rsidTr="007B71A4">
        <w:trPr>
          <w:trHeight w:val="567"/>
        </w:trPr>
        <w:tc>
          <w:tcPr>
            <w:tcW w:w="9212"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8545"/>
            </w:tblGrid>
            <w:tr w:rsidR="009F2DFA" w:rsidRPr="00F04CCD" w:rsidTr="007B71A4">
              <w:tc>
                <w:tcPr>
                  <w:tcW w:w="436" w:type="dxa"/>
                </w:tcPr>
                <w:p w:rsidR="009F2DFA" w:rsidRPr="00F04CCD" w:rsidRDefault="009F2DFA" w:rsidP="007B71A4">
                  <w:pPr>
                    <w:jc w:val="center"/>
                  </w:pPr>
                  <w:r w:rsidRPr="00F04CCD">
                    <w:rPr>
                      <w:rFonts w:ascii="MS Mincho" w:eastAsia="MS Mincho" w:hAnsi="MS Mincho" w:cs="MS Mincho" w:hint="eastAsia"/>
                    </w:rPr>
                    <w:t>☐</w:t>
                  </w:r>
                </w:p>
              </w:tc>
              <w:tc>
                <w:tcPr>
                  <w:tcW w:w="8545" w:type="dxa"/>
                </w:tcPr>
                <w:p w:rsidR="009F2DFA" w:rsidRPr="00F04CCD" w:rsidRDefault="009F2DFA" w:rsidP="007B71A4">
                  <w:pPr>
                    <w:rPr>
                      <w:b/>
                    </w:rPr>
                  </w:pPr>
                  <w:r w:rsidRPr="00F04CCD">
                    <w:rPr>
                      <w:b/>
                    </w:rPr>
                    <w:t xml:space="preserve">iba na MSP (0 - 249 zamestnancov) </w:t>
                  </w:r>
                </w:p>
              </w:tc>
            </w:tr>
            <w:tr w:rsidR="009F2DFA" w:rsidRPr="00F04CCD" w:rsidTr="007B71A4">
              <w:tc>
                <w:tcPr>
                  <w:tcW w:w="436" w:type="dxa"/>
                </w:tcPr>
                <w:p w:rsidR="009F2DFA" w:rsidRPr="00F04CCD" w:rsidRDefault="009F2DFA" w:rsidP="007B71A4">
                  <w:pPr>
                    <w:jc w:val="center"/>
                  </w:pPr>
                  <w:r w:rsidRPr="00F04CCD">
                    <w:rPr>
                      <w:rFonts w:ascii="MS Mincho" w:eastAsia="MS Mincho" w:hAnsi="MS Mincho" w:cs="MS Mincho" w:hint="eastAsia"/>
                    </w:rPr>
                    <w:t>☐</w:t>
                  </w:r>
                </w:p>
              </w:tc>
              <w:tc>
                <w:tcPr>
                  <w:tcW w:w="8545" w:type="dxa"/>
                </w:tcPr>
                <w:p w:rsidR="009F2DFA" w:rsidRPr="00F04CCD" w:rsidRDefault="009F2DFA" w:rsidP="007B71A4">
                  <w:pPr>
                    <w:rPr>
                      <w:b/>
                    </w:rPr>
                  </w:pPr>
                  <w:r w:rsidRPr="00F04CCD">
                    <w:rPr>
                      <w:b/>
                    </w:rPr>
                    <w:t>iba na veľké podniky (250 a viac zamestnancov)</w:t>
                  </w:r>
                </w:p>
              </w:tc>
            </w:tr>
            <w:tr w:rsidR="009F2DFA" w:rsidRPr="00F04CCD" w:rsidTr="007B71A4">
              <w:tc>
                <w:tcPr>
                  <w:tcW w:w="436" w:type="dxa"/>
                </w:tcPr>
                <w:p w:rsidR="009F2DFA" w:rsidRPr="00F04CCD" w:rsidRDefault="00AC14B6" w:rsidP="007B71A4">
                  <w:pPr>
                    <w:jc w:val="center"/>
                  </w:pPr>
                  <w:r>
                    <w:rPr>
                      <w:rFonts w:ascii="MS Gothic" w:eastAsia="MS Gothic" w:hAnsi="MS Gothic" w:hint="eastAsia"/>
                    </w:rPr>
                    <w:t>☒</w:t>
                  </w:r>
                </w:p>
              </w:tc>
              <w:tc>
                <w:tcPr>
                  <w:tcW w:w="8545" w:type="dxa"/>
                </w:tcPr>
                <w:p w:rsidR="009F2DFA" w:rsidRPr="00F04CCD" w:rsidRDefault="009F2DFA" w:rsidP="007B71A4">
                  <w:r w:rsidRPr="00F04CCD">
                    <w:rPr>
                      <w:b/>
                    </w:rPr>
                    <w:t xml:space="preserve">na všetky </w:t>
                  </w:r>
                  <w:r>
                    <w:rPr>
                      <w:b/>
                    </w:rPr>
                    <w:t>kategórie</w:t>
                  </w:r>
                  <w:r w:rsidRPr="00F04CCD">
                    <w:rPr>
                      <w:b/>
                    </w:rPr>
                    <w:t xml:space="preserve"> podnikov</w:t>
                  </w:r>
                </w:p>
              </w:tc>
            </w:tr>
          </w:tbl>
          <w:p w:rsidR="009F2DFA" w:rsidRPr="00F04CCD" w:rsidRDefault="009F2DFA" w:rsidP="007B71A4">
            <w:pPr>
              <w:rPr>
                <w:b/>
              </w:rPr>
            </w:pPr>
          </w:p>
        </w:tc>
      </w:tr>
      <w:tr w:rsidR="009F2DFA" w:rsidRPr="00F04CCD" w:rsidTr="007B71A4">
        <w:tc>
          <w:tcPr>
            <w:tcW w:w="9212" w:type="dxa"/>
            <w:shd w:val="clear" w:color="auto" w:fill="D9D9D9" w:themeFill="background1" w:themeFillShade="D9"/>
          </w:tcPr>
          <w:p w:rsidR="009F2DFA" w:rsidRPr="00042C66" w:rsidRDefault="002B1108" w:rsidP="007B71A4">
            <w:pPr>
              <w:rPr>
                <w:b/>
                <w:sz w:val="24"/>
              </w:rPr>
            </w:pPr>
            <w:r>
              <w:rPr>
                <w:b/>
                <w:sz w:val="24"/>
              </w:rPr>
              <w:t>3</w:t>
            </w:r>
            <w:r w:rsidR="009F2DFA" w:rsidRPr="00042C66">
              <w:rPr>
                <w:b/>
                <w:sz w:val="24"/>
              </w:rPr>
              <w:t>.1 Dotknuté podnikateľské subjekty</w:t>
            </w:r>
          </w:p>
          <w:p w:rsidR="009F2DFA" w:rsidRPr="00F04CCD" w:rsidRDefault="009F2DFA" w:rsidP="007B71A4">
            <w:pPr>
              <w:ind w:left="284"/>
              <w:rPr>
                <w:b/>
              </w:rPr>
            </w:pPr>
            <w:r w:rsidRPr="00042C66">
              <w:rPr>
                <w:sz w:val="24"/>
              </w:rPr>
              <w:t xml:space="preserve"> - </w:t>
            </w:r>
            <w:r w:rsidRPr="00042C66">
              <w:rPr>
                <w:b/>
                <w:sz w:val="24"/>
              </w:rPr>
              <w:t>z toho MSP</w:t>
            </w:r>
          </w:p>
        </w:tc>
      </w:tr>
      <w:tr w:rsidR="009F2DFA" w:rsidRPr="00F04CCD" w:rsidTr="007B71A4">
        <w:tc>
          <w:tcPr>
            <w:tcW w:w="9212" w:type="dxa"/>
          </w:tcPr>
          <w:p w:rsidR="009F2DFA" w:rsidRPr="00F04CCD" w:rsidRDefault="009F2DFA" w:rsidP="007B71A4">
            <w:pPr>
              <w:rPr>
                <w:i/>
              </w:rPr>
            </w:pPr>
            <w:r w:rsidRPr="00F04CCD">
              <w:rPr>
                <w:i/>
              </w:rPr>
              <w:t>Uveďte, aké podnikateľské subjekty budú predkladaným návrhom ovplyvnené.</w:t>
            </w:r>
          </w:p>
          <w:p w:rsidR="009F2DFA" w:rsidRPr="00F04CCD" w:rsidRDefault="009F2DFA" w:rsidP="007B71A4">
            <w:pPr>
              <w:rPr>
                <w:i/>
              </w:rPr>
            </w:pPr>
            <w:r w:rsidRPr="00F04CCD">
              <w:rPr>
                <w:i/>
              </w:rPr>
              <w:t>Aký je ich počet?</w:t>
            </w:r>
          </w:p>
        </w:tc>
      </w:tr>
      <w:tr w:rsidR="009F2DFA" w:rsidRPr="00F04CCD" w:rsidTr="007B71A4">
        <w:trPr>
          <w:trHeight w:val="1440"/>
        </w:trPr>
        <w:tc>
          <w:tcPr>
            <w:tcW w:w="9212" w:type="dxa"/>
          </w:tcPr>
          <w:p w:rsidR="009207D4" w:rsidRDefault="001B5B42" w:rsidP="00B1291C">
            <w:pPr>
              <w:jc w:val="both"/>
            </w:pPr>
            <w:r w:rsidRPr="009207D4">
              <w:t xml:space="preserve">Podnikateľské subjekty, </w:t>
            </w:r>
            <w:r w:rsidR="009207D4" w:rsidRPr="009207D4">
              <w:t>ktoré sú podozrivé alebo obvinené zo spáchania trestného činu môžu byť návrhom zákona negatívne dotknuté, ak dôjde k zaisteniu majetku týchto subjektov; to platí aj pre možnosť zaistenia majetku v rámci výkonu medzinárodných sankcií, daňového konania, či preukazovania pôvodu majetku.</w:t>
            </w:r>
            <w:r w:rsidR="009207D4">
              <w:t xml:space="preserve"> Početnosť dotknutých podnikateľských subjektov nie je možné kvantifikovať, nakoľko nie je možné vytvoriť kvalifikovaný odhad početnosť páchania trestných činov zo strany podnikateľských subjektov. V tejto súvislosti je potrebné uviesť, že možnosť zaisťovania majetku prichádza do úvahy len v tých prípadoch, kde dotknutý subjekt porušuje zákony, t.j. pácha trestné činy, prípadne administratívnoprávne delikty. Z uvedeného dôvodu je prípadný negatívny efekt návrhu zákon potrebné vnímať ako zákonný dôsledok protiprávneho konania. </w:t>
            </w:r>
          </w:p>
          <w:p w:rsidR="009207D4" w:rsidRDefault="009207D4" w:rsidP="00B1291C">
            <w:pPr>
              <w:jc w:val="both"/>
            </w:pPr>
          </w:p>
          <w:p w:rsidR="009207D4" w:rsidRDefault="009207D4" w:rsidP="00B1291C">
            <w:pPr>
              <w:jc w:val="both"/>
            </w:pPr>
            <w:r w:rsidRPr="009207D4">
              <w:t xml:space="preserve">Návrh zákona môže </w:t>
            </w:r>
            <w:r>
              <w:t xml:space="preserve">na druhej strane </w:t>
            </w:r>
            <w:r w:rsidRPr="009207D4">
              <w:t xml:space="preserve">zakladať pozitívny vplyv na podnikateľské subjekty, ktoré majú v trestnom konaní postavenie poškodeného, pretože návrh zákona zefektívňuje zaisťovanie majetku na účely nároku poškodeného v trestnom </w:t>
            </w:r>
            <w:r>
              <w:t>konaní, a teda vytvárajú sa</w:t>
            </w:r>
            <w:r w:rsidR="007809F3">
              <w:t xml:space="preserve"> účinnejšie mechanizmy </w:t>
            </w:r>
            <w:r>
              <w:t>pre úspešné vymáhanie náhrady škody spôsobenej trestných činom.</w:t>
            </w:r>
          </w:p>
          <w:p w:rsidR="009F2DFA" w:rsidRPr="009207D4" w:rsidRDefault="009207D4" w:rsidP="009207D4">
            <w:r w:rsidRPr="009207D4">
              <w:t xml:space="preserve">   </w:t>
            </w:r>
            <w:r w:rsidR="001B5B42" w:rsidRPr="009207D4">
              <w:t xml:space="preserve">  </w:t>
            </w:r>
          </w:p>
        </w:tc>
      </w:tr>
      <w:tr w:rsidR="009F2DFA" w:rsidRPr="00F04CCD" w:rsidTr="007B71A4">
        <w:trPr>
          <w:trHeight w:val="339"/>
        </w:trPr>
        <w:tc>
          <w:tcPr>
            <w:tcW w:w="9212" w:type="dxa"/>
            <w:shd w:val="clear" w:color="auto" w:fill="D9D9D9" w:themeFill="background1" w:themeFillShade="D9"/>
          </w:tcPr>
          <w:p w:rsidR="009F2DFA" w:rsidRPr="00042C66" w:rsidRDefault="002B1108" w:rsidP="007B71A4">
            <w:pPr>
              <w:rPr>
                <w:b/>
                <w:sz w:val="24"/>
              </w:rPr>
            </w:pPr>
            <w:r>
              <w:rPr>
                <w:b/>
                <w:sz w:val="24"/>
              </w:rPr>
              <w:t>3</w:t>
            </w:r>
            <w:r w:rsidR="009F2DFA" w:rsidRPr="00042C66">
              <w:rPr>
                <w:b/>
                <w:sz w:val="24"/>
              </w:rPr>
              <w:t>.2 Vyhodnotenie konzultácií</w:t>
            </w:r>
          </w:p>
          <w:p w:rsidR="009F2DFA" w:rsidRPr="00F04CCD" w:rsidRDefault="009F2DFA" w:rsidP="007B71A4">
            <w:pPr>
              <w:rPr>
                <w:b/>
              </w:rPr>
            </w:pPr>
            <w:r w:rsidRPr="00042C66">
              <w:rPr>
                <w:sz w:val="24"/>
              </w:rPr>
              <w:t xml:space="preserve">       - </w:t>
            </w:r>
            <w:r w:rsidRPr="00042C66">
              <w:rPr>
                <w:b/>
                <w:sz w:val="24"/>
              </w:rPr>
              <w:t>z toho MSP</w:t>
            </w:r>
          </w:p>
        </w:tc>
      </w:tr>
      <w:tr w:rsidR="009F2DFA" w:rsidRPr="00F04CCD" w:rsidTr="007B71A4">
        <w:trPr>
          <w:trHeight w:val="557"/>
        </w:trPr>
        <w:tc>
          <w:tcPr>
            <w:tcW w:w="9212" w:type="dxa"/>
          </w:tcPr>
          <w:p w:rsidR="009F2DFA" w:rsidRPr="00F04CCD" w:rsidRDefault="009F2DFA" w:rsidP="007B71A4">
            <w:pPr>
              <w:rPr>
                <w:i/>
              </w:rPr>
            </w:pPr>
            <w:r w:rsidRPr="00F04CCD">
              <w:rPr>
                <w:i/>
              </w:rPr>
              <w:t>Uveďte, akou formou (verejné alebo cielené konzultácie a prečo)</w:t>
            </w:r>
            <w:r>
              <w:rPr>
                <w:i/>
              </w:rPr>
              <w:t xml:space="preserve"> a </w:t>
            </w:r>
            <w:r w:rsidRPr="00F04CCD">
              <w:rPr>
                <w:i/>
              </w:rPr>
              <w:t>s kým bol návrh konzultovaný.</w:t>
            </w:r>
          </w:p>
          <w:p w:rsidR="009F2DFA" w:rsidRPr="00F04CCD" w:rsidRDefault="009F2DFA" w:rsidP="007B71A4">
            <w:pPr>
              <w:rPr>
                <w:i/>
              </w:rPr>
            </w:pPr>
            <w:r w:rsidRPr="00F04CCD">
              <w:rPr>
                <w:i/>
              </w:rPr>
              <w:t>Ako dlho trvali konzultácie?</w:t>
            </w:r>
          </w:p>
          <w:p w:rsidR="009F2DFA" w:rsidRPr="000D2622" w:rsidRDefault="009F2DFA" w:rsidP="007B71A4">
            <w:pPr>
              <w:rPr>
                <w:i/>
              </w:rPr>
            </w:pPr>
            <w:r w:rsidRPr="00F04CCD">
              <w:rPr>
                <w:i/>
              </w:rPr>
              <w:t xml:space="preserve">Uveďte hlavné body konzultácií a výsledky konzultácií. </w:t>
            </w:r>
          </w:p>
        </w:tc>
      </w:tr>
      <w:tr w:rsidR="009F2DFA" w:rsidRPr="00F04CCD" w:rsidTr="007B71A4">
        <w:trPr>
          <w:trHeight w:val="1440"/>
        </w:trPr>
        <w:tc>
          <w:tcPr>
            <w:tcW w:w="9212" w:type="dxa"/>
          </w:tcPr>
          <w:p w:rsidR="009F2DFA" w:rsidRPr="009207D4" w:rsidRDefault="001B5B42" w:rsidP="007B71A4">
            <w:r w:rsidRPr="009207D4">
              <w:t>Konzultácie neboli vykonané.</w:t>
            </w:r>
          </w:p>
        </w:tc>
      </w:tr>
      <w:tr w:rsidR="009F2DFA" w:rsidRPr="00F04CCD" w:rsidTr="007B71A4">
        <w:tc>
          <w:tcPr>
            <w:tcW w:w="9212" w:type="dxa"/>
            <w:shd w:val="clear" w:color="auto" w:fill="D9D9D9" w:themeFill="background1" w:themeFillShade="D9"/>
          </w:tcPr>
          <w:p w:rsidR="009F2DFA" w:rsidRPr="00042C66" w:rsidRDefault="002B1108" w:rsidP="007B71A4">
            <w:pPr>
              <w:rPr>
                <w:b/>
                <w:sz w:val="24"/>
              </w:rPr>
            </w:pPr>
            <w:r>
              <w:rPr>
                <w:b/>
                <w:sz w:val="24"/>
              </w:rPr>
              <w:t>3</w:t>
            </w:r>
            <w:r w:rsidR="009F2DFA" w:rsidRPr="00042C66">
              <w:rPr>
                <w:b/>
                <w:sz w:val="24"/>
              </w:rPr>
              <w:t>.3 Náklady regulácie</w:t>
            </w:r>
          </w:p>
          <w:p w:rsidR="009F2DFA" w:rsidRPr="00F04CCD" w:rsidRDefault="009F2DFA" w:rsidP="007B71A4">
            <w:pPr>
              <w:rPr>
                <w:b/>
              </w:rPr>
            </w:pPr>
            <w:r w:rsidRPr="00042C66">
              <w:rPr>
                <w:sz w:val="24"/>
              </w:rPr>
              <w:t xml:space="preserve">      - </w:t>
            </w:r>
            <w:r w:rsidRPr="00042C66">
              <w:rPr>
                <w:b/>
                <w:sz w:val="24"/>
              </w:rPr>
              <w:t>z toho MSP</w:t>
            </w:r>
          </w:p>
        </w:tc>
      </w:tr>
      <w:tr w:rsidR="009F2DFA" w:rsidRPr="00F04CCD" w:rsidTr="007B71A4">
        <w:tc>
          <w:tcPr>
            <w:tcW w:w="9212" w:type="dxa"/>
          </w:tcPr>
          <w:p w:rsidR="009F2DFA" w:rsidRPr="00F04CCD" w:rsidRDefault="002B1108" w:rsidP="007B71A4">
            <w:pPr>
              <w:rPr>
                <w:b/>
                <w:i/>
              </w:rPr>
            </w:pPr>
            <w:r>
              <w:rPr>
                <w:b/>
                <w:i/>
              </w:rPr>
              <w:t>3</w:t>
            </w:r>
            <w:r w:rsidR="009F2DFA" w:rsidRPr="00F04CCD">
              <w:rPr>
                <w:b/>
                <w:i/>
              </w:rPr>
              <w:t>.3.1 Priame finančné náklady</w:t>
            </w:r>
          </w:p>
          <w:p w:rsidR="009F2DFA" w:rsidRPr="00F04CCD" w:rsidRDefault="009F2DFA" w:rsidP="007B71A4">
            <w:pPr>
              <w:rPr>
                <w:i/>
              </w:rPr>
            </w:pPr>
            <w:r w:rsidRPr="00F04CCD">
              <w:rPr>
                <w:i/>
              </w:rPr>
              <w:t xml:space="preserve">Dochádza k zvýšeniu/zníženiu priamych finančných nákladov (poplatky, odvody, dane clá...)? Ak áno, popíšte a vyčíslite ich. Uveďte tiež spôsob ich výpočtu. </w:t>
            </w:r>
          </w:p>
        </w:tc>
      </w:tr>
      <w:tr w:rsidR="009F2DFA" w:rsidRPr="00F04CCD" w:rsidTr="007B71A4">
        <w:tc>
          <w:tcPr>
            <w:tcW w:w="9212" w:type="dxa"/>
          </w:tcPr>
          <w:p w:rsidR="009F2DFA" w:rsidRPr="009207D4" w:rsidRDefault="009207D4" w:rsidP="007B71A4">
            <w:r w:rsidRPr="009207D4">
              <w:t>Návrh zákona nezakla</w:t>
            </w:r>
            <w:r>
              <w:t xml:space="preserve">dá priame finančné náklady, pretože nezavádza nová poplatky, odvody, dané, clá a pod. </w:t>
            </w:r>
          </w:p>
          <w:p w:rsidR="009F2DFA" w:rsidRPr="00F04CCD" w:rsidRDefault="009F2DFA" w:rsidP="007B71A4">
            <w:pPr>
              <w:rPr>
                <w:b/>
                <w:i/>
              </w:rPr>
            </w:pPr>
          </w:p>
          <w:p w:rsidR="009F2DFA" w:rsidRPr="00F04CCD" w:rsidRDefault="009F2DFA" w:rsidP="007B71A4">
            <w:pPr>
              <w:rPr>
                <w:b/>
                <w:i/>
              </w:rPr>
            </w:pPr>
          </w:p>
          <w:p w:rsidR="009F2DFA" w:rsidRPr="00F04CCD" w:rsidRDefault="009F2DFA" w:rsidP="007B71A4">
            <w:pPr>
              <w:rPr>
                <w:b/>
                <w:i/>
              </w:rPr>
            </w:pPr>
          </w:p>
          <w:p w:rsidR="009F2DFA" w:rsidRPr="00F04CCD" w:rsidRDefault="009F2DFA" w:rsidP="007B71A4">
            <w:pPr>
              <w:rPr>
                <w:b/>
                <w:i/>
              </w:rPr>
            </w:pPr>
          </w:p>
        </w:tc>
      </w:tr>
      <w:tr w:rsidR="009F2DFA" w:rsidRPr="00F04CCD" w:rsidTr="007B71A4">
        <w:tc>
          <w:tcPr>
            <w:tcW w:w="9212" w:type="dxa"/>
          </w:tcPr>
          <w:p w:rsidR="009F2DFA" w:rsidRPr="00F04CCD" w:rsidRDefault="002B1108" w:rsidP="007B71A4">
            <w:pPr>
              <w:rPr>
                <w:b/>
                <w:i/>
              </w:rPr>
            </w:pPr>
            <w:r>
              <w:rPr>
                <w:b/>
                <w:i/>
              </w:rPr>
              <w:t>3</w:t>
            </w:r>
            <w:r w:rsidR="009F2DFA" w:rsidRPr="00F04CCD">
              <w:rPr>
                <w:b/>
                <w:i/>
              </w:rPr>
              <w:t>.3.2 Nepriame finančné náklady</w:t>
            </w:r>
          </w:p>
          <w:p w:rsidR="009F2DFA" w:rsidRPr="00F04CCD" w:rsidRDefault="009F2DFA" w:rsidP="00B31A8E">
            <w:pPr>
              <w:rPr>
                <w:i/>
              </w:rPr>
            </w:pPr>
            <w:r w:rsidRPr="00F04CCD">
              <w:rPr>
                <w:i/>
              </w:rPr>
              <w:t xml:space="preserve">Vyžaduje si predkladaný návrh dodatočné náklady na nákup tovarov alebo služieb? </w:t>
            </w:r>
            <w:r w:rsidR="00B31A8E">
              <w:rPr>
                <w:i/>
              </w:rPr>
              <w:t xml:space="preserve">Zvyšuje predkladaný návrh náklady súvisiace so zamestnávaním? </w:t>
            </w:r>
            <w:r w:rsidRPr="00F04CCD">
              <w:rPr>
                <w:i/>
              </w:rPr>
              <w:t>Ak áno, popíšte a vyčíslite ich. Uveďte tiež spôsob ich výpočtu.</w:t>
            </w:r>
          </w:p>
        </w:tc>
      </w:tr>
      <w:tr w:rsidR="009F2DFA" w:rsidRPr="00F04CCD" w:rsidTr="007B71A4">
        <w:tc>
          <w:tcPr>
            <w:tcW w:w="9212" w:type="dxa"/>
          </w:tcPr>
          <w:p w:rsidR="009207D4" w:rsidRPr="009207D4" w:rsidRDefault="009207D4" w:rsidP="00B1291C">
            <w:pPr>
              <w:jc w:val="both"/>
            </w:pPr>
            <w:r w:rsidRPr="009207D4">
              <w:t xml:space="preserve">Návrh zákona nezakladá </w:t>
            </w:r>
            <w:r>
              <w:t>ne</w:t>
            </w:r>
            <w:r w:rsidRPr="009207D4">
              <w:t>priame finančné náklady</w:t>
            </w:r>
            <w:r>
              <w:t xml:space="preserve">. Cieľom zákona nie je regulácia poskytovania tovarov alebo služieb; rovnako návrh zákona nerieši otázky zamestnávania na strane podnikateľov. </w:t>
            </w:r>
            <w:r w:rsidRPr="009207D4">
              <w:t xml:space="preserve"> </w:t>
            </w:r>
          </w:p>
          <w:p w:rsidR="009F2DFA" w:rsidRPr="00F04CCD" w:rsidRDefault="009F2DFA" w:rsidP="007B71A4">
            <w:pPr>
              <w:rPr>
                <w:b/>
                <w:i/>
              </w:rPr>
            </w:pPr>
          </w:p>
          <w:p w:rsidR="009F2DFA" w:rsidRPr="00F04CCD" w:rsidRDefault="009F2DFA" w:rsidP="007B71A4">
            <w:pPr>
              <w:rPr>
                <w:b/>
                <w:i/>
              </w:rPr>
            </w:pPr>
          </w:p>
          <w:p w:rsidR="009F2DFA" w:rsidRPr="00F04CCD" w:rsidRDefault="009F2DFA" w:rsidP="007B71A4">
            <w:pPr>
              <w:rPr>
                <w:b/>
                <w:i/>
              </w:rPr>
            </w:pPr>
          </w:p>
          <w:p w:rsidR="009F2DFA" w:rsidRPr="00F04CCD" w:rsidRDefault="009F2DFA" w:rsidP="007B71A4">
            <w:pPr>
              <w:rPr>
                <w:b/>
                <w:i/>
              </w:rPr>
            </w:pPr>
          </w:p>
        </w:tc>
      </w:tr>
      <w:tr w:rsidR="009F2DFA" w:rsidRPr="00F04CCD" w:rsidTr="007B71A4">
        <w:tc>
          <w:tcPr>
            <w:tcW w:w="9212" w:type="dxa"/>
          </w:tcPr>
          <w:p w:rsidR="009F2DFA" w:rsidRPr="00F04CCD" w:rsidRDefault="002B1108" w:rsidP="007B71A4">
            <w:pPr>
              <w:rPr>
                <w:b/>
                <w:i/>
              </w:rPr>
            </w:pPr>
            <w:r>
              <w:rPr>
                <w:b/>
                <w:i/>
              </w:rPr>
              <w:t>3</w:t>
            </w:r>
            <w:r w:rsidR="009F2DFA" w:rsidRPr="00F04CCD">
              <w:rPr>
                <w:b/>
                <w:i/>
              </w:rPr>
              <w:t>.3.3 Administratívne náklady</w:t>
            </w:r>
          </w:p>
          <w:p w:rsidR="009F2DFA" w:rsidRPr="00F04CCD" w:rsidRDefault="009F2DFA" w:rsidP="007B71A4">
            <w:pPr>
              <w:rPr>
                <w:i/>
              </w:rPr>
            </w:pPr>
            <w:r w:rsidRPr="00F04CCD">
              <w:rPr>
                <w:i/>
              </w:rPr>
              <w:t xml:space="preserve">Dochádza k zavedeniu nových informačných povinností alebo odstráneniu, príp. úprave existujúcich </w:t>
            </w:r>
            <w:r w:rsidRPr="00F04CCD">
              <w:rPr>
                <w:i/>
              </w:rPr>
              <w:lastRenderedPageBreak/>
              <w:t>informačných povinností? (napr. zmena požadovaných dát, zmena frekvencie reportovania, zmena formy predkladania a pod.) Ak áno, popíšte a vyčíslite administratívne náklady. Uveďte tiež spôsob ich výpočtu.</w:t>
            </w:r>
          </w:p>
        </w:tc>
      </w:tr>
      <w:tr w:rsidR="009F2DFA" w:rsidRPr="00F04CCD" w:rsidTr="007B71A4">
        <w:tc>
          <w:tcPr>
            <w:tcW w:w="9212" w:type="dxa"/>
          </w:tcPr>
          <w:p w:rsidR="009F2DFA" w:rsidRPr="00F04CCD" w:rsidRDefault="009207D4" w:rsidP="00B1291C">
            <w:pPr>
              <w:jc w:val="both"/>
              <w:rPr>
                <w:b/>
                <w:i/>
              </w:rPr>
            </w:pPr>
            <w:r>
              <w:lastRenderedPageBreak/>
              <w:t>Návrh zákona precizuje právnu úpravu zaisťovania majetku v dvoch rovinách – v procesnej (postup štátnych orgánov a účastníkov konania) a organizačnej (vytvorenie centralizovanej sústavy štátnych orgánov pre zaistenie majetku). Administratívne náklady môže zakladať práve zmena procesnej právnej úpravy, keďže z dôvodu rozšírenia možností zaisťovania majetku možno očakávať, že na strane podnikateľského subjektu, ktorý je v pozícii obvineného</w:t>
            </w:r>
            <w:r w:rsidR="00EB044A">
              <w:t>,</w:t>
            </w:r>
            <w:r>
              <w:t xml:space="preserve"> bude potrebná aktivita v konaní, ktoré vedie k zaisteniu </w:t>
            </w:r>
            <w:r w:rsidR="00977352">
              <w:t>majetku, ako aj po zaistení majetku.</w:t>
            </w:r>
            <w:r>
              <w:t xml:space="preserve"> Dispozície so zaisteným majetkom sú výrazne obmedzené –</w:t>
            </w:r>
            <w:r w:rsidR="00495E2C">
              <w:t xml:space="preserve"> </w:t>
            </w:r>
            <w:r>
              <w:t xml:space="preserve">zužovanie alebo </w:t>
            </w:r>
            <w:r w:rsidR="00977352">
              <w:t>z</w:t>
            </w:r>
            <w:r>
              <w:t xml:space="preserve">rušenie zaistenia majetku </w:t>
            </w:r>
            <w:r w:rsidR="00495E2C">
              <w:t xml:space="preserve">podlieha vždy rozhodnutiu toho štátneho orgánu, ktorý rozhodol o zaistení a treba oň žiadať. </w:t>
            </w:r>
            <w:r w:rsidR="007809F3">
              <w:t xml:space="preserve">Návrh zákona ďalej zakladá oznamovacie povinnosti ohľadom majetku – týkajú sa ako dotknutej osoby (napr. obvinený), tak aj tých subjektov, ktoré evidujú majetok (napr. kataster nehnuteľností, evidencia zaknihovaných cenných papierov). Administratívne náklady nie je objektívne možné vyčísliť, nakoľko nie je možné reálne odhadnúť mieru zaisťovania majetku v trestnom konaní, daňovom konaní, pri preukazovaní pôvodu majetku alebo pri vykonávaní medzinárodných sankcií. </w:t>
            </w:r>
          </w:p>
          <w:p w:rsidR="009F2DFA" w:rsidRPr="00F04CCD" w:rsidRDefault="009F2DFA" w:rsidP="007B71A4">
            <w:pPr>
              <w:rPr>
                <w:b/>
                <w:i/>
              </w:rPr>
            </w:pPr>
          </w:p>
        </w:tc>
      </w:tr>
      <w:tr w:rsidR="009F2DFA" w:rsidRPr="00F04CCD" w:rsidTr="007B71A4">
        <w:trPr>
          <w:trHeight w:val="2318"/>
        </w:trPr>
        <w:tc>
          <w:tcPr>
            <w:tcW w:w="9212" w:type="dxa"/>
          </w:tcPr>
          <w:p w:rsidR="009F2DFA" w:rsidRPr="00F04CCD" w:rsidRDefault="002B1108" w:rsidP="007B71A4">
            <w:pPr>
              <w:rPr>
                <w:i/>
              </w:rPr>
            </w:pPr>
            <w:r>
              <w:rPr>
                <w:b/>
                <w:i/>
              </w:rPr>
              <w:t>3</w:t>
            </w:r>
            <w:r w:rsidR="009F2DFA" w:rsidRPr="00F04CCD">
              <w:rPr>
                <w:b/>
                <w:i/>
              </w:rPr>
              <w:t>.3.4 Súhrnná tabuľka nákladov regulácie</w:t>
            </w:r>
          </w:p>
          <w:p w:rsidR="009F2DFA" w:rsidRPr="00F04CCD" w:rsidRDefault="009F2DFA" w:rsidP="007B71A4">
            <w:pPr>
              <w:rPr>
                <w:i/>
              </w:rPr>
            </w:pPr>
          </w:p>
          <w:tbl>
            <w:tblPr>
              <w:tblStyle w:val="Mriekatabuky"/>
              <w:tblW w:w="0" w:type="auto"/>
              <w:tblLook w:val="04A0" w:firstRow="1" w:lastRow="0" w:firstColumn="1" w:lastColumn="0" w:noHBand="0" w:noVBand="1"/>
            </w:tblPr>
            <w:tblGrid>
              <w:gridCol w:w="2993"/>
              <w:gridCol w:w="2994"/>
              <w:gridCol w:w="2994"/>
            </w:tblGrid>
            <w:tr w:rsidR="009F2DFA" w:rsidRPr="00F04CCD" w:rsidTr="007B71A4">
              <w:tc>
                <w:tcPr>
                  <w:tcW w:w="2993" w:type="dxa"/>
                  <w:tcBorders>
                    <w:top w:val="single" w:sz="4" w:space="0" w:color="auto"/>
                    <w:left w:val="single" w:sz="4" w:space="0" w:color="auto"/>
                    <w:bottom w:val="single" w:sz="4" w:space="0" w:color="auto"/>
                    <w:right w:val="single" w:sz="4" w:space="0" w:color="auto"/>
                  </w:tcBorders>
                </w:tcPr>
                <w:p w:rsidR="009F2DFA" w:rsidRPr="00F04CCD" w:rsidRDefault="009F2DFA" w:rsidP="007B71A4">
                  <w:pPr>
                    <w:rPr>
                      <w:i/>
                    </w:rPr>
                  </w:pPr>
                </w:p>
              </w:tc>
              <w:tc>
                <w:tcPr>
                  <w:tcW w:w="2994" w:type="dxa"/>
                  <w:tcBorders>
                    <w:top w:val="single" w:sz="4" w:space="0" w:color="auto"/>
                    <w:left w:val="single" w:sz="4" w:space="0" w:color="auto"/>
                    <w:bottom w:val="single" w:sz="4" w:space="0" w:color="auto"/>
                    <w:right w:val="single" w:sz="4" w:space="0" w:color="auto"/>
                  </w:tcBorders>
                </w:tcPr>
                <w:p w:rsidR="009F2DFA" w:rsidRPr="00F04CCD" w:rsidRDefault="009F2DFA" w:rsidP="007B71A4">
                  <w:pPr>
                    <w:jc w:val="center"/>
                    <w:rPr>
                      <w:i/>
                    </w:rPr>
                  </w:pPr>
                  <w:r w:rsidRPr="00F04CCD">
                    <w:rPr>
                      <w:i/>
                    </w:rPr>
                    <w:t>Náklady na 1 podnikateľa</w:t>
                  </w:r>
                </w:p>
              </w:tc>
              <w:tc>
                <w:tcPr>
                  <w:tcW w:w="2994" w:type="dxa"/>
                  <w:tcBorders>
                    <w:top w:val="single" w:sz="4" w:space="0" w:color="auto"/>
                    <w:left w:val="single" w:sz="4" w:space="0" w:color="auto"/>
                    <w:bottom w:val="single" w:sz="4" w:space="0" w:color="auto"/>
                    <w:right w:val="single" w:sz="4" w:space="0" w:color="auto"/>
                  </w:tcBorders>
                </w:tcPr>
                <w:p w:rsidR="009F2DFA" w:rsidRPr="00F04CCD" w:rsidRDefault="009F2DFA" w:rsidP="007B71A4">
                  <w:pPr>
                    <w:jc w:val="center"/>
                    <w:rPr>
                      <w:i/>
                    </w:rPr>
                  </w:pPr>
                  <w:r w:rsidRPr="00F04CCD">
                    <w:rPr>
                      <w:i/>
                    </w:rPr>
                    <w:t>Náklady na celé podnikateľské prostredie</w:t>
                  </w:r>
                </w:p>
              </w:tc>
            </w:tr>
            <w:tr w:rsidR="009F2DFA" w:rsidRPr="00F04CCD" w:rsidTr="007B71A4">
              <w:tc>
                <w:tcPr>
                  <w:tcW w:w="2993" w:type="dxa"/>
                  <w:tcBorders>
                    <w:top w:val="single" w:sz="4" w:space="0" w:color="auto"/>
                    <w:left w:val="single" w:sz="4" w:space="0" w:color="auto"/>
                    <w:bottom w:val="single" w:sz="4" w:space="0" w:color="auto"/>
                    <w:right w:val="single" w:sz="4" w:space="0" w:color="auto"/>
                  </w:tcBorders>
                </w:tcPr>
                <w:p w:rsidR="009F2DFA" w:rsidRPr="00F04CCD" w:rsidRDefault="009F2DFA" w:rsidP="007B71A4">
                  <w:pPr>
                    <w:rPr>
                      <w:i/>
                    </w:rPr>
                  </w:pPr>
                  <w:r w:rsidRPr="00F04CCD">
                    <w:rPr>
                      <w:i/>
                    </w:rPr>
                    <w:t>Priame finančné náklady</w:t>
                  </w:r>
                </w:p>
              </w:tc>
              <w:tc>
                <w:tcPr>
                  <w:tcW w:w="2994" w:type="dxa"/>
                  <w:tcBorders>
                    <w:top w:val="single" w:sz="4" w:space="0" w:color="auto"/>
                    <w:left w:val="single" w:sz="4" w:space="0" w:color="auto"/>
                    <w:bottom w:val="single" w:sz="4" w:space="0" w:color="auto"/>
                    <w:right w:val="single" w:sz="4" w:space="0" w:color="auto"/>
                  </w:tcBorders>
                </w:tcPr>
                <w:p w:rsidR="009F2DFA" w:rsidRPr="00F04CCD" w:rsidRDefault="009F2DFA" w:rsidP="007B71A4">
                  <w:pPr>
                    <w:jc w:val="center"/>
                    <w:rPr>
                      <w:i/>
                    </w:rPr>
                  </w:pPr>
                  <w:r w:rsidRPr="00F04CCD">
                    <w:rPr>
                      <w:i/>
                    </w:rPr>
                    <w:t>0</w:t>
                  </w:r>
                </w:p>
              </w:tc>
              <w:tc>
                <w:tcPr>
                  <w:tcW w:w="2994" w:type="dxa"/>
                  <w:tcBorders>
                    <w:top w:val="single" w:sz="4" w:space="0" w:color="auto"/>
                    <w:left w:val="single" w:sz="4" w:space="0" w:color="auto"/>
                    <w:bottom w:val="single" w:sz="4" w:space="0" w:color="auto"/>
                    <w:right w:val="single" w:sz="4" w:space="0" w:color="auto"/>
                  </w:tcBorders>
                </w:tcPr>
                <w:p w:rsidR="009F2DFA" w:rsidRPr="00F04CCD" w:rsidRDefault="009F2DFA" w:rsidP="007B71A4">
                  <w:pPr>
                    <w:jc w:val="center"/>
                    <w:rPr>
                      <w:i/>
                    </w:rPr>
                  </w:pPr>
                  <w:r w:rsidRPr="00F04CCD">
                    <w:rPr>
                      <w:i/>
                    </w:rPr>
                    <w:t>0</w:t>
                  </w:r>
                </w:p>
              </w:tc>
            </w:tr>
            <w:tr w:rsidR="009F2DFA" w:rsidRPr="00F04CCD" w:rsidTr="007B71A4">
              <w:tc>
                <w:tcPr>
                  <w:tcW w:w="2993" w:type="dxa"/>
                  <w:tcBorders>
                    <w:top w:val="single" w:sz="4" w:space="0" w:color="auto"/>
                    <w:left w:val="single" w:sz="4" w:space="0" w:color="auto"/>
                    <w:bottom w:val="single" w:sz="4" w:space="0" w:color="auto"/>
                    <w:right w:val="single" w:sz="4" w:space="0" w:color="auto"/>
                  </w:tcBorders>
                </w:tcPr>
                <w:p w:rsidR="009F2DFA" w:rsidRPr="00F04CCD" w:rsidRDefault="009F2DFA" w:rsidP="007B71A4">
                  <w:pPr>
                    <w:rPr>
                      <w:i/>
                    </w:rPr>
                  </w:pPr>
                  <w:r w:rsidRPr="00F04CCD">
                    <w:rPr>
                      <w:i/>
                    </w:rPr>
                    <w:t>Nepriame finančné náklady</w:t>
                  </w:r>
                </w:p>
              </w:tc>
              <w:tc>
                <w:tcPr>
                  <w:tcW w:w="2994" w:type="dxa"/>
                  <w:tcBorders>
                    <w:top w:val="single" w:sz="4" w:space="0" w:color="auto"/>
                    <w:left w:val="single" w:sz="4" w:space="0" w:color="auto"/>
                    <w:bottom w:val="single" w:sz="4" w:space="0" w:color="auto"/>
                    <w:right w:val="single" w:sz="4" w:space="0" w:color="auto"/>
                  </w:tcBorders>
                </w:tcPr>
                <w:p w:rsidR="009F2DFA" w:rsidRPr="00F04CCD" w:rsidRDefault="009F2DFA" w:rsidP="007B71A4">
                  <w:pPr>
                    <w:jc w:val="center"/>
                    <w:rPr>
                      <w:i/>
                    </w:rPr>
                  </w:pPr>
                  <w:r w:rsidRPr="00F04CCD">
                    <w:rPr>
                      <w:i/>
                    </w:rPr>
                    <w:t>0</w:t>
                  </w:r>
                </w:p>
              </w:tc>
              <w:tc>
                <w:tcPr>
                  <w:tcW w:w="2994" w:type="dxa"/>
                  <w:tcBorders>
                    <w:top w:val="single" w:sz="4" w:space="0" w:color="auto"/>
                    <w:left w:val="single" w:sz="4" w:space="0" w:color="auto"/>
                    <w:bottom w:val="single" w:sz="4" w:space="0" w:color="auto"/>
                    <w:right w:val="single" w:sz="4" w:space="0" w:color="auto"/>
                  </w:tcBorders>
                </w:tcPr>
                <w:p w:rsidR="009F2DFA" w:rsidRPr="00F04CCD" w:rsidRDefault="009F2DFA" w:rsidP="007B71A4">
                  <w:pPr>
                    <w:jc w:val="center"/>
                    <w:rPr>
                      <w:i/>
                    </w:rPr>
                  </w:pPr>
                  <w:r w:rsidRPr="00F04CCD">
                    <w:rPr>
                      <w:i/>
                    </w:rPr>
                    <w:t>0</w:t>
                  </w:r>
                </w:p>
              </w:tc>
            </w:tr>
            <w:tr w:rsidR="009F2DFA" w:rsidRPr="00F04CCD" w:rsidTr="007B71A4">
              <w:tc>
                <w:tcPr>
                  <w:tcW w:w="2993" w:type="dxa"/>
                  <w:tcBorders>
                    <w:top w:val="single" w:sz="4" w:space="0" w:color="auto"/>
                    <w:left w:val="single" w:sz="4" w:space="0" w:color="auto"/>
                    <w:bottom w:val="single" w:sz="4" w:space="0" w:color="auto"/>
                    <w:right w:val="single" w:sz="4" w:space="0" w:color="auto"/>
                  </w:tcBorders>
                </w:tcPr>
                <w:p w:rsidR="009F2DFA" w:rsidRPr="00F04CCD" w:rsidRDefault="009F2DFA" w:rsidP="007B71A4">
                  <w:pPr>
                    <w:rPr>
                      <w:i/>
                    </w:rPr>
                  </w:pPr>
                  <w:r w:rsidRPr="00F04CCD">
                    <w:rPr>
                      <w:i/>
                    </w:rPr>
                    <w:t>Administratívne náklady</w:t>
                  </w:r>
                </w:p>
              </w:tc>
              <w:tc>
                <w:tcPr>
                  <w:tcW w:w="2994" w:type="dxa"/>
                  <w:tcBorders>
                    <w:top w:val="single" w:sz="4" w:space="0" w:color="auto"/>
                    <w:left w:val="single" w:sz="4" w:space="0" w:color="auto"/>
                    <w:bottom w:val="single" w:sz="4" w:space="0" w:color="auto"/>
                    <w:right w:val="single" w:sz="4" w:space="0" w:color="auto"/>
                  </w:tcBorders>
                </w:tcPr>
                <w:p w:rsidR="009F2DFA" w:rsidRPr="00F04CCD" w:rsidRDefault="009F2DFA" w:rsidP="007B71A4">
                  <w:pPr>
                    <w:jc w:val="center"/>
                    <w:rPr>
                      <w:i/>
                    </w:rPr>
                  </w:pPr>
                  <w:r w:rsidRPr="00F04CCD">
                    <w:rPr>
                      <w:i/>
                    </w:rPr>
                    <w:t>0</w:t>
                  </w:r>
                </w:p>
              </w:tc>
              <w:tc>
                <w:tcPr>
                  <w:tcW w:w="2994" w:type="dxa"/>
                  <w:tcBorders>
                    <w:top w:val="single" w:sz="4" w:space="0" w:color="auto"/>
                    <w:left w:val="single" w:sz="4" w:space="0" w:color="auto"/>
                    <w:bottom w:val="single" w:sz="4" w:space="0" w:color="auto"/>
                    <w:right w:val="single" w:sz="4" w:space="0" w:color="auto"/>
                  </w:tcBorders>
                </w:tcPr>
                <w:p w:rsidR="009F2DFA" w:rsidRPr="00F04CCD" w:rsidRDefault="009F2DFA" w:rsidP="007B71A4">
                  <w:pPr>
                    <w:jc w:val="center"/>
                    <w:rPr>
                      <w:i/>
                    </w:rPr>
                  </w:pPr>
                  <w:r w:rsidRPr="00F04CCD">
                    <w:rPr>
                      <w:i/>
                    </w:rPr>
                    <w:t>0</w:t>
                  </w:r>
                </w:p>
              </w:tc>
            </w:tr>
            <w:tr w:rsidR="009F2DFA" w:rsidRPr="00F04CCD" w:rsidTr="007B71A4">
              <w:tc>
                <w:tcPr>
                  <w:tcW w:w="2993" w:type="dxa"/>
                  <w:tcBorders>
                    <w:top w:val="single" w:sz="4" w:space="0" w:color="auto"/>
                    <w:left w:val="single" w:sz="4" w:space="0" w:color="auto"/>
                    <w:bottom w:val="single" w:sz="4" w:space="0" w:color="auto"/>
                    <w:right w:val="single" w:sz="4" w:space="0" w:color="auto"/>
                  </w:tcBorders>
                </w:tcPr>
                <w:p w:rsidR="009F2DFA" w:rsidRPr="00F04CCD" w:rsidRDefault="009F2DFA" w:rsidP="007B71A4">
                  <w:pPr>
                    <w:rPr>
                      <w:b/>
                      <w:i/>
                    </w:rPr>
                  </w:pPr>
                  <w:r w:rsidRPr="00F04CCD">
                    <w:rPr>
                      <w:b/>
                      <w:i/>
                    </w:rPr>
                    <w:t>Celkové náklady regulácie</w:t>
                  </w:r>
                </w:p>
              </w:tc>
              <w:tc>
                <w:tcPr>
                  <w:tcW w:w="2994" w:type="dxa"/>
                  <w:tcBorders>
                    <w:top w:val="single" w:sz="4" w:space="0" w:color="auto"/>
                    <w:left w:val="single" w:sz="4" w:space="0" w:color="auto"/>
                    <w:bottom w:val="single" w:sz="4" w:space="0" w:color="auto"/>
                    <w:right w:val="single" w:sz="4" w:space="0" w:color="auto"/>
                  </w:tcBorders>
                </w:tcPr>
                <w:p w:rsidR="009F2DFA" w:rsidRPr="00F04CCD" w:rsidRDefault="009F2DFA" w:rsidP="007B71A4">
                  <w:pPr>
                    <w:jc w:val="center"/>
                    <w:rPr>
                      <w:b/>
                      <w:i/>
                    </w:rPr>
                  </w:pPr>
                  <w:r w:rsidRPr="00F04CCD">
                    <w:rPr>
                      <w:b/>
                      <w:i/>
                    </w:rPr>
                    <w:t>0</w:t>
                  </w:r>
                </w:p>
              </w:tc>
              <w:tc>
                <w:tcPr>
                  <w:tcW w:w="2994" w:type="dxa"/>
                  <w:tcBorders>
                    <w:top w:val="single" w:sz="4" w:space="0" w:color="auto"/>
                    <w:left w:val="single" w:sz="4" w:space="0" w:color="auto"/>
                    <w:bottom w:val="single" w:sz="4" w:space="0" w:color="auto"/>
                    <w:right w:val="single" w:sz="4" w:space="0" w:color="auto"/>
                  </w:tcBorders>
                </w:tcPr>
                <w:p w:rsidR="009F2DFA" w:rsidRPr="00F04CCD" w:rsidRDefault="009F2DFA" w:rsidP="007B71A4">
                  <w:pPr>
                    <w:jc w:val="center"/>
                    <w:rPr>
                      <w:b/>
                      <w:i/>
                    </w:rPr>
                  </w:pPr>
                  <w:r w:rsidRPr="00F04CCD">
                    <w:rPr>
                      <w:b/>
                      <w:i/>
                    </w:rPr>
                    <w:t>0</w:t>
                  </w:r>
                </w:p>
              </w:tc>
            </w:tr>
          </w:tbl>
          <w:p w:rsidR="009F2DFA" w:rsidRPr="00F04CCD" w:rsidRDefault="009F2DFA" w:rsidP="007B71A4">
            <w:pPr>
              <w:rPr>
                <w:i/>
              </w:rPr>
            </w:pPr>
          </w:p>
        </w:tc>
      </w:tr>
      <w:tr w:rsidR="009F2DFA" w:rsidRPr="00F04CCD" w:rsidTr="007B71A4">
        <w:tc>
          <w:tcPr>
            <w:tcW w:w="9212" w:type="dxa"/>
            <w:shd w:val="clear" w:color="auto" w:fill="D9D9D9" w:themeFill="background1" w:themeFillShade="D9"/>
          </w:tcPr>
          <w:p w:rsidR="009F2DFA" w:rsidRPr="00042C66" w:rsidRDefault="002B1108" w:rsidP="007B71A4">
            <w:pPr>
              <w:rPr>
                <w:b/>
                <w:sz w:val="24"/>
              </w:rPr>
            </w:pPr>
            <w:r>
              <w:rPr>
                <w:b/>
                <w:sz w:val="24"/>
              </w:rPr>
              <w:t>3</w:t>
            </w:r>
            <w:r w:rsidR="009F2DFA" w:rsidRPr="00042C66">
              <w:rPr>
                <w:b/>
                <w:sz w:val="24"/>
              </w:rPr>
              <w:t>.4 Konkurencieschopnosť a správanie sa podnikov na trhu</w:t>
            </w:r>
          </w:p>
          <w:p w:rsidR="009F2DFA" w:rsidRPr="00F04CCD" w:rsidRDefault="009F2DFA" w:rsidP="007B71A4">
            <w:r w:rsidRPr="00042C66">
              <w:rPr>
                <w:b/>
                <w:sz w:val="24"/>
              </w:rPr>
              <w:t xml:space="preserve">       </w:t>
            </w:r>
            <w:r w:rsidRPr="00042C66">
              <w:rPr>
                <w:sz w:val="24"/>
              </w:rPr>
              <w:t xml:space="preserve">- </w:t>
            </w:r>
            <w:r w:rsidRPr="00042C66">
              <w:rPr>
                <w:b/>
                <w:sz w:val="24"/>
              </w:rPr>
              <w:t>z toho MSP</w:t>
            </w:r>
          </w:p>
        </w:tc>
      </w:tr>
      <w:tr w:rsidR="009F2DFA" w:rsidRPr="00F04CCD" w:rsidTr="007B71A4">
        <w:tc>
          <w:tcPr>
            <w:tcW w:w="9212" w:type="dxa"/>
          </w:tcPr>
          <w:p w:rsidR="009F2DFA" w:rsidRPr="00F04CCD" w:rsidRDefault="009F2DFA" w:rsidP="007B71A4">
            <w:pPr>
              <w:rPr>
                <w:i/>
              </w:rPr>
            </w:pPr>
            <w:r w:rsidRPr="00F04CCD">
              <w:rPr>
                <w:i/>
              </w:rPr>
              <w:t xml:space="preserve">Dochádza k vytvoreniu bariér pre vstup na trh pre nových dodávateľov alebo poskytovateľov služieb? </w:t>
            </w:r>
            <w:r>
              <w:rPr>
                <w:i/>
              </w:rPr>
              <w:t xml:space="preserve">Bude mať navrhovaná zmena za následok </w:t>
            </w:r>
            <w:r w:rsidRPr="00F04CCD">
              <w:rPr>
                <w:i/>
              </w:rPr>
              <w:t>prísnejšiu reguláciu správania sa niektorých podnikov? Bude sa s niektorými podnikmi alebo produktmi zaobchádzať v porovnateľnej situácii rôzne (špeciálne režimy pre mikro, malé a stredné podniky tzv. MSP)? Ak áno, popíšte.</w:t>
            </w:r>
          </w:p>
          <w:p w:rsidR="009F2DFA" w:rsidRPr="00F04CCD" w:rsidRDefault="009F2DFA" w:rsidP="007B71A4">
            <w:pPr>
              <w:rPr>
                <w:i/>
              </w:rPr>
            </w:pPr>
            <w:r w:rsidRPr="00F04CCD">
              <w:rPr>
                <w:i/>
              </w:rPr>
              <w:t>Aký vplyv bude mať navrhovaná zmena na obchodné bariéry? Bude mať vplyv na vyvolanie cezhraničných investícií (príliv /odliv zahraničných investícií resp. uplatnenie slovenských podnikov na zahraničných trhoch)? Ak áno, popíšte.</w:t>
            </w:r>
          </w:p>
          <w:p w:rsidR="009F2DFA" w:rsidRPr="00F04CCD" w:rsidRDefault="009F2DFA" w:rsidP="007B71A4">
            <w:pPr>
              <w:rPr>
                <w:i/>
              </w:rPr>
            </w:pPr>
            <w:r w:rsidRPr="00F04CCD">
              <w:rPr>
                <w:i/>
              </w:rPr>
              <w:t>Ako ovplyvní cenu alebo dostupnosť základných zdrojov (suroviny, mechanizmy, pracovná sila, energie atď.)?</w:t>
            </w:r>
          </w:p>
          <w:p w:rsidR="009F2DFA" w:rsidRPr="00F04CCD" w:rsidRDefault="009F2DFA" w:rsidP="007B71A4">
            <w:pPr>
              <w:rPr>
                <w:i/>
              </w:rPr>
            </w:pPr>
            <w:r w:rsidRPr="00F04CCD">
              <w:rPr>
                <w:i/>
              </w:rPr>
              <w:t>Ovplyvňuje prístup k financiám? Ak áno, ako?</w:t>
            </w:r>
          </w:p>
        </w:tc>
      </w:tr>
      <w:tr w:rsidR="009F2DFA" w:rsidRPr="00F04CCD" w:rsidTr="007B71A4">
        <w:trPr>
          <w:trHeight w:val="1282"/>
        </w:trPr>
        <w:tc>
          <w:tcPr>
            <w:tcW w:w="9212" w:type="dxa"/>
          </w:tcPr>
          <w:p w:rsidR="009F2DFA" w:rsidRPr="007809F3" w:rsidRDefault="001B5B42" w:rsidP="00B1291C">
            <w:pPr>
              <w:jc w:val="both"/>
            </w:pPr>
            <w:r w:rsidRPr="007809F3">
              <w:t xml:space="preserve">Návrh zákona </w:t>
            </w:r>
            <w:r w:rsidR="007809F3">
              <w:t>obmedzuje možnosti využívania majetku určeného</w:t>
            </w:r>
            <w:r w:rsidR="007809F3" w:rsidRPr="007809F3">
              <w:t xml:space="preserve"> na spáchanie trestného činu, </w:t>
            </w:r>
            <w:r w:rsidR="007809F3">
              <w:t xml:space="preserve">ktorý bol použitý na spáchanie trestného činu alebo, ktorý </w:t>
            </w:r>
            <w:r w:rsidR="007809F3" w:rsidRPr="007809F3">
              <w:t>výnosom z trestnej činnosti</w:t>
            </w:r>
            <w:r w:rsidR="00977352">
              <w:t>, resp. ktorý má nelegálny pôvod</w:t>
            </w:r>
            <w:r w:rsidR="007809F3">
              <w:t xml:space="preserve">. Takýto majetok nepožíva ochranu ani podľa Ústavy Slovenskej republiky. Takýto majetok nemožno ani použiť na podnikateľské aktivity, a teda nemôže byť dotknutá konkurencieschopnosť a správanie podnikov na trhu.  </w:t>
            </w:r>
          </w:p>
        </w:tc>
      </w:tr>
      <w:tr w:rsidR="009F2DFA" w:rsidRPr="00F04CCD" w:rsidTr="007B71A4">
        <w:tc>
          <w:tcPr>
            <w:tcW w:w="9212" w:type="dxa"/>
            <w:shd w:val="clear" w:color="auto" w:fill="D9D9D9" w:themeFill="background1" w:themeFillShade="D9"/>
          </w:tcPr>
          <w:p w:rsidR="009F2DFA" w:rsidRPr="00042C66" w:rsidRDefault="002B1108" w:rsidP="007B71A4">
            <w:pPr>
              <w:rPr>
                <w:b/>
                <w:sz w:val="24"/>
              </w:rPr>
            </w:pPr>
            <w:r>
              <w:rPr>
                <w:b/>
                <w:sz w:val="24"/>
              </w:rPr>
              <w:t>3</w:t>
            </w:r>
            <w:r w:rsidR="009F2DFA" w:rsidRPr="00042C66">
              <w:rPr>
                <w:b/>
                <w:sz w:val="24"/>
              </w:rPr>
              <w:t xml:space="preserve">.5 Inovácie </w:t>
            </w:r>
          </w:p>
          <w:p w:rsidR="009F2DFA" w:rsidRPr="00F04CCD" w:rsidRDefault="009F2DFA" w:rsidP="007B71A4">
            <w:pPr>
              <w:rPr>
                <w:b/>
              </w:rPr>
            </w:pPr>
            <w:r w:rsidRPr="00042C66">
              <w:rPr>
                <w:sz w:val="24"/>
              </w:rPr>
              <w:t xml:space="preserve">       - </w:t>
            </w:r>
            <w:r w:rsidRPr="00042C66">
              <w:rPr>
                <w:b/>
                <w:sz w:val="24"/>
              </w:rPr>
              <w:t>z toho MSP</w:t>
            </w:r>
          </w:p>
        </w:tc>
      </w:tr>
      <w:tr w:rsidR="009F2DFA" w:rsidRPr="00F04CCD" w:rsidTr="007B71A4">
        <w:tc>
          <w:tcPr>
            <w:tcW w:w="9212" w:type="dxa"/>
          </w:tcPr>
          <w:p w:rsidR="009F2DFA" w:rsidRPr="00F04CCD" w:rsidRDefault="009F2DFA" w:rsidP="007B71A4">
            <w:pPr>
              <w:rPr>
                <w:i/>
              </w:rPr>
            </w:pPr>
            <w:r w:rsidRPr="00F04CCD">
              <w:rPr>
                <w:i/>
              </w:rPr>
              <w:t>Uveďte, ako podporuje navrhovaná zmena inovácie.</w:t>
            </w:r>
          </w:p>
          <w:p w:rsidR="009F2DFA" w:rsidRPr="00F04CCD" w:rsidRDefault="009F2DFA" w:rsidP="007B71A4">
            <w:pPr>
              <w:rPr>
                <w:i/>
              </w:rPr>
            </w:pPr>
            <w:r w:rsidRPr="00F04CCD">
              <w:rPr>
                <w:i/>
              </w:rPr>
              <w:t>Zjednodušuje uvedenie alebo rozšírenie nových výrobných metód, technológií a výrobkov na trh?</w:t>
            </w:r>
          </w:p>
          <w:p w:rsidR="009F2DFA" w:rsidRPr="00F04CCD" w:rsidRDefault="009F2DFA" w:rsidP="007B71A4">
            <w:pPr>
              <w:rPr>
                <w:i/>
              </w:rPr>
            </w:pPr>
            <w:r w:rsidRPr="00F04CCD">
              <w:rPr>
                <w:i/>
              </w:rPr>
              <w:t xml:space="preserve">Uveďte, ako vplýva navrhovaná zmena na </w:t>
            </w:r>
            <w:r w:rsidR="00904C9B">
              <w:rPr>
                <w:i/>
              </w:rPr>
              <w:t xml:space="preserve">jednotlivé </w:t>
            </w:r>
            <w:r w:rsidRPr="00F04CCD">
              <w:rPr>
                <w:i/>
              </w:rPr>
              <w:t>práva duševného vlastníctva (</w:t>
            </w:r>
            <w:r w:rsidR="00904C9B">
              <w:rPr>
                <w:i/>
              </w:rPr>
              <w:t xml:space="preserve">napr. </w:t>
            </w:r>
            <w:r w:rsidRPr="00F04CCD">
              <w:rPr>
                <w:i/>
              </w:rPr>
              <w:t xml:space="preserve">patenty, ochranné známky, </w:t>
            </w:r>
            <w:r w:rsidR="00904C9B">
              <w:rPr>
                <w:i/>
              </w:rPr>
              <w:t>autorské práva</w:t>
            </w:r>
            <w:r w:rsidRPr="00F04CCD">
              <w:rPr>
                <w:i/>
              </w:rPr>
              <w:t>, vlastníctvo know-how).</w:t>
            </w:r>
          </w:p>
          <w:p w:rsidR="009F2DFA" w:rsidRDefault="009F2DFA" w:rsidP="007B71A4">
            <w:pPr>
              <w:rPr>
                <w:i/>
              </w:rPr>
            </w:pPr>
            <w:r w:rsidRPr="00F04CCD">
              <w:rPr>
                <w:i/>
              </w:rPr>
              <w:t>Podporuje vyššiu efektivitu výroby/využívania zdrojov? Ak áno, ako?</w:t>
            </w:r>
          </w:p>
          <w:p w:rsidR="00837639" w:rsidRPr="00F04CCD" w:rsidRDefault="00837639" w:rsidP="007B71A4">
            <w:r w:rsidRPr="00154881">
              <w:rPr>
                <w:i/>
              </w:rPr>
              <w:t>Vytvorí zmena nové pracovné miesta pre zamestnancov výskumu a vývoja v</w:t>
            </w:r>
            <w:r>
              <w:rPr>
                <w:i/>
              </w:rPr>
              <w:t> </w:t>
            </w:r>
            <w:r w:rsidRPr="00154881">
              <w:rPr>
                <w:i/>
              </w:rPr>
              <w:t>SR</w:t>
            </w:r>
            <w:r>
              <w:rPr>
                <w:i/>
              </w:rPr>
              <w:t>?</w:t>
            </w:r>
          </w:p>
        </w:tc>
      </w:tr>
      <w:tr w:rsidR="009F2DFA" w:rsidRPr="00F04CCD" w:rsidTr="007B71A4">
        <w:trPr>
          <w:trHeight w:val="1747"/>
        </w:trPr>
        <w:tc>
          <w:tcPr>
            <w:tcW w:w="9212" w:type="dxa"/>
          </w:tcPr>
          <w:p w:rsidR="009F2DFA" w:rsidRPr="007809F3" w:rsidRDefault="00AC14B6" w:rsidP="007B71A4">
            <w:r w:rsidRPr="007809F3">
              <w:t xml:space="preserve">Návrh zákona nezakladá vplyvy v sledovanej oblasti. </w:t>
            </w:r>
          </w:p>
        </w:tc>
      </w:tr>
    </w:tbl>
    <w:p w:rsidR="009F2DFA" w:rsidRPr="00F04CCD" w:rsidRDefault="009F2DFA" w:rsidP="009F2DFA"/>
    <w:p w:rsidR="009F2DFA" w:rsidRDefault="009F2DFA" w:rsidP="009F2DFA">
      <w:pPr>
        <w:rPr>
          <w:b/>
          <w:sz w:val="24"/>
        </w:rPr>
      </w:pPr>
    </w:p>
    <w:sectPr w:rsidR="009F2DFA" w:rsidSect="00010615">
      <w:headerReference w:type="default" r:id="rId8"/>
      <w:footerReference w:type="default" r:id="rId9"/>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2A6B" w:rsidRDefault="00E12A6B" w:rsidP="009F2DFA">
      <w:r>
        <w:separator/>
      </w:r>
    </w:p>
  </w:endnote>
  <w:endnote w:type="continuationSeparator" w:id="0">
    <w:p w:rsidR="00E12A6B" w:rsidRDefault="00E12A6B" w:rsidP="009F2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MS Mincho">
    <w:altName w:val="?l?r ??fc"/>
    <w:panose1 w:val="02020609040205080304"/>
    <w:charset w:val="80"/>
    <w:family w:val="modern"/>
    <w:pitch w:val="fixed"/>
    <w:sig w:usb0="E00002FF" w:usb1="6AC7FDFB" w:usb2="08000012" w:usb3="00000000" w:csb0="0002009F" w:csb1="00000000"/>
  </w:font>
  <w:font w:name="MS Gothic">
    <w:altName w:val="?l?r SVbN"/>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615" w:rsidRPr="00010615" w:rsidRDefault="00010615">
    <w:pPr>
      <w:pStyle w:val="Pta"/>
      <w:jc w:val="center"/>
      <w:rPr>
        <w:sz w:val="24"/>
        <w:szCs w:val="24"/>
      </w:rPr>
    </w:pPr>
    <w:r w:rsidRPr="00010615">
      <w:rPr>
        <w:sz w:val="24"/>
        <w:szCs w:val="24"/>
      </w:rPr>
      <w:fldChar w:fldCharType="begin"/>
    </w:r>
    <w:r w:rsidRPr="00010615">
      <w:rPr>
        <w:sz w:val="24"/>
        <w:szCs w:val="24"/>
      </w:rPr>
      <w:instrText>PAGE   \* MERGEFORMAT</w:instrText>
    </w:r>
    <w:r w:rsidRPr="00010615">
      <w:rPr>
        <w:sz w:val="24"/>
        <w:szCs w:val="24"/>
      </w:rPr>
      <w:fldChar w:fldCharType="separate"/>
    </w:r>
    <w:r w:rsidR="00461D3C">
      <w:rPr>
        <w:noProof/>
        <w:sz w:val="24"/>
        <w:szCs w:val="24"/>
      </w:rPr>
      <w:t>2</w:t>
    </w:r>
    <w:r w:rsidRPr="00010615">
      <w:rPr>
        <w:sz w:val="24"/>
        <w:szCs w:val="24"/>
      </w:rPr>
      <w:fldChar w:fldCharType="end"/>
    </w:r>
  </w:p>
  <w:p w:rsidR="00010615" w:rsidRPr="00010615" w:rsidRDefault="00010615">
    <w:pPr>
      <w:pStyle w:val="Pta"/>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2A6B" w:rsidRDefault="00E12A6B" w:rsidP="009F2DFA">
      <w:r>
        <w:separator/>
      </w:r>
    </w:p>
  </w:footnote>
  <w:footnote w:type="continuationSeparator" w:id="0">
    <w:p w:rsidR="00E12A6B" w:rsidRDefault="00E12A6B" w:rsidP="009F2D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DFA" w:rsidRDefault="009F2DFA" w:rsidP="009F2DFA">
    <w:pPr>
      <w:pStyle w:val="Hlavika"/>
      <w:jc w:val="right"/>
      <w:rPr>
        <w:sz w:val="24"/>
        <w:szCs w:val="24"/>
      </w:rPr>
    </w:pPr>
    <w:r w:rsidRPr="000A15AE">
      <w:rPr>
        <w:sz w:val="24"/>
        <w:szCs w:val="24"/>
      </w:rPr>
      <w:t>Príloha č</w:t>
    </w:r>
    <w:r>
      <w:rPr>
        <w:sz w:val="24"/>
        <w:szCs w:val="24"/>
      </w:rPr>
      <w:t>. 3</w:t>
    </w:r>
  </w:p>
  <w:p w:rsidR="009F2DFA" w:rsidRDefault="009F2DFA">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620D9"/>
    <w:multiLevelType w:val="hybridMultilevel"/>
    <w:tmpl w:val="BE7EA20A"/>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 w15:restartNumberingAfterBreak="0">
    <w:nsid w:val="16B66859"/>
    <w:multiLevelType w:val="hybridMultilevel"/>
    <w:tmpl w:val="F4145CF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302D65B4"/>
    <w:multiLevelType w:val="hybridMultilevel"/>
    <w:tmpl w:val="05EEF732"/>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3" w15:restartNumberingAfterBreak="0">
    <w:nsid w:val="3A620081"/>
    <w:multiLevelType w:val="hybridMultilevel"/>
    <w:tmpl w:val="EFA41548"/>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4" w15:restartNumberingAfterBreak="0">
    <w:nsid w:val="3B2702CF"/>
    <w:multiLevelType w:val="hybridMultilevel"/>
    <w:tmpl w:val="B87C199E"/>
    <w:lvl w:ilvl="0" w:tplc="E85A4956">
      <w:start w:val="1"/>
      <w:numFmt w:val="bullet"/>
      <w:lvlText w:val="­"/>
      <w:lvlJc w:val="left"/>
      <w:pPr>
        <w:ind w:left="720" w:hanging="360"/>
      </w:pPr>
      <w:rPr>
        <w:rFonts w:ascii="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524C7B1F"/>
    <w:multiLevelType w:val="hybridMultilevel"/>
    <w:tmpl w:val="5D6C5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0C2D03"/>
    <w:multiLevelType w:val="hybridMultilevel"/>
    <w:tmpl w:val="1EFC2948"/>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7" w15:restartNumberingAfterBreak="0">
    <w:nsid w:val="5CCE19A5"/>
    <w:multiLevelType w:val="hybridMultilevel"/>
    <w:tmpl w:val="E66AFDB2"/>
    <w:lvl w:ilvl="0" w:tplc="E85A4956">
      <w:start w:val="1"/>
      <w:numFmt w:val="bullet"/>
      <w:lvlText w:val="­"/>
      <w:lvlJc w:val="left"/>
      <w:pPr>
        <w:ind w:left="720" w:hanging="360"/>
      </w:pPr>
      <w:rPr>
        <w:rFonts w:ascii="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5E680BAD"/>
    <w:multiLevelType w:val="hybridMultilevel"/>
    <w:tmpl w:val="41D4CC1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5FE46C3F"/>
    <w:multiLevelType w:val="hybridMultilevel"/>
    <w:tmpl w:val="1C9CF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833080"/>
    <w:multiLevelType w:val="hybridMultilevel"/>
    <w:tmpl w:val="E85A8616"/>
    <w:lvl w:ilvl="0" w:tplc="328A3888">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7B7F06E0"/>
    <w:multiLevelType w:val="hybridMultilevel"/>
    <w:tmpl w:val="33EA1EE4"/>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hint="default"/>
      </w:rPr>
    </w:lvl>
    <w:lvl w:ilvl="8" w:tplc="041B0005" w:tentative="1">
      <w:start w:val="1"/>
      <w:numFmt w:val="bullet"/>
      <w:lvlText w:val=""/>
      <w:lvlJc w:val="left"/>
      <w:pPr>
        <w:ind w:left="7188" w:hanging="360"/>
      </w:pPr>
      <w:rPr>
        <w:rFonts w:ascii="Wingdings" w:hAnsi="Wingdings" w:hint="default"/>
      </w:rPr>
    </w:lvl>
  </w:abstractNum>
  <w:num w:numId="1">
    <w:abstractNumId w:val="7"/>
  </w:num>
  <w:num w:numId="2">
    <w:abstractNumId w:val="4"/>
  </w:num>
  <w:num w:numId="3">
    <w:abstractNumId w:val="9"/>
  </w:num>
  <w:num w:numId="4">
    <w:abstractNumId w:val="8"/>
  </w:num>
  <w:num w:numId="5">
    <w:abstractNumId w:val="1"/>
  </w:num>
  <w:num w:numId="6">
    <w:abstractNumId w:val="5"/>
  </w:num>
  <w:num w:numId="7">
    <w:abstractNumId w:val="10"/>
  </w:num>
  <w:num w:numId="8">
    <w:abstractNumId w:val="2"/>
  </w:num>
  <w:num w:numId="9">
    <w:abstractNumId w:val="0"/>
  </w:num>
  <w:num w:numId="10">
    <w:abstractNumId w:val="11"/>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B5C13"/>
    <w:rsid w:val="00010615"/>
    <w:rsid w:val="00042C66"/>
    <w:rsid w:val="000914F7"/>
    <w:rsid w:val="000A15AE"/>
    <w:rsid w:val="000D2622"/>
    <w:rsid w:val="00154881"/>
    <w:rsid w:val="001B5B42"/>
    <w:rsid w:val="002B1108"/>
    <w:rsid w:val="00423F60"/>
    <w:rsid w:val="00461D3C"/>
    <w:rsid w:val="00495E2C"/>
    <w:rsid w:val="0052297F"/>
    <w:rsid w:val="00612640"/>
    <w:rsid w:val="007809F3"/>
    <w:rsid w:val="00780BA6"/>
    <w:rsid w:val="007B71A4"/>
    <w:rsid w:val="00837639"/>
    <w:rsid w:val="00844851"/>
    <w:rsid w:val="00882F47"/>
    <w:rsid w:val="008A1252"/>
    <w:rsid w:val="00904C9B"/>
    <w:rsid w:val="009207D4"/>
    <w:rsid w:val="00977352"/>
    <w:rsid w:val="009F2DFA"/>
    <w:rsid w:val="00AC14B6"/>
    <w:rsid w:val="00AC36CE"/>
    <w:rsid w:val="00B1291C"/>
    <w:rsid w:val="00B31A8E"/>
    <w:rsid w:val="00BA073A"/>
    <w:rsid w:val="00C17BD8"/>
    <w:rsid w:val="00CB3623"/>
    <w:rsid w:val="00E12A6B"/>
    <w:rsid w:val="00E41058"/>
    <w:rsid w:val="00E86AD1"/>
    <w:rsid w:val="00EB044A"/>
    <w:rsid w:val="00F04CCD"/>
    <w:rsid w:val="00F41620"/>
    <w:rsid w:val="00FB5C1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788047A-7AEB-4173-AB34-C66DF3125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F2DFA"/>
    <w:pPr>
      <w:spacing w:after="0" w:line="240" w:lineRule="auto"/>
    </w:pPr>
    <w:rPr>
      <w:rFonts w:ascii="Times New Roman" w:hAnsi="Times New Roman" w:cs="Times New Roman"/>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9F2DF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9F2DFA"/>
    <w:pPr>
      <w:spacing w:after="200" w:line="276" w:lineRule="auto"/>
      <w:ind w:left="720"/>
      <w:contextualSpacing/>
    </w:pPr>
    <w:rPr>
      <w:rFonts w:asciiTheme="minorHAnsi" w:hAnsiTheme="minorHAnsi"/>
      <w:sz w:val="22"/>
      <w:szCs w:val="22"/>
      <w:lang w:eastAsia="en-US"/>
    </w:rPr>
  </w:style>
  <w:style w:type="paragraph" w:customStyle="1" w:styleId="BodyText1">
    <w:name w:val="Body Text1"/>
    <w:qFormat/>
    <w:rsid w:val="009F2DFA"/>
    <w:pPr>
      <w:spacing w:after="120" w:line="240" w:lineRule="auto"/>
    </w:pPr>
    <w:rPr>
      <w:rFonts w:ascii="Arial" w:hAnsi="Arial" w:cs="Times New Roman"/>
      <w:color w:val="000000"/>
      <w:sz w:val="19"/>
      <w:szCs w:val="48"/>
    </w:rPr>
  </w:style>
  <w:style w:type="paragraph" w:styleId="Normlnywebov">
    <w:name w:val="Normal (Web)"/>
    <w:basedOn w:val="Normlny"/>
    <w:uiPriority w:val="99"/>
    <w:unhideWhenUsed/>
    <w:rsid w:val="009F2DFA"/>
    <w:pPr>
      <w:spacing w:before="100" w:beforeAutospacing="1" w:after="100" w:afterAutospacing="1"/>
    </w:pPr>
    <w:rPr>
      <w:rFonts w:eastAsiaTheme="minorEastAsia"/>
      <w:sz w:val="24"/>
      <w:szCs w:val="24"/>
      <w:lang w:val="en-US" w:eastAsia="en-US"/>
    </w:rPr>
  </w:style>
  <w:style w:type="paragraph" w:customStyle="1" w:styleId="Deloittebodytext">
    <w:name w:val="Deloitte body text"/>
    <w:qFormat/>
    <w:rsid w:val="009F2DFA"/>
    <w:pPr>
      <w:spacing w:after="240" w:line="280" w:lineRule="exact"/>
      <w:jc w:val="both"/>
    </w:pPr>
    <w:rPr>
      <w:rFonts w:ascii="Arial" w:hAnsi="Arial" w:cs="Times New Roman"/>
      <w:color w:val="000000"/>
      <w:szCs w:val="48"/>
    </w:rPr>
  </w:style>
  <w:style w:type="paragraph" w:customStyle="1" w:styleId="TableColumnheader">
    <w:name w:val="Table Column header"/>
    <w:basedOn w:val="Normlny"/>
    <w:rsid w:val="009F2DFA"/>
    <w:pPr>
      <w:spacing w:before="80" w:after="80"/>
    </w:pPr>
    <w:rPr>
      <w:rFonts w:ascii="Arial" w:hAnsi="Arial"/>
      <w:b/>
      <w:noProof/>
      <w:color w:val="FFFFFF"/>
      <w:sz w:val="18"/>
      <w:szCs w:val="24"/>
      <w:lang w:val="en-US" w:eastAsia="en-US"/>
    </w:rPr>
  </w:style>
  <w:style w:type="paragraph" w:styleId="Textbubliny">
    <w:name w:val="Balloon Text"/>
    <w:basedOn w:val="Normlny"/>
    <w:link w:val="TextbublinyChar"/>
    <w:uiPriority w:val="99"/>
    <w:semiHidden/>
    <w:unhideWhenUsed/>
    <w:rsid w:val="009F2DFA"/>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9F2DFA"/>
    <w:rPr>
      <w:rFonts w:ascii="Tahoma" w:hAnsi="Tahoma" w:cs="Tahoma"/>
      <w:sz w:val="16"/>
      <w:szCs w:val="16"/>
      <w:lang w:val="x-none" w:eastAsia="sk-SK"/>
    </w:rPr>
  </w:style>
  <w:style w:type="paragraph" w:styleId="Hlavika">
    <w:name w:val="header"/>
    <w:basedOn w:val="Normlny"/>
    <w:link w:val="HlavikaChar"/>
    <w:uiPriority w:val="99"/>
    <w:unhideWhenUsed/>
    <w:rsid w:val="009F2DFA"/>
    <w:pPr>
      <w:tabs>
        <w:tab w:val="center" w:pos="4536"/>
        <w:tab w:val="right" w:pos="9072"/>
      </w:tabs>
    </w:pPr>
  </w:style>
  <w:style w:type="character" w:customStyle="1" w:styleId="HlavikaChar">
    <w:name w:val="Hlavička Char"/>
    <w:basedOn w:val="Predvolenpsmoodseku"/>
    <w:link w:val="Hlavika"/>
    <w:uiPriority w:val="99"/>
    <w:locked/>
    <w:rsid w:val="009F2DFA"/>
    <w:rPr>
      <w:rFonts w:ascii="Times New Roman" w:hAnsi="Times New Roman" w:cs="Times New Roman"/>
      <w:sz w:val="20"/>
      <w:szCs w:val="20"/>
      <w:lang w:val="x-none" w:eastAsia="sk-SK"/>
    </w:rPr>
  </w:style>
  <w:style w:type="paragraph" w:styleId="Pta">
    <w:name w:val="footer"/>
    <w:basedOn w:val="Normlny"/>
    <w:link w:val="PtaChar"/>
    <w:uiPriority w:val="99"/>
    <w:unhideWhenUsed/>
    <w:rsid w:val="009F2DFA"/>
    <w:pPr>
      <w:tabs>
        <w:tab w:val="center" w:pos="4536"/>
        <w:tab w:val="right" w:pos="9072"/>
      </w:tabs>
    </w:pPr>
  </w:style>
  <w:style w:type="character" w:customStyle="1" w:styleId="PtaChar">
    <w:name w:val="Päta Char"/>
    <w:basedOn w:val="Predvolenpsmoodseku"/>
    <w:link w:val="Pta"/>
    <w:uiPriority w:val="99"/>
    <w:locked/>
    <w:rsid w:val="009F2DFA"/>
    <w:rPr>
      <w:rFonts w:ascii="Times New Roman" w:hAnsi="Times New Roman" w:cs="Times New Roman"/>
      <w:sz w:val="20"/>
      <w:szCs w:val="20"/>
      <w:lang w:val="x-none"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_vplyvy_podnikatelia"/>
    <f:field ref="objsubject" par="" edit="true" text=""/>
    <f:field ref="objcreatedby" par="" text="Palúš, Juraj, JUDr."/>
    <f:field ref="objcreatedat" par="" text="30.6.2016 16:56:50"/>
    <f:field ref="objchangedby" par="" text="Administrator, System"/>
    <f:field ref="objmodifiedat" par="" text="30.6.2016 16:56:50"/>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921</Words>
  <Characters>5253</Characters>
  <Application>Microsoft Office Word</Application>
  <DocSecurity>0</DocSecurity>
  <Lines>43</Lines>
  <Paragraphs>12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Simoncicova Iveta</dc:creator>
  <cp:keywords/>
  <dc:description/>
  <cp:lastModifiedBy>RYBÁNSKY Ladislav</cp:lastModifiedBy>
  <cp:revision>2</cp:revision>
  <dcterms:created xsi:type="dcterms:W3CDTF">2020-08-24T12:50:00Z</dcterms:created>
  <dcterms:modified xsi:type="dcterms:W3CDTF">2020-08-24T12:50:00Z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&lt;table align="left" border="1" cellpadding="0" cellspacing="0" width="100%"&gt;_&lt;tbody&gt;__&lt;tr&gt;___&lt;td colspan="5" style="width:100.0%;height:37px;"&gt;___&lt;h2 align="center"&gt;Správa o účasti verejnosti na tvorbe právneho predpisu&lt;/h2&gt;___&lt;h2&gt;Scenár 3: Verejnosť sa z</vt:lpwstr>
  </property>
  <property fmtid="{D5CDD505-2E9C-101B-9397-08002B2CF9AE}" pid="3" name="FSC#SKEDITIONSLOVLEX@103.510:typpredpis">
    <vt:lpwstr>Zákon</vt:lpwstr>
  </property>
  <property fmtid="{D5CDD505-2E9C-101B-9397-08002B2CF9AE}" pid="4" name="FSC#SKEDITIONSLOVLEX@103.510:aktualnyrok">
    <vt:lpwstr>2016</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Obchodné právo_x000d__x000d_Občianske právo_x000d__x000d_Správne právo_x000d__x000d_Finančné právo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JUDr. Juraj Palúš</vt:lpwstr>
  </property>
  <property fmtid="{D5CDD505-2E9C-101B-9397-08002B2CF9AE}" pid="12" name="FSC#SKEDITIONSLOVLEX@103.510:zodppredkladatel">
    <vt:lpwstr>Lucia Žitňanská</vt:lpwstr>
  </property>
  <property fmtid="{D5CDD505-2E9C-101B-9397-08002B2CF9AE}" pid="13" name="FSC#SKEDITIONSLOVLEX@103.510:dalsipredkladatel">
    <vt:lpwstr/>
  </property>
  <property fmtid="{D5CDD505-2E9C-101B-9397-08002B2CF9AE}" pid="14" name="FSC#SKEDITIONSLOVLEX@103.510:nazovpredpis">
    <vt:lpwstr> o registri partnerov verejného sektora a o zmene a doplnení niektorých zákonov</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spravodlivosti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Plán legislatívnych úloh vlády Slovenskej republiky na mesiace jún až december 2016</vt:lpwstr>
  </property>
  <property fmtid="{D5CDD505-2E9C-101B-9397-08002B2CF9AE}" pid="23" name="FSC#SKEDITIONSLOVLEX@103.510:plnynazovpredpis">
    <vt:lpwstr> Zákon o registri partnerov verejného sektora a o zmene a doplnení niektorých zákonov</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44640/2016/100</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LP/2016/677</vt:lpwstr>
  </property>
  <property fmtid="{D5CDD505-2E9C-101B-9397-08002B2CF9AE}" pid="37" name="FSC#SKEDITIONSLOVLEX@103.510:typsprievdok">
    <vt:lpwstr>Príloha všeobecná</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nie je upravená v práve Európskej únie</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nie je obsiahnutá v judikatúre Súdneho dvora Európskej únie</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úplný</vt:lpwstr>
  </property>
  <property fmtid="{D5CDD505-2E9C-101B-9397-08002B2CF9AE}" pid="57" name="FSC#SKEDITIONSLOVLEX@103.510:AttrStrListDocPropGestorSpolupRezorty">
    <vt:lpwstr>Ministerstvo spravodlivosti Slovenskej republiky</vt:lpwstr>
  </property>
  <property fmtid="{D5CDD505-2E9C-101B-9397-08002B2CF9AE}" pid="58" name="FSC#SKEDITIONSLOVLEX@103.510:AttrDateDocPropZaciatokPKK">
    <vt:lpwstr>1. 7. 2016</vt:lpwstr>
  </property>
  <property fmtid="{D5CDD505-2E9C-101B-9397-08002B2CF9AE}" pid="59" name="FSC#SKEDITIONSLOVLEX@103.510:AttrDateDocPropUkonceniePKK">
    <vt:lpwstr/>
  </property>
  <property fmtid="{D5CDD505-2E9C-101B-9397-08002B2CF9AE}" pid="60" name="FSC#SKEDITIONSLOVLEX@103.510:AttrStrDocPropVplyvRozpocetVS">
    <vt:lpwstr>Negatívne</vt:lpwstr>
  </property>
  <property fmtid="{D5CDD505-2E9C-101B-9397-08002B2CF9AE}" pid="61" name="FSC#SKEDITIONSLOVLEX@103.510:AttrStrDocPropVplyvPodnikatelskeProstr">
    <vt:lpwstr>Pozitívne_x000d__x000d_Negatívne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Pozitívne</vt:lpwstr>
  </property>
  <property fmtid="{D5CDD505-2E9C-101B-9397-08002B2CF9AE}" pid="65" name="FSC#SKEDITIONSLOVLEX@103.510:AttrStrListDocPropPoznamkaVplyv">
    <vt:lpwstr/>
  </property>
  <property fmtid="{D5CDD505-2E9C-101B-9397-08002B2CF9AE}" pid="66" name="FSC#SKEDITIONSLOVLEX@103.510:AttrStrListDocPropAltRiesenia">
    <vt:lpwstr>Alternatívne riešenia neboli posudzované nakoľko Programové vyhlásenie vlády SR exaktne vymedzuje zadanie, ktoré je premietnuté do návrhu zákona.</vt:lpwstr>
  </property>
  <property fmtid="{D5CDD505-2E9C-101B-9397-08002B2CF9AE}" pid="67" name="FSC#SKEDITIONSLOVLEX@103.510:AttrStrListDocPropStanoviskoGest">
    <vt:lpwstr/>
  </property>
  <property fmtid="{D5CDD505-2E9C-101B-9397-08002B2CF9AE}" pid="68" name="FSC#SKEDITIONSLOVLEX@103.510:AttrStrListDocPropTextKomunike">
    <vt:lpwstr>Vláda Slovenskej republiky na svojom rokovaní dňa ... prerokovala a schválila návrh zákona o registri partnerov verejného sektora a o zmene a doplnení niektorých zákonov.</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republiky_x000d__x000d_podpredsedníčka vlády a ministerka spravodlivosti Slovenskej republiky</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podpredsedníčka vlády a ministerka spravodlivosti Slovenskej republiky</vt:lpwstr>
  </property>
  <property fmtid="{D5CDD505-2E9C-101B-9397-08002B2CF9AE}" pid="142" name="FSC#SKEDITIONSLOVLEX@103.510:funkciaZodpPredAkuzativ">
    <vt:lpwstr>podpredsedníčku vlády a ministerku spravodlivosti Slovenskej republiky</vt:lpwstr>
  </property>
  <property fmtid="{D5CDD505-2E9C-101B-9397-08002B2CF9AE}" pid="143" name="FSC#SKEDITIONSLOVLEX@103.510:funkciaZodpPredDativ">
    <vt:lpwstr>podpredsedníčke vlády a ministerke spravodlivosti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Lucia Žitňanská_x000d__x000d_podpredsedníčka vlády a ministerka spravodlivosti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justify;"&gt;Ministerstvo spravodlivosti Slovenskej republiky predkladá do pripomienkového konania návrh zákona o registri partnerov verejného sektora a o zmene a doplnení niektorých zákonov (ďalej len „návrh zákona“).&lt;/p&gt;&lt;p style="text</vt:lpwstr>
  </property>
  <property fmtid="{D5CDD505-2E9C-101B-9397-08002B2CF9AE}" pid="150" name="FSC#COOSYSTEM@1.1:Container">
    <vt:lpwstr>COO.2145.1000.3.1486359</vt:lpwstr>
  </property>
  <property fmtid="{D5CDD505-2E9C-101B-9397-08002B2CF9AE}" pid="151" name="FSC#FSCFOLIO@1.1001:docpropproject">
    <vt:lpwstr/>
  </property>
</Properties>
</file>