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1080"/>
        <w:gridCol w:w="5866"/>
        <w:gridCol w:w="567"/>
        <w:gridCol w:w="709"/>
        <w:gridCol w:w="709"/>
        <w:gridCol w:w="5612"/>
        <w:gridCol w:w="483"/>
        <w:gridCol w:w="634"/>
      </w:tblGrid>
      <w:tr w:rsidR="008C54C3" w:rsidRPr="000D7A9F">
        <w:tc>
          <w:tcPr>
            <w:tcW w:w="16200" w:type="dxa"/>
            <w:gridSpan w:val="9"/>
            <w:tcBorders>
              <w:top w:val="single" w:sz="12" w:space="0" w:color="auto"/>
              <w:left w:val="single" w:sz="12" w:space="0" w:color="auto"/>
              <w:bottom w:val="single" w:sz="4" w:space="0" w:color="auto"/>
              <w:right w:val="single" w:sz="12" w:space="0" w:color="auto"/>
            </w:tcBorders>
          </w:tcPr>
          <w:p w:rsidR="008C54C3" w:rsidRPr="000D7A9F" w:rsidRDefault="008C54C3" w:rsidP="00DD7F71">
            <w:pPr>
              <w:pStyle w:val="Nadpis1"/>
            </w:pPr>
            <w:bookmarkStart w:id="0" w:name="_GoBack"/>
            <w:bookmarkEnd w:id="0"/>
            <w:r w:rsidRPr="000D7A9F">
              <w:t>TABUĽKA  ZHODY</w:t>
            </w:r>
          </w:p>
          <w:p w:rsidR="002F036F" w:rsidRDefault="004577EC" w:rsidP="00AE1172">
            <w:pPr>
              <w:tabs>
                <w:tab w:val="left" w:pos="0"/>
              </w:tabs>
              <w:jc w:val="center"/>
              <w:rPr>
                <w:b/>
                <w:color w:val="000000"/>
              </w:rPr>
            </w:pPr>
            <w:r w:rsidRPr="009842F4">
              <w:rPr>
                <w:b/>
              </w:rPr>
              <w:t>k </w:t>
            </w:r>
            <w:r w:rsidR="0078287E" w:rsidRPr="009842F4">
              <w:rPr>
                <w:b/>
              </w:rPr>
              <w:t>n</w:t>
            </w:r>
            <w:r w:rsidR="0091636B" w:rsidRPr="009842F4">
              <w:rPr>
                <w:b/>
              </w:rPr>
              <w:t>ávrh</w:t>
            </w:r>
            <w:r w:rsidR="00AB7D27" w:rsidRPr="009842F4">
              <w:rPr>
                <w:b/>
              </w:rPr>
              <w:t>u</w:t>
            </w:r>
            <w:r w:rsidR="0091636B" w:rsidRPr="009842F4">
              <w:rPr>
                <w:b/>
              </w:rPr>
              <w:t xml:space="preserve"> zákona</w:t>
            </w:r>
            <w:r w:rsidR="009842F4" w:rsidRPr="009842F4">
              <w:rPr>
                <w:b/>
              </w:rPr>
              <w:t xml:space="preserve">, </w:t>
            </w:r>
            <w:r w:rsidR="009842F4" w:rsidRPr="009842F4">
              <w:rPr>
                <w:b/>
                <w:color w:val="000000"/>
              </w:rPr>
              <w:t xml:space="preserve">ktorým sa mení a dopĺňa zákon č. 222/2004 Z. z. o dani z pridanej hodnoty v znení neskorších predpisov </w:t>
            </w:r>
          </w:p>
          <w:p w:rsidR="008C54C3" w:rsidRPr="009842F4" w:rsidRDefault="00127033" w:rsidP="00AE1172">
            <w:pPr>
              <w:tabs>
                <w:tab w:val="left" w:pos="0"/>
              </w:tabs>
              <w:jc w:val="center"/>
              <w:rPr>
                <w:b/>
              </w:rPr>
            </w:pPr>
            <w:r w:rsidRPr="009842F4">
              <w:rPr>
                <w:b/>
              </w:rPr>
              <w:t>s právom Európskej únie</w:t>
            </w:r>
          </w:p>
        </w:tc>
      </w:tr>
      <w:tr w:rsidR="008C54C3" w:rsidRPr="000D7A9F">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0D7A9F" w:rsidRDefault="008C54C3" w:rsidP="00834B3E">
            <w:pPr>
              <w:pStyle w:val="Nadpis4"/>
              <w:jc w:val="both"/>
              <w:rPr>
                <w:sz w:val="24"/>
                <w:szCs w:val="24"/>
              </w:rPr>
            </w:pPr>
            <w:r w:rsidRPr="000D7A9F">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B60012" w:rsidRPr="00B60012" w:rsidRDefault="00834B3E" w:rsidP="00B60012">
            <w:pPr>
              <w:pStyle w:val="Default"/>
              <w:jc w:val="both"/>
              <w:rPr>
                <w:rFonts w:ascii="Times New Roman" w:hAnsi="Times New Roman" w:cs="Times New Roman"/>
                <w:b/>
              </w:rPr>
            </w:pPr>
            <w:r w:rsidRPr="000D7A9F">
              <w:rPr>
                <w:rFonts w:ascii="Times New Roman" w:hAnsi="Times New Roman" w:cs="Times New Roman"/>
                <w:b/>
                <w:bCs/>
              </w:rPr>
              <w:t xml:space="preserve">SMERNICA RADY (EÚ) </w:t>
            </w:r>
            <w:r w:rsidRPr="000D7A9F">
              <w:rPr>
                <w:rFonts w:ascii="Times New Roman" w:hAnsi="Times New Roman" w:cs="Times New Roman"/>
                <w:b/>
                <w:bCs/>
                <w:u w:val="single"/>
              </w:rPr>
              <w:t>201</w:t>
            </w:r>
            <w:r w:rsidR="00B60012">
              <w:rPr>
                <w:rFonts w:ascii="Times New Roman" w:hAnsi="Times New Roman" w:cs="Times New Roman"/>
                <w:b/>
                <w:bCs/>
                <w:u w:val="single"/>
              </w:rPr>
              <w:t>8</w:t>
            </w:r>
            <w:r w:rsidRPr="000D7A9F">
              <w:rPr>
                <w:rFonts w:ascii="Times New Roman" w:hAnsi="Times New Roman" w:cs="Times New Roman"/>
                <w:b/>
                <w:bCs/>
                <w:u w:val="single"/>
              </w:rPr>
              <w:t>/</w:t>
            </w:r>
            <w:r w:rsidR="00B60012">
              <w:rPr>
                <w:rFonts w:ascii="Times New Roman" w:hAnsi="Times New Roman" w:cs="Times New Roman"/>
                <w:b/>
                <w:bCs/>
                <w:u w:val="single"/>
              </w:rPr>
              <w:t>1695</w:t>
            </w:r>
            <w:r w:rsidRPr="000D7A9F">
              <w:rPr>
                <w:rFonts w:ascii="Times New Roman" w:hAnsi="Times New Roman" w:cs="Times New Roman"/>
                <w:b/>
                <w:bCs/>
              </w:rPr>
              <w:t xml:space="preserve"> </w:t>
            </w:r>
            <w:r w:rsidR="00B60012" w:rsidRPr="00B60012">
              <w:rPr>
                <w:rFonts w:ascii="Times New Roman" w:hAnsi="Times New Roman" w:cs="Times New Roman"/>
                <w:b/>
              </w:rPr>
              <w:t>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w:t>
            </w:r>
          </w:p>
        </w:tc>
      </w:tr>
      <w:tr w:rsidR="008C54C3" w:rsidRPr="000D7A9F" w:rsidTr="00C21CEF">
        <w:trPr>
          <w:trHeight w:val="567"/>
        </w:trPr>
        <w:tc>
          <w:tcPr>
            <w:tcW w:w="8053" w:type="dxa"/>
            <w:gridSpan w:val="4"/>
            <w:tcBorders>
              <w:top w:val="single" w:sz="4" w:space="0" w:color="auto"/>
              <w:left w:val="single" w:sz="12" w:space="0" w:color="auto"/>
              <w:bottom w:val="single" w:sz="4" w:space="0" w:color="auto"/>
              <w:right w:val="single" w:sz="12" w:space="0" w:color="auto"/>
            </w:tcBorders>
          </w:tcPr>
          <w:p w:rsidR="00EE7DD6" w:rsidRPr="000D7A9F" w:rsidRDefault="00DE0F85" w:rsidP="00834B3E">
            <w:pPr>
              <w:pStyle w:val="Nadpis4"/>
              <w:spacing w:before="120"/>
              <w:jc w:val="both"/>
              <w:rPr>
                <w:sz w:val="24"/>
                <w:szCs w:val="24"/>
              </w:rPr>
            </w:pPr>
            <w:r w:rsidRPr="000D7A9F">
              <w:rPr>
                <w:sz w:val="24"/>
                <w:szCs w:val="24"/>
              </w:rPr>
              <w:t>Smernica EÚ</w:t>
            </w:r>
          </w:p>
          <w:p w:rsidR="00834B3E" w:rsidRPr="000D7A9F" w:rsidRDefault="00834B3E" w:rsidP="00C63D90">
            <w:pPr>
              <w:jc w:val="both"/>
            </w:pPr>
            <w:r w:rsidRPr="000D7A9F">
              <w:rPr>
                <w:b/>
                <w:bCs/>
              </w:rPr>
              <w:t xml:space="preserve">SMERNICA RADY (EÚ) </w:t>
            </w:r>
            <w:r w:rsidR="00B60012" w:rsidRPr="000D7A9F">
              <w:rPr>
                <w:b/>
                <w:bCs/>
                <w:u w:val="single"/>
              </w:rPr>
              <w:t>201</w:t>
            </w:r>
            <w:r w:rsidR="00B60012">
              <w:rPr>
                <w:b/>
                <w:bCs/>
                <w:u w:val="single"/>
              </w:rPr>
              <w:t>8</w:t>
            </w:r>
            <w:r w:rsidR="00B60012" w:rsidRPr="000D7A9F">
              <w:rPr>
                <w:b/>
                <w:bCs/>
                <w:u w:val="single"/>
              </w:rPr>
              <w:t>/</w:t>
            </w:r>
            <w:r w:rsidR="00B60012">
              <w:rPr>
                <w:b/>
                <w:bCs/>
                <w:u w:val="single"/>
              </w:rPr>
              <w:t>1695</w:t>
            </w:r>
            <w:r w:rsidR="00B60012" w:rsidRPr="000D7A9F">
              <w:rPr>
                <w:b/>
                <w:bCs/>
              </w:rPr>
              <w:t xml:space="preserve"> </w:t>
            </w:r>
            <w:r w:rsidR="00B60012" w:rsidRPr="00B60012">
              <w:rPr>
                <w:b/>
              </w:rPr>
              <w:t>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w:t>
            </w:r>
          </w:p>
        </w:tc>
        <w:tc>
          <w:tcPr>
            <w:tcW w:w="8147" w:type="dxa"/>
            <w:gridSpan w:val="5"/>
            <w:tcBorders>
              <w:top w:val="single" w:sz="4" w:space="0" w:color="auto"/>
              <w:left w:val="nil"/>
              <w:bottom w:val="single" w:sz="4" w:space="0" w:color="auto"/>
              <w:right w:val="single" w:sz="12" w:space="0" w:color="auto"/>
            </w:tcBorders>
          </w:tcPr>
          <w:p w:rsidR="008C54C3" w:rsidRDefault="008C54C3" w:rsidP="00834B3E">
            <w:pPr>
              <w:pStyle w:val="Nadpis4"/>
              <w:spacing w:before="120"/>
              <w:jc w:val="both"/>
              <w:rPr>
                <w:sz w:val="24"/>
                <w:szCs w:val="24"/>
              </w:rPr>
            </w:pPr>
            <w:r w:rsidRPr="000D7A9F">
              <w:rPr>
                <w:sz w:val="24"/>
                <w:szCs w:val="24"/>
              </w:rPr>
              <w:t>Všeobecne záväzné právne predpisy Slovenskej republiky</w:t>
            </w:r>
          </w:p>
          <w:p w:rsidR="00DD7F71" w:rsidRDefault="00DD7F71" w:rsidP="00834B3E">
            <w:pPr>
              <w:pStyle w:val="Zkladntext"/>
              <w:jc w:val="both"/>
            </w:pPr>
            <w:r w:rsidRPr="000D7A9F">
              <w:t>Zákon č. 222/2004 Z.z. o dani z pridanej hodnoty v znení neskorších predpisov (ďalej „222/2004“)</w:t>
            </w:r>
          </w:p>
          <w:p w:rsidR="002E1D16" w:rsidRPr="000D7A9F" w:rsidRDefault="002E1D16" w:rsidP="00B164E6">
            <w:pPr>
              <w:pStyle w:val="Zkladntext"/>
              <w:jc w:val="both"/>
            </w:pPr>
          </w:p>
        </w:tc>
      </w:tr>
      <w:tr w:rsidR="00A9063F" w:rsidRPr="000D7A9F" w:rsidTr="00EB6BE9">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jc w:val="both"/>
            </w:pPr>
            <w:r w:rsidRPr="000D7A9F">
              <w:t>1</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2</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jc w:val="both"/>
            </w:pPr>
            <w:r w:rsidRPr="000D7A9F">
              <w:t>3</w:t>
            </w:r>
          </w:p>
        </w:tc>
        <w:tc>
          <w:tcPr>
            <w:tcW w:w="709" w:type="dxa"/>
            <w:tcBorders>
              <w:top w:val="single" w:sz="4" w:space="0" w:color="auto"/>
              <w:left w:val="nil"/>
              <w:bottom w:val="single" w:sz="4" w:space="0" w:color="auto"/>
              <w:right w:val="single" w:sz="4" w:space="0" w:color="auto"/>
            </w:tcBorders>
          </w:tcPr>
          <w:p w:rsidR="00A9063F" w:rsidRPr="000D7A9F" w:rsidRDefault="00A9063F" w:rsidP="00834B3E">
            <w:pPr>
              <w:jc w:val="both"/>
            </w:pPr>
            <w:r w:rsidRPr="000D7A9F">
              <w:t>4</w:t>
            </w:r>
          </w:p>
        </w:tc>
        <w:tc>
          <w:tcPr>
            <w:tcW w:w="7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5</w:t>
            </w:r>
          </w:p>
        </w:tc>
        <w:tc>
          <w:tcPr>
            <w:tcW w:w="5612"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6</w:t>
            </w:r>
          </w:p>
        </w:tc>
        <w:tc>
          <w:tcPr>
            <w:tcW w:w="483"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7</w:t>
            </w:r>
          </w:p>
        </w:tc>
        <w:tc>
          <w:tcPr>
            <w:tcW w:w="634" w:type="dxa"/>
            <w:tcBorders>
              <w:top w:val="single" w:sz="4" w:space="0" w:color="auto"/>
              <w:left w:val="single" w:sz="4" w:space="0" w:color="auto"/>
              <w:bottom w:val="single" w:sz="4" w:space="0" w:color="auto"/>
              <w:right w:val="single" w:sz="12" w:space="0" w:color="auto"/>
            </w:tcBorders>
          </w:tcPr>
          <w:p w:rsidR="00A9063F" w:rsidRPr="000D7A9F" w:rsidRDefault="005170A9" w:rsidP="00834B3E">
            <w:pPr>
              <w:jc w:val="both"/>
            </w:pPr>
            <w:r w:rsidRPr="000D7A9F">
              <w:t>8</w:t>
            </w:r>
          </w:p>
        </w:tc>
      </w:tr>
      <w:tr w:rsidR="00A9063F" w:rsidRPr="000D7A9F" w:rsidTr="00EB6BE9">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w:t>
            </w:r>
          </w:p>
          <w:p w:rsidR="00A9063F" w:rsidRPr="000D7A9F" w:rsidRDefault="00A9063F" w:rsidP="00834B3E">
            <w:pPr>
              <w:pStyle w:val="Normlny0"/>
              <w:jc w:val="both"/>
              <w:rPr>
                <w:sz w:val="24"/>
                <w:szCs w:val="24"/>
              </w:rPr>
            </w:pPr>
            <w:r w:rsidRPr="000D7A9F">
              <w:rPr>
                <w:sz w:val="24"/>
                <w:szCs w:val="24"/>
              </w:rPr>
              <w:t>(Č, O,</w:t>
            </w:r>
          </w:p>
          <w:p w:rsidR="00A9063F" w:rsidRPr="000D7A9F" w:rsidRDefault="00A9063F" w:rsidP="00834B3E">
            <w:pPr>
              <w:pStyle w:val="Normlny0"/>
              <w:jc w:val="both"/>
              <w:rPr>
                <w:sz w:val="24"/>
                <w:szCs w:val="24"/>
              </w:rPr>
            </w:pPr>
            <w:r w:rsidRPr="000D7A9F">
              <w:rPr>
                <w:sz w:val="24"/>
                <w:szCs w:val="24"/>
              </w:rPr>
              <w:t>V, P)</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Spôsob transp.</w:t>
            </w:r>
          </w:p>
          <w:p w:rsidR="00A9063F" w:rsidRPr="000D7A9F" w:rsidRDefault="00A9063F" w:rsidP="00834B3E">
            <w:pPr>
              <w:pStyle w:val="Normlny0"/>
              <w:jc w:val="both"/>
              <w:rPr>
                <w:sz w:val="24"/>
                <w:szCs w:val="24"/>
              </w:rPr>
            </w:pPr>
            <w:r w:rsidRPr="000D7A9F">
              <w:rPr>
                <w:sz w:val="24"/>
                <w:szCs w:val="24"/>
              </w:rPr>
              <w:t>(N, O, D, n.a.)</w:t>
            </w:r>
          </w:p>
        </w:tc>
        <w:tc>
          <w:tcPr>
            <w:tcW w:w="709" w:type="dxa"/>
            <w:tcBorders>
              <w:top w:val="single" w:sz="4" w:space="0" w:color="auto"/>
              <w:left w:val="nil"/>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Číslo</w:t>
            </w:r>
          </w:p>
          <w:p w:rsidR="00A9063F" w:rsidRPr="000D7A9F" w:rsidRDefault="00A9063F" w:rsidP="00834B3E">
            <w:pPr>
              <w:pStyle w:val="Normlny0"/>
              <w:jc w:val="both"/>
              <w:rPr>
                <w:sz w:val="24"/>
                <w:szCs w:val="24"/>
              </w:rPr>
            </w:pPr>
            <w:r w:rsidRPr="000D7A9F">
              <w:rPr>
                <w:sz w:val="24"/>
                <w:szCs w:val="24"/>
              </w:rPr>
              <w:t>predpisu</w:t>
            </w:r>
          </w:p>
        </w:tc>
        <w:tc>
          <w:tcPr>
            <w:tcW w:w="7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 (Č, §, O, V, P)</w:t>
            </w:r>
          </w:p>
        </w:tc>
        <w:tc>
          <w:tcPr>
            <w:tcW w:w="5612"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Text</w:t>
            </w:r>
          </w:p>
        </w:tc>
        <w:tc>
          <w:tcPr>
            <w:tcW w:w="483"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Zhoda</w:t>
            </w:r>
          </w:p>
        </w:tc>
        <w:tc>
          <w:tcPr>
            <w:tcW w:w="634"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Poznámky</w:t>
            </w:r>
          </w:p>
        </w:tc>
      </w:tr>
      <w:tr w:rsidR="00A9063F" w:rsidRPr="000D7A9F" w:rsidTr="00EB6BE9">
        <w:tc>
          <w:tcPr>
            <w:tcW w:w="540" w:type="dxa"/>
            <w:tcBorders>
              <w:top w:val="single" w:sz="4" w:space="0" w:color="auto"/>
              <w:left w:val="single" w:sz="12" w:space="0" w:color="auto"/>
              <w:bottom w:val="single" w:sz="4" w:space="0" w:color="auto"/>
              <w:right w:val="single" w:sz="4" w:space="0" w:color="auto"/>
            </w:tcBorders>
          </w:tcPr>
          <w:p w:rsidR="00A9063F" w:rsidRPr="000D7A9F" w:rsidRDefault="0078287E" w:rsidP="00834B3E">
            <w:pPr>
              <w:jc w:val="both"/>
            </w:pPr>
            <w:r w:rsidRPr="000D7A9F">
              <w:t xml:space="preserve">Čl. </w:t>
            </w:r>
            <w:r w:rsidR="00B60012">
              <w:t>1 bod</w:t>
            </w:r>
            <w:r w:rsidR="0068153F" w:rsidRPr="000D7A9F">
              <w:t>1</w:t>
            </w:r>
            <w:r w:rsidR="00B60012">
              <w:t xml:space="preserve"> </w:t>
            </w:r>
          </w:p>
        </w:tc>
        <w:tc>
          <w:tcPr>
            <w:tcW w:w="6946" w:type="dxa"/>
            <w:gridSpan w:val="2"/>
            <w:tcBorders>
              <w:top w:val="single" w:sz="4" w:space="0" w:color="auto"/>
              <w:left w:val="single" w:sz="4" w:space="0" w:color="auto"/>
              <w:bottom w:val="single" w:sz="4" w:space="0" w:color="auto"/>
              <w:right w:val="single" w:sz="4" w:space="0" w:color="auto"/>
            </w:tcBorders>
          </w:tcPr>
          <w:p w:rsidR="00B60012" w:rsidRDefault="00B60012" w:rsidP="00834B3E">
            <w:pPr>
              <w:pStyle w:val="Default"/>
              <w:jc w:val="both"/>
              <w:rPr>
                <w:rFonts w:ascii="Times New Roman" w:hAnsi="Times New Roman" w:cs="Times New Roman"/>
              </w:rPr>
            </w:pPr>
            <w:r w:rsidRPr="00B60012">
              <w:rPr>
                <w:rFonts w:ascii="Times New Roman" w:hAnsi="Times New Roman" w:cs="Times New Roman"/>
              </w:rPr>
              <w:t xml:space="preserve">Smernica 2006/112/ES sa mení takto: </w:t>
            </w:r>
          </w:p>
          <w:p w:rsidR="00023C84" w:rsidRPr="00023C84" w:rsidRDefault="00B60012" w:rsidP="00834B3E">
            <w:pPr>
              <w:pStyle w:val="Default"/>
              <w:jc w:val="both"/>
              <w:rPr>
                <w:rFonts w:ascii="Times New Roman" w:hAnsi="Times New Roman" w:cs="Times New Roman"/>
                <w:iCs/>
              </w:rPr>
            </w:pPr>
            <w:r w:rsidRPr="00B60012">
              <w:rPr>
                <w:rFonts w:ascii="Times New Roman" w:hAnsi="Times New Roman" w:cs="Times New Roman"/>
              </w:rPr>
              <w:t>1. V článku 199a ods. 1 sa úvodné slová nahrádzajú takto: „Členské štáty môžu do 30. júna 2022 stanoviť, že osobou povinnou</w:t>
            </w:r>
            <w:r>
              <w:rPr>
                <w:rFonts w:ascii="Times New Roman" w:hAnsi="Times New Roman" w:cs="Times New Roman"/>
              </w:rPr>
              <w:t xml:space="preserve"> </w:t>
            </w:r>
            <w:r w:rsidRPr="00B60012">
              <w:rPr>
                <w:rFonts w:ascii="Times New Roman" w:hAnsi="Times New Roman" w:cs="Times New Roman"/>
              </w:rPr>
              <w:t>platiť DPH je zdaniteľná osoba, v prospech ktorej sa uskutočnilo niektoré z nasledujúcich dodaní alebo poskytnutí:“</w:t>
            </w:r>
          </w:p>
        </w:tc>
        <w:tc>
          <w:tcPr>
            <w:tcW w:w="567" w:type="dxa"/>
            <w:tcBorders>
              <w:top w:val="single" w:sz="4" w:space="0" w:color="auto"/>
              <w:left w:val="single" w:sz="4" w:space="0" w:color="auto"/>
              <w:bottom w:val="single" w:sz="4" w:space="0" w:color="auto"/>
              <w:right w:val="single" w:sz="12" w:space="0" w:color="auto"/>
            </w:tcBorders>
          </w:tcPr>
          <w:p w:rsidR="00815781" w:rsidRPr="000D7A9F" w:rsidRDefault="00815781" w:rsidP="00834B3E">
            <w:pPr>
              <w:jc w:val="both"/>
            </w:pPr>
          </w:p>
          <w:p w:rsidR="00E030B3" w:rsidRPr="000D7A9F" w:rsidRDefault="00DE724B" w:rsidP="00B255FC">
            <w:pPr>
              <w:jc w:val="center"/>
            </w:pPr>
            <w:r>
              <w:t>D</w:t>
            </w:r>
          </w:p>
          <w:p w:rsidR="00E030B3" w:rsidRPr="000D7A9F" w:rsidRDefault="00E030B3" w:rsidP="00834B3E">
            <w:pPr>
              <w:jc w:val="both"/>
            </w:pPr>
          </w:p>
        </w:tc>
        <w:tc>
          <w:tcPr>
            <w:tcW w:w="709" w:type="dxa"/>
            <w:tcBorders>
              <w:top w:val="single" w:sz="4" w:space="0" w:color="auto"/>
              <w:left w:val="nil"/>
              <w:bottom w:val="single" w:sz="4" w:space="0" w:color="auto"/>
              <w:right w:val="single" w:sz="4" w:space="0" w:color="auto"/>
            </w:tcBorders>
          </w:tcPr>
          <w:p w:rsidR="00815781" w:rsidRPr="00AD113F" w:rsidRDefault="00815781" w:rsidP="00815781">
            <w:pPr>
              <w:jc w:val="center"/>
            </w:pPr>
            <w:r w:rsidRPr="00AD113F">
              <w:t>222/</w:t>
            </w:r>
          </w:p>
          <w:p w:rsidR="00834B3E" w:rsidRPr="000D7A9F" w:rsidRDefault="00815781" w:rsidP="00815781">
            <w:pPr>
              <w:jc w:val="center"/>
              <w:rPr>
                <w:b/>
              </w:rPr>
            </w:pPr>
            <w:r w:rsidRPr="00AD113F">
              <w:t>2004</w:t>
            </w:r>
          </w:p>
        </w:tc>
        <w:tc>
          <w:tcPr>
            <w:tcW w:w="709" w:type="dxa"/>
            <w:tcBorders>
              <w:top w:val="single" w:sz="4" w:space="0" w:color="auto"/>
              <w:left w:val="single" w:sz="4" w:space="0" w:color="auto"/>
              <w:bottom w:val="single" w:sz="4" w:space="0" w:color="auto"/>
              <w:right w:val="single" w:sz="4" w:space="0" w:color="auto"/>
            </w:tcBorders>
          </w:tcPr>
          <w:p w:rsidR="0032751F" w:rsidRPr="000D7A9F" w:rsidRDefault="0032751F" w:rsidP="00834B3E">
            <w:pPr>
              <w:pStyle w:val="Normlny0"/>
              <w:jc w:val="both"/>
              <w:rPr>
                <w:sz w:val="24"/>
                <w:szCs w:val="24"/>
              </w:rPr>
            </w:pPr>
            <w:r w:rsidRPr="000D7A9F">
              <w:rPr>
                <w:sz w:val="24"/>
                <w:szCs w:val="24"/>
              </w:rPr>
              <w:t xml:space="preserve">§ </w:t>
            </w:r>
            <w:r w:rsidR="00EB6BE9">
              <w:rPr>
                <w:sz w:val="24"/>
                <w:szCs w:val="24"/>
              </w:rPr>
              <w:t>69</w:t>
            </w:r>
          </w:p>
          <w:p w:rsidR="0032751F" w:rsidRPr="000D7A9F" w:rsidRDefault="0032751F" w:rsidP="00834B3E">
            <w:pPr>
              <w:pStyle w:val="Normlny0"/>
              <w:jc w:val="both"/>
              <w:rPr>
                <w:sz w:val="24"/>
                <w:szCs w:val="24"/>
              </w:rPr>
            </w:pPr>
            <w:r w:rsidRPr="000D7A9F">
              <w:rPr>
                <w:sz w:val="24"/>
                <w:szCs w:val="24"/>
              </w:rPr>
              <w:t>ods.</w:t>
            </w:r>
            <w:r w:rsidR="00EB6BE9">
              <w:rPr>
                <w:sz w:val="24"/>
                <w:szCs w:val="24"/>
              </w:rPr>
              <w:t xml:space="preserve"> 1</w:t>
            </w:r>
            <w:r w:rsidR="00815781">
              <w:rPr>
                <w:sz w:val="24"/>
                <w:szCs w:val="24"/>
              </w:rPr>
              <w:t>2</w:t>
            </w:r>
          </w:p>
          <w:p w:rsidR="0032751F" w:rsidRPr="000D7A9F" w:rsidRDefault="0032751F" w:rsidP="00834B3E">
            <w:pPr>
              <w:pStyle w:val="Normlny0"/>
              <w:jc w:val="both"/>
              <w:rPr>
                <w:sz w:val="24"/>
                <w:szCs w:val="24"/>
              </w:rPr>
            </w:pPr>
          </w:p>
        </w:tc>
        <w:tc>
          <w:tcPr>
            <w:tcW w:w="5612" w:type="dxa"/>
            <w:tcBorders>
              <w:top w:val="single" w:sz="4" w:space="0" w:color="auto"/>
              <w:left w:val="single" w:sz="4" w:space="0" w:color="auto"/>
              <w:bottom w:val="single" w:sz="4" w:space="0" w:color="auto"/>
              <w:right w:val="single" w:sz="4" w:space="0" w:color="auto"/>
            </w:tcBorders>
          </w:tcPr>
          <w:p w:rsidR="00EB6BE9" w:rsidRPr="00EB6BE9" w:rsidRDefault="00EB6BE9" w:rsidP="00B255FC">
            <w:pPr>
              <w:autoSpaceDE/>
              <w:autoSpaceDN/>
              <w:jc w:val="both"/>
              <w:rPr>
                <w:color w:val="000000"/>
              </w:rPr>
            </w:pPr>
            <w:r w:rsidRPr="00EB6BE9">
              <w:rPr>
                <w:color w:val="000000"/>
              </w:rPr>
              <w:t>(12)</w:t>
            </w:r>
            <w:r w:rsidR="00B255FC">
              <w:rPr>
                <w:color w:val="000000"/>
              </w:rPr>
              <w:t xml:space="preserve"> </w:t>
            </w:r>
            <w:r w:rsidRPr="00EB6BE9">
              <w:rPr>
                <w:color w:val="000000"/>
              </w:rPr>
              <w:t xml:space="preserve">Platiteľ, ktorý je príjemcom plnenia od iného platiteľa, je povinný platiť daň vzťahujúcu sa na </w:t>
            </w:r>
          </w:p>
          <w:p w:rsidR="00A9063F" w:rsidRPr="00815781" w:rsidRDefault="00A9063F" w:rsidP="0029483D">
            <w:pPr>
              <w:pStyle w:val="Zkladntext"/>
              <w:jc w:val="both"/>
            </w:pPr>
          </w:p>
        </w:tc>
        <w:tc>
          <w:tcPr>
            <w:tcW w:w="483" w:type="dxa"/>
            <w:tcBorders>
              <w:top w:val="single" w:sz="4" w:space="0" w:color="auto"/>
              <w:left w:val="single" w:sz="4" w:space="0" w:color="auto"/>
              <w:bottom w:val="single" w:sz="4" w:space="0" w:color="auto"/>
              <w:right w:val="single" w:sz="4" w:space="0" w:color="auto"/>
            </w:tcBorders>
          </w:tcPr>
          <w:p w:rsidR="00815781" w:rsidRPr="000D7A9F" w:rsidRDefault="00815781" w:rsidP="00834B3E">
            <w:pPr>
              <w:jc w:val="both"/>
            </w:pPr>
          </w:p>
          <w:p w:rsidR="00A9063F" w:rsidRPr="000D7A9F" w:rsidRDefault="0078287E" w:rsidP="00B255FC">
            <w:pPr>
              <w:jc w:val="center"/>
            </w:pPr>
            <w:r w:rsidRPr="000D7A9F">
              <w:t>Ú</w:t>
            </w:r>
          </w:p>
        </w:tc>
        <w:tc>
          <w:tcPr>
            <w:tcW w:w="634"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adpis1"/>
              <w:jc w:val="both"/>
              <w:rPr>
                <w:b w:val="0"/>
                <w:bCs w:val="0"/>
              </w:rPr>
            </w:pPr>
          </w:p>
        </w:tc>
      </w:tr>
      <w:tr w:rsidR="00B60012" w:rsidRPr="000D7A9F" w:rsidTr="00EB6BE9">
        <w:tc>
          <w:tcPr>
            <w:tcW w:w="540" w:type="dxa"/>
            <w:tcBorders>
              <w:top w:val="single" w:sz="4" w:space="0" w:color="auto"/>
              <w:left w:val="single" w:sz="12" w:space="0" w:color="auto"/>
              <w:bottom w:val="single" w:sz="4" w:space="0" w:color="auto"/>
              <w:right w:val="single" w:sz="4" w:space="0" w:color="auto"/>
            </w:tcBorders>
          </w:tcPr>
          <w:p w:rsidR="00B60012" w:rsidRPr="000D7A9F" w:rsidRDefault="00B60012" w:rsidP="00834B3E">
            <w:pPr>
              <w:jc w:val="both"/>
            </w:pPr>
            <w:r w:rsidRPr="000D7A9F">
              <w:t xml:space="preserve">Čl. </w:t>
            </w:r>
            <w:r>
              <w:t>1 bod2</w:t>
            </w:r>
          </w:p>
        </w:tc>
        <w:tc>
          <w:tcPr>
            <w:tcW w:w="6946" w:type="dxa"/>
            <w:gridSpan w:val="2"/>
            <w:tcBorders>
              <w:top w:val="single" w:sz="4" w:space="0" w:color="auto"/>
              <w:left w:val="single" w:sz="4" w:space="0" w:color="auto"/>
              <w:bottom w:val="single" w:sz="4" w:space="0" w:color="auto"/>
              <w:right w:val="single" w:sz="4" w:space="0" w:color="auto"/>
            </w:tcBorders>
          </w:tcPr>
          <w:p w:rsidR="00B60012" w:rsidRDefault="00B60012" w:rsidP="00834B3E">
            <w:pPr>
              <w:pStyle w:val="Default"/>
              <w:jc w:val="both"/>
              <w:rPr>
                <w:rFonts w:ascii="Times New Roman" w:hAnsi="Times New Roman" w:cs="Times New Roman"/>
              </w:rPr>
            </w:pPr>
            <w:r w:rsidRPr="00B60012">
              <w:rPr>
                <w:rFonts w:ascii="Times New Roman" w:hAnsi="Times New Roman" w:cs="Times New Roman"/>
              </w:rPr>
              <w:t xml:space="preserve">2. Článok 199b sa nahrádza takto: „Článok 199b 1.Členský štát môže v naliehavých prípadoch potreby a v súlade s odsekmi 2 a 3 určiť príjemcu ako osobu povinnú zaplatiť DPH pri osobitných dodaniach tovaru a osobitnom poskytnutí služieb odchylne od článku 193 ako osobitné opatrenie mechanizmu rýchlej reakcie s cieľom bojovať proti neočakávaným a rozsiahlym podvodom, ktoré môžu viesť k značným a nenapraviteľným finančným stratám. </w:t>
            </w:r>
          </w:p>
          <w:p w:rsidR="00B60012" w:rsidRDefault="00B60012" w:rsidP="00834B3E">
            <w:pPr>
              <w:pStyle w:val="Default"/>
              <w:jc w:val="both"/>
              <w:rPr>
                <w:rFonts w:ascii="Times New Roman" w:hAnsi="Times New Roman" w:cs="Times New Roman"/>
              </w:rPr>
            </w:pPr>
          </w:p>
          <w:p w:rsidR="00B60012" w:rsidRDefault="00B60012" w:rsidP="00834B3E">
            <w:pPr>
              <w:pStyle w:val="Default"/>
              <w:jc w:val="both"/>
              <w:rPr>
                <w:rFonts w:ascii="Times New Roman" w:hAnsi="Times New Roman" w:cs="Times New Roman"/>
              </w:rPr>
            </w:pPr>
            <w:r w:rsidRPr="00B60012">
              <w:rPr>
                <w:rFonts w:ascii="Times New Roman" w:hAnsi="Times New Roman" w:cs="Times New Roman"/>
              </w:rPr>
              <w:t xml:space="preserve">Toto osobitné opatrenie mechanizmu rýchlej reakcie podlieha primeraným kontrolným opatreniam členského štátu v súvislosti so zdaniteľnými osobami dodávajúcimi tovar alebo poskytujúcimi služby, na ktoré sa toto opatrenie vzťahuje, a obdobie jeho uplatňovania nepresahuje deväť mesiacov. </w:t>
            </w:r>
          </w:p>
          <w:p w:rsidR="00B60012" w:rsidRDefault="00B60012" w:rsidP="00834B3E">
            <w:pPr>
              <w:pStyle w:val="Default"/>
              <w:jc w:val="both"/>
              <w:rPr>
                <w:rFonts w:ascii="Times New Roman" w:hAnsi="Times New Roman" w:cs="Times New Roman"/>
              </w:rPr>
            </w:pPr>
          </w:p>
          <w:p w:rsidR="00B60012" w:rsidRDefault="00B60012" w:rsidP="00834B3E">
            <w:pPr>
              <w:pStyle w:val="Default"/>
              <w:jc w:val="both"/>
              <w:rPr>
                <w:rFonts w:ascii="Times New Roman" w:hAnsi="Times New Roman" w:cs="Times New Roman"/>
              </w:rPr>
            </w:pPr>
            <w:r w:rsidRPr="00B60012">
              <w:rPr>
                <w:rFonts w:ascii="Times New Roman" w:hAnsi="Times New Roman" w:cs="Times New Roman"/>
              </w:rPr>
              <w:t xml:space="preserve">2.Členský štát, ktorý si želá zaviesť osobitné opatrenie mechanizmu rýchlej reakcie stanovené v odseku 1, zašle oznámenie Komisii, pričom použije štandardizovaný formulár stanovený v súlade s odsekom 4, a zároveň ho zašle aj ostatným členským štátom. Členský štát poskytne Komisii informácie o príslušnom sektore, druhu a charakteristických znakoch podvodu, o existujúcich závažných dôvodoch naliehavosti, neočakávanom a rozsiahlom charaktere podvodu a jeho dôsledkoch spočívajúcich v značných a nenapraviteľných finančných stratách. Ak Komisia usúdi, že nemá k dispozícii všetky potrebné informácie, do dvoch týždňov od prijatia oznámenia kontaktuje dotknutý členský štát a uvedie, ktoré dodatočné informácie požaduje. Každá dodatočná informácia, ktorú Komisii poskytne dotknutý členský štát, sa zároveň zašle aj ostatným členským štátom. Ak poskytnuté dodatočné informácie nie sú postačujúce, Komisia o tom daný členských štát informuje do jedného týždňa. </w:t>
            </w:r>
          </w:p>
          <w:p w:rsidR="00B60012" w:rsidRDefault="00B60012" w:rsidP="00834B3E">
            <w:pPr>
              <w:pStyle w:val="Default"/>
              <w:jc w:val="both"/>
              <w:rPr>
                <w:rFonts w:ascii="Times New Roman" w:hAnsi="Times New Roman" w:cs="Times New Roman"/>
              </w:rPr>
            </w:pPr>
          </w:p>
          <w:p w:rsidR="00B60012" w:rsidRDefault="00B60012" w:rsidP="00834B3E">
            <w:pPr>
              <w:pStyle w:val="Default"/>
              <w:jc w:val="both"/>
              <w:rPr>
                <w:rFonts w:ascii="Times New Roman" w:hAnsi="Times New Roman" w:cs="Times New Roman"/>
              </w:rPr>
            </w:pPr>
            <w:r w:rsidRPr="00B60012">
              <w:rPr>
                <w:rFonts w:ascii="Times New Roman" w:hAnsi="Times New Roman" w:cs="Times New Roman"/>
              </w:rPr>
              <w:t xml:space="preserve">Členský štát, ktorý si želá zaviesť osobitné opatrenie mechanizmu rýchlej reakcie stanovené v odseku 1 tohto článku, musí zároveň podať žiadosť Komisii v súlade s postupom stanoveným v článku 395 ods. 2 a 3. </w:t>
            </w:r>
          </w:p>
          <w:p w:rsidR="00B60012" w:rsidRDefault="00B60012" w:rsidP="00834B3E">
            <w:pPr>
              <w:pStyle w:val="Default"/>
              <w:jc w:val="both"/>
              <w:rPr>
                <w:rFonts w:ascii="Times New Roman" w:hAnsi="Times New Roman" w:cs="Times New Roman"/>
              </w:rPr>
            </w:pPr>
          </w:p>
          <w:p w:rsidR="00B60012" w:rsidRDefault="00B60012" w:rsidP="00834B3E">
            <w:pPr>
              <w:pStyle w:val="Default"/>
              <w:jc w:val="both"/>
              <w:rPr>
                <w:rFonts w:ascii="Times New Roman" w:hAnsi="Times New Roman" w:cs="Times New Roman"/>
              </w:rPr>
            </w:pPr>
            <w:r w:rsidRPr="00B60012">
              <w:rPr>
                <w:rFonts w:ascii="Times New Roman" w:hAnsi="Times New Roman" w:cs="Times New Roman"/>
              </w:rPr>
              <w:t xml:space="preserve">V naliehavých prípadoch potreby stanovených v odseku 1 tohto článku sa postup stanovený v článku 395 ods. 2 a 3 dokončí do šiestich mesiacov od dátumu doručenia žiadosti Komisii. </w:t>
            </w:r>
          </w:p>
          <w:p w:rsidR="00B60012" w:rsidRDefault="00B60012" w:rsidP="00834B3E">
            <w:pPr>
              <w:pStyle w:val="Default"/>
              <w:jc w:val="both"/>
              <w:rPr>
                <w:rFonts w:ascii="Times New Roman" w:hAnsi="Times New Roman" w:cs="Times New Roman"/>
              </w:rPr>
            </w:pPr>
          </w:p>
          <w:p w:rsidR="00B60012" w:rsidRDefault="00B60012" w:rsidP="00834B3E">
            <w:pPr>
              <w:pStyle w:val="Default"/>
              <w:jc w:val="both"/>
              <w:rPr>
                <w:rFonts w:ascii="Times New Roman" w:hAnsi="Times New Roman" w:cs="Times New Roman"/>
              </w:rPr>
            </w:pPr>
            <w:r w:rsidRPr="00B60012">
              <w:rPr>
                <w:rFonts w:ascii="Times New Roman" w:hAnsi="Times New Roman" w:cs="Times New Roman"/>
              </w:rPr>
              <w:t xml:space="preserve">3.Len čo má Komisia k dispozícii všetky informácie, ktoré považuje za potrebné na posúdenie oznámenia uvedeného v prvom pododseku odseku 2, informuje o tom členské štáty. V prípade, že vznesie námietku </w:t>
            </w:r>
            <w:r w:rsidRPr="00B60012">
              <w:rPr>
                <w:rFonts w:ascii="Times New Roman" w:hAnsi="Times New Roman" w:cs="Times New Roman"/>
              </w:rPr>
              <w:lastRenderedPageBreak/>
              <w:t xml:space="preserve">voči osobitnému opatreniu mechanizmu rýchlej reakcie, vypracuje do jedného mesiaca od doručenia oznámenia záporné stanovisko a informuje o tom dotknutý členský štát a výbor pre DPH. V prípade, že sa Komisia rozhodne nevzniesť námietky, potvrdí to písomne v rovnakej lehote dotknutému členskému štátu i výboru pre DPH. Členský štát môže prijať osobitné opatrenie mechanizmu rýchlej reakcie odo dňa obdržania tohto potvrdenia. Komisia pri hodnotení oznámenia vezme do úvahy názory akéhokoľvek iného členského štátu, ktoré sa jej zašlú písomne. </w:t>
            </w:r>
          </w:p>
          <w:p w:rsidR="00B60012" w:rsidRDefault="00B60012" w:rsidP="00B60012">
            <w:pPr>
              <w:pStyle w:val="Default"/>
              <w:jc w:val="both"/>
              <w:rPr>
                <w:rFonts w:ascii="Times New Roman" w:hAnsi="Times New Roman" w:cs="Times New Roman"/>
              </w:rPr>
            </w:pPr>
            <w:r w:rsidRPr="00B60012">
              <w:rPr>
                <w:rFonts w:ascii="Times New Roman" w:hAnsi="Times New Roman" w:cs="Times New Roman"/>
              </w:rPr>
              <w:t xml:space="preserve">4.Komisia prijme vykonávací akt, ktorým sa stanoví štandardizovaný formulár na zaslanie oznámenia o osobitnom opatrení mechanizmu rýchlej reakcie uvedený v odseku 2 a informácií uvedených v prvom pododseku odseku 2. Uvedený vykonávací akt sa prijme v súlade s postupom preskúmania uvedeným v odseku 5. </w:t>
            </w:r>
          </w:p>
          <w:p w:rsidR="00B60012" w:rsidRDefault="00B60012" w:rsidP="00B60012">
            <w:pPr>
              <w:pStyle w:val="Default"/>
              <w:jc w:val="both"/>
              <w:rPr>
                <w:rFonts w:ascii="Times New Roman" w:hAnsi="Times New Roman" w:cs="Times New Roman"/>
              </w:rPr>
            </w:pPr>
          </w:p>
          <w:p w:rsidR="00B60012" w:rsidRDefault="00B60012" w:rsidP="00B60012">
            <w:pPr>
              <w:pStyle w:val="Default"/>
              <w:jc w:val="both"/>
              <w:rPr>
                <w:rFonts w:ascii="Times New Roman" w:hAnsi="Times New Roman" w:cs="Times New Roman"/>
              </w:rPr>
            </w:pPr>
            <w:r w:rsidRPr="00B60012">
              <w:rPr>
                <w:rFonts w:ascii="Times New Roman" w:hAnsi="Times New Roman" w:cs="Times New Roman"/>
              </w:rPr>
              <w:t xml:space="preserve">5.Ak sa odkazuje na tento odsek, uplatňuje sa článok 5 nariadenia Európskeho parlamentu a Rady (EÚ) č. 182/2011 (*) a na tento účel je výborom výbor zriadený podľa článku 58 nariadenia Rady (EÚ) č. 904/2010 (**). </w:t>
            </w:r>
          </w:p>
          <w:p w:rsidR="00B60012" w:rsidRDefault="00B60012" w:rsidP="00B60012">
            <w:pPr>
              <w:pStyle w:val="Default"/>
              <w:jc w:val="both"/>
              <w:rPr>
                <w:rFonts w:ascii="Times New Roman" w:hAnsi="Times New Roman" w:cs="Times New Roman"/>
              </w:rPr>
            </w:pPr>
          </w:p>
          <w:p w:rsidR="00B60012" w:rsidRDefault="00B60012" w:rsidP="00B60012">
            <w:pPr>
              <w:pStyle w:val="Default"/>
              <w:jc w:val="both"/>
              <w:rPr>
                <w:rFonts w:ascii="Times New Roman" w:hAnsi="Times New Roman" w:cs="Times New Roman"/>
              </w:rPr>
            </w:pPr>
            <w:r w:rsidRPr="00B60012">
              <w:rPr>
                <w:rFonts w:ascii="Times New Roman" w:hAnsi="Times New Roman" w:cs="Times New Roman"/>
              </w:rPr>
              <w:t xml:space="preserve">6.Osobitné opatrenie mechanizmu rýchlej reakcie stanovené v odseku 1 sa uplatňuje do 30. júna 2022. </w:t>
            </w:r>
          </w:p>
          <w:p w:rsidR="00B60012" w:rsidRDefault="00B60012" w:rsidP="00B60012">
            <w:pPr>
              <w:pStyle w:val="Default"/>
              <w:jc w:val="both"/>
              <w:rPr>
                <w:rFonts w:ascii="Times New Roman" w:hAnsi="Times New Roman" w:cs="Times New Roman"/>
              </w:rPr>
            </w:pPr>
          </w:p>
          <w:p w:rsidR="00B60012" w:rsidRDefault="00B60012" w:rsidP="00B60012">
            <w:pPr>
              <w:pStyle w:val="Default"/>
              <w:jc w:val="both"/>
              <w:rPr>
                <w:rFonts w:ascii="Times New Roman" w:hAnsi="Times New Roman" w:cs="Times New Roman"/>
              </w:rPr>
            </w:pPr>
            <w:r w:rsidRPr="00B60012">
              <w:rPr>
                <w:rFonts w:ascii="Times New Roman" w:hAnsi="Times New Roman" w:cs="Times New Roman"/>
              </w:rPr>
              <w:t>(*)Nariadenie Európskeho parlamentu a Rady (EÚ) č. 182/2011 zo 16. februára 2011, ktorým sa ustanovujú pravidlá a všeobecné zásady mechanizmu, na základe ktorého členské štáty kontrolujú vykonávanie vykonávacích právomocí Komisie (Ú. v. EÚ L 55, 28.2.2011, s. 13).</w:t>
            </w:r>
          </w:p>
          <w:p w:rsidR="00B60012" w:rsidRDefault="00B60012" w:rsidP="00B60012">
            <w:pPr>
              <w:pStyle w:val="Default"/>
              <w:jc w:val="both"/>
              <w:rPr>
                <w:rFonts w:ascii="Times New Roman" w:hAnsi="Times New Roman" w:cs="Times New Roman"/>
              </w:rPr>
            </w:pPr>
            <w:r w:rsidRPr="00B60012">
              <w:rPr>
                <w:rFonts w:ascii="Times New Roman" w:hAnsi="Times New Roman" w:cs="Times New Roman"/>
              </w:rPr>
              <w:t>(**)Nariadenie Rady (EÚ) č. 904/2010 zo 7. októbra 2010 o administratívnej spolupráci a boji proti podvodom v oblasti dane z pridanej hodnoty (Ú. v. EÚ L 268, 12.10.2010, s. 1).“</w:t>
            </w:r>
          </w:p>
          <w:p w:rsidR="00B60012" w:rsidRPr="00B60012" w:rsidRDefault="00B60012" w:rsidP="00B60012">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B255FC" w:rsidRDefault="00B255FC" w:rsidP="00B255FC">
            <w:pPr>
              <w:jc w:val="center"/>
            </w:pPr>
          </w:p>
          <w:p w:rsidR="00B60012" w:rsidRDefault="00B255FC" w:rsidP="00B255FC">
            <w:pPr>
              <w:jc w:val="center"/>
            </w:pPr>
            <w:r>
              <w:t>D</w:t>
            </w:r>
          </w:p>
        </w:tc>
        <w:tc>
          <w:tcPr>
            <w:tcW w:w="709" w:type="dxa"/>
            <w:tcBorders>
              <w:top w:val="single" w:sz="4" w:space="0" w:color="auto"/>
              <w:left w:val="nil"/>
              <w:bottom w:val="single" w:sz="4" w:space="0" w:color="auto"/>
              <w:right w:val="single" w:sz="4" w:space="0" w:color="auto"/>
            </w:tcBorders>
          </w:tcPr>
          <w:p w:rsidR="00B60012" w:rsidRPr="00AD113F" w:rsidRDefault="00B60012" w:rsidP="00815781">
            <w:pPr>
              <w:jc w:val="center"/>
            </w:pPr>
          </w:p>
        </w:tc>
        <w:tc>
          <w:tcPr>
            <w:tcW w:w="709" w:type="dxa"/>
            <w:tcBorders>
              <w:top w:val="single" w:sz="4" w:space="0" w:color="auto"/>
              <w:left w:val="single" w:sz="4" w:space="0" w:color="auto"/>
              <w:bottom w:val="single" w:sz="4" w:space="0" w:color="auto"/>
              <w:right w:val="single" w:sz="4" w:space="0" w:color="auto"/>
            </w:tcBorders>
          </w:tcPr>
          <w:p w:rsidR="00B60012" w:rsidRPr="000D7A9F" w:rsidRDefault="00B60012" w:rsidP="00834B3E">
            <w:pPr>
              <w:pStyle w:val="Normlny0"/>
              <w:jc w:val="both"/>
              <w:rPr>
                <w:sz w:val="24"/>
                <w:szCs w:val="24"/>
              </w:rPr>
            </w:pPr>
          </w:p>
        </w:tc>
        <w:tc>
          <w:tcPr>
            <w:tcW w:w="5612" w:type="dxa"/>
            <w:tcBorders>
              <w:top w:val="single" w:sz="4" w:space="0" w:color="auto"/>
              <w:left w:val="single" w:sz="4" w:space="0" w:color="auto"/>
              <w:bottom w:val="single" w:sz="4" w:space="0" w:color="auto"/>
              <w:right w:val="single" w:sz="4" w:space="0" w:color="auto"/>
            </w:tcBorders>
          </w:tcPr>
          <w:p w:rsidR="00B60012" w:rsidRPr="00815781" w:rsidRDefault="00B60012" w:rsidP="0029483D">
            <w:pPr>
              <w:pStyle w:val="Zkladntext"/>
              <w:jc w:val="both"/>
            </w:pPr>
          </w:p>
        </w:tc>
        <w:tc>
          <w:tcPr>
            <w:tcW w:w="483" w:type="dxa"/>
            <w:tcBorders>
              <w:top w:val="single" w:sz="4" w:space="0" w:color="auto"/>
              <w:left w:val="single" w:sz="4" w:space="0" w:color="auto"/>
              <w:bottom w:val="single" w:sz="4" w:space="0" w:color="auto"/>
              <w:right w:val="single" w:sz="4" w:space="0" w:color="auto"/>
            </w:tcBorders>
          </w:tcPr>
          <w:p w:rsidR="00B60012" w:rsidRDefault="00B60012" w:rsidP="00834B3E">
            <w:pPr>
              <w:jc w:val="both"/>
            </w:pPr>
          </w:p>
          <w:p w:rsidR="00B255FC" w:rsidRDefault="00B255FC" w:rsidP="00B255FC">
            <w:pPr>
              <w:jc w:val="center"/>
            </w:pPr>
            <w:r w:rsidRPr="000D7A9F">
              <w:t>n.a.</w:t>
            </w:r>
          </w:p>
        </w:tc>
        <w:tc>
          <w:tcPr>
            <w:tcW w:w="634" w:type="dxa"/>
            <w:tcBorders>
              <w:top w:val="single" w:sz="4" w:space="0" w:color="auto"/>
              <w:left w:val="single" w:sz="4" w:space="0" w:color="auto"/>
              <w:bottom w:val="single" w:sz="4" w:space="0" w:color="auto"/>
              <w:right w:val="single" w:sz="12" w:space="0" w:color="auto"/>
            </w:tcBorders>
          </w:tcPr>
          <w:p w:rsidR="00B60012" w:rsidRPr="000D7A9F" w:rsidRDefault="00B60012" w:rsidP="00834B3E">
            <w:pPr>
              <w:pStyle w:val="Nadpis1"/>
              <w:jc w:val="both"/>
              <w:rPr>
                <w:b w:val="0"/>
                <w:bCs w:val="0"/>
              </w:rPr>
            </w:pPr>
          </w:p>
        </w:tc>
      </w:tr>
      <w:tr w:rsidR="00B60012" w:rsidRPr="000D7A9F" w:rsidTr="00EB6BE9">
        <w:tc>
          <w:tcPr>
            <w:tcW w:w="540" w:type="dxa"/>
            <w:tcBorders>
              <w:top w:val="single" w:sz="4" w:space="0" w:color="auto"/>
              <w:left w:val="single" w:sz="12" w:space="0" w:color="auto"/>
              <w:bottom w:val="single" w:sz="4" w:space="0" w:color="auto"/>
              <w:right w:val="single" w:sz="4" w:space="0" w:color="auto"/>
            </w:tcBorders>
          </w:tcPr>
          <w:p w:rsidR="00B60012" w:rsidRPr="000D7A9F" w:rsidRDefault="00B60012" w:rsidP="00834B3E">
            <w:pPr>
              <w:jc w:val="both"/>
            </w:pPr>
            <w:r w:rsidRPr="000D7A9F">
              <w:lastRenderedPageBreak/>
              <w:t xml:space="preserve">Čl. </w:t>
            </w:r>
            <w:r>
              <w:t>1 bod3</w:t>
            </w:r>
          </w:p>
        </w:tc>
        <w:tc>
          <w:tcPr>
            <w:tcW w:w="6946" w:type="dxa"/>
            <w:gridSpan w:val="2"/>
            <w:tcBorders>
              <w:top w:val="single" w:sz="4" w:space="0" w:color="auto"/>
              <w:left w:val="single" w:sz="4" w:space="0" w:color="auto"/>
              <w:bottom w:val="single" w:sz="4" w:space="0" w:color="auto"/>
              <w:right w:val="single" w:sz="4" w:space="0" w:color="auto"/>
            </w:tcBorders>
          </w:tcPr>
          <w:p w:rsidR="00B60012" w:rsidRPr="00B60012" w:rsidRDefault="00B60012" w:rsidP="00834B3E">
            <w:pPr>
              <w:pStyle w:val="Default"/>
              <w:jc w:val="both"/>
              <w:rPr>
                <w:rFonts w:ascii="Times New Roman" w:hAnsi="Times New Roman" w:cs="Times New Roman"/>
              </w:rPr>
            </w:pPr>
            <w:r>
              <w:rPr>
                <w:rFonts w:ascii="Times New Roman" w:hAnsi="Times New Roman" w:cs="Times New Roman"/>
              </w:rPr>
              <w:t xml:space="preserve">3. </w:t>
            </w:r>
            <w:r w:rsidRPr="00B60012">
              <w:rPr>
                <w:rFonts w:ascii="Times New Roman" w:hAnsi="Times New Roman" w:cs="Times New Roman"/>
              </w:rPr>
              <w:t>V článku 395 sa vypúšťa odsek 5</w:t>
            </w:r>
            <w:r w:rsidR="00EB6BE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12" w:space="0" w:color="auto"/>
            </w:tcBorders>
          </w:tcPr>
          <w:p w:rsidR="00B60012" w:rsidRDefault="006E56AE" w:rsidP="006E56AE">
            <w:pPr>
              <w:jc w:val="center"/>
            </w:pPr>
            <w:r>
              <w:t>n.a</w:t>
            </w:r>
            <w:r w:rsidRPr="000D7A9F">
              <w:t>.</w:t>
            </w:r>
          </w:p>
        </w:tc>
        <w:tc>
          <w:tcPr>
            <w:tcW w:w="709" w:type="dxa"/>
            <w:tcBorders>
              <w:top w:val="single" w:sz="4" w:space="0" w:color="auto"/>
              <w:left w:val="nil"/>
              <w:bottom w:val="single" w:sz="4" w:space="0" w:color="auto"/>
              <w:right w:val="single" w:sz="4" w:space="0" w:color="auto"/>
            </w:tcBorders>
          </w:tcPr>
          <w:p w:rsidR="00B60012" w:rsidRPr="00AD113F" w:rsidRDefault="00B60012" w:rsidP="00815781">
            <w:pPr>
              <w:jc w:val="center"/>
            </w:pPr>
          </w:p>
        </w:tc>
        <w:tc>
          <w:tcPr>
            <w:tcW w:w="709" w:type="dxa"/>
            <w:tcBorders>
              <w:top w:val="single" w:sz="4" w:space="0" w:color="auto"/>
              <w:left w:val="single" w:sz="4" w:space="0" w:color="auto"/>
              <w:bottom w:val="single" w:sz="4" w:space="0" w:color="auto"/>
              <w:right w:val="single" w:sz="4" w:space="0" w:color="auto"/>
            </w:tcBorders>
          </w:tcPr>
          <w:p w:rsidR="00B60012" w:rsidRPr="000D7A9F" w:rsidRDefault="00B60012" w:rsidP="00834B3E">
            <w:pPr>
              <w:pStyle w:val="Normlny0"/>
              <w:jc w:val="both"/>
              <w:rPr>
                <w:sz w:val="24"/>
                <w:szCs w:val="24"/>
              </w:rPr>
            </w:pPr>
          </w:p>
        </w:tc>
        <w:tc>
          <w:tcPr>
            <w:tcW w:w="5612" w:type="dxa"/>
            <w:tcBorders>
              <w:top w:val="single" w:sz="4" w:space="0" w:color="auto"/>
              <w:left w:val="single" w:sz="4" w:space="0" w:color="auto"/>
              <w:bottom w:val="single" w:sz="4" w:space="0" w:color="auto"/>
              <w:right w:val="single" w:sz="4" w:space="0" w:color="auto"/>
            </w:tcBorders>
          </w:tcPr>
          <w:p w:rsidR="00B60012" w:rsidRPr="00815781" w:rsidRDefault="00B60012" w:rsidP="0029483D">
            <w:pPr>
              <w:pStyle w:val="Zkladntext"/>
              <w:jc w:val="both"/>
            </w:pPr>
          </w:p>
        </w:tc>
        <w:tc>
          <w:tcPr>
            <w:tcW w:w="483" w:type="dxa"/>
            <w:tcBorders>
              <w:top w:val="single" w:sz="4" w:space="0" w:color="auto"/>
              <w:left w:val="single" w:sz="4" w:space="0" w:color="auto"/>
              <w:bottom w:val="single" w:sz="4" w:space="0" w:color="auto"/>
              <w:right w:val="single" w:sz="4" w:space="0" w:color="auto"/>
            </w:tcBorders>
          </w:tcPr>
          <w:p w:rsidR="00B60012" w:rsidRDefault="00EF1967" w:rsidP="00EF1967">
            <w:pPr>
              <w:jc w:val="center"/>
            </w:pPr>
            <w:r>
              <w:t>n.a</w:t>
            </w:r>
            <w:r w:rsidRPr="000D7A9F">
              <w:t>.</w:t>
            </w:r>
          </w:p>
        </w:tc>
        <w:tc>
          <w:tcPr>
            <w:tcW w:w="634" w:type="dxa"/>
            <w:tcBorders>
              <w:top w:val="single" w:sz="4" w:space="0" w:color="auto"/>
              <w:left w:val="single" w:sz="4" w:space="0" w:color="auto"/>
              <w:bottom w:val="single" w:sz="4" w:space="0" w:color="auto"/>
              <w:right w:val="single" w:sz="12" w:space="0" w:color="auto"/>
            </w:tcBorders>
          </w:tcPr>
          <w:p w:rsidR="00B60012" w:rsidRPr="00333938" w:rsidRDefault="00333938" w:rsidP="00834B3E">
            <w:pPr>
              <w:pStyle w:val="Nadpis1"/>
              <w:jc w:val="both"/>
              <w:rPr>
                <w:b w:val="0"/>
                <w:bCs w:val="0"/>
                <w:sz w:val="20"/>
                <w:szCs w:val="20"/>
              </w:rPr>
            </w:pPr>
            <w:r w:rsidRPr="00333938">
              <w:rPr>
                <w:b w:val="0"/>
                <w:bCs w:val="0"/>
                <w:sz w:val="20"/>
                <w:szCs w:val="20"/>
              </w:rPr>
              <w:t xml:space="preserve">Vypustený text je súčasťou čl. </w:t>
            </w:r>
            <w:r w:rsidRPr="00333938">
              <w:rPr>
                <w:b w:val="0"/>
                <w:bCs w:val="0"/>
                <w:sz w:val="20"/>
                <w:szCs w:val="20"/>
              </w:rPr>
              <w:lastRenderedPageBreak/>
              <w:t>199b ods. 2.</w:t>
            </w:r>
          </w:p>
        </w:tc>
      </w:tr>
      <w:tr w:rsidR="00162F39" w:rsidRPr="000D7A9F" w:rsidTr="00EB6BE9">
        <w:tc>
          <w:tcPr>
            <w:tcW w:w="540" w:type="dxa"/>
            <w:tcBorders>
              <w:top w:val="single" w:sz="4" w:space="0" w:color="auto"/>
              <w:left w:val="single" w:sz="12" w:space="0" w:color="auto"/>
              <w:bottom w:val="single" w:sz="4" w:space="0" w:color="auto"/>
              <w:right w:val="single" w:sz="4" w:space="0" w:color="auto"/>
            </w:tcBorders>
          </w:tcPr>
          <w:p w:rsidR="00162F39" w:rsidRPr="000D7A9F" w:rsidRDefault="0032751F" w:rsidP="00AD113F">
            <w:pPr>
              <w:jc w:val="both"/>
            </w:pPr>
            <w:r w:rsidRPr="000D7A9F">
              <w:lastRenderedPageBreak/>
              <w:t xml:space="preserve">Čl. </w:t>
            </w:r>
            <w:r w:rsidR="00EB6BE9">
              <w:t>2</w:t>
            </w:r>
          </w:p>
        </w:tc>
        <w:tc>
          <w:tcPr>
            <w:tcW w:w="6946" w:type="dxa"/>
            <w:gridSpan w:val="2"/>
            <w:tcBorders>
              <w:top w:val="single" w:sz="4" w:space="0" w:color="auto"/>
              <w:left w:val="single" w:sz="4" w:space="0" w:color="auto"/>
              <w:bottom w:val="single" w:sz="4" w:space="0" w:color="auto"/>
              <w:right w:val="single" w:sz="4" w:space="0" w:color="auto"/>
            </w:tcBorders>
          </w:tcPr>
          <w:p w:rsidR="00162F39" w:rsidRPr="000D7A9F" w:rsidRDefault="0032751F" w:rsidP="00834B3E">
            <w:pPr>
              <w:pStyle w:val="Default"/>
              <w:jc w:val="both"/>
              <w:rPr>
                <w:rFonts w:ascii="Times New Roman" w:hAnsi="Times New Roman" w:cs="Times New Roman"/>
              </w:rPr>
            </w:pPr>
            <w:r w:rsidRPr="000D7A9F">
              <w:rPr>
                <w:rFonts w:ascii="Times New Roman" w:hAnsi="Times New Roman" w:cs="Times New Roman"/>
              </w:rPr>
              <w:t>Táto smernica nadobúda účinnosť</w:t>
            </w:r>
            <w:r w:rsidR="00AD113F">
              <w:rPr>
                <w:rFonts w:ascii="Times New Roman" w:hAnsi="Times New Roman" w:cs="Times New Roman"/>
              </w:rPr>
              <w:t xml:space="preserve"> </w:t>
            </w:r>
            <w:r w:rsidR="00AD113F" w:rsidRPr="00AD113F">
              <w:rPr>
                <w:rFonts w:ascii="Times New Roman" w:hAnsi="Times New Roman" w:cs="Times New Roman"/>
              </w:rPr>
              <w:t>dvadsiatym</w:t>
            </w:r>
            <w:r w:rsidRPr="000D7A9F">
              <w:rPr>
                <w:rFonts w:ascii="Times New Roman" w:hAnsi="Times New Roman" w:cs="Times New Roman"/>
              </w:rPr>
              <w:t xml:space="preserve"> dňom po jej uverejnení</w:t>
            </w:r>
            <w:r w:rsidR="00AD113F">
              <w:rPr>
                <w:rFonts w:ascii="Times New Roman" w:hAnsi="Times New Roman" w:cs="Times New Roman"/>
              </w:rPr>
              <w:t xml:space="preserve"> </w:t>
            </w:r>
            <w:r w:rsidRPr="000D7A9F">
              <w:rPr>
                <w:rFonts w:ascii="Times New Roman" w:hAnsi="Times New Roman" w:cs="Times New Roman"/>
              </w:rPr>
              <w:t xml:space="preserve"> v </w:t>
            </w:r>
            <w:r w:rsidRPr="000D7A9F">
              <w:rPr>
                <w:rFonts w:ascii="Times New Roman" w:hAnsi="Times New Roman" w:cs="Times New Roman"/>
                <w:i/>
                <w:iCs/>
              </w:rPr>
              <w:t>Úradnom vestníku Európskej únie</w:t>
            </w:r>
            <w:r w:rsidRPr="000D7A9F">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12" w:space="0" w:color="auto"/>
            </w:tcBorders>
          </w:tcPr>
          <w:p w:rsidR="00162F39" w:rsidRPr="000D7A9F" w:rsidRDefault="00DD7F71" w:rsidP="00EB6BE9">
            <w:pPr>
              <w:jc w:val="center"/>
            </w:pPr>
            <w:r w:rsidRPr="000D7A9F">
              <w:t>n.a.</w:t>
            </w:r>
          </w:p>
        </w:tc>
        <w:tc>
          <w:tcPr>
            <w:tcW w:w="709" w:type="dxa"/>
            <w:tcBorders>
              <w:top w:val="single" w:sz="4" w:space="0" w:color="auto"/>
              <w:left w:val="nil"/>
              <w:bottom w:val="single" w:sz="4" w:space="0" w:color="auto"/>
              <w:right w:val="single" w:sz="4" w:space="0" w:color="auto"/>
            </w:tcBorders>
          </w:tcPr>
          <w:p w:rsidR="00162F39" w:rsidRPr="000D7A9F" w:rsidRDefault="00162F39" w:rsidP="00834B3E">
            <w:pPr>
              <w:jc w:val="both"/>
              <w:rPr>
                <w:b/>
              </w:rPr>
            </w:pPr>
          </w:p>
        </w:tc>
        <w:tc>
          <w:tcPr>
            <w:tcW w:w="709" w:type="dxa"/>
            <w:tcBorders>
              <w:top w:val="single" w:sz="4" w:space="0" w:color="auto"/>
              <w:left w:val="single" w:sz="4" w:space="0" w:color="auto"/>
              <w:bottom w:val="single" w:sz="4" w:space="0" w:color="auto"/>
              <w:right w:val="single" w:sz="4" w:space="0" w:color="auto"/>
            </w:tcBorders>
          </w:tcPr>
          <w:p w:rsidR="00162F39" w:rsidRPr="000D7A9F" w:rsidRDefault="00162F39" w:rsidP="00834B3E">
            <w:pPr>
              <w:pStyle w:val="Normlny0"/>
              <w:jc w:val="both"/>
              <w:rPr>
                <w:sz w:val="24"/>
                <w:szCs w:val="24"/>
              </w:rPr>
            </w:pPr>
          </w:p>
        </w:tc>
        <w:tc>
          <w:tcPr>
            <w:tcW w:w="5612" w:type="dxa"/>
            <w:tcBorders>
              <w:top w:val="single" w:sz="4" w:space="0" w:color="auto"/>
              <w:left w:val="single" w:sz="4" w:space="0" w:color="auto"/>
              <w:bottom w:val="single" w:sz="4" w:space="0" w:color="auto"/>
              <w:right w:val="single" w:sz="4" w:space="0" w:color="auto"/>
            </w:tcBorders>
          </w:tcPr>
          <w:p w:rsidR="00162F39" w:rsidRPr="000D7A9F" w:rsidRDefault="00162F39" w:rsidP="00834B3E">
            <w:pPr>
              <w:pStyle w:val="Normlny0"/>
              <w:jc w:val="both"/>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162F39" w:rsidRPr="000D7A9F" w:rsidRDefault="00EB6BE9" w:rsidP="00EB6BE9">
            <w:pPr>
              <w:jc w:val="center"/>
            </w:pPr>
            <w:r>
              <w:t>n.a</w:t>
            </w:r>
            <w:r w:rsidR="00DD7F71" w:rsidRPr="000D7A9F">
              <w:t>.</w:t>
            </w:r>
          </w:p>
        </w:tc>
        <w:tc>
          <w:tcPr>
            <w:tcW w:w="634" w:type="dxa"/>
            <w:tcBorders>
              <w:top w:val="single" w:sz="4" w:space="0" w:color="auto"/>
              <w:left w:val="single" w:sz="4" w:space="0" w:color="auto"/>
              <w:bottom w:val="single" w:sz="4" w:space="0" w:color="auto"/>
              <w:right w:val="single" w:sz="12" w:space="0" w:color="auto"/>
            </w:tcBorders>
          </w:tcPr>
          <w:p w:rsidR="00162F39" w:rsidRPr="000D7A9F" w:rsidRDefault="00162F39" w:rsidP="00834B3E">
            <w:pPr>
              <w:pStyle w:val="Nadpis1"/>
              <w:jc w:val="both"/>
              <w:rPr>
                <w:b w:val="0"/>
                <w:bCs w:val="0"/>
              </w:rPr>
            </w:pPr>
          </w:p>
        </w:tc>
      </w:tr>
      <w:tr w:rsidR="00162F39" w:rsidRPr="000D7A9F" w:rsidTr="00EB6BE9">
        <w:tc>
          <w:tcPr>
            <w:tcW w:w="540" w:type="dxa"/>
            <w:tcBorders>
              <w:top w:val="single" w:sz="4" w:space="0" w:color="auto"/>
              <w:left w:val="single" w:sz="12" w:space="0" w:color="auto"/>
              <w:bottom w:val="single" w:sz="4" w:space="0" w:color="auto"/>
              <w:right w:val="single" w:sz="4" w:space="0" w:color="auto"/>
            </w:tcBorders>
          </w:tcPr>
          <w:p w:rsidR="00162F39" w:rsidRPr="000D7A9F" w:rsidRDefault="0032751F" w:rsidP="00AD113F">
            <w:pPr>
              <w:jc w:val="both"/>
            </w:pPr>
            <w:r w:rsidRPr="000D7A9F">
              <w:t xml:space="preserve">Čl. </w:t>
            </w:r>
            <w:r w:rsidR="00EB6BE9">
              <w:t>3</w:t>
            </w:r>
          </w:p>
        </w:tc>
        <w:tc>
          <w:tcPr>
            <w:tcW w:w="6946" w:type="dxa"/>
            <w:gridSpan w:val="2"/>
            <w:tcBorders>
              <w:top w:val="single" w:sz="4" w:space="0" w:color="auto"/>
              <w:left w:val="single" w:sz="4" w:space="0" w:color="auto"/>
              <w:bottom w:val="single" w:sz="4" w:space="0" w:color="auto"/>
              <w:right w:val="single" w:sz="4" w:space="0" w:color="auto"/>
            </w:tcBorders>
          </w:tcPr>
          <w:p w:rsidR="0032751F" w:rsidRPr="000D7A9F" w:rsidRDefault="0032751F" w:rsidP="00834B3E">
            <w:pPr>
              <w:pStyle w:val="Default"/>
              <w:jc w:val="both"/>
              <w:rPr>
                <w:rFonts w:ascii="Times New Roman" w:hAnsi="Times New Roman" w:cs="Times New Roman"/>
              </w:rPr>
            </w:pPr>
            <w:r w:rsidRPr="000D7A9F">
              <w:rPr>
                <w:rFonts w:ascii="Times New Roman" w:hAnsi="Times New Roman" w:cs="Times New Roman"/>
              </w:rPr>
              <w:t xml:space="preserve">Táto smernica je určená členským štátom. </w:t>
            </w:r>
          </w:p>
          <w:p w:rsidR="0032751F" w:rsidRPr="000D7A9F" w:rsidRDefault="0032751F" w:rsidP="00834B3E">
            <w:pPr>
              <w:pStyle w:val="Default"/>
              <w:jc w:val="both"/>
              <w:rPr>
                <w:rFonts w:ascii="Times New Roman" w:hAnsi="Times New Roman" w:cs="Times New Roman"/>
              </w:rPr>
            </w:pPr>
            <w:r w:rsidRPr="000D7A9F">
              <w:rPr>
                <w:rFonts w:ascii="Times New Roman" w:hAnsi="Times New Roman" w:cs="Times New Roman"/>
              </w:rPr>
              <w:t xml:space="preserve">V </w:t>
            </w:r>
            <w:r w:rsidR="00AD113F">
              <w:rPr>
                <w:rFonts w:ascii="Times New Roman" w:hAnsi="Times New Roman" w:cs="Times New Roman"/>
              </w:rPr>
              <w:t>Bruseli</w:t>
            </w:r>
            <w:r w:rsidRPr="000D7A9F">
              <w:rPr>
                <w:rFonts w:ascii="Times New Roman" w:hAnsi="Times New Roman" w:cs="Times New Roman"/>
              </w:rPr>
              <w:t xml:space="preserve"> </w:t>
            </w:r>
            <w:r w:rsidR="00EB6BE9">
              <w:rPr>
                <w:rFonts w:ascii="Times New Roman" w:hAnsi="Times New Roman" w:cs="Times New Roman"/>
              </w:rPr>
              <w:t>6</w:t>
            </w:r>
            <w:r w:rsidRPr="000D7A9F">
              <w:rPr>
                <w:rFonts w:ascii="Times New Roman" w:hAnsi="Times New Roman" w:cs="Times New Roman"/>
              </w:rPr>
              <w:t xml:space="preserve">. </w:t>
            </w:r>
            <w:r w:rsidR="00EB6BE9">
              <w:rPr>
                <w:rFonts w:ascii="Times New Roman" w:hAnsi="Times New Roman" w:cs="Times New Roman"/>
              </w:rPr>
              <w:t>novembra</w:t>
            </w:r>
            <w:r w:rsidRPr="000D7A9F">
              <w:rPr>
                <w:rFonts w:ascii="Times New Roman" w:hAnsi="Times New Roman" w:cs="Times New Roman"/>
              </w:rPr>
              <w:t xml:space="preserve"> 201</w:t>
            </w:r>
            <w:r w:rsidR="00EB6BE9">
              <w:rPr>
                <w:rFonts w:ascii="Times New Roman" w:hAnsi="Times New Roman" w:cs="Times New Roman"/>
              </w:rPr>
              <w:t>8</w:t>
            </w:r>
            <w:r w:rsidRPr="000D7A9F">
              <w:rPr>
                <w:rFonts w:ascii="Times New Roman" w:hAnsi="Times New Roman" w:cs="Times New Roman"/>
              </w:rPr>
              <w:t xml:space="preserve"> </w:t>
            </w:r>
          </w:p>
          <w:p w:rsidR="00162F39" w:rsidRPr="000D7A9F" w:rsidRDefault="0032751F" w:rsidP="00834B3E">
            <w:pPr>
              <w:pStyle w:val="Default"/>
              <w:jc w:val="both"/>
              <w:rPr>
                <w:rFonts w:ascii="Times New Roman" w:hAnsi="Times New Roman" w:cs="Times New Roman"/>
              </w:rPr>
            </w:pPr>
            <w:r w:rsidRPr="000D7A9F">
              <w:rPr>
                <w:rFonts w:ascii="Times New Roman" w:hAnsi="Times New Roman" w:cs="Times New Roman"/>
                <w:i/>
                <w:iCs/>
              </w:rPr>
              <w:t xml:space="preserve">Za Radu </w:t>
            </w:r>
            <w:r w:rsidRPr="00EB6BE9">
              <w:rPr>
                <w:rFonts w:ascii="Times New Roman" w:hAnsi="Times New Roman" w:cs="Times New Roman"/>
                <w:i/>
                <w:iCs/>
              </w:rPr>
              <w:t>predseda</w:t>
            </w:r>
            <w:r w:rsidRPr="00EB6BE9">
              <w:rPr>
                <w:rFonts w:ascii="Times New Roman" w:hAnsi="Times New Roman" w:cs="Times New Roman"/>
              </w:rPr>
              <w:t xml:space="preserve"> </w:t>
            </w:r>
            <w:r w:rsidR="00EB6BE9" w:rsidRPr="00EB6BE9">
              <w:rPr>
                <w:rFonts w:ascii="Times New Roman" w:hAnsi="Times New Roman" w:cs="Times New Roman"/>
              </w:rPr>
              <w:t>H. LÖGER</w:t>
            </w:r>
          </w:p>
        </w:tc>
        <w:tc>
          <w:tcPr>
            <w:tcW w:w="567" w:type="dxa"/>
            <w:tcBorders>
              <w:top w:val="single" w:sz="4" w:space="0" w:color="auto"/>
              <w:left w:val="single" w:sz="4" w:space="0" w:color="auto"/>
              <w:bottom w:val="single" w:sz="4" w:space="0" w:color="auto"/>
              <w:right w:val="single" w:sz="12" w:space="0" w:color="auto"/>
            </w:tcBorders>
          </w:tcPr>
          <w:p w:rsidR="00162F39" w:rsidRPr="000D7A9F" w:rsidRDefault="00DD7F71" w:rsidP="00EB6BE9">
            <w:pPr>
              <w:jc w:val="center"/>
            </w:pPr>
            <w:r w:rsidRPr="000D7A9F">
              <w:t>n.a.</w:t>
            </w:r>
          </w:p>
        </w:tc>
        <w:tc>
          <w:tcPr>
            <w:tcW w:w="709" w:type="dxa"/>
            <w:tcBorders>
              <w:top w:val="single" w:sz="4" w:space="0" w:color="auto"/>
              <w:left w:val="nil"/>
              <w:bottom w:val="single" w:sz="4" w:space="0" w:color="auto"/>
              <w:right w:val="single" w:sz="4" w:space="0" w:color="auto"/>
            </w:tcBorders>
          </w:tcPr>
          <w:p w:rsidR="00162F39" w:rsidRPr="000D7A9F" w:rsidRDefault="00162F39" w:rsidP="00834B3E">
            <w:pPr>
              <w:jc w:val="both"/>
              <w:rPr>
                <w:b/>
              </w:rPr>
            </w:pPr>
          </w:p>
        </w:tc>
        <w:tc>
          <w:tcPr>
            <w:tcW w:w="709" w:type="dxa"/>
            <w:tcBorders>
              <w:top w:val="single" w:sz="4" w:space="0" w:color="auto"/>
              <w:left w:val="single" w:sz="4" w:space="0" w:color="auto"/>
              <w:bottom w:val="single" w:sz="4" w:space="0" w:color="auto"/>
              <w:right w:val="single" w:sz="4" w:space="0" w:color="auto"/>
            </w:tcBorders>
          </w:tcPr>
          <w:p w:rsidR="00162F39" w:rsidRPr="000D7A9F" w:rsidRDefault="00162F39" w:rsidP="00834B3E">
            <w:pPr>
              <w:pStyle w:val="Normlny0"/>
              <w:jc w:val="both"/>
              <w:rPr>
                <w:sz w:val="24"/>
                <w:szCs w:val="24"/>
              </w:rPr>
            </w:pPr>
          </w:p>
        </w:tc>
        <w:tc>
          <w:tcPr>
            <w:tcW w:w="5612" w:type="dxa"/>
            <w:tcBorders>
              <w:top w:val="single" w:sz="4" w:space="0" w:color="auto"/>
              <w:left w:val="single" w:sz="4" w:space="0" w:color="auto"/>
              <w:bottom w:val="single" w:sz="4" w:space="0" w:color="auto"/>
              <w:right w:val="single" w:sz="4" w:space="0" w:color="auto"/>
            </w:tcBorders>
          </w:tcPr>
          <w:p w:rsidR="00162F39" w:rsidRPr="000D7A9F" w:rsidRDefault="00162F39" w:rsidP="00834B3E">
            <w:pPr>
              <w:pStyle w:val="Normlny0"/>
              <w:jc w:val="both"/>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162F39" w:rsidRPr="000D7A9F" w:rsidRDefault="00DD7F71" w:rsidP="00EB6BE9">
            <w:pPr>
              <w:jc w:val="center"/>
            </w:pPr>
            <w:r w:rsidRPr="000D7A9F">
              <w:t>n.a.</w:t>
            </w:r>
          </w:p>
        </w:tc>
        <w:tc>
          <w:tcPr>
            <w:tcW w:w="634" w:type="dxa"/>
            <w:tcBorders>
              <w:top w:val="single" w:sz="4" w:space="0" w:color="auto"/>
              <w:left w:val="single" w:sz="4" w:space="0" w:color="auto"/>
              <w:bottom w:val="single" w:sz="4" w:space="0" w:color="auto"/>
              <w:right w:val="single" w:sz="12" w:space="0" w:color="auto"/>
            </w:tcBorders>
          </w:tcPr>
          <w:p w:rsidR="00162F39" w:rsidRPr="000D7A9F" w:rsidRDefault="00162F39" w:rsidP="00834B3E">
            <w:pPr>
              <w:pStyle w:val="Nadpis1"/>
              <w:jc w:val="both"/>
              <w:rPr>
                <w:b w:val="0"/>
                <w:bCs w:val="0"/>
              </w:rPr>
            </w:pPr>
          </w:p>
        </w:tc>
      </w:tr>
    </w:tbl>
    <w:p w:rsidR="00AE1172" w:rsidRDefault="00AE1172" w:rsidP="00834B3E">
      <w:pPr>
        <w:autoSpaceDE/>
        <w:autoSpaceDN/>
        <w:jc w:val="both"/>
      </w:pPr>
    </w:p>
    <w:p w:rsidR="00162F39" w:rsidRPr="000D7A9F" w:rsidRDefault="00162F39" w:rsidP="00834B3E">
      <w:pPr>
        <w:autoSpaceDE/>
        <w:autoSpaceDN/>
        <w:jc w:val="both"/>
      </w:pPr>
      <w:r w:rsidRPr="000D7A9F">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0D7A9F" w:rsidTr="00344B44">
        <w:tc>
          <w:tcPr>
            <w:tcW w:w="241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(1):</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O – odsek</w:t>
            </w:r>
          </w:p>
          <w:p w:rsidR="00162F39" w:rsidRPr="000D7A9F" w:rsidRDefault="00162F39" w:rsidP="00834B3E">
            <w:pPr>
              <w:autoSpaceDE/>
              <w:autoSpaceDN/>
              <w:jc w:val="both"/>
            </w:pPr>
            <w:r w:rsidRPr="000D7A9F">
              <w:t>V – veta</w:t>
            </w:r>
          </w:p>
          <w:p w:rsidR="00162F39" w:rsidRPr="000D7A9F" w:rsidRDefault="00162F39" w:rsidP="00834B3E">
            <w:pPr>
              <w:autoSpaceDE/>
              <w:autoSpaceDN/>
              <w:jc w:val="both"/>
            </w:pPr>
            <w:r w:rsidRPr="000D7A9F">
              <w:t>P – číslo (písmeno)</w:t>
            </w:r>
          </w:p>
          <w:p w:rsidR="00162F39" w:rsidRPr="000D7A9F" w:rsidRDefault="00162F39" w:rsidP="00834B3E">
            <w:pPr>
              <w:autoSpaceDE/>
              <w:autoSpaceDN/>
              <w:jc w:val="both"/>
            </w:pPr>
          </w:p>
        </w:tc>
        <w:tc>
          <w:tcPr>
            <w:tcW w:w="378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(3):</w:t>
            </w:r>
          </w:p>
          <w:p w:rsidR="00162F39" w:rsidRPr="000D7A9F" w:rsidRDefault="00162F39" w:rsidP="00834B3E">
            <w:pPr>
              <w:autoSpaceDE/>
              <w:autoSpaceDN/>
              <w:jc w:val="both"/>
            </w:pPr>
            <w:r w:rsidRPr="000D7A9F">
              <w:t>N – bežná transpozícia</w:t>
            </w:r>
          </w:p>
          <w:p w:rsidR="00162F39" w:rsidRPr="000D7A9F" w:rsidRDefault="00162F39" w:rsidP="00834B3E">
            <w:pPr>
              <w:autoSpaceDE/>
              <w:autoSpaceDN/>
              <w:jc w:val="both"/>
            </w:pPr>
            <w:r w:rsidRPr="000D7A9F">
              <w:t>O – transpozícia s možnosťou voľby</w:t>
            </w:r>
          </w:p>
          <w:p w:rsidR="00162F39" w:rsidRPr="000D7A9F" w:rsidRDefault="00162F39" w:rsidP="00834B3E">
            <w:pPr>
              <w:autoSpaceDE/>
              <w:autoSpaceDN/>
              <w:jc w:val="both"/>
            </w:pPr>
            <w:r w:rsidRPr="000D7A9F">
              <w:t>D – transpozícia podľa úvahy (dobrovoľná)</w:t>
            </w:r>
          </w:p>
          <w:p w:rsidR="00162F39" w:rsidRPr="000D7A9F" w:rsidRDefault="00162F39" w:rsidP="00834B3E">
            <w:pPr>
              <w:autoSpaceDE/>
              <w:autoSpaceDN/>
              <w:jc w:val="both"/>
            </w:pPr>
            <w:r w:rsidRPr="000D7A9F">
              <w:t>n.a. – transpozícia sa neuskutočňuje</w:t>
            </w:r>
          </w:p>
        </w:tc>
        <w:tc>
          <w:tcPr>
            <w:tcW w:w="234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(5):</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 – paragraf</w:t>
            </w:r>
          </w:p>
          <w:p w:rsidR="00162F39" w:rsidRPr="000D7A9F" w:rsidRDefault="00162F39" w:rsidP="00834B3E">
            <w:pPr>
              <w:autoSpaceDE/>
              <w:autoSpaceDN/>
              <w:jc w:val="both"/>
            </w:pPr>
            <w:r w:rsidRPr="000D7A9F">
              <w:t>O – odsek</w:t>
            </w:r>
          </w:p>
          <w:p w:rsidR="00162F39" w:rsidRPr="000D7A9F" w:rsidRDefault="00162F39" w:rsidP="00834B3E">
            <w:pPr>
              <w:autoSpaceDE/>
              <w:autoSpaceDN/>
              <w:jc w:val="both"/>
            </w:pPr>
            <w:r w:rsidRPr="000D7A9F">
              <w:t>V – veta</w:t>
            </w:r>
          </w:p>
          <w:p w:rsidR="00162F39" w:rsidRPr="000D7A9F" w:rsidRDefault="00162F39" w:rsidP="00834B3E">
            <w:pPr>
              <w:autoSpaceDE/>
              <w:autoSpaceDN/>
              <w:jc w:val="both"/>
            </w:pPr>
            <w:r w:rsidRPr="000D7A9F">
              <w:t>P – písmeno (číslo)</w:t>
            </w:r>
          </w:p>
        </w:tc>
        <w:tc>
          <w:tcPr>
            <w:tcW w:w="720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(7):</w:t>
            </w:r>
          </w:p>
          <w:p w:rsidR="00162F39" w:rsidRPr="000D7A9F" w:rsidRDefault="00162F39" w:rsidP="00834B3E">
            <w:pPr>
              <w:autoSpaceDE/>
              <w:autoSpaceDN/>
              <w:ind w:left="290" w:hanging="290"/>
              <w:jc w:val="both"/>
            </w:pPr>
            <w:r w:rsidRPr="000D7A9F">
              <w:t>Ú – úplná zhoda (ak bolo ustanovenie smernice prebraté v celom rozsahu, správne, v príslušnej forme, so zabezpečenou inštitucionálnou  infraštruktúrou, s príslušnými sankciami a vo vzájomnej súvislosti)</w:t>
            </w:r>
          </w:p>
          <w:p w:rsidR="00162F39" w:rsidRPr="000D7A9F" w:rsidRDefault="00162F39" w:rsidP="00834B3E">
            <w:pPr>
              <w:autoSpaceDE/>
              <w:autoSpaceDN/>
              <w:jc w:val="both"/>
            </w:pPr>
            <w:r w:rsidRPr="000D7A9F">
              <w:t>Č – čiastočná zhoda (ak minimálne jedna z podmienok úplnej zhody nie je splnená)</w:t>
            </w:r>
          </w:p>
          <w:p w:rsidR="00162F39" w:rsidRPr="000D7A9F" w:rsidRDefault="00162F39" w:rsidP="00834B3E">
            <w:pPr>
              <w:pStyle w:val="Zarkazkladnhotextu2"/>
              <w:jc w:val="both"/>
              <w:rPr>
                <w:sz w:val="24"/>
                <w:szCs w:val="24"/>
              </w:rPr>
            </w:pPr>
            <w:r w:rsidRPr="000D7A9F">
              <w:rPr>
                <w:sz w:val="24"/>
                <w:szCs w:val="24"/>
              </w:rPr>
              <w:t>Ž – žiadna zhoda (ak nebola dosiahnutá ani úplná ani čiast. zhoda alebo k prebratiu dôjde v budúcnosti)</w:t>
            </w:r>
          </w:p>
          <w:p w:rsidR="00162F39" w:rsidRPr="000D7A9F" w:rsidRDefault="00162F39" w:rsidP="00834B3E">
            <w:pPr>
              <w:autoSpaceDE/>
              <w:autoSpaceDN/>
              <w:ind w:left="290" w:hanging="290"/>
              <w:jc w:val="both"/>
            </w:pPr>
            <w:r w:rsidRPr="000D7A9F">
              <w:t>n.a. – neaplikovateľnosť (ak sa ustanovenie smernice netýka SR alebo nie je potrebné ho prebrať)</w:t>
            </w:r>
          </w:p>
        </w:tc>
      </w:tr>
    </w:tbl>
    <w:p w:rsidR="00162F39" w:rsidRPr="000D7A9F" w:rsidRDefault="00162F39" w:rsidP="00834B3E">
      <w:pPr>
        <w:pStyle w:val="Hlavika"/>
        <w:tabs>
          <w:tab w:val="clear" w:pos="4536"/>
          <w:tab w:val="clear" w:pos="9072"/>
        </w:tabs>
        <w:autoSpaceDE/>
        <w:autoSpaceDN/>
        <w:jc w:val="both"/>
      </w:pPr>
    </w:p>
    <w:sectPr w:rsidR="00162F39" w:rsidRPr="000D7A9F">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1C" w:rsidRDefault="00B4681C">
      <w:r>
        <w:separator/>
      </w:r>
    </w:p>
  </w:endnote>
  <w:endnote w:type="continuationSeparator" w:id="0">
    <w:p w:rsidR="00B4681C" w:rsidRDefault="00B4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5"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747354"/>
      <w:docPartObj>
        <w:docPartGallery w:val="Page Numbers (Bottom of Page)"/>
        <w:docPartUnique/>
      </w:docPartObj>
    </w:sdtPr>
    <w:sdtContent>
      <w:p w:rsidR="004B3499" w:rsidRDefault="004B3499">
        <w:pPr>
          <w:pStyle w:val="Pta"/>
          <w:jc w:val="right"/>
        </w:pPr>
        <w:r>
          <w:fldChar w:fldCharType="begin"/>
        </w:r>
        <w:r>
          <w:instrText>PAGE   \* MERGEFORMAT</w:instrText>
        </w:r>
        <w:r>
          <w:fldChar w:fldCharType="separate"/>
        </w:r>
        <w:r>
          <w:rPr>
            <w:noProof/>
          </w:rPr>
          <w:t>2</w:t>
        </w:r>
        <w:r>
          <w:fldChar w:fldCharType="end"/>
        </w:r>
      </w:p>
    </w:sdtContent>
  </w:sdt>
  <w:p w:rsidR="00CB2E5D" w:rsidRDefault="00CB2E5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1C" w:rsidRDefault="00B4681C">
      <w:r>
        <w:separator/>
      </w:r>
    </w:p>
  </w:footnote>
  <w:footnote w:type="continuationSeparator" w:id="0">
    <w:p w:rsidR="00B4681C" w:rsidRDefault="00B46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8"/>
  </w:num>
  <w:num w:numId="4">
    <w:abstractNumId w:val="8"/>
    <w:lvlOverride w:ilvl="0">
      <w:startOverride w:val="2"/>
    </w:lvlOverride>
  </w:num>
  <w:num w:numId="5">
    <w:abstractNumId w:val="4"/>
  </w:num>
  <w:num w:numId="6">
    <w:abstractNumId w:val="4"/>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2"/>
  </w:num>
  <w:num w:numId="13">
    <w:abstractNumId w:val="11"/>
  </w:num>
  <w:num w:numId="14">
    <w:abstractNumId w:val="1"/>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310"/>
    <w:rsid w:val="00023C84"/>
    <w:rsid w:val="00093769"/>
    <w:rsid w:val="000C2E53"/>
    <w:rsid w:val="000D7A9F"/>
    <w:rsid w:val="000F76B2"/>
    <w:rsid w:val="00127033"/>
    <w:rsid w:val="00153B33"/>
    <w:rsid w:val="00162F39"/>
    <w:rsid w:val="0017797B"/>
    <w:rsid w:val="001A2534"/>
    <w:rsid w:val="001B72C8"/>
    <w:rsid w:val="001D0133"/>
    <w:rsid w:val="002153F7"/>
    <w:rsid w:val="00217BF4"/>
    <w:rsid w:val="00270E65"/>
    <w:rsid w:val="0029483D"/>
    <w:rsid w:val="002B7F59"/>
    <w:rsid w:val="002E1D16"/>
    <w:rsid w:val="002E689F"/>
    <w:rsid w:val="002F036F"/>
    <w:rsid w:val="002F3671"/>
    <w:rsid w:val="002F6FA1"/>
    <w:rsid w:val="00311A45"/>
    <w:rsid w:val="003168BC"/>
    <w:rsid w:val="00323195"/>
    <w:rsid w:val="0032751F"/>
    <w:rsid w:val="00333938"/>
    <w:rsid w:val="00344B44"/>
    <w:rsid w:val="00346101"/>
    <w:rsid w:val="00346AAD"/>
    <w:rsid w:val="0035782E"/>
    <w:rsid w:val="00391C9E"/>
    <w:rsid w:val="00391DC5"/>
    <w:rsid w:val="003E7B78"/>
    <w:rsid w:val="004045FB"/>
    <w:rsid w:val="00405C80"/>
    <w:rsid w:val="004219E0"/>
    <w:rsid w:val="00424270"/>
    <w:rsid w:val="00440A2A"/>
    <w:rsid w:val="004577EC"/>
    <w:rsid w:val="0048138A"/>
    <w:rsid w:val="004919F8"/>
    <w:rsid w:val="00494CFC"/>
    <w:rsid w:val="004B325B"/>
    <w:rsid w:val="004B3499"/>
    <w:rsid w:val="004F599E"/>
    <w:rsid w:val="00510804"/>
    <w:rsid w:val="00510EDC"/>
    <w:rsid w:val="005170A9"/>
    <w:rsid w:val="00564C43"/>
    <w:rsid w:val="00564D44"/>
    <w:rsid w:val="005674BC"/>
    <w:rsid w:val="005947B8"/>
    <w:rsid w:val="005D07CF"/>
    <w:rsid w:val="005E0477"/>
    <w:rsid w:val="005E147F"/>
    <w:rsid w:val="00601F13"/>
    <w:rsid w:val="00603033"/>
    <w:rsid w:val="0064397E"/>
    <w:rsid w:val="00652BE3"/>
    <w:rsid w:val="00656B18"/>
    <w:rsid w:val="0068153F"/>
    <w:rsid w:val="00683A6B"/>
    <w:rsid w:val="006E18F6"/>
    <w:rsid w:val="006E56AE"/>
    <w:rsid w:val="006E689D"/>
    <w:rsid w:val="006F3F34"/>
    <w:rsid w:val="0070297F"/>
    <w:rsid w:val="007417D5"/>
    <w:rsid w:val="00753D61"/>
    <w:rsid w:val="0078287E"/>
    <w:rsid w:val="007B28DF"/>
    <w:rsid w:val="00815781"/>
    <w:rsid w:val="00834B3E"/>
    <w:rsid w:val="00851837"/>
    <w:rsid w:val="00861E2E"/>
    <w:rsid w:val="00874585"/>
    <w:rsid w:val="008A0B4B"/>
    <w:rsid w:val="008A5161"/>
    <w:rsid w:val="008B515C"/>
    <w:rsid w:val="008C54C3"/>
    <w:rsid w:val="008E448D"/>
    <w:rsid w:val="0091636B"/>
    <w:rsid w:val="0092493E"/>
    <w:rsid w:val="00924CA7"/>
    <w:rsid w:val="009612CE"/>
    <w:rsid w:val="009719C2"/>
    <w:rsid w:val="009826E3"/>
    <w:rsid w:val="009842F4"/>
    <w:rsid w:val="009C5E2D"/>
    <w:rsid w:val="009E26B8"/>
    <w:rsid w:val="009F5C22"/>
    <w:rsid w:val="009F7268"/>
    <w:rsid w:val="00A02F9A"/>
    <w:rsid w:val="00A46622"/>
    <w:rsid w:val="00A47BED"/>
    <w:rsid w:val="00A74B18"/>
    <w:rsid w:val="00A76D5E"/>
    <w:rsid w:val="00A9063F"/>
    <w:rsid w:val="00A91B17"/>
    <w:rsid w:val="00AA55DA"/>
    <w:rsid w:val="00AB7D27"/>
    <w:rsid w:val="00AD0E6F"/>
    <w:rsid w:val="00AD113F"/>
    <w:rsid w:val="00AD1EEA"/>
    <w:rsid w:val="00AD3C5E"/>
    <w:rsid w:val="00AE1172"/>
    <w:rsid w:val="00B164E6"/>
    <w:rsid w:val="00B255FC"/>
    <w:rsid w:val="00B40092"/>
    <w:rsid w:val="00B4681C"/>
    <w:rsid w:val="00B60012"/>
    <w:rsid w:val="00B64B09"/>
    <w:rsid w:val="00B7573B"/>
    <w:rsid w:val="00B929DC"/>
    <w:rsid w:val="00BA2E47"/>
    <w:rsid w:val="00BC0D4E"/>
    <w:rsid w:val="00BF2267"/>
    <w:rsid w:val="00BF2C5A"/>
    <w:rsid w:val="00BF49CD"/>
    <w:rsid w:val="00C139A5"/>
    <w:rsid w:val="00C21CEF"/>
    <w:rsid w:val="00C30E76"/>
    <w:rsid w:val="00C34EF5"/>
    <w:rsid w:val="00C46781"/>
    <w:rsid w:val="00C63D90"/>
    <w:rsid w:val="00C94292"/>
    <w:rsid w:val="00CA7121"/>
    <w:rsid w:val="00CB2E5D"/>
    <w:rsid w:val="00D205AC"/>
    <w:rsid w:val="00D22A7B"/>
    <w:rsid w:val="00D33B5F"/>
    <w:rsid w:val="00D3404B"/>
    <w:rsid w:val="00D63FC1"/>
    <w:rsid w:val="00D65DC0"/>
    <w:rsid w:val="00D83E5B"/>
    <w:rsid w:val="00DA0F6C"/>
    <w:rsid w:val="00DC0F95"/>
    <w:rsid w:val="00DD24D4"/>
    <w:rsid w:val="00DD7F71"/>
    <w:rsid w:val="00DE0F85"/>
    <w:rsid w:val="00DE724B"/>
    <w:rsid w:val="00E004DB"/>
    <w:rsid w:val="00E030B3"/>
    <w:rsid w:val="00E24E4C"/>
    <w:rsid w:val="00E40FD7"/>
    <w:rsid w:val="00E44C4D"/>
    <w:rsid w:val="00E475DF"/>
    <w:rsid w:val="00E701F1"/>
    <w:rsid w:val="00E70E91"/>
    <w:rsid w:val="00EA25A8"/>
    <w:rsid w:val="00EA2786"/>
    <w:rsid w:val="00EA3B53"/>
    <w:rsid w:val="00EB4E75"/>
    <w:rsid w:val="00EB6BE9"/>
    <w:rsid w:val="00ED5087"/>
    <w:rsid w:val="00EE7DD6"/>
    <w:rsid w:val="00EF1967"/>
    <w:rsid w:val="00EF41F8"/>
    <w:rsid w:val="00F047A8"/>
    <w:rsid w:val="00F11585"/>
    <w:rsid w:val="00F4080C"/>
    <w:rsid w:val="00F50F90"/>
    <w:rsid w:val="00F530E4"/>
    <w:rsid w:val="00FB2E2E"/>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9D288C-DD2D-44C1-8F62-B0D3AE35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834B3E"/>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559020">
      <w:marLeft w:val="0"/>
      <w:marRight w:val="0"/>
      <w:marTop w:val="0"/>
      <w:marBottom w:val="0"/>
      <w:divBdr>
        <w:top w:val="none" w:sz="0" w:space="0" w:color="auto"/>
        <w:left w:val="none" w:sz="0" w:space="0" w:color="auto"/>
        <w:bottom w:val="none" w:sz="0" w:space="0" w:color="auto"/>
        <w:right w:val="none" w:sz="0" w:space="0" w:color="auto"/>
      </w:divBdr>
      <w:divsChild>
        <w:div w:id="1293559022">
          <w:marLeft w:val="0"/>
          <w:marRight w:val="0"/>
          <w:marTop w:val="0"/>
          <w:marBottom w:val="0"/>
          <w:divBdr>
            <w:top w:val="none" w:sz="0" w:space="0" w:color="auto"/>
            <w:left w:val="none" w:sz="0" w:space="0" w:color="auto"/>
            <w:bottom w:val="none" w:sz="0" w:space="0" w:color="auto"/>
            <w:right w:val="none" w:sz="0" w:space="0" w:color="auto"/>
          </w:divBdr>
          <w:divsChild>
            <w:div w:id="1293559055">
              <w:marLeft w:val="0"/>
              <w:marRight w:val="0"/>
              <w:marTop w:val="0"/>
              <w:marBottom w:val="0"/>
              <w:divBdr>
                <w:top w:val="none" w:sz="0" w:space="0" w:color="auto"/>
                <w:left w:val="none" w:sz="0" w:space="0" w:color="auto"/>
                <w:bottom w:val="none" w:sz="0" w:space="0" w:color="auto"/>
                <w:right w:val="none" w:sz="0" w:space="0" w:color="auto"/>
              </w:divBdr>
              <w:divsChild>
                <w:div w:id="1293559021">
                  <w:marLeft w:val="0"/>
                  <w:marRight w:val="0"/>
                  <w:marTop w:val="0"/>
                  <w:marBottom w:val="0"/>
                  <w:divBdr>
                    <w:top w:val="none" w:sz="0" w:space="0" w:color="auto"/>
                    <w:left w:val="none" w:sz="0" w:space="0" w:color="auto"/>
                    <w:bottom w:val="none" w:sz="0" w:space="0" w:color="auto"/>
                    <w:right w:val="none" w:sz="0" w:space="0" w:color="auto"/>
                  </w:divBdr>
                  <w:divsChild>
                    <w:div w:id="1293559053">
                      <w:marLeft w:val="1"/>
                      <w:marRight w:val="1"/>
                      <w:marTop w:val="0"/>
                      <w:marBottom w:val="0"/>
                      <w:divBdr>
                        <w:top w:val="none" w:sz="0" w:space="0" w:color="auto"/>
                        <w:left w:val="none" w:sz="0" w:space="0" w:color="auto"/>
                        <w:bottom w:val="none" w:sz="0" w:space="0" w:color="auto"/>
                        <w:right w:val="none" w:sz="0" w:space="0" w:color="auto"/>
                      </w:divBdr>
                      <w:divsChild>
                        <w:div w:id="1293559056">
                          <w:marLeft w:val="0"/>
                          <w:marRight w:val="0"/>
                          <w:marTop w:val="0"/>
                          <w:marBottom w:val="0"/>
                          <w:divBdr>
                            <w:top w:val="none" w:sz="0" w:space="0" w:color="auto"/>
                            <w:left w:val="none" w:sz="0" w:space="0" w:color="auto"/>
                            <w:bottom w:val="none" w:sz="0" w:space="0" w:color="auto"/>
                            <w:right w:val="none" w:sz="0" w:space="0" w:color="auto"/>
                          </w:divBdr>
                          <w:divsChild>
                            <w:div w:id="1293559016">
                              <w:marLeft w:val="0"/>
                              <w:marRight w:val="0"/>
                              <w:marTop w:val="0"/>
                              <w:marBottom w:val="360"/>
                              <w:divBdr>
                                <w:top w:val="none" w:sz="0" w:space="0" w:color="auto"/>
                                <w:left w:val="none" w:sz="0" w:space="0" w:color="auto"/>
                                <w:bottom w:val="none" w:sz="0" w:space="0" w:color="auto"/>
                                <w:right w:val="none" w:sz="0" w:space="0" w:color="auto"/>
                              </w:divBdr>
                              <w:divsChild>
                                <w:div w:id="1293559015">
                                  <w:marLeft w:val="0"/>
                                  <w:marRight w:val="0"/>
                                  <w:marTop w:val="0"/>
                                  <w:marBottom w:val="0"/>
                                  <w:divBdr>
                                    <w:top w:val="none" w:sz="0" w:space="0" w:color="auto"/>
                                    <w:left w:val="none" w:sz="0" w:space="0" w:color="auto"/>
                                    <w:bottom w:val="none" w:sz="0" w:space="0" w:color="auto"/>
                                    <w:right w:val="none" w:sz="0" w:space="0" w:color="auto"/>
                                  </w:divBdr>
                                  <w:divsChild>
                                    <w:div w:id="1293559019">
                                      <w:marLeft w:val="0"/>
                                      <w:marRight w:val="0"/>
                                      <w:marTop w:val="0"/>
                                      <w:marBottom w:val="0"/>
                                      <w:divBdr>
                                        <w:top w:val="none" w:sz="0" w:space="0" w:color="auto"/>
                                        <w:left w:val="none" w:sz="0" w:space="0" w:color="auto"/>
                                        <w:bottom w:val="none" w:sz="0" w:space="0" w:color="auto"/>
                                        <w:right w:val="none" w:sz="0" w:space="0" w:color="auto"/>
                                      </w:divBdr>
                                      <w:divsChild>
                                        <w:div w:id="1293559017">
                                          <w:marLeft w:val="0"/>
                                          <w:marRight w:val="0"/>
                                          <w:marTop w:val="0"/>
                                          <w:marBottom w:val="0"/>
                                          <w:divBdr>
                                            <w:top w:val="none" w:sz="0" w:space="0" w:color="auto"/>
                                            <w:left w:val="none" w:sz="0" w:space="0" w:color="auto"/>
                                            <w:bottom w:val="none" w:sz="0" w:space="0" w:color="auto"/>
                                            <w:right w:val="none" w:sz="0" w:space="0" w:color="auto"/>
                                          </w:divBdr>
                                          <w:divsChild>
                                            <w:div w:id="1293559018">
                                              <w:marLeft w:val="0"/>
                                              <w:marRight w:val="0"/>
                                              <w:marTop w:val="0"/>
                                              <w:marBottom w:val="0"/>
                                              <w:divBdr>
                                                <w:top w:val="none" w:sz="0" w:space="0" w:color="auto"/>
                                                <w:left w:val="none" w:sz="0" w:space="0" w:color="auto"/>
                                                <w:bottom w:val="none" w:sz="0" w:space="0" w:color="auto"/>
                                                <w:right w:val="none" w:sz="0" w:space="0" w:color="auto"/>
                                              </w:divBdr>
                                              <w:divsChild>
                                                <w:div w:id="12935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25">
      <w:marLeft w:val="0"/>
      <w:marRight w:val="0"/>
      <w:marTop w:val="0"/>
      <w:marBottom w:val="0"/>
      <w:divBdr>
        <w:top w:val="none" w:sz="0" w:space="0" w:color="auto"/>
        <w:left w:val="none" w:sz="0" w:space="0" w:color="auto"/>
        <w:bottom w:val="none" w:sz="0" w:space="0" w:color="auto"/>
        <w:right w:val="none" w:sz="0" w:space="0" w:color="auto"/>
      </w:divBdr>
      <w:divsChild>
        <w:div w:id="1293559044">
          <w:marLeft w:val="0"/>
          <w:marRight w:val="0"/>
          <w:marTop w:val="0"/>
          <w:marBottom w:val="0"/>
          <w:divBdr>
            <w:top w:val="none" w:sz="0" w:space="0" w:color="auto"/>
            <w:left w:val="none" w:sz="0" w:space="0" w:color="auto"/>
            <w:bottom w:val="none" w:sz="0" w:space="0" w:color="auto"/>
            <w:right w:val="none" w:sz="0" w:space="0" w:color="auto"/>
          </w:divBdr>
          <w:divsChild>
            <w:div w:id="1293559041">
              <w:marLeft w:val="0"/>
              <w:marRight w:val="0"/>
              <w:marTop w:val="0"/>
              <w:marBottom w:val="0"/>
              <w:divBdr>
                <w:top w:val="none" w:sz="0" w:space="0" w:color="auto"/>
                <w:left w:val="none" w:sz="0" w:space="0" w:color="auto"/>
                <w:bottom w:val="none" w:sz="0" w:space="0" w:color="auto"/>
                <w:right w:val="none" w:sz="0" w:space="0" w:color="auto"/>
              </w:divBdr>
              <w:divsChild>
                <w:div w:id="1293559047">
                  <w:marLeft w:val="0"/>
                  <w:marRight w:val="0"/>
                  <w:marTop w:val="0"/>
                  <w:marBottom w:val="0"/>
                  <w:divBdr>
                    <w:top w:val="none" w:sz="0" w:space="0" w:color="auto"/>
                    <w:left w:val="none" w:sz="0" w:space="0" w:color="auto"/>
                    <w:bottom w:val="none" w:sz="0" w:space="0" w:color="auto"/>
                    <w:right w:val="none" w:sz="0" w:space="0" w:color="auto"/>
                  </w:divBdr>
                  <w:divsChild>
                    <w:div w:id="1293559027">
                      <w:marLeft w:val="1"/>
                      <w:marRight w:val="1"/>
                      <w:marTop w:val="0"/>
                      <w:marBottom w:val="0"/>
                      <w:divBdr>
                        <w:top w:val="none" w:sz="0" w:space="0" w:color="auto"/>
                        <w:left w:val="none" w:sz="0" w:space="0" w:color="auto"/>
                        <w:bottom w:val="none" w:sz="0" w:space="0" w:color="auto"/>
                        <w:right w:val="none" w:sz="0" w:space="0" w:color="auto"/>
                      </w:divBdr>
                      <w:divsChild>
                        <w:div w:id="1293559050">
                          <w:marLeft w:val="0"/>
                          <w:marRight w:val="0"/>
                          <w:marTop w:val="0"/>
                          <w:marBottom w:val="0"/>
                          <w:divBdr>
                            <w:top w:val="none" w:sz="0" w:space="0" w:color="auto"/>
                            <w:left w:val="none" w:sz="0" w:space="0" w:color="auto"/>
                            <w:bottom w:val="none" w:sz="0" w:space="0" w:color="auto"/>
                            <w:right w:val="none" w:sz="0" w:space="0" w:color="auto"/>
                          </w:divBdr>
                          <w:divsChild>
                            <w:div w:id="1293559029">
                              <w:marLeft w:val="0"/>
                              <w:marRight w:val="0"/>
                              <w:marTop w:val="0"/>
                              <w:marBottom w:val="360"/>
                              <w:divBdr>
                                <w:top w:val="none" w:sz="0" w:space="0" w:color="auto"/>
                                <w:left w:val="none" w:sz="0" w:space="0" w:color="auto"/>
                                <w:bottom w:val="none" w:sz="0" w:space="0" w:color="auto"/>
                                <w:right w:val="none" w:sz="0" w:space="0" w:color="auto"/>
                              </w:divBdr>
                              <w:divsChild>
                                <w:div w:id="1293559040">
                                  <w:marLeft w:val="0"/>
                                  <w:marRight w:val="0"/>
                                  <w:marTop w:val="0"/>
                                  <w:marBottom w:val="0"/>
                                  <w:divBdr>
                                    <w:top w:val="none" w:sz="0" w:space="0" w:color="auto"/>
                                    <w:left w:val="none" w:sz="0" w:space="0" w:color="auto"/>
                                    <w:bottom w:val="none" w:sz="0" w:space="0" w:color="auto"/>
                                    <w:right w:val="none" w:sz="0" w:space="0" w:color="auto"/>
                                  </w:divBdr>
                                  <w:divsChild>
                                    <w:div w:id="1293559023">
                                      <w:marLeft w:val="0"/>
                                      <w:marRight w:val="0"/>
                                      <w:marTop w:val="0"/>
                                      <w:marBottom w:val="0"/>
                                      <w:divBdr>
                                        <w:top w:val="none" w:sz="0" w:space="0" w:color="auto"/>
                                        <w:left w:val="none" w:sz="0" w:space="0" w:color="auto"/>
                                        <w:bottom w:val="none" w:sz="0" w:space="0" w:color="auto"/>
                                        <w:right w:val="none" w:sz="0" w:space="0" w:color="auto"/>
                                      </w:divBdr>
                                      <w:divsChild>
                                        <w:div w:id="1293559024">
                                          <w:marLeft w:val="0"/>
                                          <w:marRight w:val="0"/>
                                          <w:marTop w:val="0"/>
                                          <w:marBottom w:val="0"/>
                                          <w:divBdr>
                                            <w:top w:val="none" w:sz="0" w:space="0" w:color="auto"/>
                                            <w:left w:val="none" w:sz="0" w:space="0" w:color="auto"/>
                                            <w:bottom w:val="none" w:sz="0" w:space="0" w:color="auto"/>
                                            <w:right w:val="none" w:sz="0" w:space="0" w:color="auto"/>
                                          </w:divBdr>
                                          <w:divsChild>
                                            <w:div w:id="1293559043">
                                              <w:marLeft w:val="0"/>
                                              <w:marRight w:val="0"/>
                                              <w:marTop w:val="0"/>
                                              <w:marBottom w:val="0"/>
                                              <w:divBdr>
                                                <w:top w:val="none" w:sz="0" w:space="0" w:color="auto"/>
                                                <w:left w:val="none" w:sz="0" w:space="0" w:color="auto"/>
                                                <w:bottom w:val="none" w:sz="0" w:space="0" w:color="auto"/>
                                                <w:right w:val="none" w:sz="0" w:space="0" w:color="auto"/>
                                              </w:divBdr>
                                              <w:divsChild>
                                                <w:div w:id="12935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30">
      <w:marLeft w:val="0"/>
      <w:marRight w:val="0"/>
      <w:marTop w:val="0"/>
      <w:marBottom w:val="0"/>
      <w:divBdr>
        <w:top w:val="none" w:sz="0" w:space="0" w:color="auto"/>
        <w:left w:val="none" w:sz="0" w:space="0" w:color="auto"/>
        <w:bottom w:val="none" w:sz="0" w:space="0" w:color="auto"/>
        <w:right w:val="none" w:sz="0" w:space="0" w:color="auto"/>
      </w:divBdr>
      <w:divsChild>
        <w:div w:id="1293559031">
          <w:marLeft w:val="480"/>
          <w:marRight w:val="0"/>
          <w:marTop w:val="0"/>
          <w:marBottom w:val="0"/>
          <w:divBdr>
            <w:top w:val="none" w:sz="0" w:space="0" w:color="auto"/>
            <w:left w:val="none" w:sz="0" w:space="0" w:color="auto"/>
            <w:bottom w:val="none" w:sz="0" w:space="0" w:color="auto"/>
            <w:right w:val="none" w:sz="0" w:space="0" w:color="auto"/>
          </w:divBdr>
        </w:div>
        <w:div w:id="1293559034">
          <w:marLeft w:val="480"/>
          <w:marRight w:val="0"/>
          <w:marTop w:val="0"/>
          <w:marBottom w:val="0"/>
          <w:divBdr>
            <w:top w:val="none" w:sz="0" w:space="0" w:color="auto"/>
            <w:left w:val="none" w:sz="0" w:space="0" w:color="auto"/>
            <w:bottom w:val="none" w:sz="0" w:space="0" w:color="auto"/>
            <w:right w:val="none" w:sz="0" w:space="0" w:color="auto"/>
          </w:divBdr>
        </w:div>
      </w:divsChild>
    </w:div>
    <w:div w:id="1293559035">
      <w:marLeft w:val="0"/>
      <w:marRight w:val="0"/>
      <w:marTop w:val="0"/>
      <w:marBottom w:val="0"/>
      <w:divBdr>
        <w:top w:val="none" w:sz="0" w:space="0" w:color="auto"/>
        <w:left w:val="none" w:sz="0" w:space="0" w:color="auto"/>
        <w:bottom w:val="none" w:sz="0" w:space="0" w:color="auto"/>
        <w:right w:val="none" w:sz="0" w:space="0" w:color="auto"/>
      </w:divBdr>
      <w:divsChild>
        <w:div w:id="1293559032">
          <w:marLeft w:val="480"/>
          <w:marRight w:val="0"/>
          <w:marTop w:val="0"/>
          <w:marBottom w:val="0"/>
          <w:divBdr>
            <w:top w:val="none" w:sz="0" w:space="0" w:color="auto"/>
            <w:left w:val="none" w:sz="0" w:space="0" w:color="auto"/>
            <w:bottom w:val="none" w:sz="0" w:space="0" w:color="auto"/>
            <w:right w:val="none" w:sz="0" w:space="0" w:color="auto"/>
          </w:divBdr>
        </w:div>
        <w:div w:id="1293559033">
          <w:marLeft w:val="480"/>
          <w:marRight w:val="0"/>
          <w:marTop w:val="0"/>
          <w:marBottom w:val="0"/>
          <w:divBdr>
            <w:top w:val="none" w:sz="0" w:space="0" w:color="auto"/>
            <w:left w:val="none" w:sz="0" w:space="0" w:color="auto"/>
            <w:bottom w:val="none" w:sz="0" w:space="0" w:color="auto"/>
            <w:right w:val="none" w:sz="0" w:space="0" w:color="auto"/>
          </w:divBdr>
        </w:div>
      </w:divsChild>
    </w:div>
    <w:div w:id="1293559037">
      <w:marLeft w:val="0"/>
      <w:marRight w:val="0"/>
      <w:marTop w:val="0"/>
      <w:marBottom w:val="0"/>
      <w:divBdr>
        <w:top w:val="none" w:sz="0" w:space="0" w:color="auto"/>
        <w:left w:val="none" w:sz="0" w:space="0" w:color="auto"/>
        <w:bottom w:val="none" w:sz="0" w:space="0" w:color="auto"/>
        <w:right w:val="none" w:sz="0" w:space="0" w:color="auto"/>
      </w:divBdr>
      <w:divsChild>
        <w:div w:id="1293559026">
          <w:marLeft w:val="0"/>
          <w:marRight w:val="0"/>
          <w:marTop w:val="0"/>
          <w:marBottom w:val="0"/>
          <w:divBdr>
            <w:top w:val="none" w:sz="0" w:space="0" w:color="auto"/>
            <w:left w:val="none" w:sz="0" w:space="0" w:color="auto"/>
            <w:bottom w:val="none" w:sz="0" w:space="0" w:color="auto"/>
            <w:right w:val="none" w:sz="0" w:space="0" w:color="auto"/>
          </w:divBdr>
          <w:divsChild>
            <w:div w:id="1293559051">
              <w:marLeft w:val="0"/>
              <w:marRight w:val="0"/>
              <w:marTop w:val="0"/>
              <w:marBottom w:val="0"/>
              <w:divBdr>
                <w:top w:val="none" w:sz="0" w:space="0" w:color="auto"/>
                <w:left w:val="none" w:sz="0" w:space="0" w:color="auto"/>
                <w:bottom w:val="none" w:sz="0" w:space="0" w:color="auto"/>
                <w:right w:val="none" w:sz="0" w:space="0" w:color="auto"/>
              </w:divBdr>
              <w:divsChild>
                <w:div w:id="1293559036">
                  <w:marLeft w:val="0"/>
                  <w:marRight w:val="0"/>
                  <w:marTop w:val="0"/>
                  <w:marBottom w:val="0"/>
                  <w:divBdr>
                    <w:top w:val="none" w:sz="0" w:space="0" w:color="auto"/>
                    <w:left w:val="none" w:sz="0" w:space="0" w:color="auto"/>
                    <w:bottom w:val="none" w:sz="0" w:space="0" w:color="auto"/>
                    <w:right w:val="none" w:sz="0" w:space="0" w:color="auto"/>
                  </w:divBdr>
                  <w:divsChild>
                    <w:div w:id="1293559039">
                      <w:marLeft w:val="1"/>
                      <w:marRight w:val="1"/>
                      <w:marTop w:val="0"/>
                      <w:marBottom w:val="0"/>
                      <w:divBdr>
                        <w:top w:val="none" w:sz="0" w:space="0" w:color="auto"/>
                        <w:left w:val="none" w:sz="0" w:space="0" w:color="auto"/>
                        <w:bottom w:val="none" w:sz="0" w:space="0" w:color="auto"/>
                        <w:right w:val="none" w:sz="0" w:space="0" w:color="auto"/>
                      </w:divBdr>
                      <w:divsChild>
                        <w:div w:id="1293559046">
                          <w:marLeft w:val="0"/>
                          <w:marRight w:val="0"/>
                          <w:marTop w:val="0"/>
                          <w:marBottom w:val="0"/>
                          <w:divBdr>
                            <w:top w:val="none" w:sz="0" w:space="0" w:color="auto"/>
                            <w:left w:val="none" w:sz="0" w:space="0" w:color="auto"/>
                            <w:bottom w:val="none" w:sz="0" w:space="0" w:color="auto"/>
                            <w:right w:val="none" w:sz="0" w:space="0" w:color="auto"/>
                          </w:divBdr>
                          <w:divsChild>
                            <w:div w:id="1293559049">
                              <w:marLeft w:val="0"/>
                              <w:marRight w:val="0"/>
                              <w:marTop w:val="0"/>
                              <w:marBottom w:val="360"/>
                              <w:divBdr>
                                <w:top w:val="none" w:sz="0" w:space="0" w:color="auto"/>
                                <w:left w:val="none" w:sz="0" w:space="0" w:color="auto"/>
                                <w:bottom w:val="none" w:sz="0" w:space="0" w:color="auto"/>
                                <w:right w:val="none" w:sz="0" w:space="0" w:color="auto"/>
                              </w:divBdr>
                              <w:divsChild>
                                <w:div w:id="1293559028">
                                  <w:marLeft w:val="0"/>
                                  <w:marRight w:val="0"/>
                                  <w:marTop w:val="0"/>
                                  <w:marBottom w:val="0"/>
                                  <w:divBdr>
                                    <w:top w:val="none" w:sz="0" w:space="0" w:color="auto"/>
                                    <w:left w:val="none" w:sz="0" w:space="0" w:color="auto"/>
                                    <w:bottom w:val="none" w:sz="0" w:space="0" w:color="auto"/>
                                    <w:right w:val="none" w:sz="0" w:space="0" w:color="auto"/>
                                  </w:divBdr>
                                  <w:divsChild>
                                    <w:div w:id="1293559052">
                                      <w:marLeft w:val="0"/>
                                      <w:marRight w:val="0"/>
                                      <w:marTop w:val="0"/>
                                      <w:marBottom w:val="0"/>
                                      <w:divBdr>
                                        <w:top w:val="none" w:sz="0" w:space="0" w:color="auto"/>
                                        <w:left w:val="none" w:sz="0" w:space="0" w:color="auto"/>
                                        <w:bottom w:val="none" w:sz="0" w:space="0" w:color="auto"/>
                                        <w:right w:val="none" w:sz="0" w:space="0" w:color="auto"/>
                                      </w:divBdr>
                                      <w:divsChild>
                                        <w:div w:id="1293559042">
                                          <w:marLeft w:val="0"/>
                                          <w:marRight w:val="0"/>
                                          <w:marTop w:val="0"/>
                                          <w:marBottom w:val="0"/>
                                          <w:divBdr>
                                            <w:top w:val="none" w:sz="0" w:space="0" w:color="auto"/>
                                            <w:left w:val="none" w:sz="0" w:space="0" w:color="auto"/>
                                            <w:bottom w:val="none" w:sz="0" w:space="0" w:color="auto"/>
                                            <w:right w:val="none" w:sz="0" w:space="0" w:color="auto"/>
                                          </w:divBdr>
                                          <w:divsChild>
                                            <w:div w:id="1293559038">
                                              <w:marLeft w:val="0"/>
                                              <w:marRight w:val="0"/>
                                              <w:marTop w:val="0"/>
                                              <w:marBottom w:val="0"/>
                                              <w:divBdr>
                                                <w:top w:val="none" w:sz="0" w:space="0" w:color="auto"/>
                                                <w:left w:val="none" w:sz="0" w:space="0" w:color="auto"/>
                                                <w:bottom w:val="none" w:sz="0" w:space="0" w:color="auto"/>
                                                <w:right w:val="none" w:sz="0" w:space="0" w:color="auto"/>
                                              </w:divBdr>
                                              <w:divsChild>
                                                <w:div w:id="12935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494942">
      <w:bodyDiv w:val="1"/>
      <w:marLeft w:val="0"/>
      <w:marRight w:val="0"/>
      <w:marTop w:val="0"/>
      <w:marBottom w:val="0"/>
      <w:divBdr>
        <w:top w:val="none" w:sz="0" w:space="0" w:color="auto"/>
        <w:left w:val="none" w:sz="0" w:space="0" w:color="auto"/>
        <w:bottom w:val="none" w:sz="0" w:space="0" w:color="auto"/>
        <w:right w:val="none" w:sz="0" w:space="0" w:color="auto"/>
      </w:divBdr>
      <w:divsChild>
        <w:div w:id="1300109640">
          <w:marLeft w:val="0"/>
          <w:marRight w:val="0"/>
          <w:marTop w:val="100"/>
          <w:marBottom w:val="100"/>
          <w:divBdr>
            <w:top w:val="none" w:sz="0" w:space="0" w:color="auto"/>
            <w:left w:val="none" w:sz="0" w:space="0" w:color="auto"/>
            <w:bottom w:val="none" w:sz="0" w:space="0" w:color="auto"/>
            <w:right w:val="none" w:sz="0" w:space="0" w:color="auto"/>
          </w:divBdr>
          <w:divsChild>
            <w:div w:id="1673603260">
              <w:marLeft w:val="0"/>
              <w:marRight w:val="0"/>
              <w:marTop w:val="225"/>
              <w:marBottom w:val="750"/>
              <w:divBdr>
                <w:top w:val="none" w:sz="0" w:space="0" w:color="auto"/>
                <w:left w:val="none" w:sz="0" w:space="0" w:color="auto"/>
                <w:bottom w:val="none" w:sz="0" w:space="0" w:color="auto"/>
                <w:right w:val="none" w:sz="0" w:space="0" w:color="auto"/>
              </w:divBdr>
              <w:divsChild>
                <w:div w:id="2064909812">
                  <w:marLeft w:val="0"/>
                  <w:marRight w:val="0"/>
                  <w:marTop w:val="0"/>
                  <w:marBottom w:val="0"/>
                  <w:divBdr>
                    <w:top w:val="none" w:sz="0" w:space="0" w:color="auto"/>
                    <w:left w:val="none" w:sz="0" w:space="0" w:color="auto"/>
                    <w:bottom w:val="none" w:sz="0" w:space="0" w:color="auto"/>
                    <w:right w:val="none" w:sz="0" w:space="0" w:color="auto"/>
                  </w:divBdr>
                  <w:divsChild>
                    <w:div w:id="421296079">
                      <w:marLeft w:val="0"/>
                      <w:marRight w:val="0"/>
                      <w:marTop w:val="0"/>
                      <w:marBottom w:val="0"/>
                      <w:divBdr>
                        <w:top w:val="none" w:sz="0" w:space="0" w:color="auto"/>
                        <w:left w:val="none" w:sz="0" w:space="0" w:color="auto"/>
                        <w:bottom w:val="none" w:sz="0" w:space="0" w:color="auto"/>
                        <w:right w:val="none" w:sz="0" w:space="0" w:color="auto"/>
                      </w:divBdr>
                      <w:divsChild>
                        <w:div w:id="203254195">
                          <w:marLeft w:val="0"/>
                          <w:marRight w:val="0"/>
                          <w:marTop w:val="0"/>
                          <w:marBottom w:val="0"/>
                          <w:divBdr>
                            <w:top w:val="none" w:sz="0" w:space="0" w:color="auto"/>
                            <w:left w:val="none" w:sz="0" w:space="0" w:color="auto"/>
                            <w:bottom w:val="none" w:sz="0" w:space="0" w:color="auto"/>
                            <w:right w:val="none" w:sz="0" w:space="0" w:color="auto"/>
                          </w:divBdr>
                          <w:divsChild>
                            <w:div w:id="1761638589">
                              <w:marLeft w:val="0"/>
                              <w:marRight w:val="0"/>
                              <w:marTop w:val="0"/>
                              <w:marBottom w:val="0"/>
                              <w:divBdr>
                                <w:top w:val="none" w:sz="0" w:space="0" w:color="auto"/>
                                <w:left w:val="none" w:sz="0" w:space="0" w:color="auto"/>
                                <w:bottom w:val="none" w:sz="0" w:space="0" w:color="auto"/>
                                <w:right w:val="none" w:sz="0" w:space="0" w:color="auto"/>
                              </w:divBdr>
                              <w:divsChild>
                                <w:div w:id="760183032">
                                  <w:marLeft w:val="0"/>
                                  <w:marRight w:val="0"/>
                                  <w:marTop w:val="0"/>
                                  <w:marBottom w:val="0"/>
                                  <w:divBdr>
                                    <w:top w:val="none" w:sz="0" w:space="0" w:color="auto"/>
                                    <w:left w:val="none" w:sz="0" w:space="0" w:color="auto"/>
                                    <w:bottom w:val="none" w:sz="0" w:space="0" w:color="auto"/>
                                    <w:right w:val="none" w:sz="0" w:space="0" w:color="auto"/>
                                  </w:divBdr>
                                  <w:divsChild>
                                    <w:div w:id="695161326">
                                      <w:marLeft w:val="0"/>
                                      <w:marRight w:val="0"/>
                                      <w:marTop w:val="0"/>
                                      <w:marBottom w:val="0"/>
                                      <w:divBdr>
                                        <w:top w:val="none" w:sz="0" w:space="0" w:color="auto"/>
                                        <w:left w:val="none" w:sz="0" w:space="0" w:color="auto"/>
                                        <w:bottom w:val="none" w:sz="0" w:space="0" w:color="auto"/>
                                        <w:right w:val="none" w:sz="0" w:space="0" w:color="auto"/>
                                      </w:divBdr>
                                      <w:divsChild>
                                        <w:div w:id="1342511187">
                                          <w:marLeft w:val="0"/>
                                          <w:marRight w:val="0"/>
                                          <w:marTop w:val="0"/>
                                          <w:marBottom w:val="0"/>
                                          <w:divBdr>
                                            <w:top w:val="none" w:sz="0" w:space="0" w:color="auto"/>
                                            <w:left w:val="none" w:sz="0" w:space="0" w:color="auto"/>
                                            <w:bottom w:val="none" w:sz="0" w:space="0" w:color="auto"/>
                                            <w:right w:val="none" w:sz="0" w:space="0" w:color="auto"/>
                                          </w:divBdr>
                                          <w:divsChild>
                                            <w:div w:id="625890862">
                                              <w:marLeft w:val="0"/>
                                              <w:marRight w:val="0"/>
                                              <w:marTop w:val="0"/>
                                              <w:marBottom w:val="0"/>
                                              <w:divBdr>
                                                <w:top w:val="none" w:sz="0" w:space="0" w:color="auto"/>
                                                <w:left w:val="none" w:sz="0" w:space="0" w:color="auto"/>
                                                <w:bottom w:val="none" w:sz="0" w:space="0" w:color="auto"/>
                                                <w:right w:val="none" w:sz="0" w:space="0" w:color="auto"/>
                                              </w:divBdr>
                                              <w:divsChild>
                                                <w:div w:id="30081939">
                                                  <w:marLeft w:val="0"/>
                                                  <w:marRight w:val="0"/>
                                                  <w:marTop w:val="0"/>
                                                  <w:marBottom w:val="0"/>
                                                  <w:divBdr>
                                                    <w:top w:val="none" w:sz="0" w:space="0" w:color="auto"/>
                                                    <w:left w:val="none" w:sz="0" w:space="0" w:color="auto"/>
                                                    <w:bottom w:val="none" w:sz="0" w:space="0" w:color="auto"/>
                                                    <w:right w:val="none" w:sz="0" w:space="0" w:color="auto"/>
                                                  </w:divBdr>
                                                  <w:divsChild>
                                                    <w:div w:id="467279330">
                                                      <w:marLeft w:val="0"/>
                                                      <w:marRight w:val="0"/>
                                                      <w:marTop w:val="0"/>
                                                      <w:marBottom w:val="0"/>
                                                      <w:divBdr>
                                                        <w:top w:val="none" w:sz="0" w:space="0" w:color="auto"/>
                                                        <w:left w:val="none" w:sz="0" w:space="0" w:color="auto"/>
                                                        <w:bottom w:val="none" w:sz="0" w:space="0" w:color="auto"/>
                                                        <w:right w:val="none" w:sz="0" w:space="0" w:color="auto"/>
                                                      </w:divBdr>
                                                      <w:divsChild>
                                                        <w:div w:id="959529432">
                                                          <w:marLeft w:val="0"/>
                                                          <w:marRight w:val="0"/>
                                                          <w:marTop w:val="0"/>
                                                          <w:marBottom w:val="0"/>
                                                          <w:divBdr>
                                                            <w:top w:val="none" w:sz="0" w:space="0" w:color="auto"/>
                                                            <w:left w:val="none" w:sz="0" w:space="0" w:color="auto"/>
                                                            <w:bottom w:val="none" w:sz="0" w:space="0" w:color="auto"/>
                                                            <w:right w:val="none" w:sz="0" w:space="0" w:color="auto"/>
                                                          </w:divBdr>
                                                          <w:divsChild>
                                                            <w:div w:id="70273464">
                                                              <w:marLeft w:val="0"/>
                                                              <w:marRight w:val="0"/>
                                                              <w:marTop w:val="0"/>
                                                              <w:marBottom w:val="0"/>
                                                              <w:divBdr>
                                                                <w:top w:val="none" w:sz="0" w:space="0" w:color="auto"/>
                                                                <w:left w:val="none" w:sz="0" w:space="0" w:color="auto"/>
                                                                <w:bottom w:val="none" w:sz="0" w:space="0" w:color="auto"/>
                                                                <w:right w:val="none" w:sz="0" w:space="0" w:color="auto"/>
                                                              </w:divBdr>
                                                              <w:divsChild>
                                                                <w:div w:id="1995378400">
                                                                  <w:marLeft w:val="0"/>
                                                                  <w:marRight w:val="0"/>
                                                                  <w:marTop w:val="0"/>
                                                                  <w:marBottom w:val="0"/>
                                                                  <w:divBdr>
                                                                    <w:top w:val="none" w:sz="0" w:space="0" w:color="auto"/>
                                                                    <w:left w:val="none" w:sz="0" w:space="0" w:color="auto"/>
                                                                    <w:bottom w:val="none" w:sz="0" w:space="0" w:color="auto"/>
                                                                    <w:right w:val="none" w:sz="0" w:space="0" w:color="auto"/>
                                                                  </w:divBdr>
                                                                </w:div>
                                                                <w:div w:id="9624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1002</Words>
  <Characters>5712</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Jablonkova Zdenka</cp:lastModifiedBy>
  <cp:revision>4</cp:revision>
  <cp:lastPrinted>2006-12-14T13:09:00Z</cp:lastPrinted>
  <dcterms:created xsi:type="dcterms:W3CDTF">2020-08-19T07:09:00Z</dcterms:created>
  <dcterms:modified xsi:type="dcterms:W3CDTF">2020-08-19T10:06:00Z</dcterms:modified>
</cp:coreProperties>
</file>