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-497" w:tblpY="1"/>
        <w:tblOverlap w:val="never"/>
        <w:tblW w:w="1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40"/>
        <w:gridCol w:w="1080"/>
        <w:gridCol w:w="5866"/>
        <w:gridCol w:w="567"/>
        <w:gridCol w:w="934"/>
        <w:gridCol w:w="851"/>
        <w:gridCol w:w="5303"/>
        <w:gridCol w:w="509"/>
        <w:gridCol w:w="550"/>
      </w:tblGrid>
      <w:tr w:rsidR="008C54C3" w:rsidRPr="000D7A9F" w:rsidTr="00D40A19">
        <w:tc>
          <w:tcPr>
            <w:tcW w:w="162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54C3" w:rsidRPr="000D7A9F" w:rsidRDefault="008C54C3" w:rsidP="00D40A19">
            <w:pPr>
              <w:pStyle w:val="Nadpis1"/>
            </w:pPr>
            <w:bookmarkStart w:id="0" w:name="_GoBack"/>
            <w:bookmarkEnd w:id="0"/>
            <w:r w:rsidRPr="000D7A9F">
              <w:t>TABUĽKA  ZHODY</w:t>
            </w:r>
          </w:p>
          <w:p w:rsidR="002F036F" w:rsidRDefault="004577EC" w:rsidP="00D40A19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9842F4">
              <w:rPr>
                <w:b/>
              </w:rPr>
              <w:t>k </w:t>
            </w:r>
            <w:r w:rsidR="0078287E" w:rsidRPr="009842F4">
              <w:rPr>
                <w:b/>
              </w:rPr>
              <w:t>n</w:t>
            </w:r>
            <w:r w:rsidR="0091636B" w:rsidRPr="009842F4">
              <w:rPr>
                <w:b/>
              </w:rPr>
              <w:t>ávrh</w:t>
            </w:r>
            <w:r w:rsidR="00AB7D27" w:rsidRPr="009842F4">
              <w:rPr>
                <w:b/>
              </w:rPr>
              <w:t>u</w:t>
            </w:r>
            <w:r w:rsidR="0091636B" w:rsidRPr="009842F4">
              <w:rPr>
                <w:b/>
              </w:rPr>
              <w:t xml:space="preserve"> zákona</w:t>
            </w:r>
            <w:r w:rsidR="009842F4" w:rsidRPr="009842F4">
              <w:rPr>
                <w:b/>
              </w:rPr>
              <w:t xml:space="preserve">, </w:t>
            </w:r>
            <w:r w:rsidR="009842F4" w:rsidRPr="009842F4">
              <w:rPr>
                <w:b/>
                <w:color w:val="000000"/>
              </w:rPr>
              <w:t xml:space="preserve">ktorým sa mení a dopĺňa zákon č. 222/2004 Z. z. o dani z pridanej hodnoty v znení neskorších predpisov </w:t>
            </w:r>
          </w:p>
          <w:p w:rsidR="008C54C3" w:rsidRPr="009842F4" w:rsidRDefault="00127033" w:rsidP="00D40A19">
            <w:pPr>
              <w:tabs>
                <w:tab w:val="left" w:pos="0"/>
              </w:tabs>
              <w:jc w:val="center"/>
              <w:rPr>
                <w:b/>
              </w:rPr>
            </w:pPr>
            <w:r w:rsidRPr="009842F4">
              <w:rPr>
                <w:b/>
              </w:rPr>
              <w:t>s právom Európskej únie</w:t>
            </w:r>
          </w:p>
        </w:tc>
      </w:tr>
      <w:tr w:rsidR="008C54C3" w:rsidRPr="000D7A9F" w:rsidTr="00D40A19">
        <w:trPr>
          <w:cantSplit/>
          <w:trHeight w:val="56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8C54C3" w:rsidRPr="000D7A9F" w:rsidRDefault="008C54C3" w:rsidP="00D40A19">
            <w:pPr>
              <w:pStyle w:val="Nadpis4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Názov smernice:</w:t>
            </w:r>
          </w:p>
        </w:tc>
        <w:tc>
          <w:tcPr>
            <w:tcW w:w="14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C54C3" w:rsidRPr="00A1775E" w:rsidRDefault="00A1775E" w:rsidP="00D40A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Smernica Rady</w:t>
            </w:r>
            <w:r w:rsidRPr="000D7A9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566EA">
              <w:rPr>
                <w:rFonts w:ascii="Times New Roman" w:hAnsi="Times New Roman" w:cs="Times New Roman"/>
                <w:b/>
                <w:bCs/>
                <w:u w:val="single"/>
              </w:rPr>
              <w:t>2006</w:t>
            </w:r>
            <w:r w:rsidRPr="00A1775E">
              <w:rPr>
                <w:rFonts w:ascii="Times New Roman" w:hAnsi="Times New Roman" w:cs="Times New Roman"/>
                <w:b/>
                <w:bCs/>
                <w:u w:val="single"/>
              </w:rPr>
              <w:t>/</w:t>
            </w:r>
            <w:r w:rsidR="00C566EA">
              <w:rPr>
                <w:rFonts w:ascii="Times New Roman" w:hAnsi="Times New Roman" w:cs="Times New Roman"/>
                <w:b/>
                <w:bCs/>
                <w:u w:val="single"/>
              </w:rPr>
              <w:t>112/ES</w:t>
            </w:r>
            <w:r w:rsidRPr="00A1775E">
              <w:rPr>
                <w:rFonts w:ascii="Times New Roman" w:hAnsi="Times New Roman" w:cs="Times New Roman"/>
                <w:b/>
                <w:bCs/>
              </w:rPr>
              <w:t xml:space="preserve"> z</w:t>
            </w:r>
            <w:r w:rsidR="00C566EA">
              <w:rPr>
                <w:rFonts w:ascii="Times New Roman" w:hAnsi="Times New Roman" w:cs="Times New Roman"/>
                <w:b/>
                <w:bCs/>
              </w:rPr>
              <w:t xml:space="preserve"> 28. novembra </w:t>
            </w:r>
            <w:r w:rsidRPr="00A1775E">
              <w:rPr>
                <w:rFonts w:ascii="Times New Roman" w:hAnsi="Times New Roman" w:cs="Times New Roman"/>
                <w:b/>
                <w:bCs/>
              </w:rPr>
              <w:t>20</w:t>
            </w:r>
            <w:r w:rsidR="00C566EA">
              <w:rPr>
                <w:rFonts w:ascii="Times New Roman" w:hAnsi="Times New Roman" w:cs="Times New Roman"/>
                <w:b/>
                <w:bCs/>
              </w:rPr>
              <w:t xml:space="preserve">06 o spoločnom systéme dane z pridanej hodnoty </w:t>
            </w:r>
          </w:p>
        </w:tc>
      </w:tr>
      <w:tr w:rsidR="008C54C3" w:rsidRPr="000D7A9F" w:rsidTr="00D40A19">
        <w:trPr>
          <w:trHeight w:val="567"/>
        </w:trPr>
        <w:tc>
          <w:tcPr>
            <w:tcW w:w="80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7DD6" w:rsidRPr="000D7A9F" w:rsidRDefault="00DE0F85" w:rsidP="00D40A19">
            <w:pPr>
              <w:pStyle w:val="Nadpis4"/>
              <w:spacing w:before="120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Smernica EÚ</w:t>
            </w:r>
          </w:p>
          <w:p w:rsidR="00834B3E" w:rsidRPr="000D7A9F" w:rsidRDefault="00AA1F7B" w:rsidP="00D40A19">
            <w:pPr>
              <w:jc w:val="both"/>
            </w:pPr>
            <w:r>
              <w:rPr>
                <w:b/>
                <w:bCs/>
              </w:rPr>
              <w:t>Smernica Rady</w:t>
            </w:r>
            <w:r w:rsidRPr="000D7A9F">
              <w:rPr>
                <w:b/>
                <w:bCs/>
              </w:rPr>
              <w:t xml:space="preserve"> </w:t>
            </w:r>
            <w:r>
              <w:rPr>
                <w:b/>
                <w:bCs/>
                <w:u w:val="single"/>
              </w:rPr>
              <w:t>2006</w:t>
            </w:r>
            <w:r w:rsidRPr="00A1775E">
              <w:rPr>
                <w:b/>
                <w:bCs/>
                <w:u w:val="single"/>
              </w:rPr>
              <w:t>/</w:t>
            </w:r>
            <w:r>
              <w:rPr>
                <w:b/>
                <w:bCs/>
                <w:u w:val="single"/>
              </w:rPr>
              <w:t>112/ES</w:t>
            </w:r>
            <w:r w:rsidRPr="00A1775E">
              <w:rPr>
                <w:b/>
                <w:bCs/>
              </w:rPr>
              <w:t xml:space="preserve"> z</w:t>
            </w:r>
            <w:r>
              <w:rPr>
                <w:b/>
                <w:bCs/>
              </w:rPr>
              <w:t xml:space="preserve"> 28. novembra </w:t>
            </w:r>
            <w:r w:rsidRPr="00A1775E">
              <w:rPr>
                <w:b/>
                <w:bCs/>
              </w:rPr>
              <w:t>20</w:t>
            </w:r>
            <w:r>
              <w:rPr>
                <w:b/>
                <w:bCs/>
              </w:rPr>
              <w:t>06 o spoločnom systéme dane z pridanej hodnoty</w:t>
            </w:r>
          </w:p>
        </w:tc>
        <w:tc>
          <w:tcPr>
            <w:tcW w:w="81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C54C3" w:rsidRPr="000D7A9F" w:rsidRDefault="008C54C3" w:rsidP="00D40A19">
            <w:pPr>
              <w:pStyle w:val="Nadpis4"/>
              <w:spacing w:before="120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Všeobecne záväzné právne predpisy Slovenskej republiky</w:t>
            </w:r>
          </w:p>
          <w:p w:rsidR="00834B3E" w:rsidRPr="000D7A9F" w:rsidRDefault="002F6FA1" w:rsidP="00D40A19">
            <w:pPr>
              <w:pStyle w:val="Zkladntext"/>
              <w:jc w:val="both"/>
              <w:rPr>
                <w:b/>
              </w:rPr>
            </w:pPr>
            <w:r w:rsidRPr="000D7A9F">
              <w:rPr>
                <w:b/>
              </w:rPr>
              <w:t xml:space="preserve">Návrh </w:t>
            </w:r>
            <w:r w:rsidRPr="009842F4">
              <w:rPr>
                <w:b/>
              </w:rPr>
              <w:t xml:space="preserve">zákona, ktorým sa mení a dopĺňa zákon č. 222/2004 Z. z. o dani z pridanej hodnoty v znení neskorších predpisov </w:t>
            </w:r>
            <w:r w:rsidR="00DD7F71" w:rsidRPr="000D7A9F">
              <w:rPr>
                <w:b/>
              </w:rPr>
              <w:t>(ďalej „návrh zákona“)</w:t>
            </w:r>
          </w:p>
          <w:p w:rsidR="00DD7F71" w:rsidRPr="000D7A9F" w:rsidRDefault="00DD7F71" w:rsidP="00D40A19">
            <w:pPr>
              <w:pStyle w:val="Zkladntext"/>
              <w:jc w:val="both"/>
              <w:rPr>
                <w:b/>
              </w:rPr>
            </w:pPr>
          </w:p>
          <w:p w:rsidR="00DD7F71" w:rsidRDefault="00DD7F71" w:rsidP="00D40A19">
            <w:pPr>
              <w:pStyle w:val="Zkladntext"/>
              <w:jc w:val="both"/>
            </w:pPr>
            <w:r w:rsidRPr="000D7A9F">
              <w:t>Zákon č. 222/2004 Z.</w:t>
            </w:r>
            <w:r w:rsidR="00A1775E">
              <w:t xml:space="preserve"> </w:t>
            </w:r>
            <w:r w:rsidRPr="000D7A9F">
              <w:t>z. o dani z pridanej hodnoty v znení neskorších predpisov (ďalej „222/2004“)</w:t>
            </w:r>
          </w:p>
          <w:p w:rsidR="002E1D16" w:rsidRPr="000D7A9F" w:rsidRDefault="002E1D16" w:rsidP="00D40A19">
            <w:pPr>
              <w:pStyle w:val="Zkladntext"/>
              <w:jc w:val="both"/>
            </w:pPr>
          </w:p>
        </w:tc>
      </w:tr>
      <w:tr w:rsidR="00A9063F" w:rsidRPr="000D7A9F" w:rsidTr="00D40A19"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Pr="000D7A9F" w:rsidRDefault="00A9063F" w:rsidP="00D40A19">
            <w:pPr>
              <w:jc w:val="both"/>
            </w:pPr>
            <w:r w:rsidRPr="000D7A9F">
              <w:t>1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0D7A9F" w:rsidRDefault="00A9063F" w:rsidP="00D40A19">
            <w:pPr>
              <w:jc w:val="both"/>
            </w:pPr>
            <w:r w:rsidRPr="000D7A9F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0D7A9F" w:rsidRDefault="00A9063F" w:rsidP="00D40A19">
            <w:pPr>
              <w:jc w:val="both"/>
            </w:pPr>
            <w:r w:rsidRPr="000D7A9F"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63F" w:rsidRPr="000D7A9F" w:rsidRDefault="00A9063F" w:rsidP="00D40A19">
            <w:pPr>
              <w:jc w:val="both"/>
            </w:pPr>
            <w:r w:rsidRPr="000D7A9F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0D7A9F" w:rsidRDefault="00A9063F" w:rsidP="00D40A19">
            <w:pPr>
              <w:pStyle w:val="Zkladntext2"/>
              <w:spacing w:line="240" w:lineRule="exact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5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0D7A9F" w:rsidRDefault="00A9063F" w:rsidP="00D40A19">
            <w:pPr>
              <w:pStyle w:val="Zkladntext2"/>
              <w:spacing w:line="240" w:lineRule="exact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0D7A9F" w:rsidRDefault="00A9063F" w:rsidP="00D40A19">
            <w:pPr>
              <w:jc w:val="both"/>
            </w:pPr>
            <w:r w:rsidRPr="000D7A9F"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0D7A9F" w:rsidRDefault="005170A9" w:rsidP="00D40A19">
            <w:pPr>
              <w:jc w:val="both"/>
            </w:pPr>
            <w:r w:rsidRPr="000D7A9F">
              <w:t>8</w:t>
            </w:r>
          </w:p>
        </w:tc>
      </w:tr>
      <w:tr w:rsidR="00A9063F" w:rsidRPr="000D7A9F" w:rsidTr="00D40A19"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Pr="000D7A9F" w:rsidRDefault="00A9063F" w:rsidP="00D40A19">
            <w:pPr>
              <w:pStyle w:val="Normlny0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Článok</w:t>
            </w:r>
          </w:p>
          <w:p w:rsidR="00A9063F" w:rsidRPr="000D7A9F" w:rsidRDefault="00A9063F" w:rsidP="00D40A19">
            <w:pPr>
              <w:pStyle w:val="Normlny0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(Č, O,</w:t>
            </w:r>
          </w:p>
          <w:p w:rsidR="00A9063F" w:rsidRPr="000D7A9F" w:rsidRDefault="00A9063F" w:rsidP="00D40A19">
            <w:pPr>
              <w:pStyle w:val="Normlny0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V, P)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0D7A9F" w:rsidRDefault="00A9063F" w:rsidP="00D40A19">
            <w:pPr>
              <w:pStyle w:val="Normlny0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0D7A9F" w:rsidRDefault="00A9063F" w:rsidP="00D40A19">
            <w:pPr>
              <w:pStyle w:val="Normlny0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 xml:space="preserve">Spôsob </w:t>
            </w:r>
            <w:proofErr w:type="spellStart"/>
            <w:r w:rsidRPr="000D7A9F">
              <w:rPr>
                <w:sz w:val="24"/>
                <w:szCs w:val="24"/>
              </w:rPr>
              <w:t>transp</w:t>
            </w:r>
            <w:proofErr w:type="spellEnd"/>
            <w:r w:rsidRPr="000D7A9F">
              <w:rPr>
                <w:sz w:val="24"/>
                <w:szCs w:val="24"/>
              </w:rPr>
              <w:t>.</w:t>
            </w:r>
          </w:p>
          <w:p w:rsidR="00A9063F" w:rsidRPr="000D7A9F" w:rsidRDefault="00A9063F" w:rsidP="00D40A19">
            <w:pPr>
              <w:pStyle w:val="Normlny0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 xml:space="preserve">(N, O, D, </w:t>
            </w:r>
            <w:proofErr w:type="spellStart"/>
            <w:r w:rsidRPr="000D7A9F">
              <w:rPr>
                <w:sz w:val="24"/>
                <w:szCs w:val="24"/>
              </w:rPr>
              <w:t>n.a</w:t>
            </w:r>
            <w:proofErr w:type="spellEnd"/>
            <w:r w:rsidRPr="000D7A9F">
              <w:rPr>
                <w:sz w:val="24"/>
                <w:szCs w:val="24"/>
              </w:rPr>
              <w:t>.)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63F" w:rsidRPr="000D7A9F" w:rsidRDefault="00A9063F" w:rsidP="00D40A19">
            <w:pPr>
              <w:pStyle w:val="Normlny0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Číslo</w:t>
            </w:r>
          </w:p>
          <w:p w:rsidR="00A9063F" w:rsidRPr="000D7A9F" w:rsidRDefault="00A9063F" w:rsidP="00D40A19">
            <w:pPr>
              <w:pStyle w:val="Normlny0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predpisu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0D7A9F" w:rsidRDefault="00A9063F" w:rsidP="00D40A19">
            <w:pPr>
              <w:pStyle w:val="Normlny0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Článok (Č, §, O, V, P)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0D7A9F" w:rsidRDefault="00A9063F" w:rsidP="00D40A19">
            <w:pPr>
              <w:pStyle w:val="Normlny0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Text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0D7A9F" w:rsidRDefault="00A9063F" w:rsidP="00D40A19">
            <w:pPr>
              <w:pStyle w:val="Normlny0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Zhoda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0D7A9F" w:rsidRDefault="00A9063F" w:rsidP="00D40A19">
            <w:pPr>
              <w:pStyle w:val="Normlny0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Poznámky</w:t>
            </w:r>
          </w:p>
        </w:tc>
      </w:tr>
      <w:tr w:rsidR="00A9063F" w:rsidRPr="000D7A9F" w:rsidTr="00D40A19"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Pr="000D7A9F" w:rsidRDefault="0078287E" w:rsidP="00D40A19">
            <w:pPr>
              <w:jc w:val="both"/>
            </w:pPr>
            <w:r w:rsidRPr="000D7A9F">
              <w:t xml:space="preserve">Čl. </w:t>
            </w:r>
            <w:r w:rsidR="00110BBB">
              <w:t>90</w:t>
            </w:r>
            <w:r w:rsidR="00AA1F7B">
              <w:t xml:space="preserve">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BB" w:rsidRPr="00110BBB" w:rsidRDefault="00110BBB" w:rsidP="00D40A19">
            <w:pPr>
              <w:adjustRightInd w:val="0"/>
              <w:spacing w:before="60" w:after="60"/>
              <w:jc w:val="both"/>
            </w:pPr>
            <w:r w:rsidRPr="00110BBB">
              <w:t xml:space="preserve">1. V prípade zrušenia, odmietnutia, </w:t>
            </w:r>
            <w:r w:rsidRPr="00110BBB">
              <w:rPr>
                <w:b/>
              </w:rPr>
              <w:t>úplného alebo čiastočného nezaplatenia</w:t>
            </w:r>
            <w:r w:rsidRPr="00110BBB">
              <w:t xml:space="preserve"> alebo v prípade zníženia ceny </w:t>
            </w:r>
            <w:r w:rsidRPr="00110BBB">
              <w:rPr>
                <w:b/>
              </w:rPr>
              <w:t>po dodaní</w:t>
            </w:r>
            <w:r w:rsidRPr="00110BBB">
              <w:t xml:space="preserve"> sa základ dane primerane zníži za podmienok stanovených členskými štátmi. </w:t>
            </w:r>
          </w:p>
          <w:p w:rsidR="00A1775E" w:rsidRPr="000D7A9F" w:rsidRDefault="00110BBB" w:rsidP="00D40A19">
            <w:pPr>
              <w:autoSpaceDE/>
              <w:autoSpaceDN/>
              <w:spacing w:before="120"/>
              <w:jc w:val="both"/>
            </w:pPr>
            <w:r w:rsidRPr="00110BBB">
              <w:t xml:space="preserve">2. </w:t>
            </w:r>
            <w:r w:rsidRPr="00110BBB">
              <w:rPr>
                <w:b/>
              </w:rPr>
              <w:t>V prípade úplného alebo čiastočného nezaplatenia sa členské štáty môžu odchýliť od ustanovenia odseku 1.</w:t>
            </w:r>
            <w:r w:rsidRPr="00110BBB">
              <w:rPr>
                <w:color w:val="000000"/>
                <w:sz w:val="19"/>
                <w:szCs w:val="19"/>
              </w:rPr>
              <w:t xml:space="preserve"> </w:t>
            </w:r>
            <w:r w:rsidR="00AA1F7B" w:rsidRPr="00110BBB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30B3" w:rsidRDefault="006237B4" w:rsidP="00D40A19">
            <w:pPr>
              <w:jc w:val="both"/>
            </w:pPr>
            <w:r>
              <w:t>N</w:t>
            </w:r>
          </w:p>
          <w:p w:rsidR="008A399B" w:rsidRDefault="008A399B" w:rsidP="00D40A19">
            <w:pPr>
              <w:jc w:val="both"/>
            </w:pPr>
          </w:p>
          <w:p w:rsidR="008A399B" w:rsidRDefault="008A399B" w:rsidP="00D40A19">
            <w:pPr>
              <w:jc w:val="both"/>
            </w:pPr>
          </w:p>
          <w:p w:rsidR="008A399B" w:rsidRDefault="008A399B" w:rsidP="00D40A19">
            <w:pPr>
              <w:jc w:val="both"/>
            </w:pPr>
          </w:p>
          <w:p w:rsidR="008A399B" w:rsidRPr="000D7A9F" w:rsidRDefault="008A399B" w:rsidP="00D40A19">
            <w:pPr>
              <w:jc w:val="both"/>
            </w:pPr>
            <w:r w:rsidRPr="00120F4C">
              <w:t>D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B3E" w:rsidRDefault="001C6273" w:rsidP="00D40A19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DD7F71" w:rsidRPr="000D7A9F">
              <w:rPr>
                <w:b/>
              </w:rPr>
              <w:t>ávrh zákona čl.</w:t>
            </w:r>
            <w:r w:rsidR="00F47D92">
              <w:rPr>
                <w:b/>
              </w:rPr>
              <w:t xml:space="preserve"> </w:t>
            </w:r>
            <w:r w:rsidR="00DD7F71" w:rsidRPr="000D7A9F">
              <w:rPr>
                <w:b/>
              </w:rPr>
              <w:t>I</w:t>
            </w:r>
          </w:p>
          <w:p w:rsidR="001E068A" w:rsidRDefault="001E068A" w:rsidP="00D40A19">
            <w:pPr>
              <w:jc w:val="center"/>
              <w:rPr>
                <w:b/>
              </w:rPr>
            </w:pPr>
          </w:p>
          <w:p w:rsidR="001E068A" w:rsidRPr="000D7A9F" w:rsidRDefault="001E068A" w:rsidP="00D40A19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D4" w:rsidRPr="0022141C" w:rsidRDefault="00F47D92" w:rsidP="00D40A19">
            <w:pPr>
              <w:pStyle w:val="Normlny0"/>
              <w:rPr>
                <w:sz w:val="24"/>
                <w:szCs w:val="24"/>
              </w:rPr>
            </w:pPr>
            <w:r w:rsidRPr="0022141C">
              <w:rPr>
                <w:sz w:val="24"/>
                <w:szCs w:val="24"/>
              </w:rPr>
              <w:t xml:space="preserve">§ </w:t>
            </w:r>
            <w:r w:rsidR="00110BBB">
              <w:rPr>
                <w:sz w:val="24"/>
                <w:szCs w:val="24"/>
              </w:rPr>
              <w:t>25a</w:t>
            </w:r>
          </w:p>
          <w:p w:rsidR="006F57D4" w:rsidRPr="0022141C" w:rsidRDefault="006F57D4" w:rsidP="00D40A19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6F57D4" w:rsidRPr="0022141C" w:rsidRDefault="006F57D4" w:rsidP="00D40A19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22141C" w:rsidRPr="0022141C" w:rsidRDefault="0022141C" w:rsidP="00D40A19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3A2BCA" w:rsidRPr="000D7A9F" w:rsidRDefault="003A2BCA" w:rsidP="00D40A19">
            <w:pPr>
              <w:pStyle w:val="Normlny0"/>
              <w:jc w:val="both"/>
              <w:rPr>
                <w:sz w:val="24"/>
                <w:szCs w:val="24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B4" w:rsidRPr="006F394F" w:rsidRDefault="006237B4" w:rsidP="00D40A19">
            <w:pPr>
              <w:pStyle w:val="Zkladntext"/>
              <w:jc w:val="center"/>
              <w:rPr>
                <w:b/>
              </w:rPr>
            </w:pPr>
            <w:r w:rsidRPr="006F394F">
              <w:rPr>
                <w:b/>
              </w:rPr>
              <w:t>§ 25a</w:t>
            </w:r>
          </w:p>
          <w:p w:rsidR="006237B4" w:rsidRPr="006F394F" w:rsidRDefault="006237B4" w:rsidP="00D40A19">
            <w:pPr>
              <w:pStyle w:val="Zkladntext"/>
              <w:jc w:val="center"/>
              <w:rPr>
                <w:b/>
              </w:rPr>
            </w:pPr>
            <w:r w:rsidRPr="006F394F">
              <w:rPr>
                <w:b/>
              </w:rPr>
              <w:t>Oprava základu dane pri úplnom alebo čiastočnom nezaplatení protihodnoty za dodanie tovaru alebo služby</w:t>
            </w:r>
          </w:p>
          <w:p w:rsidR="006237B4" w:rsidRPr="006F394F" w:rsidRDefault="006237B4" w:rsidP="00D40A19">
            <w:pPr>
              <w:pStyle w:val="Zkladntext"/>
              <w:jc w:val="center"/>
              <w:rPr>
                <w:b/>
              </w:rPr>
            </w:pPr>
          </w:p>
          <w:p w:rsidR="006237B4" w:rsidRPr="00604194" w:rsidRDefault="006237B4" w:rsidP="00D40A19">
            <w:pPr>
              <w:pStyle w:val="Zkladntext"/>
              <w:jc w:val="both"/>
              <w:rPr>
                <w:b/>
                <w:color w:val="auto"/>
              </w:rPr>
            </w:pPr>
            <w:r w:rsidRPr="006F394F">
              <w:rPr>
                <w:b/>
              </w:rPr>
              <w:t xml:space="preserve">(1) Základ dane pri dodaní tovaru alebo služby môže platiteľ, ktorý je z tohto dodania povinný </w:t>
            </w:r>
            <w:r w:rsidRPr="00604194">
              <w:rPr>
                <w:b/>
                <w:color w:val="auto"/>
              </w:rPr>
              <w:t xml:space="preserve">platiť daň podľa § 69 ods. 1, znížiť, ak mu po vzniku daňovej povinnosti odberateľ úplne alebo čiastočne nezaplatil za dodanie tovaru alebo služby a jeho pohľadávka z tohto dodania sa stala nevymožiteľnou podľa odseku 2. </w:t>
            </w:r>
          </w:p>
          <w:p w:rsidR="006237B4" w:rsidRPr="00604194" w:rsidRDefault="006237B4" w:rsidP="00D40A19">
            <w:pPr>
              <w:pStyle w:val="Zkladntext"/>
              <w:jc w:val="both"/>
              <w:rPr>
                <w:b/>
                <w:color w:val="auto"/>
              </w:rPr>
            </w:pPr>
          </w:p>
          <w:p w:rsidR="006237B4" w:rsidRPr="00604194" w:rsidRDefault="006237B4" w:rsidP="00D40A19">
            <w:pPr>
              <w:pStyle w:val="Zkladntext"/>
              <w:jc w:val="both"/>
              <w:rPr>
                <w:b/>
                <w:color w:val="auto"/>
              </w:rPr>
            </w:pPr>
            <w:r w:rsidRPr="00604194">
              <w:rPr>
                <w:b/>
                <w:color w:val="auto"/>
              </w:rPr>
              <w:lastRenderedPageBreak/>
              <w:t>(2) Na účely tohto zákona sa pohľadávka z dodania tovaru alebo služby stáva nevymožiteľnou pohľadávkou, ak</w:t>
            </w:r>
          </w:p>
          <w:p w:rsidR="00A968AE" w:rsidRPr="00604194" w:rsidRDefault="00F74290" w:rsidP="00D40A19">
            <w:pPr>
              <w:jc w:val="both"/>
              <w:rPr>
                <w:b/>
              </w:rPr>
            </w:pPr>
            <w:r w:rsidRPr="00604194">
              <w:rPr>
                <w:b/>
              </w:rPr>
              <w:t>a) je vymáhaná v exekučnom konaní</w:t>
            </w:r>
            <w:r w:rsidRPr="00604194">
              <w:rPr>
                <w:b/>
                <w:vertAlign w:val="superscript"/>
              </w:rPr>
              <w:t>6aca</w:t>
            </w:r>
            <w:r w:rsidRPr="00604194">
              <w:rPr>
                <w:b/>
              </w:rPr>
              <w:t>) a v priebehu 12 mesiacov od začatia exekučného konania nebola uspokojená, a to dňom, ktorý nasleduje po uplynutí 12 mesiacov od začatia exekučného konania a v rozsahu, v akom nebola uspokojená,</w:t>
            </w:r>
          </w:p>
          <w:p w:rsidR="006237B4" w:rsidRPr="00604194" w:rsidRDefault="006237B4" w:rsidP="00D40A19">
            <w:pPr>
              <w:pStyle w:val="Zkladntext"/>
              <w:jc w:val="both"/>
              <w:rPr>
                <w:b/>
                <w:color w:val="auto"/>
              </w:rPr>
            </w:pPr>
            <w:r w:rsidRPr="00604194">
              <w:rPr>
                <w:b/>
                <w:color w:val="auto"/>
              </w:rPr>
              <w:t>b) sa odberateľ (dlžník) na</w:t>
            </w:r>
            <w:r w:rsidR="006D4011" w:rsidRPr="00604194">
              <w:rPr>
                <w:b/>
                <w:color w:val="auto"/>
              </w:rPr>
              <w:t>chádza v konkurznom konaní</w:t>
            </w:r>
            <w:r w:rsidRPr="00604194">
              <w:rPr>
                <w:b/>
                <w:color w:val="auto"/>
              </w:rPr>
              <w:t>,</w:t>
            </w:r>
            <w:r w:rsidRPr="00604194">
              <w:rPr>
                <w:b/>
                <w:color w:val="auto"/>
                <w:vertAlign w:val="superscript"/>
              </w:rPr>
              <w:t>6acb</w:t>
            </w:r>
            <w:r w:rsidRPr="00604194">
              <w:rPr>
                <w:b/>
                <w:color w:val="auto"/>
              </w:rPr>
              <w:t>)</w:t>
            </w:r>
            <w:r w:rsidRPr="00604194">
              <w:rPr>
                <w:b/>
                <w:color w:val="auto"/>
                <w:vertAlign w:val="superscript"/>
              </w:rPr>
              <w:t xml:space="preserve"> </w:t>
            </w:r>
            <w:r w:rsidRPr="00604194">
              <w:rPr>
                <w:b/>
                <w:color w:val="auto"/>
              </w:rPr>
              <w:t>a</w:t>
            </w:r>
          </w:p>
          <w:p w:rsidR="006237B4" w:rsidRPr="00604194" w:rsidRDefault="006237B4" w:rsidP="00D40A19">
            <w:pPr>
              <w:pStyle w:val="Zkladntext"/>
              <w:jc w:val="both"/>
              <w:rPr>
                <w:b/>
                <w:color w:val="auto"/>
              </w:rPr>
            </w:pPr>
            <w:r w:rsidRPr="00604194">
              <w:rPr>
                <w:b/>
                <w:color w:val="auto"/>
              </w:rPr>
              <w:t xml:space="preserve">1. konkurzné konanie bolo zastavené pre nedostatok majetku, a to dňom zverejnenia oznámenia o nadobudnutí právoplatnosti uznesenia o zastavení konkurzného konania pre nedostatok majetku v Obchodnom vestníku, </w:t>
            </w:r>
          </w:p>
          <w:p w:rsidR="00F74290" w:rsidRPr="00604194" w:rsidRDefault="00F74290" w:rsidP="00D40A19">
            <w:pPr>
              <w:pStyle w:val="Zkladntext"/>
              <w:jc w:val="both"/>
              <w:rPr>
                <w:b/>
                <w:color w:val="auto"/>
              </w:rPr>
            </w:pPr>
            <w:r w:rsidRPr="00604194">
              <w:rPr>
                <w:b/>
                <w:color w:val="auto"/>
              </w:rPr>
              <w:t>2. konkurz bol zrušený pre nedostatok majetku, a to dňom zverejnenia oznámenia o nadobudnutí právoplatnosti uznesenia o zrušení konkurzu pre nedostatok majetku v Obchodnom vestníku,</w:t>
            </w:r>
            <w:r w:rsidR="000E361C">
              <w:rPr>
                <w:b/>
                <w:color w:val="auto"/>
              </w:rPr>
              <w:t xml:space="preserve"> alebo</w:t>
            </w:r>
          </w:p>
          <w:p w:rsidR="006237B4" w:rsidRPr="00604194" w:rsidRDefault="00F74290" w:rsidP="00D40A19">
            <w:pPr>
              <w:pStyle w:val="Zkladntext"/>
              <w:jc w:val="both"/>
              <w:rPr>
                <w:b/>
                <w:color w:val="auto"/>
              </w:rPr>
            </w:pPr>
            <w:r w:rsidRPr="00604194">
              <w:rPr>
                <w:b/>
                <w:color w:val="auto"/>
              </w:rPr>
              <w:t>3. na majetok odberateľa (dlžníka) bol vyhlásený konkurz, a to dňom a v rozsahu, v akom bola táto pohľadávka zistená  v konkurznom konaní; ak platiteľ neprihlásil pohľadávku v konkurznom konaní, dňom zverejnenia oznámenia o nadobudnutí právoplatnosti uznesenia o zrušení konkurzu po splnení konečného rozvrhu výťažku v Obchodnom vestníku a v rozsahu, v akom platiteľ preukáže, že by jeho pohľadávka nebola uspokojená ani ak by bola prihlásená, za podmienky, že táto pohľadávka k tomuto dňu nebola premlčaná,</w:t>
            </w:r>
          </w:p>
          <w:p w:rsidR="00D40A19" w:rsidRPr="00604194" w:rsidRDefault="00D40A19" w:rsidP="00D40A19">
            <w:pPr>
              <w:pStyle w:val="Zkladntext"/>
              <w:jc w:val="both"/>
              <w:rPr>
                <w:b/>
                <w:color w:val="auto"/>
              </w:rPr>
            </w:pPr>
            <w:r w:rsidRPr="00604194">
              <w:rPr>
                <w:b/>
                <w:color w:val="auto"/>
              </w:rPr>
              <w:t>c) sa odberateľ (dlžník) nachádza v oddlžení</w:t>
            </w:r>
            <w:r w:rsidRPr="00604194">
              <w:rPr>
                <w:b/>
                <w:color w:val="auto"/>
                <w:vertAlign w:val="superscript"/>
              </w:rPr>
              <w:t>6acc</w:t>
            </w:r>
            <w:r w:rsidRPr="00604194">
              <w:rPr>
                <w:b/>
                <w:color w:val="auto"/>
              </w:rPr>
              <w:t>) a</w:t>
            </w:r>
          </w:p>
          <w:p w:rsidR="00D40A19" w:rsidRPr="00604194" w:rsidRDefault="00D40A19" w:rsidP="00D40A19">
            <w:pPr>
              <w:pStyle w:val="Zkladntext"/>
              <w:jc w:val="both"/>
              <w:rPr>
                <w:b/>
                <w:color w:val="auto"/>
              </w:rPr>
            </w:pPr>
            <w:r w:rsidRPr="00604194">
              <w:rPr>
                <w:b/>
                <w:color w:val="auto"/>
              </w:rPr>
              <w:t xml:space="preserve">1. konkurz bol skončený z dôvodu, že konkurzná podstata nepokryje náklady konkurzu, a to dňom </w:t>
            </w:r>
            <w:r w:rsidRPr="00604194">
              <w:rPr>
                <w:b/>
                <w:color w:val="auto"/>
              </w:rPr>
              <w:lastRenderedPageBreak/>
              <w:t>zverejnenia uznesenia o zrušení konkurzu z uvedeného dôvodu,</w:t>
            </w:r>
          </w:p>
          <w:p w:rsidR="00D40A19" w:rsidRPr="00604194" w:rsidRDefault="00D40A19" w:rsidP="00D40A19">
            <w:pPr>
              <w:pStyle w:val="Zkladntext"/>
              <w:jc w:val="both"/>
              <w:rPr>
                <w:b/>
                <w:color w:val="auto"/>
              </w:rPr>
            </w:pPr>
            <w:r w:rsidRPr="00604194">
              <w:rPr>
                <w:b/>
                <w:color w:val="auto"/>
              </w:rPr>
              <w:t xml:space="preserve">2. na majetok odberateľa (dlžníka) bol vyhlásený konkurz, a to dňom a v rozsahu, v akom bola táto pohľadávka zistená  v konkurznom konaní; ak platiteľ neprihlásil pohľadávku v konkurznom konaní, dňom zverejnenia uznesenia o zrušení konkurzu po splnení konečného rozvrhu výťažku v Obchodnom vestníku a v rozsahu, v akom platiteľ preukáže, že by jeho pohľadávka nebola uspokojená ani ak by bola prihlásená, za podmienky, že táto pohľadávka k tomuto dňu nebola premlčaná, </w:t>
            </w:r>
            <w:r w:rsidR="00ED546C">
              <w:rPr>
                <w:b/>
                <w:color w:val="auto"/>
              </w:rPr>
              <w:t>alebo</w:t>
            </w:r>
          </w:p>
          <w:p w:rsidR="00D40A19" w:rsidRPr="00604194" w:rsidRDefault="00D40A19" w:rsidP="00D40A19">
            <w:pPr>
              <w:pStyle w:val="Zkladntext"/>
              <w:jc w:val="both"/>
              <w:rPr>
                <w:i/>
                <w:color w:val="auto"/>
              </w:rPr>
            </w:pPr>
            <w:r w:rsidRPr="00604194">
              <w:rPr>
                <w:b/>
                <w:color w:val="auto"/>
              </w:rPr>
              <w:t xml:space="preserve">3. súd určil splátkový kalendár, a to dňom určenia splátkového kalendára a v rozsahu, v akom bola táto pohľadávka zahrnutá do splátkového kalendára, </w:t>
            </w:r>
            <w:r w:rsidRPr="00604194">
              <w:rPr>
                <w:color w:val="auto"/>
              </w:rPr>
              <w:t xml:space="preserve"> </w:t>
            </w:r>
          </w:p>
          <w:p w:rsidR="006237B4" w:rsidRPr="00604194" w:rsidRDefault="006237B4" w:rsidP="00D40A19">
            <w:pPr>
              <w:pStyle w:val="Zkladntext"/>
              <w:jc w:val="both"/>
              <w:rPr>
                <w:b/>
                <w:color w:val="auto"/>
              </w:rPr>
            </w:pPr>
            <w:r w:rsidRPr="00604194">
              <w:rPr>
                <w:b/>
                <w:color w:val="auto"/>
              </w:rPr>
              <w:t>d) odberateľ</w:t>
            </w:r>
            <w:r w:rsidR="006D4011" w:rsidRPr="00604194">
              <w:rPr>
                <w:b/>
                <w:color w:val="auto"/>
              </w:rPr>
              <w:t xml:space="preserve"> (dlžník)</w:t>
            </w:r>
            <w:r w:rsidRPr="00604194">
              <w:rPr>
                <w:b/>
                <w:color w:val="auto"/>
              </w:rPr>
              <w:t xml:space="preserve">, ktorý je právnickou osobou, zanikol bez právneho nástupcu, a to dňom zániku, </w:t>
            </w:r>
          </w:p>
          <w:p w:rsidR="006237B4" w:rsidRPr="00604194" w:rsidRDefault="006237B4" w:rsidP="00D40A19">
            <w:pPr>
              <w:pStyle w:val="Zkladntext"/>
              <w:jc w:val="both"/>
              <w:rPr>
                <w:b/>
                <w:color w:val="auto"/>
              </w:rPr>
            </w:pPr>
            <w:r w:rsidRPr="00604194">
              <w:rPr>
                <w:b/>
                <w:color w:val="auto"/>
              </w:rPr>
              <w:t>e) odberateľ (dlžník) zomrel a</w:t>
            </w:r>
          </w:p>
          <w:p w:rsidR="006237B4" w:rsidRPr="00604194" w:rsidRDefault="006237B4" w:rsidP="00D40A19">
            <w:pPr>
              <w:pStyle w:val="Zkladntext"/>
              <w:jc w:val="both"/>
              <w:rPr>
                <w:b/>
                <w:color w:val="auto"/>
              </w:rPr>
            </w:pPr>
            <w:r w:rsidRPr="00604194">
              <w:rPr>
                <w:b/>
                <w:color w:val="auto"/>
              </w:rPr>
              <w:t xml:space="preserve">1. súd zastavil konanie o dedičstve, ak táto osoba nezanechala žiadny </w:t>
            </w:r>
            <w:r w:rsidR="00D40A19" w:rsidRPr="00604194">
              <w:rPr>
                <w:b/>
                <w:color w:val="auto"/>
              </w:rPr>
              <w:t>majetok</w:t>
            </w:r>
            <w:r w:rsidR="00D40A19" w:rsidRPr="00604194">
              <w:rPr>
                <w:b/>
                <w:color w:val="auto"/>
                <w:vertAlign w:val="superscript"/>
              </w:rPr>
              <w:t>6acd</w:t>
            </w:r>
            <w:r w:rsidR="00D40A19" w:rsidRPr="00604194">
              <w:rPr>
                <w:b/>
                <w:color w:val="auto"/>
              </w:rPr>
              <w:t>)</w:t>
            </w:r>
            <w:r w:rsidR="00D40A19" w:rsidRPr="00604194">
              <w:rPr>
                <w:color w:val="auto"/>
              </w:rPr>
              <w:t xml:space="preserve"> </w:t>
            </w:r>
            <w:r w:rsidRPr="00604194">
              <w:rPr>
                <w:b/>
                <w:color w:val="auto"/>
              </w:rPr>
              <w:t xml:space="preserve">alebo zanechala majetok nepatrnej </w:t>
            </w:r>
            <w:r w:rsidR="00D40A19" w:rsidRPr="00604194">
              <w:rPr>
                <w:b/>
                <w:color w:val="auto"/>
              </w:rPr>
              <w:t>hodnoty,</w:t>
            </w:r>
            <w:r w:rsidR="00D40A19" w:rsidRPr="00604194">
              <w:rPr>
                <w:b/>
                <w:color w:val="auto"/>
                <w:vertAlign w:val="superscript"/>
              </w:rPr>
              <w:t>6ace</w:t>
            </w:r>
            <w:r w:rsidR="00D40A19" w:rsidRPr="00604194">
              <w:rPr>
                <w:b/>
                <w:color w:val="auto"/>
              </w:rPr>
              <w:t>)</w:t>
            </w:r>
            <w:r w:rsidR="00D40A19" w:rsidRPr="00604194">
              <w:rPr>
                <w:color w:val="auto"/>
              </w:rPr>
              <w:t xml:space="preserve"> </w:t>
            </w:r>
            <w:r w:rsidRPr="00604194">
              <w:rPr>
                <w:b/>
                <w:color w:val="auto"/>
              </w:rPr>
              <w:t>a to dňom nadobudnutia právoplatnosti uznesenia o zastavení konania o dedičstve,</w:t>
            </w:r>
            <w:r w:rsidR="00ED546C">
              <w:rPr>
                <w:b/>
                <w:color w:val="auto"/>
              </w:rPr>
              <w:t xml:space="preserve"> alebo</w:t>
            </w:r>
          </w:p>
          <w:p w:rsidR="00D40A19" w:rsidRPr="00604194" w:rsidRDefault="00D40A19" w:rsidP="00D40A19">
            <w:pPr>
              <w:pStyle w:val="Zkladntext"/>
              <w:jc w:val="both"/>
              <w:rPr>
                <w:b/>
                <w:color w:val="auto"/>
              </w:rPr>
            </w:pPr>
            <w:r w:rsidRPr="00604194">
              <w:rPr>
                <w:b/>
                <w:color w:val="auto"/>
              </w:rPr>
              <w:t>2. táto pohľadávka bola v lehote určenej súdom prihlásená v konaní o likvidácii dedičstva,</w:t>
            </w:r>
            <w:r w:rsidRPr="00604194">
              <w:rPr>
                <w:b/>
                <w:color w:val="auto"/>
                <w:vertAlign w:val="superscript"/>
              </w:rPr>
              <w:t>6acf</w:t>
            </w:r>
            <w:r w:rsidRPr="00604194">
              <w:rPr>
                <w:b/>
                <w:color w:val="auto"/>
              </w:rPr>
              <w:t xml:space="preserve">) v rozsahu, v akom bola prihlásená, a to dňom, ktorý nasleduje po uplynutí lehoty na prihlásenie pohľadávok; ak platiteľ neprihlásil pohľadávku do konania o likvidácii dedičstva, dňom právoplatného skončenia likvidácie dedičstva, a to v rozsahu, v akom platiteľ preukáže, že by jeho pohľadávka nebola uspokojená, ani ak by bola prihlásená, za podmienky, že táto pohľadávka </w:t>
            </w:r>
            <w:r w:rsidRPr="00604194">
              <w:rPr>
                <w:b/>
                <w:color w:val="auto"/>
              </w:rPr>
              <w:lastRenderedPageBreak/>
              <w:t>k tomuto dňu nebola premlčaná,</w:t>
            </w:r>
          </w:p>
          <w:p w:rsidR="00D40A19" w:rsidRPr="00604194" w:rsidRDefault="00D40A19" w:rsidP="00D40A19">
            <w:pPr>
              <w:pStyle w:val="Zkladntext"/>
              <w:jc w:val="both"/>
              <w:rPr>
                <w:b/>
                <w:color w:val="auto"/>
              </w:rPr>
            </w:pPr>
            <w:r w:rsidRPr="00604194">
              <w:rPr>
                <w:b/>
                <w:color w:val="auto"/>
              </w:rPr>
              <w:t>f) uplynulo 12 mesiacov od splatnosti pohľadávky za dodanie tovaru alebo služby a táto pohľadávka nie je viac ako 300 eur vrátane dane, ak platiteľ preukáže, že vykonal akýkoľvek úkon, ktorý smeruje k získaniu úhrady pohľadávky,</w:t>
            </w:r>
          </w:p>
          <w:p w:rsidR="00D40A19" w:rsidRPr="00604194" w:rsidRDefault="00D40A19" w:rsidP="00D40A19">
            <w:pPr>
              <w:pStyle w:val="Zkladntext"/>
              <w:jc w:val="both"/>
              <w:rPr>
                <w:b/>
                <w:color w:val="auto"/>
              </w:rPr>
            </w:pPr>
            <w:r w:rsidRPr="00604194">
              <w:rPr>
                <w:b/>
                <w:color w:val="auto"/>
              </w:rPr>
              <w:t>g) bolo zverejnené uznesenie</w:t>
            </w:r>
            <w:r w:rsidRPr="00604194">
              <w:rPr>
                <w:b/>
                <w:i/>
                <w:color w:val="auto"/>
              </w:rPr>
              <w:t xml:space="preserve"> </w:t>
            </w:r>
            <w:r w:rsidRPr="00604194">
              <w:rPr>
                <w:b/>
                <w:color w:val="auto"/>
              </w:rPr>
              <w:t xml:space="preserve">o skončení reštrukturalizácie a pohľadávka v tomto konaní nebola prihlásená, a to dňom zverejnenia tohto uznesenia v rozsahu, v akom platiteľ preukáže, že by jeho pohľadávka nebola uspokojená, ani ak by bola prihlásená, za podmienky, že táto pohľadávka k tomuto dňu nebola premlčaná. </w:t>
            </w:r>
          </w:p>
          <w:p w:rsidR="006237B4" w:rsidRPr="00604194" w:rsidRDefault="006237B4" w:rsidP="00D40A19">
            <w:pPr>
              <w:pStyle w:val="Zkladntext"/>
              <w:jc w:val="both"/>
              <w:rPr>
                <w:b/>
                <w:color w:val="auto"/>
              </w:rPr>
            </w:pPr>
          </w:p>
          <w:p w:rsidR="006237B4" w:rsidRPr="00604194" w:rsidRDefault="006237B4" w:rsidP="00D40A19">
            <w:pPr>
              <w:pStyle w:val="Zkladntext"/>
              <w:jc w:val="both"/>
              <w:rPr>
                <w:b/>
                <w:color w:val="auto"/>
              </w:rPr>
            </w:pPr>
            <w:r w:rsidRPr="00604194">
              <w:rPr>
                <w:b/>
                <w:color w:val="auto"/>
              </w:rPr>
              <w:t xml:space="preserve">(3) Platiteľ môže vykonať opravu základu dane podľa odseku 1 najviac vo výške, ktorá zodpovedá neprijatej protihodnote za dodanie tovaru alebo služby. Rozdiel medzi pôvodným základom dane a opraveným základom dane a rozdiel medzi pôvodnou daňou a opravenou daňou sa uvedie najskôr v daňovom priznaní za zdaňovacie obdobie, v ktorom sa pohľadávka stala nevymožiteľnou podľa odseku 2; pôvodný základ dane sa nemôže znížiť o sumu, ktorú platiteľ prijal v súvislosti s dodaním tovaru alebo služby po tom, ako sa pohľadávka stala nevymožiteľnou podľa odseku 2.  </w:t>
            </w:r>
          </w:p>
          <w:p w:rsidR="006237B4" w:rsidRPr="00604194" w:rsidRDefault="006237B4" w:rsidP="00D40A19">
            <w:pPr>
              <w:pStyle w:val="Zkladntext"/>
              <w:jc w:val="both"/>
              <w:rPr>
                <w:b/>
                <w:color w:val="auto"/>
              </w:rPr>
            </w:pPr>
          </w:p>
          <w:p w:rsidR="006237B4" w:rsidRPr="00604194" w:rsidRDefault="006237B4" w:rsidP="00D40A19">
            <w:pPr>
              <w:pStyle w:val="Zkladntext"/>
              <w:jc w:val="both"/>
              <w:rPr>
                <w:b/>
                <w:color w:val="auto"/>
              </w:rPr>
            </w:pPr>
            <w:r w:rsidRPr="00604194">
              <w:rPr>
                <w:b/>
                <w:color w:val="auto"/>
              </w:rPr>
              <w:t>(4) Platiteľ nemôže vykonať opravu základu dane pri nevymožiteľnej pohľadávke podľa odseku 2, ak</w:t>
            </w:r>
          </w:p>
          <w:p w:rsidR="006237B4" w:rsidRPr="00604194" w:rsidRDefault="006237B4" w:rsidP="00D40A19">
            <w:pPr>
              <w:pStyle w:val="Zkladntext"/>
              <w:jc w:val="both"/>
              <w:rPr>
                <w:b/>
                <w:color w:val="auto"/>
              </w:rPr>
            </w:pPr>
            <w:r w:rsidRPr="00604194">
              <w:rPr>
                <w:b/>
                <w:color w:val="auto"/>
              </w:rPr>
              <w:t>a) odberateľ (dlžník) je alebo v deň dodania tovaru alebo služby bol vo vzťahu k platiteľovi osobou uvedenou v § 22 ods. 9,</w:t>
            </w:r>
          </w:p>
          <w:p w:rsidR="006237B4" w:rsidRPr="00604194" w:rsidRDefault="006237B4" w:rsidP="00D40A19">
            <w:pPr>
              <w:pStyle w:val="Zkladntext"/>
              <w:jc w:val="both"/>
              <w:rPr>
                <w:b/>
                <w:color w:val="auto"/>
              </w:rPr>
            </w:pPr>
            <w:r w:rsidRPr="00604194">
              <w:rPr>
                <w:b/>
                <w:color w:val="auto"/>
              </w:rPr>
              <w:t xml:space="preserve">b) tovar alebo služba bola dodaná odberateľovi (dlžníkovi) po vyhlásení konkurzu na majetok </w:t>
            </w:r>
            <w:r w:rsidRPr="00604194">
              <w:rPr>
                <w:b/>
                <w:color w:val="auto"/>
              </w:rPr>
              <w:lastRenderedPageBreak/>
              <w:t xml:space="preserve">odberateľa (dlžníka), </w:t>
            </w:r>
            <w:r w:rsidR="00ED546C">
              <w:rPr>
                <w:b/>
                <w:color w:val="auto"/>
              </w:rPr>
              <w:t>alebo</w:t>
            </w:r>
          </w:p>
          <w:p w:rsidR="00D40A19" w:rsidRPr="00604194" w:rsidRDefault="00D40A19" w:rsidP="00D40A19">
            <w:pPr>
              <w:pStyle w:val="Zkladntext"/>
              <w:jc w:val="both"/>
              <w:rPr>
                <w:b/>
                <w:color w:val="auto"/>
              </w:rPr>
            </w:pPr>
            <w:r w:rsidRPr="00604194">
              <w:rPr>
                <w:b/>
                <w:color w:val="auto"/>
              </w:rPr>
              <w:t>c) najneskôr ku dňu dodania tovaru alebo služby vedel, vedieť mal alebo vedieť mohol, že odberateľ (dlžník) úplne alebo čiastočne nezaplatí za dodanie tovaru alebo služby, a to s prihliadnutím na okolnosti konkrétneho obchodného vzťahu.</w:t>
            </w:r>
          </w:p>
          <w:p w:rsidR="006237B4" w:rsidRPr="00604194" w:rsidRDefault="006237B4" w:rsidP="00D40A19">
            <w:pPr>
              <w:pStyle w:val="Zkladntext"/>
              <w:jc w:val="both"/>
              <w:rPr>
                <w:b/>
                <w:color w:val="auto"/>
              </w:rPr>
            </w:pPr>
          </w:p>
          <w:p w:rsidR="006D4011" w:rsidRPr="00604194" w:rsidRDefault="006237B4" w:rsidP="00D40A19">
            <w:pPr>
              <w:pStyle w:val="Zkladntext"/>
              <w:jc w:val="both"/>
              <w:rPr>
                <w:b/>
                <w:color w:val="auto"/>
              </w:rPr>
            </w:pPr>
            <w:r w:rsidRPr="00604194">
              <w:rPr>
                <w:b/>
                <w:color w:val="auto"/>
              </w:rPr>
              <w:t xml:space="preserve">(5) </w:t>
            </w:r>
            <w:r w:rsidR="006D4011" w:rsidRPr="00604194">
              <w:rPr>
                <w:b/>
                <w:color w:val="auto"/>
              </w:rPr>
              <w:t xml:space="preserve">Právo platiteľa vykonať opravu základu dane pri nevymožiteľnej pohľadávke podľa odseku 2 zaniká uplynutím troch rokov od posledného dňa lehoty na podanie daňového priznania za zdaňovacie obdobie, v ktorom bol tovar alebo služba dodaná. Doba podľa prvej vety neplynie </w:t>
            </w:r>
          </w:p>
          <w:p w:rsidR="009726D6" w:rsidRPr="00604194" w:rsidRDefault="009726D6" w:rsidP="009726D6">
            <w:pPr>
              <w:pStyle w:val="Zkladntext"/>
              <w:jc w:val="both"/>
              <w:rPr>
                <w:b/>
                <w:color w:val="auto"/>
              </w:rPr>
            </w:pPr>
            <w:r w:rsidRPr="00604194">
              <w:rPr>
                <w:b/>
                <w:color w:val="auto"/>
              </w:rPr>
              <w:t>a) počas súdneho konania alebo rozhodcovského konania, ak platiteľ na základe výsledkov týchto konaní uplatnil pohľadávku voči odberateľovi (dlžníkovi) v exekučnom konaní alebo uplatnil</w:t>
            </w:r>
            <w:r w:rsidR="00ED546C">
              <w:rPr>
                <w:b/>
                <w:color w:val="auto"/>
              </w:rPr>
              <w:t xml:space="preserve"> pohľadávku</w:t>
            </w:r>
            <w:r w:rsidRPr="00604194">
              <w:rPr>
                <w:b/>
                <w:color w:val="auto"/>
              </w:rPr>
              <w:t xml:space="preserve"> alebo mohol uplatniť</w:t>
            </w:r>
            <w:r w:rsidR="00ED546C">
              <w:rPr>
                <w:b/>
                <w:color w:val="auto"/>
              </w:rPr>
              <w:t xml:space="preserve"> pohľadávku</w:t>
            </w:r>
            <w:r w:rsidRPr="00604194">
              <w:rPr>
                <w:b/>
                <w:color w:val="auto"/>
              </w:rPr>
              <w:t xml:space="preserve"> v začatom konkurznom konaní,</w:t>
            </w:r>
          </w:p>
          <w:p w:rsidR="009726D6" w:rsidRPr="00604194" w:rsidRDefault="009726D6" w:rsidP="009726D6">
            <w:pPr>
              <w:pStyle w:val="Zkladntext"/>
              <w:jc w:val="both"/>
              <w:rPr>
                <w:b/>
                <w:color w:val="auto"/>
              </w:rPr>
            </w:pPr>
            <w:r w:rsidRPr="00604194">
              <w:rPr>
                <w:b/>
                <w:color w:val="auto"/>
              </w:rPr>
              <w:t xml:space="preserve">b) odo dňa začatia exekučného konania vedeného za účelom vymoženia pohľadávky platiteľa do uplynutia 12 mesiacov odo dňa začatia exekučného konania, </w:t>
            </w:r>
          </w:p>
          <w:p w:rsidR="009726D6" w:rsidRPr="00604194" w:rsidRDefault="009726D6" w:rsidP="009726D6">
            <w:pPr>
              <w:pStyle w:val="Zkladntext"/>
              <w:jc w:val="both"/>
              <w:rPr>
                <w:b/>
                <w:color w:val="auto"/>
              </w:rPr>
            </w:pPr>
            <w:r w:rsidRPr="00604194">
              <w:rPr>
                <w:b/>
                <w:color w:val="auto"/>
              </w:rPr>
              <w:t>c) odo dňa začatia konkurzného konania do dňa zastavenia konkurzného konania pre nedostatok majetku alebo zrušenia konkurzu pre nedostatok majetku,</w:t>
            </w:r>
          </w:p>
          <w:p w:rsidR="009726D6" w:rsidRPr="00604194" w:rsidRDefault="009726D6" w:rsidP="009726D6">
            <w:pPr>
              <w:pStyle w:val="Zkladntext"/>
              <w:jc w:val="both"/>
              <w:rPr>
                <w:b/>
                <w:color w:val="auto"/>
              </w:rPr>
            </w:pPr>
            <w:r w:rsidRPr="00604194">
              <w:rPr>
                <w:b/>
                <w:color w:val="auto"/>
              </w:rPr>
              <w:t xml:space="preserve">d) odo dňa začatia konkurzného konania do dňa zistenia pohľadávky platiteľa v konkurznom konaní, </w:t>
            </w:r>
          </w:p>
          <w:p w:rsidR="009726D6" w:rsidRPr="00604194" w:rsidRDefault="009726D6" w:rsidP="009726D6">
            <w:pPr>
              <w:pStyle w:val="Zkladntext"/>
              <w:jc w:val="both"/>
              <w:rPr>
                <w:b/>
                <w:color w:val="auto"/>
              </w:rPr>
            </w:pPr>
            <w:r w:rsidRPr="00604194">
              <w:rPr>
                <w:b/>
                <w:color w:val="auto"/>
              </w:rPr>
              <w:t>e) odo dňa vyhlásenia rozhodnutia o oddlžení konkurzom do dňa zrušenia konkurzu z dôvodu, že konkurzná podstata nepokryje náklady konkurzu,</w:t>
            </w:r>
          </w:p>
          <w:p w:rsidR="009726D6" w:rsidRPr="00604194" w:rsidRDefault="009726D6" w:rsidP="009726D6">
            <w:pPr>
              <w:pStyle w:val="Zkladntext"/>
              <w:jc w:val="both"/>
              <w:rPr>
                <w:b/>
                <w:color w:val="auto"/>
              </w:rPr>
            </w:pPr>
            <w:r w:rsidRPr="00604194">
              <w:rPr>
                <w:b/>
                <w:color w:val="auto"/>
              </w:rPr>
              <w:t xml:space="preserve">f) odo dňa vyhlásenia rozhodnutia o oddlžení konkurzom do dňa zistenia pohľadávky platiteľa </w:t>
            </w:r>
            <w:r w:rsidRPr="00604194">
              <w:rPr>
                <w:b/>
                <w:color w:val="auto"/>
              </w:rPr>
              <w:lastRenderedPageBreak/>
              <w:t>v konkurznom konaní,</w:t>
            </w:r>
          </w:p>
          <w:p w:rsidR="009726D6" w:rsidRPr="00604194" w:rsidRDefault="009726D6" w:rsidP="009726D6">
            <w:pPr>
              <w:pStyle w:val="Zkladntext"/>
              <w:jc w:val="both"/>
              <w:rPr>
                <w:b/>
                <w:color w:val="auto"/>
              </w:rPr>
            </w:pPr>
            <w:r w:rsidRPr="00604194">
              <w:rPr>
                <w:b/>
                <w:color w:val="auto"/>
              </w:rPr>
              <w:t xml:space="preserve">g) odo dňa zverejnenia uznesenia o poskytnutí ochrany dlžníkovi pred veriteľmi v Obchodnom vestníku do dňa skončenia konania o určení splátkového kalendára, v ktorom je zahrnutá pohľadávka platiteľa, </w:t>
            </w:r>
          </w:p>
          <w:p w:rsidR="009726D6" w:rsidRPr="00604194" w:rsidRDefault="009726D6" w:rsidP="009726D6">
            <w:pPr>
              <w:pStyle w:val="Zkladntext"/>
              <w:jc w:val="both"/>
              <w:rPr>
                <w:b/>
                <w:color w:val="auto"/>
              </w:rPr>
            </w:pPr>
            <w:r w:rsidRPr="00604194">
              <w:rPr>
                <w:b/>
                <w:color w:val="auto"/>
              </w:rPr>
              <w:t>h) odo dňa úmrtia dlžníka do dňa nadobudnutia právoplatnosti uznesenia o zastavení konania o dedičstve alebo do prihlásenia pohľadávky v konaní o likvidácii dedičstva,</w:t>
            </w:r>
          </w:p>
          <w:p w:rsidR="009726D6" w:rsidRPr="00604194" w:rsidRDefault="009726D6" w:rsidP="009726D6">
            <w:pPr>
              <w:pStyle w:val="Zkladntext"/>
              <w:jc w:val="both"/>
              <w:rPr>
                <w:b/>
                <w:color w:val="auto"/>
              </w:rPr>
            </w:pPr>
            <w:r w:rsidRPr="00604194">
              <w:rPr>
                <w:b/>
                <w:color w:val="auto"/>
              </w:rPr>
              <w:t>i) od začatia reštrukturalizačného konania do jeho skončenia, ak platiteľ v tomto konaní pohľadávku neprihlásil.</w:t>
            </w:r>
          </w:p>
          <w:p w:rsidR="006237B4" w:rsidRPr="00604194" w:rsidRDefault="006237B4" w:rsidP="00D40A19">
            <w:pPr>
              <w:pStyle w:val="Zkladntext"/>
              <w:jc w:val="both"/>
              <w:rPr>
                <w:b/>
                <w:color w:val="auto"/>
              </w:rPr>
            </w:pPr>
          </w:p>
          <w:p w:rsidR="006237B4" w:rsidRPr="00604194" w:rsidRDefault="006237B4" w:rsidP="00D40A19">
            <w:pPr>
              <w:pStyle w:val="Zkladntext"/>
              <w:jc w:val="both"/>
              <w:rPr>
                <w:b/>
                <w:color w:val="auto"/>
              </w:rPr>
            </w:pPr>
            <w:r w:rsidRPr="00604194">
              <w:rPr>
                <w:b/>
                <w:color w:val="auto"/>
              </w:rPr>
              <w:t xml:space="preserve">(6) Ak po znížení základu dane podľa odseku 3 platiteľ prijme v súvislosti s nevymožiteľnou pohľadávkou podľa odseku 2 akúkoľvek platbu, je platiteľ povinný vykonať opravu zníženého základu dane, a to vo výške zodpovedajúcej prijatej platbe; ak platiteľ postúpi pohľadávku inej osobe, </w:t>
            </w:r>
            <w:r w:rsidR="00ED546C">
              <w:rPr>
                <w:b/>
                <w:color w:val="auto"/>
              </w:rPr>
              <w:t>považuje sa to</w:t>
            </w:r>
            <w:r w:rsidRPr="00604194">
              <w:rPr>
                <w:b/>
                <w:color w:val="auto"/>
              </w:rPr>
              <w:t xml:space="preserve">, že prijal platbu vo výške nevymožiteľnej pohľadávky podľa odseku 2. Platiteľ vykoná opravu zníženého základu dane v daňovom priznaní za zdaňovacie obdobie, v ktorom túto platbu prijal. </w:t>
            </w:r>
          </w:p>
          <w:p w:rsidR="006237B4" w:rsidRPr="00604194" w:rsidRDefault="006237B4" w:rsidP="00D40A19">
            <w:pPr>
              <w:pStyle w:val="Zkladntext"/>
              <w:jc w:val="both"/>
              <w:rPr>
                <w:b/>
                <w:color w:val="auto"/>
              </w:rPr>
            </w:pPr>
          </w:p>
          <w:p w:rsidR="006237B4" w:rsidRPr="00604194" w:rsidRDefault="006237B4" w:rsidP="00D40A19">
            <w:pPr>
              <w:pStyle w:val="Zkladntext"/>
              <w:jc w:val="both"/>
              <w:rPr>
                <w:b/>
                <w:color w:val="auto"/>
              </w:rPr>
            </w:pPr>
            <w:r w:rsidRPr="00604194">
              <w:rPr>
                <w:b/>
                <w:color w:val="auto"/>
              </w:rPr>
              <w:t>(7) Platiteľ je povinný vyhotoviť opravný doklad, ak odberateľ bol v čase dodania tovaru alebo služby zdaniteľnou osobou a</w:t>
            </w:r>
          </w:p>
          <w:p w:rsidR="006237B4" w:rsidRPr="00604194" w:rsidRDefault="006237B4" w:rsidP="00D40A19">
            <w:pPr>
              <w:pStyle w:val="Zkladntext"/>
              <w:jc w:val="both"/>
              <w:rPr>
                <w:b/>
                <w:color w:val="auto"/>
              </w:rPr>
            </w:pPr>
            <w:r w:rsidRPr="00604194">
              <w:rPr>
                <w:b/>
                <w:color w:val="auto"/>
              </w:rPr>
              <w:t>a) opravil základ dane podľa odseku 3 alebo</w:t>
            </w:r>
          </w:p>
          <w:p w:rsidR="006237B4" w:rsidRPr="00604194" w:rsidRDefault="006237B4" w:rsidP="00D40A19">
            <w:pPr>
              <w:pStyle w:val="Zkladntext"/>
              <w:jc w:val="both"/>
              <w:rPr>
                <w:b/>
                <w:color w:val="auto"/>
              </w:rPr>
            </w:pPr>
            <w:r w:rsidRPr="00604194">
              <w:rPr>
                <w:b/>
                <w:color w:val="auto"/>
              </w:rPr>
              <w:t xml:space="preserve">b) </w:t>
            </w:r>
            <w:r w:rsidR="00ED546C">
              <w:rPr>
                <w:b/>
                <w:color w:val="auto"/>
              </w:rPr>
              <w:t>bol</w:t>
            </w:r>
            <w:r w:rsidRPr="00604194">
              <w:rPr>
                <w:b/>
                <w:color w:val="auto"/>
              </w:rPr>
              <w:t xml:space="preserve"> povinný vykonať opravu zníženého základu dane podľa odseku 6.</w:t>
            </w:r>
          </w:p>
          <w:p w:rsidR="006237B4" w:rsidRPr="00604194" w:rsidRDefault="006237B4" w:rsidP="00D40A19">
            <w:pPr>
              <w:pStyle w:val="Zkladntext"/>
              <w:jc w:val="both"/>
              <w:rPr>
                <w:b/>
                <w:color w:val="auto"/>
              </w:rPr>
            </w:pPr>
          </w:p>
          <w:p w:rsidR="009726D6" w:rsidRPr="00604194" w:rsidRDefault="009726D6" w:rsidP="009726D6">
            <w:pPr>
              <w:pStyle w:val="Zkladntext"/>
              <w:jc w:val="both"/>
              <w:rPr>
                <w:b/>
                <w:color w:val="auto"/>
              </w:rPr>
            </w:pPr>
            <w:r w:rsidRPr="00604194">
              <w:rPr>
                <w:b/>
                <w:color w:val="auto"/>
              </w:rPr>
              <w:t xml:space="preserve">(8) Ak sa pohľadávka stala nevymožiteľnou podľa odseku 2 písm. d) alebo písm. e), opravný doklad </w:t>
            </w:r>
            <w:r w:rsidRPr="00604194">
              <w:rPr>
                <w:b/>
                <w:color w:val="auto"/>
              </w:rPr>
              <w:lastRenderedPageBreak/>
              <w:t>podľa odseku 7 sa nevyhotovuje.</w:t>
            </w:r>
          </w:p>
          <w:p w:rsidR="006237B4" w:rsidRPr="00604194" w:rsidRDefault="006237B4" w:rsidP="00D40A19">
            <w:pPr>
              <w:pStyle w:val="Zkladntext"/>
              <w:jc w:val="both"/>
              <w:rPr>
                <w:b/>
                <w:color w:val="auto"/>
              </w:rPr>
            </w:pPr>
          </w:p>
          <w:p w:rsidR="006237B4" w:rsidRPr="00604194" w:rsidRDefault="006237B4" w:rsidP="00D40A19">
            <w:pPr>
              <w:pStyle w:val="Zkladntext"/>
              <w:jc w:val="both"/>
              <w:rPr>
                <w:b/>
                <w:color w:val="auto"/>
              </w:rPr>
            </w:pPr>
            <w:r w:rsidRPr="00604194">
              <w:rPr>
                <w:b/>
                <w:color w:val="auto"/>
              </w:rPr>
              <w:t xml:space="preserve">(9) Opravný doklad podľa odseku 7 písm. a) musí obsahovať </w:t>
            </w:r>
          </w:p>
          <w:p w:rsidR="009726D6" w:rsidRPr="00604194" w:rsidRDefault="009726D6" w:rsidP="009726D6">
            <w:pPr>
              <w:pStyle w:val="Zkladntext"/>
              <w:jc w:val="both"/>
              <w:rPr>
                <w:b/>
                <w:color w:val="auto"/>
              </w:rPr>
            </w:pPr>
            <w:r w:rsidRPr="00604194">
              <w:rPr>
                <w:b/>
                <w:color w:val="auto"/>
              </w:rPr>
              <w:t>a) číselnú identifikáciu opravného dokladu,</w:t>
            </w:r>
          </w:p>
          <w:p w:rsidR="009726D6" w:rsidRPr="00604194" w:rsidRDefault="009726D6" w:rsidP="009726D6">
            <w:pPr>
              <w:pStyle w:val="Zkladntext"/>
              <w:jc w:val="both"/>
              <w:rPr>
                <w:b/>
                <w:color w:val="auto"/>
              </w:rPr>
            </w:pPr>
            <w:r w:rsidRPr="00604194">
              <w:rPr>
                <w:b/>
                <w:color w:val="auto"/>
              </w:rPr>
              <w:t>b) dátum vyhotovenia opravného dokladu,</w:t>
            </w:r>
          </w:p>
          <w:p w:rsidR="009726D6" w:rsidRPr="00604194" w:rsidRDefault="009726D6" w:rsidP="009726D6">
            <w:pPr>
              <w:pStyle w:val="Zkladntext"/>
              <w:jc w:val="both"/>
              <w:rPr>
                <w:b/>
                <w:color w:val="auto"/>
              </w:rPr>
            </w:pPr>
            <w:r w:rsidRPr="00604194">
              <w:rPr>
                <w:b/>
                <w:color w:val="auto"/>
              </w:rPr>
              <w:t>c) sumu, o ktorú platiteľ opravil základ dane a daň,</w:t>
            </w:r>
          </w:p>
          <w:p w:rsidR="009726D6" w:rsidRPr="00604194" w:rsidRDefault="009726D6" w:rsidP="009726D6">
            <w:pPr>
              <w:pStyle w:val="Zkladntext"/>
              <w:jc w:val="both"/>
              <w:rPr>
                <w:b/>
                <w:color w:val="auto"/>
              </w:rPr>
            </w:pPr>
            <w:r w:rsidRPr="00604194">
              <w:rPr>
                <w:b/>
                <w:color w:val="auto"/>
              </w:rPr>
              <w:t>d) slovnú informáciu „oprava základu dane podľa § 25a“,</w:t>
            </w:r>
          </w:p>
          <w:p w:rsidR="009726D6" w:rsidRPr="00604194" w:rsidRDefault="009726D6" w:rsidP="009726D6">
            <w:pPr>
              <w:pStyle w:val="Zkladntext"/>
              <w:jc w:val="both"/>
              <w:rPr>
                <w:b/>
                <w:color w:val="auto"/>
              </w:rPr>
            </w:pPr>
            <w:r w:rsidRPr="00604194">
              <w:rPr>
                <w:b/>
                <w:color w:val="auto"/>
              </w:rPr>
              <w:t>e) údaje podľa § 74 ods. 1 písm. a) až c) týkajúce sa faktúry o dodaní tovaru alebo služby, ktorého sa oprava základu dane týka.</w:t>
            </w:r>
          </w:p>
          <w:p w:rsidR="006237B4" w:rsidRPr="00604194" w:rsidRDefault="006237B4" w:rsidP="00D40A19">
            <w:pPr>
              <w:pStyle w:val="Zkladntext"/>
              <w:jc w:val="both"/>
              <w:rPr>
                <w:b/>
                <w:color w:val="auto"/>
              </w:rPr>
            </w:pPr>
          </w:p>
          <w:p w:rsidR="006237B4" w:rsidRPr="00604194" w:rsidRDefault="006237B4" w:rsidP="00D40A19">
            <w:pPr>
              <w:pStyle w:val="Zkladntext"/>
              <w:jc w:val="both"/>
              <w:rPr>
                <w:b/>
                <w:color w:val="auto"/>
              </w:rPr>
            </w:pPr>
            <w:r w:rsidRPr="00604194">
              <w:rPr>
                <w:b/>
                <w:color w:val="auto"/>
              </w:rPr>
              <w:t>(10) Opravný doklad podľa odseku 7 písm. b) musí obsahovať</w:t>
            </w:r>
          </w:p>
          <w:p w:rsidR="009726D6" w:rsidRPr="00604194" w:rsidRDefault="009726D6" w:rsidP="009726D6">
            <w:pPr>
              <w:pStyle w:val="Zkladntext"/>
              <w:jc w:val="both"/>
              <w:rPr>
                <w:b/>
                <w:color w:val="auto"/>
              </w:rPr>
            </w:pPr>
            <w:r w:rsidRPr="00604194">
              <w:rPr>
                <w:b/>
                <w:color w:val="auto"/>
              </w:rPr>
              <w:t>a) číselnú identifikáciu opravného dokladu,</w:t>
            </w:r>
          </w:p>
          <w:p w:rsidR="009726D6" w:rsidRPr="00604194" w:rsidRDefault="009726D6" w:rsidP="009726D6">
            <w:pPr>
              <w:pStyle w:val="Zkladntext"/>
              <w:jc w:val="both"/>
              <w:rPr>
                <w:b/>
                <w:color w:val="auto"/>
              </w:rPr>
            </w:pPr>
            <w:r w:rsidRPr="00604194">
              <w:rPr>
                <w:b/>
                <w:color w:val="auto"/>
              </w:rPr>
              <w:t>b) dátum vyhotovenia opravného dokladu,</w:t>
            </w:r>
          </w:p>
          <w:p w:rsidR="009726D6" w:rsidRPr="00604194" w:rsidRDefault="009726D6" w:rsidP="009726D6">
            <w:pPr>
              <w:pStyle w:val="Zkladntext"/>
              <w:jc w:val="both"/>
              <w:rPr>
                <w:b/>
                <w:color w:val="auto"/>
              </w:rPr>
            </w:pPr>
            <w:r w:rsidRPr="00604194">
              <w:rPr>
                <w:b/>
                <w:color w:val="auto"/>
              </w:rPr>
              <w:t>c) údaje z opravného dokladu podľa odseku 9 písm. a) a b),</w:t>
            </w:r>
          </w:p>
          <w:p w:rsidR="009726D6" w:rsidRPr="00604194" w:rsidRDefault="009726D6" w:rsidP="009726D6">
            <w:pPr>
              <w:pStyle w:val="Zkladntext"/>
              <w:jc w:val="both"/>
              <w:rPr>
                <w:b/>
                <w:color w:val="auto"/>
              </w:rPr>
            </w:pPr>
            <w:r w:rsidRPr="00604194">
              <w:rPr>
                <w:b/>
                <w:color w:val="auto"/>
              </w:rPr>
              <w:t>d) slovnú informáciu „oprava základu dane podľa § 25a“,</w:t>
            </w:r>
          </w:p>
          <w:p w:rsidR="009726D6" w:rsidRPr="00604194" w:rsidRDefault="009726D6" w:rsidP="009726D6">
            <w:pPr>
              <w:pStyle w:val="Zkladntext"/>
              <w:jc w:val="both"/>
              <w:rPr>
                <w:b/>
                <w:color w:val="auto"/>
              </w:rPr>
            </w:pPr>
            <w:r w:rsidRPr="00604194">
              <w:rPr>
                <w:b/>
                <w:color w:val="auto"/>
              </w:rPr>
              <w:t>e) sumu, ktorú platiteľ prijal v súvislosti s nevymožiteľnou pohľadávkou podľa odseku 2 alebo jej časťou a z toho sumu prislúchajúcej dane,</w:t>
            </w:r>
          </w:p>
          <w:p w:rsidR="009726D6" w:rsidRPr="00604194" w:rsidRDefault="009726D6" w:rsidP="009726D6">
            <w:pPr>
              <w:pStyle w:val="Zkladntext"/>
              <w:jc w:val="both"/>
              <w:rPr>
                <w:b/>
                <w:color w:val="auto"/>
              </w:rPr>
            </w:pPr>
            <w:r w:rsidRPr="00604194">
              <w:rPr>
                <w:b/>
                <w:color w:val="auto"/>
              </w:rPr>
              <w:t>f) dátum prijatia sumy podľa písmena e).</w:t>
            </w:r>
          </w:p>
          <w:p w:rsidR="006237B4" w:rsidRPr="00604194" w:rsidRDefault="006237B4" w:rsidP="00D40A19">
            <w:pPr>
              <w:pStyle w:val="Zkladntext"/>
              <w:jc w:val="both"/>
              <w:rPr>
                <w:b/>
                <w:color w:val="auto"/>
              </w:rPr>
            </w:pPr>
          </w:p>
          <w:p w:rsidR="006D4011" w:rsidRPr="00604194" w:rsidRDefault="006237B4" w:rsidP="00D40A19">
            <w:pPr>
              <w:pStyle w:val="Zkladntext"/>
              <w:jc w:val="both"/>
              <w:rPr>
                <w:b/>
                <w:color w:val="auto"/>
              </w:rPr>
            </w:pPr>
            <w:r w:rsidRPr="00604194">
              <w:rPr>
                <w:b/>
                <w:color w:val="auto"/>
              </w:rPr>
              <w:t xml:space="preserve">(11) </w:t>
            </w:r>
            <w:r w:rsidR="006D4011" w:rsidRPr="00604194">
              <w:rPr>
                <w:b/>
                <w:color w:val="auto"/>
              </w:rPr>
              <w:t xml:space="preserve">Platiteľ je povinný vyhotoviť a odoslať opravný doklad najneskôr do uplynutia lehoty na podanie daňového priznania za zdaňovacie obdobie, </w:t>
            </w:r>
          </w:p>
          <w:p w:rsidR="006D4011" w:rsidRPr="00604194" w:rsidRDefault="006D4011" w:rsidP="00D40A19">
            <w:pPr>
              <w:pStyle w:val="Zkladntext"/>
              <w:jc w:val="both"/>
              <w:rPr>
                <w:b/>
                <w:color w:val="auto"/>
              </w:rPr>
            </w:pPr>
            <w:r w:rsidRPr="00604194">
              <w:rPr>
                <w:b/>
                <w:color w:val="auto"/>
              </w:rPr>
              <w:t xml:space="preserve">a) za ktoré vykonal opravu základu dane podľa odseku 3, </w:t>
            </w:r>
          </w:p>
          <w:p w:rsidR="006D4011" w:rsidRPr="00604194" w:rsidRDefault="006D4011" w:rsidP="00D40A19">
            <w:pPr>
              <w:pStyle w:val="Zkladntext"/>
              <w:jc w:val="both"/>
              <w:rPr>
                <w:b/>
                <w:color w:val="auto"/>
              </w:rPr>
            </w:pPr>
            <w:r w:rsidRPr="00604194">
              <w:rPr>
                <w:b/>
                <w:color w:val="auto"/>
              </w:rPr>
              <w:t>b) v ktorom prijal platbu podľa odseku 6.</w:t>
            </w:r>
          </w:p>
          <w:p w:rsidR="006237B4" w:rsidRPr="00604194" w:rsidRDefault="006237B4" w:rsidP="00D40A19">
            <w:pPr>
              <w:pStyle w:val="Zkladntext"/>
              <w:jc w:val="both"/>
              <w:rPr>
                <w:b/>
                <w:color w:val="auto"/>
              </w:rPr>
            </w:pPr>
          </w:p>
          <w:p w:rsidR="006237B4" w:rsidRPr="00604194" w:rsidRDefault="006237B4" w:rsidP="00D40A19">
            <w:pPr>
              <w:pStyle w:val="Zkladntext"/>
              <w:jc w:val="both"/>
              <w:rPr>
                <w:b/>
                <w:color w:val="auto"/>
              </w:rPr>
            </w:pPr>
            <w:r w:rsidRPr="00604194">
              <w:rPr>
                <w:b/>
                <w:color w:val="auto"/>
              </w:rPr>
              <w:t xml:space="preserve">(12) Platiteľ je povinný uviesť opravu základu dane </w:t>
            </w:r>
            <w:r w:rsidRPr="00604194">
              <w:rPr>
                <w:b/>
                <w:color w:val="auto"/>
              </w:rPr>
              <w:lastRenderedPageBreak/>
              <w:t>podľa odsekov 3 a 6 v záznamoch podľa § 70 ods. 2 písm. i).</w:t>
            </w:r>
          </w:p>
          <w:p w:rsidR="006237B4" w:rsidRPr="00604194" w:rsidRDefault="006237B4" w:rsidP="00D40A19">
            <w:pPr>
              <w:pStyle w:val="Zkladntext"/>
              <w:jc w:val="both"/>
              <w:rPr>
                <w:b/>
                <w:color w:val="auto"/>
              </w:rPr>
            </w:pPr>
          </w:p>
          <w:p w:rsidR="006237B4" w:rsidRPr="00314648" w:rsidRDefault="006237B4" w:rsidP="00D40A19">
            <w:pPr>
              <w:pStyle w:val="Zkladntext"/>
              <w:jc w:val="both"/>
              <w:rPr>
                <w:b/>
                <w:color w:val="auto"/>
              </w:rPr>
            </w:pPr>
            <w:r w:rsidRPr="00604194">
              <w:rPr>
                <w:b/>
                <w:color w:val="auto"/>
              </w:rPr>
              <w:t xml:space="preserve">(13) </w:t>
            </w:r>
            <w:r w:rsidR="004B536D" w:rsidRPr="00604194">
              <w:rPr>
                <w:b/>
                <w:color w:val="auto"/>
              </w:rPr>
              <w:t>Ak platiteľ opravil základ dane podľ</w:t>
            </w:r>
            <w:r w:rsidR="00AF2C17" w:rsidRPr="00604194">
              <w:rPr>
                <w:b/>
                <w:color w:val="auto"/>
              </w:rPr>
              <w:t>a odseku 3 a nesplnil povinnosť</w:t>
            </w:r>
            <w:r w:rsidR="004B536D" w:rsidRPr="00604194">
              <w:rPr>
                <w:b/>
                <w:color w:val="auto"/>
              </w:rPr>
              <w:t xml:space="preserve"> podľa odseku 11 písm. a), oprava základu dane uvedená </w:t>
            </w:r>
            <w:r w:rsidR="004B536D" w:rsidRPr="00314648">
              <w:rPr>
                <w:b/>
                <w:color w:val="auto"/>
              </w:rPr>
              <w:t>v daňovom priznaní za zdaňovacie obdobie, v ktorom vykonal opravu základu dane, sa neuzná.</w:t>
            </w:r>
          </w:p>
          <w:p w:rsidR="006237B4" w:rsidRPr="006F394F" w:rsidRDefault="006237B4" w:rsidP="00D40A19">
            <w:pPr>
              <w:pStyle w:val="Zkladntext"/>
              <w:jc w:val="both"/>
              <w:rPr>
                <w:b/>
              </w:rPr>
            </w:pPr>
          </w:p>
          <w:p w:rsidR="006237B4" w:rsidRPr="006F394F" w:rsidRDefault="006237B4" w:rsidP="00D40A19">
            <w:pPr>
              <w:pStyle w:val="Zkladntext"/>
              <w:jc w:val="both"/>
              <w:rPr>
                <w:b/>
              </w:rPr>
            </w:pPr>
            <w:r w:rsidRPr="006F394F">
              <w:rPr>
                <w:b/>
              </w:rPr>
              <w:t>(14) Na opravu základu dane pri predaji tovarov a služieb, na ktoré sa vzťahuje uplatňovanie osobitných úprav podľa § 65 a 66 z dôvodu, že zákazník úplne alebo čiastočne nezaplatil za tieto tovary alebo služby, a táto pohľadávka sa stala nevymožiteľnou pohľadávkou podľa odsek</w:t>
            </w:r>
            <w:r w:rsidR="00667CAE">
              <w:rPr>
                <w:b/>
              </w:rPr>
              <w:t>u 2, sa použijú odseky 3 až 6.</w:t>
            </w:r>
          </w:p>
          <w:p w:rsidR="003A2BCA" w:rsidRPr="003A2BCA" w:rsidRDefault="00110BBB" w:rsidP="00D40A19">
            <w:pPr>
              <w:jc w:val="both"/>
              <w:rPr>
                <w:color w:val="000000"/>
              </w:rPr>
            </w:pPr>
            <w:r w:rsidRPr="0022141C">
              <w:t xml:space="preserve">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0D7A9F" w:rsidRDefault="0078287E" w:rsidP="00D40A19">
            <w:pPr>
              <w:jc w:val="both"/>
            </w:pPr>
            <w:r w:rsidRPr="000D7A9F">
              <w:lastRenderedPageBreak/>
              <w:t>Ú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0D7A9F" w:rsidRDefault="00A9063F" w:rsidP="00D40A19">
            <w:pPr>
              <w:pStyle w:val="Nadpis1"/>
              <w:jc w:val="both"/>
              <w:rPr>
                <w:b w:val="0"/>
                <w:bCs w:val="0"/>
              </w:rPr>
            </w:pPr>
          </w:p>
        </w:tc>
      </w:tr>
      <w:tr w:rsidR="008116D9" w:rsidRPr="000D7A9F" w:rsidTr="00D40A19"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16D9" w:rsidRDefault="008116D9" w:rsidP="00D40A19">
            <w:pPr>
              <w:jc w:val="both"/>
            </w:pPr>
            <w:r>
              <w:lastRenderedPageBreak/>
              <w:t>Čl. 184</w:t>
            </w:r>
          </w:p>
          <w:p w:rsidR="008116D9" w:rsidRDefault="008116D9" w:rsidP="00D40A19">
            <w:pPr>
              <w:jc w:val="both"/>
            </w:pPr>
          </w:p>
          <w:p w:rsidR="008116D9" w:rsidRDefault="008116D9" w:rsidP="00D40A19">
            <w:pPr>
              <w:jc w:val="both"/>
            </w:pPr>
          </w:p>
          <w:p w:rsidR="008116D9" w:rsidRDefault="008116D9" w:rsidP="00D40A19">
            <w:pPr>
              <w:jc w:val="both"/>
            </w:pPr>
          </w:p>
          <w:p w:rsidR="008116D9" w:rsidRDefault="008116D9" w:rsidP="00D40A19">
            <w:pPr>
              <w:jc w:val="both"/>
            </w:pPr>
            <w:r>
              <w:t>Čl. 185</w:t>
            </w:r>
          </w:p>
          <w:p w:rsidR="008116D9" w:rsidRDefault="008116D9" w:rsidP="00D40A19">
            <w:pPr>
              <w:jc w:val="both"/>
            </w:pPr>
          </w:p>
          <w:p w:rsidR="008116D9" w:rsidRDefault="008116D9" w:rsidP="00D40A19">
            <w:pPr>
              <w:jc w:val="both"/>
            </w:pPr>
          </w:p>
          <w:p w:rsidR="008116D9" w:rsidRDefault="008116D9" w:rsidP="00D40A19">
            <w:pPr>
              <w:jc w:val="both"/>
            </w:pPr>
          </w:p>
          <w:p w:rsidR="008116D9" w:rsidRDefault="008116D9" w:rsidP="00D40A19">
            <w:pPr>
              <w:jc w:val="both"/>
            </w:pPr>
          </w:p>
          <w:p w:rsidR="008116D9" w:rsidRDefault="008116D9" w:rsidP="00D40A19">
            <w:pPr>
              <w:jc w:val="both"/>
            </w:pPr>
          </w:p>
          <w:p w:rsidR="008116D9" w:rsidRDefault="008116D9" w:rsidP="00D40A19">
            <w:pPr>
              <w:jc w:val="both"/>
            </w:pPr>
          </w:p>
          <w:p w:rsidR="008116D9" w:rsidRDefault="008116D9" w:rsidP="00D40A19">
            <w:pPr>
              <w:jc w:val="both"/>
            </w:pPr>
          </w:p>
          <w:p w:rsidR="00480B26" w:rsidRDefault="00480B26" w:rsidP="00D40A19">
            <w:pPr>
              <w:jc w:val="both"/>
            </w:pPr>
          </w:p>
          <w:p w:rsidR="008116D9" w:rsidRDefault="008116D9" w:rsidP="00D40A19">
            <w:pPr>
              <w:jc w:val="both"/>
            </w:pPr>
          </w:p>
          <w:p w:rsidR="008116D9" w:rsidRDefault="008116D9" w:rsidP="00D40A19">
            <w:pPr>
              <w:jc w:val="both"/>
            </w:pPr>
          </w:p>
          <w:p w:rsidR="008116D9" w:rsidRDefault="008116D9" w:rsidP="00D40A19">
            <w:pPr>
              <w:jc w:val="both"/>
            </w:pPr>
          </w:p>
          <w:p w:rsidR="008116D9" w:rsidRDefault="008116D9" w:rsidP="00D40A19">
            <w:pPr>
              <w:jc w:val="both"/>
            </w:pPr>
          </w:p>
          <w:p w:rsidR="008116D9" w:rsidRPr="000D7A9F" w:rsidRDefault="00667CAE" w:rsidP="00D40A19">
            <w:pPr>
              <w:jc w:val="both"/>
            </w:pPr>
            <w:r>
              <w:t xml:space="preserve">Čl. </w:t>
            </w:r>
            <w:r w:rsidRPr="00120F4C">
              <w:t>186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D9" w:rsidRPr="006F394F" w:rsidRDefault="008116D9" w:rsidP="00D40A19">
            <w:pPr>
              <w:adjustRightInd w:val="0"/>
              <w:spacing w:before="60" w:after="60"/>
              <w:jc w:val="center"/>
            </w:pPr>
            <w:r w:rsidRPr="006F394F">
              <w:lastRenderedPageBreak/>
              <w:t>Článok 184</w:t>
            </w:r>
          </w:p>
          <w:p w:rsidR="008116D9" w:rsidRPr="006F394F" w:rsidRDefault="008116D9" w:rsidP="00D40A19">
            <w:pPr>
              <w:adjustRightInd w:val="0"/>
              <w:spacing w:before="60" w:after="60"/>
              <w:jc w:val="both"/>
            </w:pPr>
            <w:r w:rsidRPr="006F394F">
              <w:t xml:space="preserve">Pôvodne uplatnené odpočítanie dane sa upraví, ak je vyššie alebo nižšie ako odpočítanie, na ktorý mala zdaniteľná osoba právo. </w:t>
            </w:r>
          </w:p>
          <w:p w:rsidR="008116D9" w:rsidRDefault="008116D9" w:rsidP="00D40A19">
            <w:pPr>
              <w:adjustRightInd w:val="0"/>
              <w:spacing w:before="60" w:after="60"/>
              <w:jc w:val="center"/>
            </w:pPr>
          </w:p>
          <w:p w:rsidR="008116D9" w:rsidRPr="006F394F" w:rsidRDefault="008116D9" w:rsidP="00D40A19">
            <w:pPr>
              <w:adjustRightInd w:val="0"/>
              <w:spacing w:before="60" w:after="60"/>
              <w:jc w:val="center"/>
            </w:pPr>
            <w:r w:rsidRPr="006F394F">
              <w:t>Článok 185</w:t>
            </w:r>
          </w:p>
          <w:p w:rsidR="008116D9" w:rsidRPr="006F394F" w:rsidRDefault="008116D9" w:rsidP="00D40A19">
            <w:pPr>
              <w:adjustRightInd w:val="0"/>
              <w:spacing w:before="60" w:after="60"/>
              <w:jc w:val="both"/>
            </w:pPr>
            <w:r w:rsidRPr="006F394F">
              <w:t xml:space="preserve">1. Úprava odpočítanej dane sa vykoná najmä vtedy, keď sa zmeny vo faktoroch, ktoré boli použité pri určení výšky odpočítanej dane, objavia po podaní daňového priznania k DPH, napríklad v prípadoch zrušenia nákupu alebo získania cenovej zľavy. </w:t>
            </w:r>
          </w:p>
          <w:p w:rsidR="008116D9" w:rsidRPr="006F394F" w:rsidRDefault="008116D9" w:rsidP="00D40A19">
            <w:pPr>
              <w:adjustRightInd w:val="0"/>
              <w:spacing w:before="60" w:after="60"/>
              <w:jc w:val="both"/>
            </w:pPr>
            <w:r w:rsidRPr="006F394F">
              <w:t xml:space="preserve">2. Odchylne od odseku 1 sa úprava odpočítanej dane nemôže vykonať pri transakciách, ktoré sú celkovo alebo čiastočne nezaplatené, v prípadoch riadne preukázaného alebo potvrdeného poškodenia, straty alebo krádeže majetku, ani v prípade tovaru určeného ako dary nepatrnej hodnoty a vzoriek uvedených v článku 16. </w:t>
            </w:r>
          </w:p>
          <w:p w:rsidR="008116D9" w:rsidRPr="00741CAD" w:rsidRDefault="008116D9" w:rsidP="00D40A1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41CAD">
              <w:rPr>
                <w:rFonts w:ascii="Times New Roman" w:hAnsi="Times New Roman" w:cs="Times New Roman"/>
                <w:color w:val="auto"/>
              </w:rPr>
              <w:t>V prípade celkovo alebo čiastočne nezaplatených transakcií a v prípade krádeže členské štáty však môžu úpravu odpočítanej dane vyžadovať.</w:t>
            </w:r>
          </w:p>
          <w:p w:rsidR="008116D9" w:rsidRDefault="008116D9" w:rsidP="00D40A19">
            <w:pPr>
              <w:adjustRightInd w:val="0"/>
              <w:spacing w:before="60" w:after="60"/>
            </w:pPr>
          </w:p>
          <w:p w:rsidR="008116D9" w:rsidRPr="006F394F" w:rsidRDefault="008116D9" w:rsidP="00D40A19">
            <w:pPr>
              <w:adjustRightInd w:val="0"/>
              <w:spacing w:before="60" w:after="60"/>
              <w:jc w:val="center"/>
            </w:pPr>
            <w:r w:rsidRPr="006F394F">
              <w:t>Článok 186</w:t>
            </w:r>
          </w:p>
          <w:p w:rsidR="008116D9" w:rsidRPr="006F394F" w:rsidRDefault="008116D9" w:rsidP="00D40A19">
            <w:pPr>
              <w:adjustRightInd w:val="0"/>
              <w:spacing w:before="60" w:after="60"/>
            </w:pPr>
            <w:r w:rsidRPr="006F394F">
              <w:t xml:space="preserve">Členské štáty stanovia pravidlá pre vykonávanie článkov 184 a 185. </w:t>
            </w:r>
          </w:p>
          <w:p w:rsidR="008116D9" w:rsidRPr="006F394F" w:rsidRDefault="008116D9" w:rsidP="00D40A1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16D9" w:rsidRDefault="00667CAE" w:rsidP="00D40A19">
            <w:pPr>
              <w:jc w:val="both"/>
            </w:pPr>
            <w:r w:rsidRPr="00120F4C">
              <w:lastRenderedPageBreak/>
              <w:t>N</w:t>
            </w:r>
          </w:p>
          <w:p w:rsidR="00667CAE" w:rsidRDefault="00667CAE" w:rsidP="00D40A19">
            <w:pPr>
              <w:jc w:val="both"/>
            </w:pPr>
          </w:p>
          <w:p w:rsidR="00667CAE" w:rsidRDefault="00667CAE" w:rsidP="00D40A19">
            <w:pPr>
              <w:jc w:val="both"/>
            </w:pPr>
          </w:p>
          <w:p w:rsidR="00667CAE" w:rsidRDefault="00667CAE" w:rsidP="00D40A19">
            <w:pPr>
              <w:jc w:val="both"/>
            </w:pPr>
          </w:p>
          <w:p w:rsidR="00667CAE" w:rsidRDefault="00667CAE" w:rsidP="00D40A19">
            <w:pPr>
              <w:jc w:val="both"/>
            </w:pPr>
          </w:p>
          <w:p w:rsidR="00667CAE" w:rsidRDefault="00667CAE" w:rsidP="00D40A19">
            <w:pPr>
              <w:jc w:val="both"/>
            </w:pPr>
          </w:p>
          <w:p w:rsidR="00667CAE" w:rsidRDefault="00667CAE" w:rsidP="00D40A19">
            <w:pPr>
              <w:jc w:val="both"/>
            </w:pPr>
          </w:p>
          <w:p w:rsidR="00667CAE" w:rsidRDefault="00667CAE" w:rsidP="00D40A19">
            <w:pPr>
              <w:jc w:val="both"/>
            </w:pPr>
          </w:p>
          <w:p w:rsidR="00667CAE" w:rsidRDefault="00667CAE" w:rsidP="00D40A19">
            <w:pPr>
              <w:jc w:val="both"/>
            </w:pPr>
          </w:p>
          <w:p w:rsidR="00667CAE" w:rsidRDefault="00667CAE" w:rsidP="00D40A19">
            <w:pPr>
              <w:jc w:val="both"/>
            </w:pPr>
          </w:p>
          <w:p w:rsidR="00667CAE" w:rsidRDefault="00667CAE" w:rsidP="00D40A19">
            <w:pPr>
              <w:jc w:val="both"/>
            </w:pPr>
          </w:p>
          <w:p w:rsidR="00667CAE" w:rsidRDefault="00667CAE" w:rsidP="00D40A19">
            <w:pPr>
              <w:jc w:val="both"/>
            </w:pPr>
          </w:p>
          <w:p w:rsidR="00667CAE" w:rsidRDefault="00667CAE" w:rsidP="00D40A19">
            <w:pPr>
              <w:jc w:val="both"/>
            </w:pPr>
          </w:p>
          <w:p w:rsidR="00667CAE" w:rsidRDefault="00667CAE" w:rsidP="00D40A19">
            <w:pPr>
              <w:jc w:val="both"/>
            </w:pPr>
          </w:p>
          <w:p w:rsidR="00667CAE" w:rsidRDefault="00667CAE" w:rsidP="00D40A19">
            <w:pPr>
              <w:jc w:val="both"/>
            </w:pPr>
          </w:p>
          <w:p w:rsidR="00667CAE" w:rsidRDefault="00667CAE" w:rsidP="00D40A19">
            <w:pPr>
              <w:jc w:val="both"/>
            </w:pPr>
          </w:p>
          <w:p w:rsidR="00667CAE" w:rsidRDefault="00667CAE" w:rsidP="00D40A19">
            <w:pPr>
              <w:jc w:val="both"/>
            </w:pPr>
            <w:r w:rsidRPr="00120F4C">
              <w:t>D</w:t>
            </w:r>
          </w:p>
          <w:p w:rsidR="00667CAE" w:rsidRDefault="00667CAE" w:rsidP="00D40A19">
            <w:pPr>
              <w:jc w:val="both"/>
            </w:pPr>
          </w:p>
          <w:p w:rsidR="00667CAE" w:rsidRDefault="00667CAE" w:rsidP="00D40A19">
            <w:pPr>
              <w:jc w:val="both"/>
            </w:pPr>
          </w:p>
          <w:p w:rsidR="00667CAE" w:rsidRDefault="00667CAE" w:rsidP="00D40A19">
            <w:pPr>
              <w:jc w:val="both"/>
            </w:pPr>
          </w:p>
          <w:p w:rsidR="00667CAE" w:rsidRPr="000D7A9F" w:rsidRDefault="00667CAE" w:rsidP="00D40A19">
            <w:pPr>
              <w:jc w:val="both"/>
            </w:pPr>
            <w:r w:rsidRPr="00120F4C">
              <w:t>N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6D9" w:rsidRDefault="008116D9" w:rsidP="00D40A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n</w:t>
            </w:r>
            <w:r w:rsidRPr="000D7A9F">
              <w:rPr>
                <w:b/>
              </w:rPr>
              <w:t>ávrh zákona čl.</w:t>
            </w:r>
            <w:r>
              <w:rPr>
                <w:b/>
              </w:rPr>
              <w:t xml:space="preserve"> </w:t>
            </w:r>
            <w:r w:rsidRPr="000D7A9F">
              <w:rPr>
                <w:b/>
              </w:rPr>
              <w:t>I</w:t>
            </w:r>
          </w:p>
          <w:p w:rsidR="002374AA" w:rsidRDefault="002374AA" w:rsidP="00D40A19">
            <w:pPr>
              <w:jc w:val="center"/>
              <w:rPr>
                <w:b/>
              </w:rPr>
            </w:pPr>
          </w:p>
          <w:p w:rsidR="002374AA" w:rsidRDefault="002374AA" w:rsidP="00D40A19">
            <w:pPr>
              <w:jc w:val="center"/>
              <w:rPr>
                <w:b/>
              </w:rPr>
            </w:pPr>
          </w:p>
          <w:p w:rsidR="002374AA" w:rsidRDefault="002374AA" w:rsidP="00D40A19">
            <w:pPr>
              <w:jc w:val="center"/>
              <w:rPr>
                <w:b/>
              </w:rPr>
            </w:pPr>
          </w:p>
          <w:p w:rsidR="002374AA" w:rsidRDefault="002374AA" w:rsidP="00D40A19">
            <w:pPr>
              <w:jc w:val="center"/>
              <w:rPr>
                <w:b/>
              </w:rPr>
            </w:pPr>
          </w:p>
          <w:p w:rsidR="002374AA" w:rsidRDefault="002374AA" w:rsidP="00D40A19">
            <w:pPr>
              <w:jc w:val="center"/>
              <w:rPr>
                <w:b/>
              </w:rPr>
            </w:pPr>
          </w:p>
          <w:p w:rsidR="002374AA" w:rsidRDefault="002374AA" w:rsidP="00D40A19">
            <w:pPr>
              <w:jc w:val="center"/>
              <w:rPr>
                <w:b/>
              </w:rPr>
            </w:pPr>
          </w:p>
          <w:p w:rsidR="002374AA" w:rsidRDefault="002374AA" w:rsidP="00D40A19">
            <w:pPr>
              <w:jc w:val="center"/>
              <w:rPr>
                <w:b/>
              </w:rPr>
            </w:pPr>
          </w:p>
          <w:p w:rsidR="002374AA" w:rsidRDefault="002374AA" w:rsidP="00D40A19">
            <w:pPr>
              <w:jc w:val="center"/>
              <w:rPr>
                <w:b/>
              </w:rPr>
            </w:pPr>
          </w:p>
          <w:p w:rsidR="002374AA" w:rsidRDefault="002374AA" w:rsidP="00D40A19">
            <w:pPr>
              <w:jc w:val="center"/>
              <w:rPr>
                <w:b/>
              </w:rPr>
            </w:pPr>
          </w:p>
          <w:p w:rsidR="002374AA" w:rsidRDefault="002374AA" w:rsidP="00D40A19">
            <w:pPr>
              <w:jc w:val="center"/>
              <w:rPr>
                <w:b/>
              </w:rPr>
            </w:pPr>
          </w:p>
          <w:p w:rsidR="002374AA" w:rsidRDefault="002374AA" w:rsidP="00D40A19">
            <w:pPr>
              <w:jc w:val="center"/>
              <w:rPr>
                <w:b/>
              </w:rPr>
            </w:pPr>
          </w:p>
          <w:p w:rsidR="002374AA" w:rsidRDefault="002374AA" w:rsidP="00D40A19">
            <w:pPr>
              <w:jc w:val="center"/>
              <w:rPr>
                <w:b/>
              </w:rPr>
            </w:pPr>
          </w:p>
          <w:p w:rsidR="002374AA" w:rsidRDefault="002374AA" w:rsidP="00D40A19">
            <w:pPr>
              <w:jc w:val="center"/>
              <w:rPr>
                <w:b/>
              </w:rPr>
            </w:pPr>
          </w:p>
          <w:p w:rsidR="002374AA" w:rsidRDefault="002374AA" w:rsidP="00D40A19">
            <w:pPr>
              <w:jc w:val="center"/>
              <w:rPr>
                <w:b/>
              </w:rPr>
            </w:pPr>
          </w:p>
          <w:p w:rsidR="002374AA" w:rsidRDefault="002374AA" w:rsidP="00D40A19">
            <w:pPr>
              <w:jc w:val="center"/>
              <w:rPr>
                <w:b/>
              </w:rPr>
            </w:pPr>
          </w:p>
          <w:p w:rsidR="002374AA" w:rsidRDefault="002374AA" w:rsidP="00D40A19">
            <w:pPr>
              <w:jc w:val="center"/>
              <w:rPr>
                <w:b/>
              </w:rPr>
            </w:pPr>
          </w:p>
          <w:p w:rsidR="002374AA" w:rsidRDefault="002374AA" w:rsidP="00D40A19">
            <w:pPr>
              <w:jc w:val="center"/>
              <w:rPr>
                <w:b/>
              </w:rPr>
            </w:pPr>
          </w:p>
          <w:p w:rsidR="002374AA" w:rsidRDefault="002374AA" w:rsidP="00D40A19">
            <w:pPr>
              <w:jc w:val="center"/>
              <w:rPr>
                <w:b/>
              </w:rPr>
            </w:pPr>
          </w:p>
          <w:p w:rsidR="002374AA" w:rsidRDefault="002374AA" w:rsidP="00D40A19">
            <w:pPr>
              <w:jc w:val="center"/>
              <w:rPr>
                <w:b/>
              </w:rPr>
            </w:pPr>
          </w:p>
          <w:p w:rsidR="00480B26" w:rsidRDefault="00480B26" w:rsidP="00D40A19">
            <w:pPr>
              <w:jc w:val="center"/>
              <w:rPr>
                <w:b/>
              </w:rPr>
            </w:pPr>
          </w:p>
          <w:p w:rsidR="00480B26" w:rsidRDefault="00480B26" w:rsidP="00D40A19">
            <w:pPr>
              <w:jc w:val="center"/>
              <w:rPr>
                <w:b/>
              </w:rPr>
            </w:pPr>
          </w:p>
          <w:p w:rsidR="00480B26" w:rsidRDefault="00480B26" w:rsidP="00D40A19">
            <w:pPr>
              <w:jc w:val="center"/>
              <w:rPr>
                <w:b/>
              </w:rPr>
            </w:pPr>
          </w:p>
          <w:p w:rsidR="002374AA" w:rsidRDefault="002374AA" w:rsidP="00D40A19">
            <w:pPr>
              <w:jc w:val="center"/>
              <w:rPr>
                <w:b/>
              </w:rPr>
            </w:pPr>
          </w:p>
          <w:p w:rsidR="002374AA" w:rsidRDefault="002374AA" w:rsidP="00D40A19">
            <w:pPr>
              <w:jc w:val="center"/>
              <w:rPr>
                <w:b/>
              </w:rPr>
            </w:pPr>
          </w:p>
          <w:p w:rsidR="00667CAE" w:rsidRPr="000D7A9F" w:rsidRDefault="00667CAE" w:rsidP="00746246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D9" w:rsidRDefault="008116D9" w:rsidP="00D40A19">
            <w:pPr>
              <w:pStyle w:val="Normlny0"/>
              <w:rPr>
                <w:sz w:val="24"/>
                <w:szCs w:val="24"/>
              </w:rPr>
            </w:pPr>
            <w:r w:rsidRPr="0022141C">
              <w:rPr>
                <w:sz w:val="24"/>
                <w:szCs w:val="24"/>
              </w:rPr>
              <w:lastRenderedPageBreak/>
              <w:t xml:space="preserve">§ </w:t>
            </w:r>
            <w:r>
              <w:rPr>
                <w:sz w:val="24"/>
                <w:szCs w:val="24"/>
              </w:rPr>
              <w:t>53b</w:t>
            </w:r>
          </w:p>
          <w:p w:rsidR="002374AA" w:rsidRDefault="002374AA" w:rsidP="00D40A19">
            <w:pPr>
              <w:pStyle w:val="Normlny0"/>
              <w:rPr>
                <w:sz w:val="24"/>
                <w:szCs w:val="24"/>
              </w:rPr>
            </w:pPr>
          </w:p>
          <w:p w:rsidR="002374AA" w:rsidRDefault="002374AA" w:rsidP="00D40A19">
            <w:pPr>
              <w:pStyle w:val="Normlny0"/>
              <w:rPr>
                <w:sz w:val="24"/>
                <w:szCs w:val="24"/>
              </w:rPr>
            </w:pPr>
          </w:p>
          <w:p w:rsidR="002374AA" w:rsidRDefault="002374AA" w:rsidP="00D40A19">
            <w:pPr>
              <w:pStyle w:val="Normlny0"/>
              <w:rPr>
                <w:sz w:val="24"/>
                <w:szCs w:val="24"/>
              </w:rPr>
            </w:pPr>
          </w:p>
          <w:p w:rsidR="002374AA" w:rsidRDefault="002374AA" w:rsidP="00D40A19">
            <w:pPr>
              <w:pStyle w:val="Normlny0"/>
              <w:rPr>
                <w:sz w:val="24"/>
                <w:szCs w:val="24"/>
              </w:rPr>
            </w:pPr>
          </w:p>
          <w:p w:rsidR="002374AA" w:rsidRDefault="002374AA" w:rsidP="00D40A19">
            <w:pPr>
              <w:pStyle w:val="Normlny0"/>
              <w:rPr>
                <w:sz w:val="24"/>
                <w:szCs w:val="24"/>
              </w:rPr>
            </w:pPr>
          </w:p>
          <w:p w:rsidR="002374AA" w:rsidRDefault="002374AA" w:rsidP="00D40A19">
            <w:pPr>
              <w:pStyle w:val="Normlny0"/>
              <w:rPr>
                <w:sz w:val="24"/>
                <w:szCs w:val="24"/>
              </w:rPr>
            </w:pPr>
          </w:p>
          <w:p w:rsidR="002374AA" w:rsidRDefault="002374AA" w:rsidP="00D40A19">
            <w:pPr>
              <w:pStyle w:val="Normlny0"/>
              <w:rPr>
                <w:sz w:val="24"/>
                <w:szCs w:val="24"/>
              </w:rPr>
            </w:pPr>
          </w:p>
          <w:p w:rsidR="002374AA" w:rsidRDefault="002374AA" w:rsidP="00D40A19">
            <w:pPr>
              <w:pStyle w:val="Normlny0"/>
              <w:rPr>
                <w:sz w:val="24"/>
                <w:szCs w:val="24"/>
              </w:rPr>
            </w:pPr>
          </w:p>
          <w:p w:rsidR="002374AA" w:rsidRDefault="002374AA" w:rsidP="00D40A19">
            <w:pPr>
              <w:pStyle w:val="Normlny0"/>
              <w:rPr>
                <w:sz w:val="24"/>
                <w:szCs w:val="24"/>
              </w:rPr>
            </w:pPr>
          </w:p>
          <w:p w:rsidR="002374AA" w:rsidRDefault="002374AA" w:rsidP="00D40A19">
            <w:pPr>
              <w:pStyle w:val="Normlny0"/>
              <w:rPr>
                <w:sz w:val="24"/>
                <w:szCs w:val="24"/>
              </w:rPr>
            </w:pPr>
          </w:p>
          <w:p w:rsidR="002374AA" w:rsidRDefault="002374AA" w:rsidP="00D40A19">
            <w:pPr>
              <w:pStyle w:val="Normlny0"/>
              <w:rPr>
                <w:sz w:val="24"/>
                <w:szCs w:val="24"/>
              </w:rPr>
            </w:pPr>
          </w:p>
          <w:p w:rsidR="002374AA" w:rsidRDefault="002374AA" w:rsidP="00D40A19">
            <w:pPr>
              <w:pStyle w:val="Normlny0"/>
              <w:rPr>
                <w:sz w:val="24"/>
                <w:szCs w:val="24"/>
              </w:rPr>
            </w:pPr>
          </w:p>
          <w:p w:rsidR="002374AA" w:rsidRDefault="002374AA" w:rsidP="00D40A19">
            <w:pPr>
              <w:pStyle w:val="Normlny0"/>
              <w:rPr>
                <w:sz w:val="24"/>
                <w:szCs w:val="24"/>
              </w:rPr>
            </w:pPr>
          </w:p>
          <w:p w:rsidR="002374AA" w:rsidRDefault="002374AA" w:rsidP="00D40A19">
            <w:pPr>
              <w:pStyle w:val="Normlny0"/>
              <w:rPr>
                <w:sz w:val="24"/>
                <w:szCs w:val="24"/>
              </w:rPr>
            </w:pPr>
          </w:p>
          <w:p w:rsidR="002374AA" w:rsidRDefault="002374AA" w:rsidP="00D40A19">
            <w:pPr>
              <w:pStyle w:val="Normlny0"/>
              <w:rPr>
                <w:sz w:val="24"/>
                <w:szCs w:val="24"/>
              </w:rPr>
            </w:pPr>
          </w:p>
          <w:p w:rsidR="002374AA" w:rsidRDefault="002374AA" w:rsidP="00D40A19">
            <w:pPr>
              <w:pStyle w:val="Normlny0"/>
              <w:rPr>
                <w:sz w:val="24"/>
                <w:szCs w:val="24"/>
              </w:rPr>
            </w:pPr>
          </w:p>
          <w:p w:rsidR="002374AA" w:rsidRDefault="002374AA" w:rsidP="00D40A19">
            <w:pPr>
              <w:pStyle w:val="Normlny0"/>
              <w:rPr>
                <w:sz w:val="24"/>
                <w:szCs w:val="24"/>
              </w:rPr>
            </w:pPr>
          </w:p>
          <w:p w:rsidR="002374AA" w:rsidRDefault="002374AA" w:rsidP="00D40A19">
            <w:pPr>
              <w:pStyle w:val="Normlny0"/>
              <w:rPr>
                <w:sz w:val="24"/>
                <w:szCs w:val="24"/>
              </w:rPr>
            </w:pPr>
          </w:p>
          <w:p w:rsidR="002374AA" w:rsidRDefault="002374AA" w:rsidP="00D40A19">
            <w:pPr>
              <w:pStyle w:val="Normlny0"/>
              <w:rPr>
                <w:sz w:val="24"/>
                <w:szCs w:val="24"/>
              </w:rPr>
            </w:pPr>
          </w:p>
          <w:p w:rsidR="002374AA" w:rsidRDefault="002374AA" w:rsidP="00D40A19">
            <w:pPr>
              <w:pStyle w:val="Normlny0"/>
              <w:rPr>
                <w:sz w:val="24"/>
                <w:szCs w:val="24"/>
              </w:rPr>
            </w:pPr>
          </w:p>
          <w:p w:rsidR="002374AA" w:rsidRDefault="002374AA" w:rsidP="00D40A19">
            <w:pPr>
              <w:pStyle w:val="Normlny0"/>
              <w:rPr>
                <w:sz w:val="24"/>
                <w:szCs w:val="24"/>
              </w:rPr>
            </w:pPr>
          </w:p>
          <w:p w:rsidR="00480B26" w:rsidRDefault="00480B26" w:rsidP="00D40A19">
            <w:pPr>
              <w:pStyle w:val="Normlny0"/>
              <w:rPr>
                <w:sz w:val="24"/>
                <w:szCs w:val="24"/>
              </w:rPr>
            </w:pPr>
          </w:p>
          <w:p w:rsidR="00480B26" w:rsidRDefault="00480B26" w:rsidP="00D40A19">
            <w:pPr>
              <w:pStyle w:val="Normlny0"/>
              <w:rPr>
                <w:sz w:val="24"/>
                <w:szCs w:val="24"/>
              </w:rPr>
            </w:pPr>
          </w:p>
          <w:p w:rsidR="002374AA" w:rsidRDefault="002374AA" w:rsidP="00D40A19">
            <w:pPr>
              <w:pStyle w:val="Normlny0"/>
              <w:rPr>
                <w:sz w:val="24"/>
                <w:szCs w:val="24"/>
              </w:rPr>
            </w:pPr>
          </w:p>
          <w:p w:rsidR="002374AA" w:rsidRDefault="002374AA" w:rsidP="00D40A19">
            <w:pPr>
              <w:pStyle w:val="Normlny0"/>
              <w:rPr>
                <w:sz w:val="24"/>
                <w:szCs w:val="24"/>
              </w:rPr>
            </w:pPr>
          </w:p>
          <w:p w:rsidR="00480B26" w:rsidRPr="000D7A9F" w:rsidRDefault="00480B26" w:rsidP="00746246">
            <w:pPr>
              <w:pStyle w:val="Normlny0"/>
              <w:rPr>
                <w:sz w:val="24"/>
                <w:szCs w:val="24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D9" w:rsidRPr="00480B26" w:rsidRDefault="008116D9" w:rsidP="00D40A19">
            <w:pPr>
              <w:jc w:val="center"/>
              <w:rPr>
                <w:b/>
              </w:rPr>
            </w:pPr>
            <w:r w:rsidRPr="00480B26">
              <w:rPr>
                <w:b/>
              </w:rPr>
              <w:lastRenderedPageBreak/>
              <w:t>§ 53b</w:t>
            </w:r>
          </w:p>
          <w:p w:rsidR="008116D9" w:rsidRPr="00480B26" w:rsidRDefault="008116D9" w:rsidP="00D40A19">
            <w:pPr>
              <w:jc w:val="center"/>
              <w:rPr>
                <w:b/>
              </w:rPr>
            </w:pPr>
            <w:r w:rsidRPr="00480B26">
              <w:rPr>
                <w:b/>
              </w:rPr>
              <w:t>Oprava odpočítanej dane pri nevymožiteľnej pohľadávke</w:t>
            </w:r>
          </w:p>
          <w:p w:rsidR="008116D9" w:rsidRPr="00480B26" w:rsidRDefault="008116D9" w:rsidP="00D40A19">
            <w:pPr>
              <w:jc w:val="center"/>
              <w:rPr>
                <w:b/>
              </w:rPr>
            </w:pPr>
          </w:p>
          <w:p w:rsidR="008116D9" w:rsidRPr="00604194" w:rsidRDefault="008116D9" w:rsidP="00D40A19">
            <w:pPr>
              <w:jc w:val="both"/>
              <w:rPr>
                <w:b/>
              </w:rPr>
            </w:pPr>
            <w:r w:rsidRPr="00480B26">
              <w:rPr>
                <w:b/>
              </w:rPr>
              <w:t xml:space="preserve">(1) </w:t>
            </w:r>
            <w:r w:rsidRPr="00604194">
              <w:rPr>
                <w:b/>
              </w:rPr>
              <w:t xml:space="preserve">Ak po skončení zdaňovacieho obdobia, v ktorom platiteľ uplatnil odpočítanie dane, nastane skutočnosť podľa </w:t>
            </w:r>
            <w:r w:rsidR="009726D6" w:rsidRPr="00604194">
              <w:rPr>
                <w:b/>
              </w:rPr>
              <w:t>§ 25a ods. 2 písm. a) až c) a f) a g)</w:t>
            </w:r>
            <w:r w:rsidR="009726D6" w:rsidRPr="00604194">
              <w:t xml:space="preserve"> </w:t>
            </w:r>
            <w:r w:rsidRPr="00604194">
              <w:rPr>
                <w:b/>
              </w:rPr>
              <w:t xml:space="preserve">a platiteľ dostal doklad o oprave základu dane podľa § 25a ods. 7 písm. a), je platiteľ povinný opraviť odpočítanú daň v tom zdaňovacom období, v ktorom dostal tento doklad. Pri oprave odpočítanej dane platiteľ zohľadní pomerné odpočítanie dane a vykonané úpravy odpočítanej dane. </w:t>
            </w:r>
          </w:p>
          <w:p w:rsidR="008116D9" w:rsidRPr="00480B26" w:rsidRDefault="008116D9" w:rsidP="00D40A19">
            <w:pPr>
              <w:jc w:val="both"/>
              <w:rPr>
                <w:b/>
              </w:rPr>
            </w:pPr>
            <w:r w:rsidRPr="00604194">
              <w:rPr>
                <w:b/>
              </w:rPr>
              <w:t xml:space="preserve">(2) Ak po oprave odpočítanej dane podľa odseku 1 nastane akákoľvek skutočnosť, na základe ktorej je dodávateľ </w:t>
            </w:r>
            <w:r w:rsidRPr="00480B26">
              <w:rPr>
                <w:b/>
              </w:rPr>
              <w:t xml:space="preserve">povinný vykonať opravu zníženého základu dane podľa § 25a ods. 6 a platiteľ dostal </w:t>
            </w:r>
            <w:r w:rsidRPr="00480B26">
              <w:rPr>
                <w:b/>
              </w:rPr>
              <w:lastRenderedPageBreak/>
              <w:t>doklad o oprave základu dane podľa § 25a ods. 7 písm. b), má platiteľ právo opraviť opravenú odpočítanú daň. Opravu opravenej odpočítanej dane podľa prvej vety platiteľ vykoná v tom zdaňovacom období, v ktorom dostal doklad podľa prvej vety.</w:t>
            </w:r>
          </w:p>
          <w:p w:rsidR="008116D9" w:rsidRPr="00746246" w:rsidRDefault="008116D9" w:rsidP="00746246">
            <w:pPr>
              <w:jc w:val="both"/>
              <w:rPr>
                <w:b/>
              </w:rPr>
            </w:pPr>
            <w:r w:rsidRPr="00480B26">
              <w:rPr>
                <w:b/>
              </w:rPr>
              <w:t>(3) Platiteľ je povinný uviesť opravu odpočítanej dane podľa odseku 1 a opravu opravenej odpočítanej dane podľa odseku 2 v záznamoc</w:t>
            </w:r>
            <w:r w:rsidR="00746246">
              <w:rPr>
                <w:b/>
              </w:rPr>
              <w:t>h podľa § 70 ods. 2 písm. j)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D9" w:rsidRPr="000D7A9F" w:rsidRDefault="00667CAE" w:rsidP="00D40A19">
            <w:pPr>
              <w:jc w:val="both"/>
            </w:pPr>
            <w:r w:rsidRPr="00120F4C">
              <w:lastRenderedPageBreak/>
              <w:t>Ú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16D9" w:rsidRPr="00B0569D" w:rsidRDefault="008116D9" w:rsidP="00D40A19"/>
        </w:tc>
      </w:tr>
    </w:tbl>
    <w:p w:rsidR="00AE1172" w:rsidRDefault="00D40A19" w:rsidP="00834B3E">
      <w:pPr>
        <w:autoSpaceDE/>
        <w:autoSpaceDN/>
        <w:jc w:val="both"/>
      </w:pPr>
      <w:r>
        <w:br w:type="textWrapping" w:clear="all"/>
      </w:r>
    </w:p>
    <w:p w:rsidR="00162F39" w:rsidRPr="000D7A9F" w:rsidRDefault="00162F39" w:rsidP="00834B3E">
      <w:pPr>
        <w:autoSpaceDE/>
        <w:autoSpaceDN/>
        <w:jc w:val="both"/>
      </w:pPr>
      <w:r w:rsidRPr="000D7A9F"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162F39" w:rsidRPr="000D7A9F" w:rsidTr="00344B4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62F39" w:rsidRPr="000D7A9F" w:rsidRDefault="00162F39" w:rsidP="00834B3E">
            <w:pPr>
              <w:pStyle w:val="Normlny0"/>
              <w:autoSpaceDE/>
              <w:autoSpaceDN/>
              <w:spacing w:after="60"/>
              <w:jc w:val="both"/>
              <w:rPr>
                <w:sz w:val="24"/>
                <w:szCs w:val="24"/>
                <w:lang w:eastAsia="sk-SK"/>
              </w:rPr>
            </w:pPr>
            <w:r w:rsidRPr="000D7A9F">
              <w:rPr>
                <w:sz w:val="24"/>
                <w:szCs w:val="24"/>
                <w:lang w:eastAsia="sk-SK"/>
              </w:rPr>
              <w:t>V stĺpci (1):</w:t>
            </w:r>
          </w:p>
          <w:p w:rsidR="00162F39" w:rsidRPr="000D7A9F" w:rsidRDefault="00162F39" w:rsidP="00834B3E">
            <w:pPr>
              <w:autoSpaceDE/>
              <w:autoSpaceDN/>
              <w:jc w:val="both"/>
            </w:pPr>
            <w:r w:rsidRPr="000D7A9F">
              <w:t>Č – článok</w:t>
            </w:r>
          </w:p>
          <w:p w:rsidR="00162F39" w:rsidRPr="000D7A9F" w:rsidRDefault="00162F39" w:rsidP="00834B3E">
            <w:pPr>
              <w:autoSpaceDE/>
              <w:autoSpaceDN/>
              <w:jc w:val="both"/>
            </w:pPr>
            <w:r w:rsidRPr="000D7A9F">
              <w:t>O – odsek</w:t>
            </w:r>
          </w:p>
          <w:p w:rsidR="00162F39" w:rsidRPr="000D7A9F" w:rsidRDefault="00162F39" w:rsidP="00834B3E">
            <w:pPr>
              <w:autoSpaceDE/>
              <w:autoSpaceDN/>
              <w:jc w:val="both"/>
            </w:pPr>
            <w:r w:rsidRPr="000D7A9F">
              <w:t>V – veta</w:t>
            </w:r>
          </w:p>
          <w:p w:rsidR="00162F39" w:rsidRPr="000D7A9F" w:rsidRDefault="00162F39" w:rsidP="00834B3E">
            <w:pPr>
              <w:autoSpaceDE/>
              <w:autoSpaceDN/>
              <w:jc w:val="both"/>
            </w:pPr>
            <w:r w:rsidRPr="000D7A9F">
              <w:t>P – číslo (písmeno)</w:t>
            </w:r>
          </w:p>
          <w:p w:rsidR="00162F39" w:rsidRPr="000D7A9F" w:rsidRDefault="00162F39" w:rsidP="00834B3E">
            <w:pPr>
              <w:autoSpaceDE/>
              <w:autoSpaceDN/>
              <w:jc w:val="both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162F39" w:rsidRPr="000D7A9F" w:rsidRDefault="00162F39" w:rsidP="00834B3E">
            <w:pPr>
              <w:pStyle w:val="Normlny0"/>
              <w:autoSpaceDE/>
              <w:autoSpaceDN/>
              <w:spacing w:after="60"/>
              <w:jc w:val="both"/>
              <w:rPr>
                <w:sz w:val="24"/>
                <w:szCs w:val="24"/>
                <w:lang w:eastAsia="sk-SK"/>
              </w:rPr>
            </w:pPr>
            <w:r w:rsidRPr="000D7A9F">
              <w:rPr>
                <w:sz w:val="24"/>
                <w:szCs w:val="24"/>
                <w:lang w:eastAsia="sk-SK"/>
              </w:rPr>
              <w:t>V stĺpci (3):</w:t>
            </w:r>
          </w:p>
          <w:p w:rsidR="00162F39" w:rsidRPr="000D7A9F" w:rsidRDefault="00162F39" w:rsidP="00834B3E">
            <w:pPr>
              <w:autoSpaceDE/>
              <w:autoSpaceDN/>
              <w:jc w:val="both"/>
            </w:pPr>
            <w:r w:rsidRPr="000D7A9F">
              <w:t>N – bežná transpozícia</w:t>
            </w:r>
          </w:p>
          <w:p w:rsidR="00162F39" w:rsidRPr="000D7A9F" w:rsidRDefault="00162F39" w:rsidP="00834B3E">
            <w:pPr>
              <w:autoSpaceDE/>
              <w:autoSpaceDN/>
              <w:jc w:val="both"/>
            </w:pPr>
            <w:r w:rsidRPr="000D7A9F">
              <w:t>O – transpozícia s možnosťou voľby</w:t>
            </w:r>
          </w:p>
          <w:p w:rsidR="00162F39" w:rsidRPr="000D7A9F" w:rsidRDefault="00162F39" w:rsidP="00834B3E">
            <w:pPr>
              <w:autoSpaceDE/>
              <w:autoSpaceDN/>
              <w:jc w:val="both"/>
            </w:pPr>
            <w:r w:rsidRPr="000D7A9F">
              <w:t>D – transpozícia podľa úvahy (dobrovoľná)</w:t>
            </w:r>
          </w:p>
          <w:p w:rsidR="00162F39" w:rsidRPr="000D7A9F" w:rsidRDefault="00162F39" w:rsidP="00834B3E">
            <w:pPr>
              <w:autoSpaceDE/>
              <w:autoSpaceDN/>
              <w:jc w:val="both"/>
            </w:pPr>
            <w:proofErr w:type="spellStart"/>
            <w:r w:rsidRPr="000D7A9F">
              <w:t>n.a</w:t>
            </w:r>
            <w:proofErr w:type="spellEnd"/>
            <w:r w:rsidRPr="000D7A9F">
              <w:t>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162F39" w:rsidRPr="000D7A9F" w:rsidRDefault="00162F39" w:rsidP="00834B3E">
            <w:pPr>
              <w:pStyle w:val="Normlny0"/>
              <w:autoSpaceDE/>
              <w:autoSpaceDN/>
              <w:spacing w:after="60"/>
              <w:jc w:val="both"/>
              <w:rPr>
                <w:sz w:val="24"/>
                <w:szCs w:val="24"/>
                <w:lang w:eastAsia="sk-SK"/>
              </w:rPr>
            </w:pPr>
            <w:r w:rsidRPr="000D7A9F">
              <w:rPr>
                <w:sz w:val="24"/>
                <w:szCs w:val="24"/>
                <w:lang w:eastAsia="sk-SK"/>
              </w:rPr>
              <w:t>V stĺpci (5):</w:t>
            </w:r>
          </w:p>
          <w:p w:rsidR="00162F39" w:rsidRPr="000D7A9F" w:rsidRDefault="00162F39" w:rsidP="00834B3E">
            <w:pPr>
              <w:autoSpaceDE/>
              <w:autoSpaceDN/>
              <w:jc w:val="both"/>
            </w:pPr>
            <w:r w:rsidRPr="000D7A9F">
              <w:t>Č – článok</w:t>
            </w:r>
          </w:p>
          <w:p w:rsidR="00162F39" w:rsidRPr="000D7A9F" w:rsidRDefault="00162F39" w:rsidP="00834B3E">
            <w:pPr>
              <w:autoSpaceDE/>
              <w:autoSpaceDN/>
              <w:jc w:val="both"/>
            </w:pPr>
            <w:r w:rsidRPr="000D7A9F">
              <w:t>§ – paragraf</w:t>
            </w:r>
          </w:p>
          <w:p w:rsidR="00162F39" w:rsidRPr="000D7A9F" w:rsidRDefault="00162F39" w:rsidP="00834B3E">
            <w:pPr>
              <w:autoSpaceDE/>
              <w:autoSpaceDN/>
              <w:jc w:val="both"/>
            </w:pPr>
            <w:r w:rsidRPr="000D7A9F">
              <w:t>O – odsek</w:t>
            </w:r>
          </w:p>
          <w:p w:rsidR="00162F39" w:rsidRPr="000D7A9F" w:rsidRDefault="00162F39" w:rsidP="00834B3E">
            <w:pPr>
              <w:autoSpaceDE/>
              <w:autoSpaceDN/>
              <w:jc w:val="both"/>
            </w:pPr>
            <w:r w:rsidRPr="000D7A9F">
              <w:t>V – veta</w:t>
            </w:r>
          </w:p>
          <w:p w:rsidR="00162F39" w:rsidRPr="000D7A9F" w:rsidRDefault="00162F39" w:rsidP="00834B3E">
            <w:pPr>
              <w:autoSpaceDE/>
              <w:autoSpaceDN/>
              <w:jc w:val="both"/>
            </w:pPr>
            <w:r w:rsidRPr="000D7A9F"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62F39" w:rsidRPr="000D7A9F" w:rsidRDefault="00162F39" w:rsidP="00834B3E">
            <w:pPr>
              <w:pStyle w:val="Normlny0"/>
              <w:autoSpaceDE/>
              <w:autoSpaceDN/>
              <w:spacing w:after="60"/>
              <w:jc w:val="both"/>
              <w:rPr>
                <w:sz w:val="24"/>
                <w:szCs w:val="24"/>
                <w:lang w:eastAsia="sk-SK"/>
              </w:rPr>
            </w:pPr>
            <w:r w:rsidRPr="000D7A9F">
              <w:rPr>
                <w:sz w:val="24"/>
                <w:szCs w:val="24"/>
                <w:lang w:eastAsia="sk-SK"/>
              </w:rPr>
              <w:t>V stĺpci (7):</w:t>
            </w:r>
          </w:p>
          <w:p w:rsidR="00162F39" w:rsidRPr="000D7A9F" w:rsidRDefault="00162F39" w:rsidP="00834B3E">
            <w:pPr>
              <w:autoSpaceDE/>
              <w:autoSpaceDN/>
              <w:ind w:left="290" w:hanging="290"/>
              <w:jc w:val="both"/>
            </w:pPr>
            <w:r w:rsidRPr="000D7A9F">
              <w:t>Ú – úplná zhoda (ak bolo ustanovenie smernice prebraté v celom rozsahu, správne, v príslušnej forme, so zabezpečenou inštitucionálnou  infraštruktúrou, s príslušnými sankciami a vo vzájomnej súvislosti)</w:t>
            </w:r>
          </w:p>
          <w:p w:rsidR="00162F39" w:rsidRPr="000D7A9F" w:rsidRDefault="00162F39" w:rsidP="00834B3E">
            <w:pPr>
              <w:autoSpaceDE/>
              <w:autoSpaceDN/>
              <w:jc w:val="both"/>
            </w:pPr>
            <w:r w:rsidRPr="000D7A9F">
              <w:t>Č – čiastočná zhoda (ak minimálne jedna z podmienok úplnej zhody nie je splnená)</w:t>
            </w:r>
          </w:p>
          <w:p w:rsidR="00162F39" w:rsidRPr="000D7A9F" w:rsidRDefault="00162F39" w:rsidP="00834B3E">
            <w:pPr>
              <w:pStyle w:val="Zarkazkladnhotextu2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 xml:space="preserve">Ž – žiadna zhoda (ak nebola dosiahnutá ani úplná ani </w:t>
            </w:r>
            <w:proofErr w:type="spellStart"/>
            <w:r w:rsidRPr="000D7A9F">
              <w:rPr>
                <w:sz w:val="24"/>
                <w:szCs w:val="24"/>
              </w:rPr>
              <w:t>čiast</w:t>
            </w:r>
            <w:proofErr w:type="spellEnd"/>
            <w:r w:rsidRPr="000D7A9F">
              <w:rPr>
                <w:sz w:val="24"/>
                <w:szCs w:val="24"/>
              </w:rPr>
              <w:t>. zhoda alebo k prebratiu dôjde v budúcnosti)</w:t>
            </w:r>
          </w:p>
          <w:p w:rsidR="00162F39" w:rsidRPr="000D7A9F" w:rsidRDefault="00162F39" w:rsidP="00834B3E">
            <w:pPr>
              <w:autoSpaceDE/>
              <w:autoSpaceDN/>
              <w:ind w:left="290" w:hanging="290"/>
              <w:jc w:val="both"/>
            </w:pPr>
            <w:proofErr w:type="spellStart"/>
            <w:r w:rsidRPr="000D7A9F">
              <w:t>n.a</w:t>
            </w:r>
            <w:proofErr w:type="spellEnd"/>
            <w:r w:rsidRPr="000D7A9F">
              <w:t>. – neaplikovateľnosť (ak sa ustanovenie smernice netýka SR alebo nie je potrebné ho prebrať)</w:t>
            </w:r>
          </w:p>
        </w:tc>
      </w:tr>
    </w:tbl>
    <w:p w:rsidR="00162F39" w:rsidRPr="000D7A9F" w:rsidRDefault="00162F39" w:rsidP="00E42B4E">
      <w:pPr>
        <w:pStyle w:val="Hlavika"/>
        <w:tabs>
          <w:tab w:val="clear" w:pos="4536"/>
          <w:tab w:val="clear" w:pos="9072"/>
        </w:tabs>
        <w:autoSpaceDE/>
        <w:autoSpaceDN/>
        <w:jc w:val="both"/>
      </w:pPr>
    </w:p>
    <w:sectPr w:rsidR="00162F39" w:rsidRPr="000D7A9F" w:rsidSect="0003306A">
      <w:footerReference w:type="default" r:id="rId9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89E" w:rsidRDefault="0023689E">
      <w:r>
        <w:separator/>
      </w:r>
    </w:p>
  </w:endnote>
  <w:endnote w:type="continuationSeparator" w:id="0">
    <w:p w:rsidR="0023689E" w:rsidRDefault="0023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6850627"/>
      <w:docPartObj>
        <w:docPartGallery w:val="Page Numbers (Bottom of Page)"/>
        <w:docPartUnique/>
      </w:docPartObj>
    </w:sdtPr>
    <w:sdtContent>
      <w:p w:rsidR="006D732B" w:rsidRDefault="006D732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110BBB" w:rsidRDefault="00110BBB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89E" w:rsidRDefault="0023689E">
      <w:r>
        <w:separator/>
      </w:r>
    </w:p>
  </w:footnote>
  <w:footnote w:type="continuationSeparator" w:id="0">
    <w:p w:rsidR="0023689E" w:rsidRDefault="00236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3175C"/>
    <w:multiLevelType w:val="hybridMultilevel"/>
    <w:tmpl w:val="BFEC55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3E00AF"/>
    <w:multiLevelType w:val="hybridMultilevel"/>
    <w:tmpl w:val="D61EDC9A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43D89"/>
    <w:multiLevelType w:val="hybridMultilevel"/>
    <w:tmpl w:val="E4401AF2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4" w15:restartNumberingAfterBreak="0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33E10911"/>
    <w:multiLevelType w:val="hybridMultilevel"/>
    <w:tmpl w:val="48E84B02"/>
    <w:lvl w:ilvl="0" w:tplc="F078C4BE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E77358"/>
    <w:multiLevelType w:val="hybridMultilevel"/>
    <w:tmpl w:val="19C03F34"/>
    <w:lvl w:ilvl="0" w:tplc="FDB6C70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20FE4"/>
    <w:multiLevelType w:val="hybridMultilevel"/>
    <w:tmpl w:val="8F7E366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</w:rPr>
    </w:lvl>
  </w:abstractNum>
  <w:abstractNum w:abstractNumId="9" w15:restartNumberingAfterBreak="0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B4E3C4D"/>
    <w:multiLevelType w:val="hybridMultilevel"/>
    <w:tmpl w:val="3222ABB4"/>
    <w:lvl w:ilvl="0" w:tplc="0DC23668">
      <w:start w:val="1"/>
      <w:numFmt w:val="decimal"/>
      <w:lvlText w:val="(%1)"/>
      <w:lvlJc w:val="left"/>
      <w:pPr>
        <w:ind w:left="207" w:hanging="207"/>
      </w:pPr>
      <w:rPr>
        <w:rFonts w:cs="Times New Roman" w:hint="default"/>
        <w:b w:val="0"/>
        <w:strike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80696D"/>
    <w:multiLevelType w:val="hybridMultilevel"/>
    <w:tmpl w:val="7F204AD4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85ABE"/>
    <w:multiLevelType w:val="hybridMultilevel"/>
    <w:tmpl w:val="0406BCC8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3"/>
    </w:lvlOverride>
  </w:num>
  <w:num w:numId="3">
    <w:abstractNumId w:val="8"/>
  </w:num>
  <w:num w:numId="4">
    <w:abstractNumId w:val="8"/>
    <w:lvlOverride w:ilvl="0">
      <w:startOverride w:val="2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2"/>
  </w:num>
  <w:num w:numId="12">
    <w:abstractNumId w:val="2"/>
  </w:num>
  <w:num w:numId="13">
    <w:abstractNumId w:val="11"/>
  </w:num>
  <w:num w:numId="14">
    <w:abstractNumId w:val="1"/>
  </w:num>
  <w:num w:numId="15">
    <w:abstractNumId w:val="10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3F"/>
    <w:rsid w:val="00005310"/>
    <w:rsid w:val="00015B48"/>
    <w:rsid w:val="000305EB"/>
    <w:rsid w:val="0003306A"/>
    <w:rsid w:val="00033B7E"/>
    <w:rsid w:val="00040F00"/>
    <w:rsid w:val="00042A4B"/>
    <w:rsid w:val="00045DBD"/>
    <w:rsid w:val="00046779"/>
    <w:rsid w:val="000468C3"/>
    <w:rsid w:val="0005322B"/>
    <w:rsid w:val="00064919"/>
    <w:rsid w:val="00067B83"/>
    <w:rsid w:val="0007376B"/>
    <w:rsid w:val="00093769"/>
    <w:rsid w:val="000A129A"/>
    <w:rsid w:val="000A474B"/>
    <w:rsid w:val="000B1F10"/>
    <w:rsid w:val="000B461F"/>
    <w:rsid w:val="000B718D"/>
    <w:rsid w:val="000C2596"/>
    <w:rsid w:val="000C2E53"/>
    <w:rsid w:val="000D60A0"/>
    <w:rsid w:val="000D7A9F"/>
    <w:rsid w:val="000E0F93"/>
    <w:rsid w:val="000E361C"/>
    <w:rsid w:val="000F6696"/>
    <w:rsid w:val="000F6AFA"/>
    <w:rsid w:val="000F6AFF"/>
    <w:rsid w:val="00106E37"/>
    <w:rsid w:val="00110BBB"/>
    <w:rsid w:val="0011333A"/>
    <w:rsid w:val="00120F4C"/>
    <w:rsid w:val="001250B8"/>
    <w:rsid w:val="00127033"/>
    <w:rsid w:val="00143EFE"/>
    <w:rsid w:val="00151BDA"/>
    <w:rsid w:val="00153544"/>
    <w:rsid w:val="00153B33"/>
    <w:rsid w:val="001545F2"/>
    <w:rsid w:val="00162F39"/>
    <w:rsid w:val="0017797B"/>
    <w:rsid w:val="00187913"/>
    <w:rsid w:val="001A2534"/>
    <w:rsid w:val="001B72C8"/>
    <w:rsid w:val="001C6273"/>
    <w:rsid w:val="001C7211"/>
    <w:rsid w:val="001E068A"/>
    <w:rsid w:val="001F3E40"/>
    <w:rsid w:val="002020EF"/>
    <w:rsid w:val="002153F7"/>
    <w:rsid w:val="00217BF4"/>
    <w:rsid w:val="0022141C"/>
    <w:rsid w:val="0023126B"/>
    <w:rsid w:val="0023689E"/>
    <w:rsid w:val="002374AA"/>
    <w:rsid w:val="00244C8E"/>
    <w:rsid w:val="00245346"/>
    <w:rsid w:val="0025049B"/>
    <w:rsid w:val="00256DAD"/>
    <w:rsid w:val="00270E65"/>
    <w:rsid w:val="002715E2"/>
    <w:rsid w:val="002758B8"/>
    <w:rsid w:val="002777D9"/>
    <w:rsid w:val="00293850"/>
    <w:rsid w:val="0029483D"/>
    <w:rsid w:val="002A62EC"/>
    <w:rsid w:val="002B7244"/>
    <w:rsid w:val="002B7F59"/>
    <w:rsid w:val="002D4038"/>
    <w:rsid w:val="002E1D16"/>
    <w:rsid w:val="002E2954"/>
    <w:rsid w:val="002F036F"/>
    <w:rsid w:val="002F6FA1"/>
    <w:rsid w:val="00311A45"/>
    <w:rsid w:val="00314325"/>
    <w:rsid w:val="00314648"/>
    <w:rsid w:val="003168BC"/>
    <w:rsid w:val="0031764B"/>
    <w:rsid w:val="003216E7"/>
    <w:rsid w:val="00321FAD"/>
    <w:rsid w:val="0032287B"/>
    <w:rsid w:val="00323195"/>
    <w:rsid w:val="0032751F"/>
    <w:rsid w:val="00332D3B"/>
    <w:rsid w:val="00336706"/>
    <w:rsid w:val="0034256B"/>
    <w:rsid w:val="00344B44"/>
    <w:rsid w:val="00346101"/>
    <w:rsid w:val="00346AAD"/>
    <w:rsid w:val="00350606"/>
    <w:rsid w:val="003561FC"/>
    <w:rsid w:val="003646B3"/>
    <w:rsid w:val="00386A2F"/>
    <w:rsid w:val="00391DC5"/>
    <w:rsid w:val="00393D54"/>
    <w:rsid w:val="003A2BCA"/>
    <w:rsid w:val="003B5FBD"/>
    <w:rsid w:val="003C01FF"/>
    <w:rsid w:val="003C0A63"/>
    <w:rsid w:val="003C6C43"/>
    <w:rsid w:val="003E7B78"/>
    <w:rsid w:val="003F5EDF"/>
    <w:rsid w:val="004045FB"/>
    <w:rsid w:val="00405C80"/>
    <w:rsid w:val="004219E0"/>
    <w:rsid w:val="00424270"/>
    <w:rsid w:val="00440A2A"/>
    <w:rsid w:val="00443D31"/>
    <w:rsid w:val="00451B7A"/>
    <w:rsid w:val="004577EC"/>
    <w:rsid w:val="00466481"/>
    <w:rsid w:val="004767F1"/>
    <w:rsid w:val="00480B26"/>
    <w:rsid w:val="00481216"/>
    <w:rsid w:val="0048138A"/>
    <w:rsid w:val="004919F8"/>
    <w:rsid w:val="00494CFC"/>
    <w:rsid w:val="004B2580"/>
    <w:rsid w:val="004B536D"/>
    <w:rsid w:val="004D3FAA"/>
    <w:rsid w:val="004D5B1A"/>
    <w:rsid w:val="004F599E"/>
    <w:rsid w:val="004F5A8A"/>
    <w:rsid w:val="005106B0"/>
    <w:rsid w:val="00510804"/>
    <w:rsid w:val="00510EDC"/>
    <w:rsid w:val="00513C48"/>
    <w:rsid w:val="005170A9"/>
    <w:rsid w:val="00517FDC"/>
    <w:rsid w:val="0052262F"/>
    <w:rsid w:val="00524E73"/>
    <w:rsid w:val="005415F2"/>
    <w:rsid w:val="00542525"/>
    <w:rsid w:val="005611FC"/>
    <w:rsid w:val="00561CE6"/>
    <w:rsid w:val="00564C43"/>
    <w:rsid w:val="00564D44"/>
    <w:rsid w:val="005674BC"/>
    <w:rsid w:val="00570D62"/>
    <w:rsid w:val="005947B8"/>
    <w:rsid w:val="005D6472"/>
    <w:rsid w:val="005E0477"/>
    <w:rsid w:val="005E147F"/>
    <w:rsid w:val="005E3CAA"/>
    <w:rsid w:val="005F0813"/>
    <w:rsid w:val="00601F13"/>
    <w:rsid w:val="00603033"/>
    <w:rsid w:val="006036B4"/>
    <w:rsid w:val="00603C75"/>
    <w:rsid w:val="00604194"/>
    <w:rsid w:val="006237B4"/>
    <w:rsid w:val="00623E72"/>
    <w:rsid w:val="006277A7"/>
    <w:rsid w:val="0064397E"/>
    <w:rsid w:val="00652BE3"/>
    <w:rsid w:val="00656B18"/>
    <w:rsid w:val="00667CAE"/>
    <w:rsid w:val="00681013"/>
    <w:rsid w:val="00681528"/>
    <w:rsid w:val="0068153F"/>
    <w:rsid w:val="00681623"/>
    <w:rsid w:val="0068396F"/>
    <w:rsid w:val="00683A6B"/>
    <w:rsid w:val="00692646"/>
    <w:rsid w:val="00697A99"/>
    <w:rsid w:val="006A046B"/>
    <w:rsid w:val="006A1441"/>
    <w:rsid w:val="006B5354"/>
    <w:rsid w:val="006C0172"/>
    <w:rsid w:val="006D4011"/>
    <w:rsid w:val="006D4E6B"/>
    <w:rsid w:val="006D732B"/>
    <w:rsid w:val="006E18F6"/>
    <w:rsid w:val="006E38D3"/>
    <w:rsid w:val="006E689D"/>
    <w:rsid w:val="006F0BB8"/>
    <w:rsid w:val="006F2453"/>
    <w:rsid w:val="006F394F"/>
    <w:rsid w:val="006F3F34"/>
    <w:rsid w:val="006F57D4"/>
    <w:rsid w:val="00735AB4"/>
    <w:rsid w:val="00741CAD"/>
    <w:rsid w:val="00746246"/>
    <w:rsid w:val="00746DA5"/>
    <w:rsid w:val="00753327"/>
    <w:rsid w:val="00753D61"/>
    <w:rsid w:val="00756C1B"/>
    <w:rsid w:val="0078287E"/>
    <w:rsid w:val="007A0A4E"/>
    <w:rsid w:val="007B28DF"/>
    <w:rsid w:val="007B51DE"/>
    <w:rsid w:val="007C1FBB"/>
    <w:rsid w:val="007C6E0F"/>
    <w:rsid w:val="007D31EC"/>
    <w:rsid w:val="007D7853"/>
    <w:rsid w:val="007E38A5"/>
    <w:rsid w:val="007E4B89"/>
    <w:rsid w:val="007F12EB"/>
    <w:rsid w:val="007F690B"/>
    <w:rsid w:val="008116D9"/>
    <w:rsid w:val="0082129B"/>
    <w:rsid w:val="00834B3E"/>
    <w:rsid w:val="00837388"/>
    <w:rsid w:val="00842BE3"/>
    <w:rsid w:val="00851837"/>
    <w:rsid w:val="00861E2E"/>
    <w:rsid w:val="00874442"/>
    <w:rsid w:val="00874585"/>
    <w:rsid w:val="008A0B4B"/>
    <w:rsid w:val="008A28AE"/>
    <w:rsid w:val="008A399B"/>
    <w:rsid w:val="008A5161"/>
    <w:rsid w:val="008B502C"/>
    <w:rsid w:val="008B515C"/>
    <w:rsid w:val="008C54C3"/>
    <w:rsid w:val="008D4C03"/>
    <w:rsid w:val="008E1CD7"/>
    <w:rsid w:val="008E448D"/>
    <w:rsid w:val="008F21B1"/>
    <w:rsid w:val="008F3F33"/>
    <w:rsid w:val="00906CEA"/>
    <w:rsid w:val="009153EE"/>
    <w:rsid w:val="0091636B"/>
    <w:rsid w:val="00930F1F"/>
    <w:rsid w:val="009612CE"/>
    <w:rsid w:val="00966DE7"/>
    <w:rsid w:val="009719C2"/>
    <w:rsid w:val="009726D6"/>
    <w:rsid w:val="009826E3"/>
    <w:rsid w:val="009842F4"/>
    <w:rsid w:val="00991B76"/>
    <w:rsid w:val="009C115F"/>
    <w:rsid w:val="009C5B64"/>
    <w:rsid w:val="009C5E2D"/>
    <w:rsid w:val="009D1433"/>
    <w:rsid w:val="009E26B8"/>
    <w:rsid w:val="009F5542"/>
    <w:rsid w:val="009F55D8"/>
    <w:rsid w:val="009F5C22"/>
    <w:rsid w:val="00A02F9A"/>
    <w:rsid w:val="00A17534"/>
    <w:rsid w:val="00A1775E"/>
    <w:rsid w:val="00A46504"/>
    <w:rsid w:val="00A46622"/>
    <w:rsid w:val="00A47BED"/>
    <w:rsid w:val="00A5129F"/>
    <w:rsid w:val="00A649F7"/>
    <w:rsid w:val="00A667A5"/>
    <w:rsid w:val="00A73B1E"/>
    <w:rsid w:val="00A74B18"/>
    <w:rsid w:val="00A76D5E"/>
    <w:rsid w:val="00A9063F"/>
    <w:rsid w:val="00A91B17"/>
    <w:rsid w:val="00A95D9D"/>
    <w:rsid w:val="00A968AE"/>
    <w:rsid w:val="00AA1F7B"/>
    <w:rsid w:val="00AA55DA"/>
    <w:rsid w:val="00AB7D27"/>
    <w:rsid w:val="00AC1BE7"/>
    <w:rsid w:val="00AC3812"/>
    <w:rsid w:val="00AD1EEA"/>
    <w:rsid w:val="00AD3C5E"/>
    <w:rsid w:val="00AD3E56"/>
    <w:rsid w:val="00AD6AD2"/>
    <w:rsid w:val="00AE1172"/>
    <w:rsid w:val="00AF2C17"/>
    <w:rsid w:val="00B04DAB"/>
    <w:rsid w:val="00B0569D"/>
    <w:rsid w:val="00B1076F"/>
    <w:rsid w:val="00B27585"/>
    <w:rsid w:val="00B40092"/>
    <w:rsid w:val="00B64B09"/>
    <w:rsid w:val="00B800E9"/>
    <w:rsid w:val="00B802A3"/>
    <w:rsid w:val="00B83855"/>
    <w:rsid w:val="00B929DC"/>
    <w:rsid w:val="00B94C0F"/>
    <w:rsid w:val="00BA1F0B"/>
    <w:rsid w:val="00BA2E47"/>
    <w:rsid w:val="00BB0E65"/>
    <w:rsid w:val="00BB0F54"/>
    <w:rsid w:val="00BC65AB"/>
    <w:rsid w:val="00BD1BA0"/>
    <w:rsid w:val="00BF2267"/>
    <w:rsid w:val="00BF2C5A"/>
    <w:rsid w:val="00BF49CD"/>
    <w:rsid w:val="00C06DA6"/>
    <w:rsid w:val="00C1013A"/>
    <w:rsid w:val="00C139A5"/>
    <w:rsid w:val="00C21CEF"/>
    <w:rsid w:val="00C27E77"/>
    <w:rsid w:val="00C34EF5"/>
    <w:rsid w:val="00C4366F"/>
    <w:rsid w:val="00C46781"/>
    <w:rsid w:val="00C51FB3"/>
    <w:rsid w:val="00C5315E"/>
    <w:rsid w:val="00C566EA"/>
    <w:rsid w:val="00C766C5"/>
    <w:rsid w:val="00C8023F"/>
    <w:rsid w:val="00C908F4"/>
    <w:rsid w:val="00C94292"/>
    <w:rsid w:val="00CA7121"/>
    <w:rsid w:val="00CB2E5D"/>
    <w:rsid w:val="00CC3DCD"/>
    <w:rsid w:val="00CE3B8A"/>
    <w:rsid w:val="00CF4E5B"/>
    <w:rsid w:val="00D005BB"/>
    <w:rsid w:val="00D205AC"/>
    <w:rsid w:val="00D22A7B"/>
    <w:rsid w:val="00D26FC6"/>
    <w:rsid w:val="00D27C56"/>
    <w:rsid w:val="00D33B5F"/>
    <w:rsid w:val="00D3404B"/>
    <w:rsid w:val="00D36C77"/>
    <w:rsid w:val="00D40A19"/>
    <w:rsid w:val="00D45013"/>
    <w:rsid w:val="00D63FC1"/>
    <w:rsid w:val="00D65DC0"/>
    <w:rsid w:val="00D75422"/>
    <w:rsid w:val="00D76068"/>
    <w:rsid w:val="00D83E5B"/>
    <w:rsid w:val="00D863DD"/>
    <w:rsid w:val="00D946B6"/>
    <w:rsid w:val="00DA0F6C"/>
    <w:rsid w:val="00DB537D"/>
    <w:rsid w:val="00DC0F95"/>
    <w:rsid w:val="00DC628E"/>
    <w:rsid w:val="00DD24D4"/>
    <w:rsid w:val="00DD7F71"/>
    <w:rsid w:val="00DE0F85"/>
    <w:rsid w:val="00DE22D8"/>
    <w:rsid w:val="00DE6D17"/>
    <w:rsid w:val="00DF5B23"/>
    <w:rsid w:val="00E022FB"/>
    <w:rsid w:val="00E030B3"/>
    <w:rsid w:val="00E0493C"/>
    <w:rsid w:val="00E07A5D"/>
    <w:rsid w:val="00E14FCE"/>
    <w:rsid w:val="00E22402"/>
    <w:rsid w:val="00E24E4C"/>
    <w:rsid w:val="00E42B4E"/>
    <w:rsid w:val="00E44C4D"/>
    <w:rsid w:val="00E52D07"/>
    <w:rsid w:val="00E560D6"/>
    <w:rsid w:val="00E701F1"/>
    <w:rsid w:val="00E70E91"/>
    <w:rsid w:val="00E76AA0"/>
    <w:rsid w:val="00E8306A"/>
    <w:rsid w:val="00EA15DC"/>
    <w:rsid w:val="00EA25A8"/>
    <w:rsid w:val="00EA2786"/>
    <w:rsid w:val="00EA3B53"/>
    <w:rsid w:val="00EB4E75"/>
    <w:rsid w:val="00EB6469"/>
    <w:rsid w:val="00EC4AC4"/>
    <w:rsid w:val="00ED5087"/>
    <w:rsid w:val="00ED546C"/>
    <w:rsid w:val="00ED5FC2"/>
    <w:rsid w:val="00EE7DD6"/>
    <w:rsid w:val="00EF00A3"/>
    <w:rsid w:val="00EF09EE"/>
    <w:rsid w:val="00EF16EF"/>
    <w:rsid w:val="00EF41F8"/>
    <w:rsid w:val="00F00844"/>
    <w:rsid w:val="00F02870"/>
    <w:rsid w:val="00F047A8"/>
    <w:rsid w:val="00F11585"/>
    <w:rsid w:val="00F17767"/>
    <w:rsid w:val="00F205DB"/>
    <w:rsid w:val="00F36AA4"/>
    <w:rsid w:val="00F4080C"/>
    <w:rsid w:val="00F41A26"/>
    <w:rsid w:val="00F47D92"/>
    <w:rsid w:val="00F50F90"/>
    <w:rsid w:val="00F530E4"/>
    <w:rsid w:val="00F74290"/>
    <w:rsid w:val="00F9291C"/>
    <w:rsid w:val="00F950B1"/>
    <w:rsid w:val="00FB2E2E"/>
    <w:rsid w:val="00FB44A1"/>
    <w:rsid w:val="00FC5FC5"/>
    <w:rsid w:val="00FC6C11"/>
    <w:rsid w:val="00FD0ADF"/>
    <w:rsid w:val="00FD1AD5"/>
    <w:rsid w:val="00FE3FB2"/>
    <w:rsid w:val="00FF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37B6D8-6980-48E3-9938-B525AE8A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306A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3306A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rsid w:val="0003306A"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9"/>
    <w:qFormat/>
    <w:rsid w:val="0003306A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03306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03306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03306A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3">
    <w:name w:val="Body Text 3"/>
    <w:basedOn w:val="Normlny"/>
    <w:link w:val="Zkladntext3Char"/>
    <w:uiPriority w:val="99"/>
    <w:rsid w:val="0003306A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03306A"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0330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03306A"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03306A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03306A"/>
    <w:rPr>
      <w:rFonts w:cs="Times New Roman"/>
      <w:sz w:val="24"/>
      <w:szCs w:val="24"/>
    </w:rPr>
  </w:style>
  <w:style w:type="paragraph" w:customStyle="1" w:styleId="Normlny0">
    <w:name w:val="_Normálny"/>
    <w:basedOn w:val="Normlny"/>
    <w:uiPriority w:val="99"/>
    <w:rsid w:val="0003306A"/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03306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03306A"/>
    <w:rPr>
      <w:rFonts w:cs="Times New Roman"/>
      <w:sz w:val="20"/>
      <w:szCs w:val="20"/>
    </w:rPr>
  </w:style>
  <w:style w:type="paragraph" w:customStyle="1" w:styleId="PARA">
    <w:name w:val="PARA"/>
    <w:basedOn w:val="Normlny"/>
    <w:next w:val="Normlny"/>
    <w:uiPriority w:val="99"/>
    <w:rsid w:val="0003306A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uiPriority w:val="99"/>
    <w:rsid w:val="0003306A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Odkaznapoznmkupodiarou">
    <w:name w:val="footnote reference"/>
    <w:basedOn w:val="Predvolenpsmoodseku"/>
    <w:uiPriority w:val="99"/>
    <w:semiHidden/>
    <w:rsid w:val="0003306A"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rsid w:val="0003306A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basedOn w:val="Predvolenpsmoodseku"/>
    <w:link w:val="Pta"/>
    <w:uiPriority w:val="99"/>
    <w:locked/>
    <w:rsid w:val="0003306A"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03306A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03306A"/>
    <w:pPr>
      <w:autoSpaceDE/>
      <w:autoSpaceDN/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03306A"/>
    <w:rPr>
      <w:rFonts w:cs="Times New Roman"/>
      <w:sz w:val="24"/>
      <w:szCs w:val="24"/>
    </w:rPr>
  </w:style>
  <w:style w:type="paragraph" w:customStyle="1" w:styleId="Default">
    <w:name w:val="Default"/>
    <w:rsid w:val="00CB2E5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CB2E5D"/>
    <w:rPr>
      <w:rFonts w:cs="Times New Roman"/>
      <w:color w:val="auto"/>
    </w:rPr>
  </w:style>
  <w:style w:type="paragraph" w:customStyle="1" w:styleId="Zkladntext">
    <w:name w:val="Základní text"/>
    <w:aliases w:val="Základný text Char Char"/>
    <w:rsid w:val="00EE7DD6"/>
    <w:pPr>
      <w:widowControl w:val="0"/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paragraph" w:customStyle="1" w:styleId="CharChar">
    <w:name w:val="Char Char"/>
    <w:basedOn w:val="Normlny"/>
    <w:uiPriority w:val="99"/>
    <w:rsid w:val="0078287E"/>
    <w:pPr>
      <w:autoSpaceDE/>
      <w:autoSpaceDN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2E1D16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E1D16"/>
    <w:rPr>
      <w:rFonts w:cs="Times New Roman"/>
      <w:color w:val="auto"/>
    </w:rPr>
  </w:style>
  <w:style w:type="paragraph" w:styleId="Odsekzoznamu">
    <w:name w:val="List Paragraph"/>
    <w:basedOn w:val="Normlny"/>
    <w:uiPriority w:val="34"/>
    <w:qFormat/>
    <w:rsid w:val="00E030B3"/>
    <w:pPr>
      <w:autoSpaceDE/>
      <w:autoSpaceDN/>
      <w:ind w:left="720"/>
      <w:contextualSpacing/>
    </w:pPr>
  </w:style>
  <w:style w:type="character" w:styleId="Siln">
    <w:name w:val="Strong"/>
    <w:basedOn w:val="Predvolenpsmoodseku"/>
    <w:uiPriority w:val="22"/>
    <w:qFormat/>
    <w:rsid w:val="00D83E5B"/>
    <w:rPr>
      <w:rFonts w:cs="Times New Roman"/>
      <w:b/>
    </w:rPr>
  </w:style>
  <w:style w:type="paragraph" w:customStyle="1" w:styleId="normal2">
    <w:name w:val="normal2"/>
    <w:basedOn w:val="Normlny"/>
    <w:rsid w:val="00D83E5B"/>
    <w:pPr>
      <w:autoSpaceDE/>
      <w:autoSpaceDN/>
      <w:spacing w:before="120" w:line="312" w:lineRule="atLeast"/>
      <w:jc w:val="both"/>
    </w:pPr>
  </w:style>
  <w:style w:type="character" w:styleId="Zvraznenie">
    <w:name w:val="Emphasis"/>
    <w:basedOn w:val="Predvolenpsmoodseku"/>
    <w:uiPriority w:val="99"/>
    <w:qFormat/>
    <w:rsid w:val="00834B3E"/>
    <w:rPr>
      <w:rFonts w:cs="Times New Roman"/>
      <w:i/>
    </w:rPr>
  </w:style>
  <w:style w:type="paragraph" w:customStyle="1" w:styleId="Normlny1">
    <w:name w:val="Normálny1"/>
    <w:basedOn w:val="Normlny"/>
    <w:rsid w:val="00A1775E"/>
    <w:pPr>
      <w:autoSpaceDE/>
      <w:autoSpaceDN/>
      <w:spacing w:before="120"/>
      <w:jc w:val="both"/>
    </w:pPr>
  </w:style>
  <w:style w:type="paragraph" w:customStyle="1" w:styleId="ti-art">
    <w:name w:val="ti-art"/>
    <w:basedOn w:val="Normlny"/>
    <w:rsid w:val="00A1775E"/>
    <w:pPr>
      <w:autoSpaceDE/>
      <w:autoSpaceDN/>
      <w:spacing w:before="360" w:after="120"/>
      <w:jc w:val="center"/>
    </w:pPr>
    <w:rPr>
      <w:i/>
      <w:iCs/>
    </w:rPr>
  </w:style>
  <w:style w:type="character" w:customStyle="1" w:styleId="italic">
    <w:name w:val="italic"/>
    <w:basedOn w:val="Predvolenpsmoodseku"/>
    <w:rsid w:val="000A474B"/>
    <w:rPr>
      <w:i/>
      <w:iCs/>
    </w:rPr>
  </w:style>
  <w:style w:type="paragraph" w:customStyle="1" w:styleId="signatory">
    <w:name w:val="signatory"/>
    <w:basedOn w:val="Normlny"/>
    <w:rsid w:val="000A474B"/>
    <w:pPr>
      <w:autoSpaceDE/>
      <w:autoSpaceDN/>
      <w:spacing w:before="60" w:after="60"/>
      <w:jc w:val="center"/>
    </w:pPr>
  </w:style>
  <w:style w:type="paragraph" w:styleId="Textbubliny">
    <w:name w:val="Balloon Text"/>
    <w:basedOn w:val="Normlny"/>
    <w:link w:val="TextbublinyChar"/>
    <w:uiPriority w:val="99"/>
    <w:rsid w:val="00244C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244C8E"/>
    <w:rPr>
      <w:rFonts w:ascii="Segoe UI" w:hAnsi="Segoe UI" w:cs="Segoe UI"/>
      <w:sz w:val="18"/>
      <w:szCs w:val="18"/>
    </w:rPr>
  </w:style>
  <w:style w:type="paragraph" w:customStyle="1" w:styleId="Normlny2">
    <w:name w:val="Normálny2"/>
    <w:basedOn w:val="Normlny"/>
    <w:rsid w:val="00AA1F7B"/>
    <w:pPr>
      <w:autoSpaceDE/>
      <w:autoSpaceDN/>
      <w:spacing w:before="120"/>
      <w:jc w:val="both"/>
    </w:pPr>
  </w:style>
  <w:style w:type="character" w:styleId="Hypertextovprepojenie">
    <w:name w:val="Hyperlink"/>
    <w:basedOn w:val="Predvolenpsmoodseku"/>
    <w:uiPriority w:val="99"/>
    <w:unhideWhenUsed/>
    <w:rsid w:val="00D754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786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064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0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7917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5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3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7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57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68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61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159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28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060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253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3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9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129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7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77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48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57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448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75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594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754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181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6745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42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2983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4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1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2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77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35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64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32260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515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611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009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869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822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4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220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0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9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5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8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49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96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137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242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267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051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40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1178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121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2441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7543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990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9379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6997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236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820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9469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011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4248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171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986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1777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8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3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660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3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7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0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664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56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66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78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555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35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286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588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43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30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273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8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6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75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32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98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74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73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53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1345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82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479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49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8552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6472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427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5216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619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452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397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1047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907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7899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4482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9253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3320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5351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654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6210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4626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073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0618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9954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317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9239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4506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05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7755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42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502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05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4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1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1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77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2328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470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226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971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286006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54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579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805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9699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72838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5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7119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8941">
              <w:marLeft w:val="810"/>
              <w:marRight w:val="81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79406">
                  <w:marLeft w:val="4005"/>
                  <w:marRight w:val="8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2009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8519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9153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247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23667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4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4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0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102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4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7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7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5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73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44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957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515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37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633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812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846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9852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5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2521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8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4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37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8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14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35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160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9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090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768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55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67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0166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55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59053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5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590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5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55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55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559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55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5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59027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5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5902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5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55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559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55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55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90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90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90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90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59039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5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5904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5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55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55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559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40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2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98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757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4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8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05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48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20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56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349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06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2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224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048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88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96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6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56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4543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54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4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0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7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123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70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492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39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766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041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83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0437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5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3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229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83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74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5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90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57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43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40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67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462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641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1120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7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39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4948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7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5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0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33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50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73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9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16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04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999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381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993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570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0864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87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6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689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9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4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14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9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8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7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3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0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235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514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4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25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04821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3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5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1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4223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3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6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5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33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24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10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984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334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436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27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789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5068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120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593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158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3092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478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146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6873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182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2253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0495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636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860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0261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32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7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6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06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93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0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9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083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4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36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72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69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367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15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84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971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91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050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9_1_tabulka_zhody_2006_112"/>
    <f:field ref="objsubject" par="" edit="true" text=""/>
    <f:field ref="objcreatedby" par="" text="Mikloš, Miloš, JUDr."/>
    <f:field ref="objcreatedat" par="" text="12.6.2020 14:56:14"/>
    <f:field ref="objchangedby" par="" text="Administrator, System"/>
    <f:field ref="objmodifiedat" par="" text="12.6.2020 14:56:1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C6EC93C-1224-4DE0-87F5-F28826845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13409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Jablonkova Zdenka</cp:lastModifiedBy>
  <cp:revision>4</cp:revision>
  <cp:lastPrinted>2019-03-26T08:58:00Z</cp:lastPrinted>
  <dcterms:created xsi:type="dcterms:W3CDTF">2020-08-19T07:10:00Z</dcterms:created>
  <dcterms:modified xsi:type="dcterms:W3CDTF">2020-08-19T10:05:00Z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Daň z pridanej hodnoty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Miloš Mikloš</vt:lpwstr>
  </property>
  <property fmtid="{D5CDD505-2E9C-101B-9397-08002B2CF9AE}" pid="12" name="FSC#SKEDITIONSLOVLEX@103.510:zodppredkladatel">
    <vt:lpwstr>Ing. Eduard Heger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222/2004 Z. z. o dani z pridanej hodnoty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financií Slovenskej republiky</vt:lpwstr>
  </property>
  <property fmtid="{D5CDD505-2E9C-101B-9397-08002B2CF9AE}" pid="20" name="FSC#SKEDITIONSLOVLEX@103.510:pripomienkovatelia">
    <vt:lpwstr>Ministerstvo financií Slovenskej republiky, Ministerstvo financií Slovenskej republiky, Ministerstvo financií Slovenskej republiky, Ministerstvo financií Slovenskej republiky, Ministerstvo financií Slovenskej republiky, Ministerstvo financií Slovenskej re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Transpozícia právnych predpisov Európskej únie_x000d_
</vt:lpwstr>
  </property>
  <property fmtid="{D5CDD505-2E9C-101B-9397-08002B2CF9AE}" pid="23" name="FSC#SKEDITIONSLOVLEX@103.510:plnynazovpredpis">
    <vt:lpwstr> Zákon, ktorým sa mení a dopĺňa zákon č. 222/2004 Z. z. o dani z pridanej hodnoty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MF/009257/2020-731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LP/2020/201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financií</vt:lpwstr>
  </property>
  <property fmtid="{D5CDD505-2E9C-101B-9397-08002B2CF9AE}" pid="142" name="FSC#SKEDITIONSLOVLEX@103.510:funkciaZodpPredAkuzativ">
    <vt:lpwstr>ministra financií Slovenskej republiky</vt:lpwstr>
  </property>
  <property fmtid="{D5CDD505-2E9C-101B-9397-08002B2CF9AE}" pid="143" name="FSC#SKEDITIONSLOVLEX@103.510:funkciaZodpPredDativ">
    <vt:lpwstr>ministrovi financií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Eduard Heger_x000d_
minister financií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12. 6. 2020</vt:lpwstr>
  </property>
  <property fmtid="{D5CDD505-2E9C-101B-9397-08002B2CF9AE}" pid="151" name="FSC#COOSYSTEM@1.1:Container">
    <vt:lpwstr>COO.2145.1000.3.3895965</vt:lpwstr>
  </property>
  <property fmtid="{D5CDD505-2E9C-101B-9397-08002B2CF9AE}" pid="152" name="FSC#FSCFOLIO@1.1001:docpropproject">
    <vt:lpwstr/>
  </property>
</Properties>
</file>