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48" w:rsidRPr="00EC6989" w:rsidRDefault="007D5748" w:rsidP="00CD2466">
      <w:pPr>
        <w:spacing w:after="0" w:line="240" w:lineRule="auto"/>
        <w:jc w:val="center"/>
        <w:rPr>
          <w:rFonts w:ascii="Times New Roman" w:eastAsia="Times New Roman" w:hAnsi="Times New Roman" w:cs="Times New Roman"/>
          <w:b/>
          <w:bCs/>
          <w:sz w:val="28"/>
          <w:szCs w:val="28"/>
        </w:rPr>
      </w:pPr>
      <w:bookmarkStart w:id="0" w:name="_GoBack"/>
      <w:bookmarkEnd w:id="0"/>
      <w:r w:rsidRPr="00EC6989">
        <w:rPr>
          <w:rFonts w:ascii="Times New Roman" w:eastAsia="Times New Roman" w:hAnsi="Times New Roman" w:cs="Times New Roman"/>
          <w:b/>
          <w:bCs/>
          <w:sz w:val="28"/>
          <w:szCs w:val="28"/>
        </w:rPr>
        <w:t>Analýza vplyvov na rozpočet verejnej správy,</w:t>
      </w:r>
    </w:p>
    <w:p w:rsidR="007D5748" w:rsidRPr="00EC6989" w:rsidRDefault="007D5748" w:rsidP="00CD2466">
      <w:pPr>
        <w:spacing w:after="0" w:line="240" w:lineRule="auto"/>
        <w:jc w:val="center"/>
        <w:rPr>
          <w:rFonts w:ascii="Times New Roman" w:eastAsia="Times New Roman" w:hAnsi="Times New Roman" w:cs="Times New Roman"/>
          <w:b/>
          <w:bCs/>
          <w:sz w:val="28"/>
          <w:szCs w:val="28"/>
        </w:rPr>
      </w:pPr>
      <w:r w:rsidRPr="00EC6989">
        <w:rPr>
          <w:rFonts w:ascii="Times New Roman" w:eastAsia="Times New Roman" w:hAnsi="Times New Roman" w:cs="Times New Roman"/>
          <w:b/>
          <w:bCs/>
          <w:sz w:val="28"/>
          <w:szCs w:val="28"/>
        </w:rPr>
        <w:t>na zamestnanosť vo verejnej správe a financovanie návrhu</w:t>
      </w:r>
    </w:p>
    <w:p w:rsidR="00E963A3" w:rsidRPr="00EC6989" w:rsidRDefault="00E963A3" w:rsidP="00CD2466">
      <w:pPr>
        <w:spacing w:after="0" w:line="240" w:lineRule="auto"/>
        <w:rPr>
          <w:rFonts w:ascii="Times New Roman" w:eastAsia="Times New Roman" w:hAnsi="Times New Roman" w:cs="Times New Roman"/>
          <w:b/>
          <w:bCs/>
          <w:sz w:val="24"/>
          <w:szCs w:val="24"/>
        </w:rPr>
      </w:pPr>
    </w:p>
    <w:p w:rsidR="0051724E" w:rsidRDefault="00E963A3" w:rsidP="00CD2466">
      <w:pPr>
        <w:spacing w:after="0" w:line="240" w:lineRule="auto"/>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2.1 Zhrnutie vplyvov na rozpočet verejnej správy v</w:t>
      </w:r>
      <w:r w:rsidR="00242001">
        <w:rPr>
          <w:rFonts w:ascii="Times New Roman" w:eastAsia="Times New Roman" w:hAnsi="Times New Roman" w:cs="Times New Roman"/>
          <w:b/>
          <w:bCs/>
          <w:sz w:val="24"/>
          <w:szCs w:val="24"/>
        </w:rPr>
        <w:t> </w:t>
      </w:r>
      <w:r w:rsidRPr="00EC6989">
        <w:rPr>
          <w:rFonts w:ascii="Times New Roman" w:eastAsia="Times New Roman" w:hAnsi="Times New Roman" w:cs="Times New Roman"/>
          <w:b/>
          <w:bCs/>
          <w:sz w:val="24"/>
          <w:szCs w:val="24"/>
        </w:rPr>
        <w:t>návrhu</w:t>
      </w:r>
    </w:p>
    <w:p w:rsidR="00242001" w:rsidRDefault="00E523ED" w:rsidP="00E523ED">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Tabuľka č.1</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021"/>
        <w:gridCol w:w="1840"/>
        <w:gridCol w:w="1160"/>
        <w:gridCol w:w="975"/>
      </w:tblGrid>
      <w:tr w:rsidR="00242001" w:rsidRPr="00EF1E2A" w:rsidTr="008D6F3E">
        <w:trPr>
          <w:cantSplit/>
          <w:trHeight w:val="194"/>
          <w:jc w:val="center"/>
        </w:trPr>
        <w:tc>
          <w:tcPr>
            <w:tcW w:w="4661" w:type="dxa"/>
            <w:vMerge w:val="restart"/>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bookmarkStart w:id="1" w:name="OLE_LINK1"/>
            <w:r w:rsidRPr="00EF1E2A">
              <w:rPr>
                <w:rFonts w:ascii="Times New Roman" w:eastAsia="Times New Roman" w:hAnsi="Times New Roman" w:cs="Times New Roman"/>
                <w:b/>
                <w:bCs/>
                <w:sz w:val="24"/>
                <w:szCs w:val="24"/>
              </w:rPr>
              <w:t>Vplyvy na rozpočet verejnej správy</w:t>
            </w:r>
          </w:p>
        </w:tc>
        <w:tc>
          <w:tcPr>
            <w:tcW w:w="4996" w:type="dxa"/>
            <w:gridSpan w:val="4"/>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Vplyv na rozpočet verejnej správy (v eurách)</w:t>
            </w:r>
          </w:p>
        </w:tc>
      </w:tr>
      <w:tr w:rsidR="00242001" w:rsidRPr="00EF1E2A" w:rsidTr="008D6F3E">
        <w:trPr>
          <w:cantSplit/>
          <w:trHeight w:val="70"/>
          <w:jc w:val="center"/>
        </w:trPr>
        <w:tc>
          <w:tcPr>
            <w:tcW w:w="4661" w:type="dxa"/>
            <w:vMerge/>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p>
        </w:tc>
        <w:tc>
          <w:tcPr>
            <w:tcW w:w="1021" w:type="dxa"/>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2020</w:t>
            </w:r>
          </w:p>
        </w:tc>
        <w:tc>
          <w:tcPr>
            <w:tcW w:w="1840" w:type="dxa"/>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2021</w:t>
            </w:r>
          </w:p>
        </w:tc>
        <w:tc>
          <w:tcPr>
            <w:tcW w:w="1160" w:type="dxa"/>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2022</w:t>
            </w:r>
          </w:p>
        </w:tc>
        <w:tc>
          <w:tcPr>
            <w:tcW w:w="975" w:type="dxa"/>
            <w:shd w:val="clear" w:color="auto" w:fill="BFBFBF" w:themeFill="background1" w:themeFillShade="BF"/>
            <w:vAlign w:val="center"/>
          </w:tcPr>
          <w:p w:rsidR="00242001" w:rsidRPr="00EF1E2A" w:rsidRDefault="00242001" w:rsidP="00EF1E2A">
            <w:pPr>
              <w:spacing w:after="0" w:line="240" w:lineRule="auto"/>
              <w:jc w:val="center"/>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2023</w:t>
            </w:r>
          </w:p>
        </w:tc>
      </w:tr>
      <w:tr w:rsidR="004F35AA" w:rsidRPr="00EF1E2A" w:rsidTr="004F35AA">
        <w:trPr>
          <w:trHeight w:val="70"/>
          <w:jc w:val="center"/>
        </w:trPr>
        <w:tc>
          <w:tcPr>
            <w:tcW w:w="4661" w:type="dxa"/>
            <w:shd w:val="clear" w:color="auto" w:fill="C0C0C0"/>
            <w:noWrap/>
            <w:vAlign w:val="center"/>
          </w:tcPr>
          <w:p w:rsidR="004F35AA" w:rsidRPr="00EF1E2A" w:rsidRDefault="004F35AA" w:rsidP="00EF1E2A">
            <w:pPr>
              <w:spacing w:after="0" w:line="240" w:lineRule="auto"/>
              <w:rPr>
                <w:rFonts w:ascii="Times New Roman" w:eastAsia="Times New Roman" w:hAnsi="Times New Roman" w:cs="Times New Roman"/>
                <w:sz w:val="24"/>
                <w:szCs w:val="24"/>
              </w:rPr>
            </w:pPr>
            <w:r w:rsidRPr="00EF1E2A">
              <w:rPr>
                <w:rFonts w:ascii="Times New Roman" w:eastAsia="Times New Roman" w:hAnsi="Times New Roman" w:cs="Times New Roman"/>
                <w:b/>
                <w:bCs/>
                <w:sz w:val="24"/>
                <w:szCs w:val="24"/>
              </w:rPr>
              <w:t>Príjmy verejnej správy celkom</w:t>
            </w:r>
          </w:p>
        </w:tc>
        <w:tc>
          <w:tcPr>
            <w:tcW w:w="1021" w:type="dxa"/>
            <w:shd w:val="clear" w:color="auto" w:fill="C0C0C0"/>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1840" w:type="dxa"/>
            <w:shd w:val="clear" w:color="auto" w:fill="C0C0C0"/>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26 242 892,58 € </w:t>
            </w:r>
          </w:p>
        </w:tc>
        <w:tc>
          <w:tcPr>
            <w:tcW w:w="1160" w:type="dxa"/>
            <w:shd w:val="clear" w:color="auto" w:fill="C0C0C0"/>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975" w:type="dxa"/>
            <w:shd w:val="clear" w:color="auto" w:fill="C0C0C0"/>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r>
      <w:tr w:rsidR="004F35AA" w:rsidRPr="00EF1E2A" w:rsidTr="004F35AA">
        <w:trPr>
          <w:trHeight w:val="132"/>
          <w:jc w:val="center"/>
        </w:trPr>
        <w:tc>
          <w:tcPr>
            <w:tcW w:w="4661" w:type="dxa"/>
            <w:noWrap/>
            <w:vAlign w:val="center"/>
          </w:tcPr>
          <w:p w:rsidR="004F35AA" w:rsidRPr="00EF1E2A" w:rsidRDefault="004F35AA" w:rsidP="00EF1E2A">
            <w:pPr>
              <w:spacing w:after="0" w:line="240" w:lineRule="auto"/>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v tom:</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p>
        </w:tc>
      </w:tr>
      <w:tr w:rsidR="004F35AA" w:rsidRPr="00EF1E2A" w:rsidTr="004F35AA">
        <w:trPr>
          <w:trHeight w:val="70"/>
          <w:jc w:val="center"/>
        </w:trPr>
        <w:tc>
          <w:tcPr>
            <w:tcW w:w="4661" w:type="dxa"/>
            <w:noWrap/>
            <w:vAlign w:val="center"/>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Sociálna poisťovňa</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17 058 419,03 €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vAlign w:val="center"/>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zdravotné poisťovne</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6 909 058,27 €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štátny rozpočet v položke 111</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štátny rozpočet v položke 131</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5 244 655,63 €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štátny rozpočet v položke 112 - DPPO</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-10 273 367,24 €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rozpočet obcí v položke 111</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5 095 578,07 €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rozpočet VÚC v položke 111</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2 183 819,17 €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rozpočet obcí (transfer z MV SR)</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24 729,64 €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z toho: </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vplyv na ŠR</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-5 053 441,25 €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vplyv na územnú samosprávu</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7 304 126,89 €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 - v tom vplyv na príjmy VÚC</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2 183 819,17 €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 - v tom vplyv na príjmy obcí</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5 120 307,71 €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0</w:t>
            </w:r>
          </w:p>
        </w:tc>
      </w:tr>
      <w:tr w:rsidR="004F35AA" w:rsidRPr="00EF1E2A" w:rsidTr="004F35AA">
        <w:trPr>
          <w:trHeight w:val="125"/>
          <w:jc w:val="center"/>
        </w:trPr>
        <w:tc>
          <w:tcPr>
            <w:tcW w:w="4661" w:type="dxa"/>
            <w:shd w:val="clear" w:color="auto" w:fill="C0C0C0"/>
            <w:noWrap/>
          </w:tcPr>
          <w:p w:rsidR="004F35AA" w:rsidRPr="00EF1E2A" w:rsidRDefault="004F35AA" w:rsidP="00EF1E2A">
            <w:pPr>
              <w:spacing w:after="0" w:line="240" w:lineRule="auto"/>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Výdavky verejnej správy celkom</w:t>
            </w:r>
          </w:p>
        </w:tc>
        <w:tc>
          <w:tcPr>
            <w:tcW w:w="1021"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1840" w:type="dxa"/>
            <w:shd w:val="clear" w:color="auto" w:fill="C0C0C0"/>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16 015 916,18 € </w:t>
            </w:r>
          </w:p>
        </w:tc>
        <w:tc>
          <w:tcPr>
            <w:tcW w:w="1160"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975"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 xml:space="preserve">0   </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v tom:</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Nárast výdavkov na mzdy a mzdové zvýhodnenia</w:t>
            </w:r>
            <w:r>
              <w:rPr>
                <w:rFonts w:ascii="Times New Roman" w:eastAsia="Times New Roman" w:hAnsi="Times New Roman" w:cs="Times New Roman"/>
                <w:bCs/>
                <w:iCs/>
                <w:sz w:val="24"/>
                <w:szCs w:val="24"/>
              </w:rPr>
              <w:t>/príplatky</w:t>
            </w:r>
            <w:r w:rsidRPr="00EF1E2A">
              <w:rPr>
                <w:rFonts w:ascii="Times New Roman" w:eastAsia="Times New Roman" w:hAnsi="Times New Roman" w:cs="Times New Roman"/>
                <w:bCs/>
                <w:iCs/>
                <w:sz w:val="24"/>
                <w:szCs w:val="24"/>
              </w:rPr>
              <w:t xml:space="preserve"> vo VS</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6 729 995,01 €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Odvod zdravotného poistenia v prospech ZP</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672 999,50 €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Odvod sociálneho poistenia v prospech SP</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1 679 133,76 €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Ministerstvo vnútra SR, transfer obciam</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24 729,64 €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Výdavky zdravotných poisťovní</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6 909 058,27 €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z toho: </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vplyv na ŠR</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5 441 914,12 €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vplyv na územnú samosprávu</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3 648 569,54 €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  - v tom vplyv na výdavky VÚC</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617 775,55 €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r>
      <w:tr w:rsidR="004F35AA" w:rsidRPr="00EF1E2A" w:rsidTr="004F35AA">
        <w:trPr>
          <w:trHeight w:val="125"/>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  - v tom vplyv na výdavky obcí </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3 030 793,99 €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vplyv na mzdov</w:t>
            </w:r>
            <w:r>
              <w:rPr>
                <w:rFonts w:ascii="Times New Roman" w:eastAsia="Times New Roman" w:hAnsi="Times New Roman" w:cs="Times New Roman"/>
                <w:bCs/>
                <w:iCs/>
                <w:sz w:val="24"/>
                <w:szCs w:val="24"/>
              </w:rPr>
              <w:t>é výdavky fondov soc. a zdrav. p</w:t>
            </w:r>
            <w:r w:rsidRPr="00EF1E2A">
              <w:rPr>
                <w:rFonts w:ascii="Times New Roman" w:eastAsia="Times New Roman" w:hAnsi="Times New Roman" w:cs="Times New Roman"/>
                <w:bCs/>
                <w:iCs/>
                <w:sz w:val="24"/>
                <w:szCs w:val="24"/>
              </w:rPr>
              <w:t>oistenia</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16 374,25 €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xml:space="preserve">Celková zamestnanosť </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0,00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p>
        </w:tc>
      </w:tr>
      <w:tr w:rsidR="004F35AA" w:rsidRPr="00EF1E2A" w:rsidTr="004F35AA">
        <w:trPr>
          <w:trHeight w:val="70"/>
          <w:jc w:val="center"/>
        </w:trPr>
        <w:tc>
          <w:tcPr>
            <w:tcW w:w="4661" w:type="dxa"/>
            <w:noWrap/>
          </w:tcPr>
          <w:p w:rsidR="004F35AA" w:rsidRPr="00EF1E2A" w:rsidRDefault="004F35AA" w:rsidP="00EF1E2A">
            <w:pPr>
              <w:spacing w:after="0" w:line="240" w:lineRule="auto"/>
              <w:rPr>
                <w:rFonts w:ascii="Times New Roman" w:eastAsia="Times New Roman" w:hAnsi="Times New Roman" w:cs="Times New Roman"/>
                <w:bCs/>
                <w:iCs/>
                <w:sz w:val="24"/>
                <w:szCs w:val="24"/>
              </w:rPr>
            </w:pPr>
            <w:r w:rsidRPr="00EF1E2A">
              <w:rPr>
                <w:rFonts w:ascii="Times New Roman" w:eastAsia="Times New Roman" w:hAnsi="Times New Roman" w:cs="Times New Roman"/>
                <w:bCs/>
                <w:iCs/>
                <w:sz w:val="24"/>
                <w:szCs w:val="24"/>
              </w:rPr>
              <w:t>- z toho vplyv na ŠR</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0,00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b/>
                <w:bCs/>
                <w:iCs/>
                <w:sz w:val="24"/>
                <w:szCs w:val="24"/>
              </w:rPr>
            </w:pPr>
            <w:r w:rsidRPr="00EF1E2A">
              <w:rPr>
                <w:rFonts w:ascii="Times New Roman" w:eastAsia="Times New Roman" w:hAnsi="Times New Roman" w:cs="Times New Roman"/>
                <w:b/>
                <w:bCs/>
                <w:iCs/>
                <w:sz w:val="24"/>
                <w:szCs w:val="24"/>
              </w:rPr>
              <w:t>0</w:t>
            </w:r>
          </w:p>
        </w:tc>
      </w:tr>
      <w:tr w:rsidR="004F35AA" w:rsidRPr="00EF1E2A" w:rsidTr="004F35AA">
        <w:trPr>
          <w:trHeight w:val="70"/>
          <w:jc w:val="center"/>
        </w:trPr>
        <w:tc>
          <w:tcPr>
            <w:tcW w:w="4661" w:type="dxa"/>
            <w:shd w:val="clear" w:color="auto" w:fill="C0C0C0"/>
            <w:noWrap/>
            <w:vAlign w:val="center"/>
          </w:tcPr>
          <w:p w:rsidR="004F35AA" w:rsidRPr="00EF1E2A" w:rsidRDefault="004F35AA" w:rsidP="00EF1E2A">
            <w:pPr>
              <w:spacing w:after="0" w:line="240" w:lineRule="auto"/>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Financovanie zabezpečené v rozpočte</w:t>
            </w:r>
          </w:p>
        </w:tc>
        <w:tc>
          <w:tcPr>
            <w:tcW w:w="1021"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1840" w:type="dxa"/>
            <w:shd w:val="clear" w:color="auto" w:fill="C0C0C0"/>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 9 106 857,91 € </w:t>
            </w:r>
          </w:p>
        </w:tc>
        <w:tc>
          <w:tcPr>
            <w:tcW w:w="1160"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c>
          <w:tcPr>
            <w:tcW w:w="975" w:type="dxa"/>
            <w:shd w:val="clear" w:color="auto" w:fill="C0C0C0"/>
            <w:noWrap/>
            <w:vAlign w:val="center"/>
          </w:tcPr>
          <w:p w:rsidR="004F35AA" w:rsidRPr="00EF1E2A" w:rsidRDefault="004F35AA" w:rsidP="00EF1E2A">
            <w:pPr>
              <w:spacing w:after="0" w:line="240" w:lineRule="auto"/>
              <w:jc w:val="right"/>
              <w:rPr>
                <w:rFonts w:ascii="Times New Roman" w:eastAsia="Times New Roman" w:hAnsi="Times New Roman" w:cs="Times New Roman"/>
                <w:b/>
                <w:bCs/>
                <w:sz w:val="24"/>
                <w:szCs w:val="24"/>
              </w:rPr>
            </w:pPr>
            <w:r w:rsidRPr="00EF1E2A">
              <w:rPr>
                <w:rFonts w:ascii="Times New Roman" w:eastAsia="Times New Roman" w:hAnsi="Times New Roman" w:cs="Times New Roman"/>
                <w:b/>
                <w:bCs/>
                <w:sz w:val="24"/>
                <w:szCs w:val="24"/>
              </w:rPr>
              <w:t>0</w:t>
            </w:r>
          </w:p>
        </w:tc>
      </w:tr>
      <w:tr w:rsidR="004F35AA" w:rsidRPr="00EF1E2A" w:rsidTr="004F35AA">
        <w:trPr>
          <w:trHeight w:val="70"/>
          <w:jc w:val="center"/>
        </w:trPr>
        <w:tc>
          <w:tcPr>
            <w:tcW w:w="4661" w:type="dxa"/>
            <w:noWrap/>
            <w:vAlign w:val="center"/>
          </w:tcPr>
          <w:p w:rsidR="004F35AA" w:rsidRPr="00EF1E2A" w:rsidRDefault="004F35AA" w:rsidP="00EF1E2A">
            <w:pPr>
              <w:spacing w:after="0" w:line="240" w:lineRule="auto"/>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v tom: za každý subjekt verejnej správy / program zvlášť</w:t>
            </w:r>
          </w:p>
        </w:tc>
        <w:tc>
          <w:tcPr>
            <w:tcW w:w="1021"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1840" w:type="dxa"/>
            <w:noWrap/>
            <w:vAlign w:val="center"/>
          </w:tcPr>
          <w:p w:rsidR="004F35AA" w:rsidRPr="004F35AA" w:rsidRDefault="004F35AA" w:rsidP="004F35AA">
            <w:pPr>
              <w:spacing w:after="0"/>
              <w:jc w:val="right"/>
              <w:rPr>
                <w:rFonts w:ascii="Times New Roman" w:hAnsi="Times New Roman" w:cs="Times New Roman"/>
              </w:rPr>
            </w:pPr>
            <w:r w:rsidRPr="004F35AA">
              <w:rPr>
                <w:rFonts w:ascii="Times New Roman" w:hAnsi="Times New Roman" w:cs="Times New Roman"/>
              </w:rPr>
              <w:t xml:space="preserve">0,00 </w:t>
            </w:r>
          </w:p>
        </w:tc>
        <w:tc>
          <w:tcPr>
            <w:tcW w:w="1160"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c>
          <w:tcPr>
            <w:tcW w:w="975" w:type="dxa"/>
            <w:noWrap/>
            <w:vAlign w:val="center"/>
          </w:tcPr>
          <w:p w:rsidR="004F35AA" w:rsidRPr="00EF1E2A" w:rsidRDefault="004F35AA" w:rsidP="00EF1E2A">
            <w:pPr>
              <w:spacing w:after="0" w:line="240" w:lineRule="auto"/>
              <w:jc w:val="right"/>
              <w:rPr>
                <w:rFonts w:ascii="Times New Roman" w:eastAsia="Times New Roman" w:hAnsi="Times New Roman" w:cs="Times New Roman"/>
                <w:sz w:val="24"/>
                <w:szCs w:val="24"/>
              </w:rPr>
            </w:pPr>
            <w:r w:rsidRPr="00EF1E2A">
              <w:rPr>
                <w:rFonts w:ascii="Times New Roman" w:eastAsia="Times New Roman" w:hAnsi="Times New Roman" w:cs="Times New Roman"/>
                <w:sz w:val="24"/>
                <w:szCs w:val="24"/>
              </w:rPr>
              <w:t>0</w:t>
            </w:r>
          </w:p>
        </w:tc>
      </w:tr>
      <w:bookmarkEnd w:id="1"/>
    </w:tbl>
    <w:p w:rsidR="00242001" w:rsidRPr="00EC6989" w:rsidRDefault="00242001" w:rsidP="00CD2466">
      <w:pPr>
        <w:spacing w:after="0" w:line="240" w:lineRule="auto"/>
        <w:rPr>
          <w:rFonts w:ascii="Times New Roman" w:eastAsia="Times New Roman" w:hAnsi="Times New Roman" w:cs="Times New Roman"/>
          <w:b/>
          <w:bCs/>
          <w:sz w:val="24"/>
          <w:szCs w:val="24"/>
        </w:rPr>
      </w:pPr>
    </w:p>
    <w:p w:rsidR="0081789C" w:rsidRPr="00EC6989" w:rsidRDefault="0081789C" w:rsidP="00CD2466">
      <w:pPr>
        <w:spacing w:after="0" w:line="240" w:lineRule="auto"/>
        <w:jc w:val="right"/>
        <w:rPr>
          <w:rFonts w:ascii="Times New Roman" w:eastAsia="Times New Roman" w:hAnsi="Times New Roman" w:cs="Times New Roman"/>
          <w:sz w:val="20"/>
          <w:szCs w:val="20"/>
        </w:rPr>
      </w:pPr>
    </w:p>
    <w:p w:rsidR="0015762B" w:rsidRPr="0015762B" w:rsidRDefault="0015762B" w:rsidP="0015762B">
      <w:pPr>
        <w:pStyle w:val="Normlnywebov"/>
        <w:spacing w:before="0" w:beforeAutospacing="0" w:after="0" w:afterAutospacing="0"/>
        <w:ind w:firstLine="426"/>
        <w:jc w:val="both"/>
        <w:rPr>
          <w:color w:val="000000" w:themeColor="text1"/>
        </w:rPr>
      </w:pPr>
      <w:r w:rsidRPr="0015762B">
        <w:rPr>
          <w:color w:val="000000" w:themeColor="text1"/>
        </w:rPr>
        <w:t>Cieľom návrhu zákona je riešiť ustanovenie sumy minimálnej mzdy na rok 2021 a na nasledujúce roky vzhľadom na osobitný nepredvídateľný vývoj v roku 2020, a to úpravou tzv. automatu určovania minimálnej mzdy.</w:t>
      </w:r>
    </w:p>
    <w:p w:rsidR="0015762B" w:rsidRPr="0015762B" w:rsidRDefault="0015762B" w:rsidP="0015762B">
      <w:pPr>
        <w:pStyle w:val="Normlnywebov"/>
        <w:spacing w:before="0" w:beforeAutospacing="0" w:after="0" w:afterAutospacing="0"/>
        <w:ind w:firstLine="426"/>
        <w:jc w:val="both"/>
        <w:rPr>
          <w:color w:val="000000" w:themeColor="text1"/>
        </w:rPr>
      </w:pPr>
      <w:r w:rsidRPr="0015762B">
        <w:rPr>
          <w:color w:val="000000" w:themeColor="text1"/>
        </w:rPr>
        <w:lastRenderedPageBreak/>
        <w:t xml:space="preserve"> </w:t>
      </w:r>
    </w:p>
    <w:p w:rsidR="0015762B" w:rsidRPr="0015762B" w:rsidRDefault="0015762B" w:rsidP="0015762B">
      <w:pPr>
        <w:pStyle w:val="Normlnywebov"/>
        <w:spacing w:before="0" w:beforeAutospacing="0" w:after="0" w:afterAutospacing="0"/>
        <w:ind w:firstLine="426"/>
        <w:jc w:val="both"/>
        <w:rPr>
          <w:color w:val="000000" w:themeColor="text1"/>
        </w:rPr>
      </w:pPr>
      <w:r w:rsidRPr="0015762B">
        <w:rPr>
          <w:color w:val="000000" w:themeColor="text1"/>
        </w:rPr>
        <w:t>V čl. II, ktorým sa novelizuje Zákonník práce, sa mení určenie sumy minimálneho mzdového nároku pre príslušný stupeň náročnosti práce a určenie mzdových zvýhodnení naviazaných na minimálnu mzdu.</w:t>
      </w:r>
    </w:p>
    <w:p w:rsidR="000203A1" w:rsidRDefault="000203A1" w:rsidP="000203A1">
      <w:pPr>
        <w:spacing w:after="0" w:line="240" w:lineRule="auto"/>
        <w:jc w:val="both"/>
        <w:rPr>
          <w:rFonts w:ascii="Times New Roman" w:eastAsia="Times New Roman" w:hAnsi="Times New Roman" w:cs="Times New Roman"/>
          <w:sz w:val="24"/>
          <w:szCs w:val="24"/>
        </w:rPr>
      </w:pPr>
    </w:p>
    <w:p w:rsidR="001D7D3F" w:rsidRPr="00EC6989" w:rsidRDefault="001D7D3F" w:rsidP="00A628B1">
      <w:pPr>
        <w:spacing w:after="0" w:line="240" w:lineRule="auto"/>
        <w:ind w:firstLine="708"/>
        <w:jc w:val="both"/>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rPr>
        <w:t>Novela zákona, ktorou sa ustanovil tzv. automat pri úprave minimálnej mzdy je účinná od 1.1.2020, a teda v prípade, ak by predkladateľ novely zákona nenavrhoval zmenu právnej úpravy, minimálna mzda by od 1.1.2021 stúpla na 656</w:t>
      </w:r>
      <w:r w:rsidR="00FA36A7">
        <w:rPr>
          <w:rFonts w:ascii="Times New Roman" w:eastAsia="Times New Roman" w:hAnsi="Times New Roman" w:cs="Times New Roman"/>
          <w:sz w:val="24"/>
          <w:szCs w:val="24"/>
        </w:rPr>
        <w:t xml:space="preserve"> </w:t>
      </w:r>
      <w:r w:rsidRPr="00EC6989">
        <w:rPr>
          <w:rFonts w:ascii="Times New Roman" w:eastAsia="Times New Roman" w:hAnsi="Times New Roman" w:cs="Times New Roman"/>
          <w:sz w:val="24"/>
          <w:szCs w:val="24"/>
        </w:rPr>
        <w:t>eur (zo sumy 580 eur). Otázka dopadov automatu na rozpočet verejnej správy bola riešená už v poslaneckej novele zákona, ktorá od 1.1.2020 zmenila existujúci systém úpravy minimálnej mzdy.</w:t>
      </w:r>
    </w:p>
    <w:p w:rsidR="001D7D3F" w:rsidRPr="00EC6989" w:rsidRDefault="001D7D3F" w:rsidP="00A628B1">
      <w:pPr>
        <w:spacing w:after="0" w:line="240" w:lineRule="auto"/>
        <w:ind w:firstLine="708"/>
        <w:jc w:val="both"/>
        <w:rPr>
          <w:rFonts w:ascii="Times New Roman" w:eastAsia="Times New Roman" w:hAnsi="Times New Roman" w:cs="Times New Roman"/>
          <w:sz w:val="24"/>
          <w:szCs w:val="24"/>
        </w:rPr>
      </w:pPr>
    </w:p>
    <w:p w:rsidR="001D7D3F" w:rsidRPr="00EC6989" w:rsidRDefault="001D7D3F" w:rsidP="00A628B1">
      <w:pPr>
        <w:spacing w:after="0" w:line="240" w:lineRule="auto"/>
        <w:ind w:firstLine="708"/>
        <w:jc w:val="both"/>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rPr>
        <w:t>Vzhľadom na to, že ide o právnu úpravu, ktorá umožňuje predvídať minimálnu mzdu na príslušný rok (vo väzbe na odhady priemernej mesačnej mzdy) vplyvy na rozpočet verejnej správy je možné vopred odhadovať a počítať s nimi v rozpočte verejnej správy.</w:t>
      </w:r>
    </w:p>
    <w:p w:rsidR="001D7D3F" w:rsidRPr="00EC6989" w:rsidRDefault="001D7D3F" w:rsidP="0015762B">
      <w:pPr>
        <w:spacing w:after="0" w:line="240" w:lineRule="auto"/>
        <w:ind w:firstLine="709"/>
        <w:jc w:val="both"/>
        <w:rPr>
          <w:rFonts w:ascii="Times New Roman" w:eastAsia="Times New Roman" w:hAnsi="Times New Roman" w:cs="Times New Roman"/>
          <w:sz w:val="24"/>
          <w:szCs w:val="24"/>
        </w:rPr>
      </w:pPr>
    </w:p>
    <w:p w:rsidR="0015762B" w:rsidRDefault="001D7D3F" w:rsidP="0015762B">
      <w:pPr>
        <w:spacing w:after="0" w:line="240" w:lineRule="auto"/>
        <w:ind w:firstLine="709"/>
        <w:jc w:val="both"/>
        <w:rPr>
          <w:bCs/>
          <w:sz w:val="24"/>
          <w:szCs w:val="24"/>
        </w:rPr>
      </w:pPr>
      <w:r w:rsidRPr="00EC6989">
        <w:rPr>
          <w:rFonts w:ascii="Times New Roman" w:eastAsia="Times New Roman" w:hAnsi="Times New Roman" w:cs="Times New Roman"/>
          <w:sz w:val="24"/>
          <w:szCs w:val="24"/>
        </w:rPr>
        <w:t>Reálny dopad navrhovanej novely je teda možné vnímať v kontexte toho, že namiesto predvídanej sumy minimálnej mzdy na rok 2021 – 656 eur dô</w:t>
      </w:r>
      <w:r w:rsidR="0030440F">
        <w:rPr>
          <w:rFonts w:ascii="Times New Roman" w:eastAsia="Times New Roman" w:hAnsi="Times New Roman" w:cs="Times New Roman"/>
          <w:sz w:val="24"/>
          <w:szCs w:val="24"/>
        </w:rPr>
        <w:t>jde k jej redukcii na sumu 62</w:t>
      </w:r>
      <w:r w:rsidR="0015762B">
        <w:rPr>
          <w:rFonts w:ascii="Times New Roman" w:eastAsia="Times New Roman" w:hAnsi="Times New Roman" w:cs="Times New Roman"/>
          <w:sz w:val="24"/>
          <w:szCs w:val="24"/>
        </w:rPr>
        <w:t>3</w:t>
      </w:r>
      <w:r w:rsidRPr="00EC6989">
        <w:rPr>
          <w:rFonts w:ascii="Times New Roman" w:eastAsia="Times New Roman" w:hAnsi="Times New Roman" w:cs="Times New Roman"/>
          <w:sz w:val="24"/>
          <w:szCs w:val="24"/>
        </w:rPr>
        <w:t xml:space="preserve"> eur</w:t>
      </w:r>
      <w:r w:rsidR="0015762B">
        <w:rPr>
          <w:rFonts w:ascii="Times New Roman" w:eastAsia="Times New Roman" w:hAnsi="Times New Roman" w:cs="Times New Roman"/>
          <w:sz w:val="24"/>
          <w:szCs w:val="24"/>
        </w:rPr>
        <w:t xml:space="preserve"> vo väzbe na zmenu v ustanoveniach tzv. automatu, kde </w:t>
      </w:r>
      <w:r w:rsidR="0015762B" w:rsidRPr="00CB6899">
        <w:rPr>
          <w:rFonts w:ascii="Times New Roman" w:hAnsi="Times New Roman" w:cs="Times New Roman"/>
          <w:bCs/>
          <w:sz w:val="24"/>
          <w:szCs w:val="24"/>
        </w:rPr>
        <w:t>sa</w:t>
      </w:r>
      <w:r w:rsidR="0015762B">
        <w:rPr>
          <w:rFonts w:ascii="Times New Roman" w:hAnsi="Times New Roman" w:cs="Times New Roman"/>
          <w:bCs/>
          <w:sz w:val="24"/>
          <w:szCs w:val="24"/>
        </w:rPr>
        <w:t xml:space="preserve"> mení</w:t>
      </w:r>
      <w:r w:rsidR="0015762B" w:rsidRPr="00CB6899">
        <w:rPr>
          <w:rFonts w:ascii="Times New Roman" w:hAnsi="Times New Roman" w:cs="Times New Roman"/>
          <w:bCs/>
          <w:sz w:val="24"/>
          <w:szCs w:val="24"/>
        </w:rPr>
        <w:t xml:space="preserve"> určenie % podielu medzi  priemernou mesačnou nominálnou mzdou zamestnanca v hospodárstve Slovenskej republiky zverejnenej Štatistickým úradom Slovenskej republiky za kalendárny rok, ktorý dva roky predchádza kalendárnemu roku</w:t>
      </w:r>
      <w:r w:rsidR="0015762B">
        <w:rPr>
          <w:rFonts w:ascii="Times New Roman" w:hAnsi="Times New Roman" w:cs="Times New Roman"/>
          <w:bCs/>
          <w:sz w:val="24"/>
          <w:szCs w:val="24"/>
        </w:rPr>
        <w:t xml:space="preserve">, na ktorý sa určuje minimálna mzda </w:t>
      </w:r>
      <w:r w:rsidR="0015762B" w:rsidRPr="00CB6899">
        <w:rPr>
          <w:rFonts w:ascii="Times New Roman" w:hAnsi="Times New Roman" w:cs="Times New Roman"/>
          <w:bCs/>
          <w:sz w:val="24"/>
          <w:szCs w:val="24"/>
        </w:rPr>
        <w:t>a sum</w:t>
      </w:r>
      <w:r w:rsidR="0015762B">
        <w:rPr>
          <w:rFonts w:ascii="Times New Roman" w:hAnsi="Times New Roman" w:cs="Times New Roman"/>
          <w:bCs/>
          <w:sz w:val="24"/>
          <w:szCs w:val="24"/>
        </w:rPr>
        <w:t>ou</w:t>
      </w:r>
      <w:r w:rsidR="0015762B" w:rsidRPr="00CB6899">
        <w:rPr>
          <w:rFonts w:ascii="Times New Roman" w:hAnsi="Times New Roman" w:cs="Times New Roman"/>
          <w:bCs/>
          <w:sz w:val="24"/>
          <w:szCs w:val="24"/>
        </w:rPr>
        <w:t xml:space="preserve"> mesačnej minimálnej mzdy </w:t>
      </w:r>
      <w:r w:rsidR="0015762B">
        <w:rPr>
          <w:rFonts w:ascii="Times New Roman" w:hAnsi="Times New Roman" w:cs="Times New Roman"/>
          <w:bCs/>
          <w:sz w:val="24"/>
          <w:szCs w:val="24"/>
        </w:rPr>
        <w:t xml:space="preserve">na príslušný rok zo 60% na úroveň </w:t>
      </w:r>
      <w:r w:rsidR="0015762B" w:rsidRPr="00CB6899">
        <w:rPr>
          <w:rFonts w:ascii="Times New Roman" w:hAnsi="Times New Roman" w:cs="Times New Roman"/>
          <w:bCs/>
          <w:sz w:val="24"/>
          <w:szCs w:val="24"/>
        </w:rPr>
        <w:t xml:space="preserve"> 57%</w:t>
      </w:r>
      <w:r w:rsidR="0015762B">
        <w:rPr>
          <w:rFonts w:ascii="Times New Roman" w:hAnsi="Times New Roman" w:cs="Times New Roman"/>
          <w:bCs/>
          <w:sz w:val="24"/>
          <w:szCs w:val="24"/>
        </w:rPr>
        <w:t>,</w:t>
      </w:r>
      <w:r w:rsidR="0015762B" w:rsidRPr="00CB6899">
        <w:rPr>
          <w:rFonts w:ascii="Times New Roman" w:hAnsi="Times New Roman" w:cs="Times New Roman"/>
          <w:bCs/>
          <w:sz w:val="24"/>
          <w:szCs w:val="24"/>
        </w:rPr>
        <w:t xml:space="preserve"> a to s ohľadom na</w:t>
      </w:r>
      <w:r w:rsidR="0015762B">
        <w:rPr>
          <w:rFonts w:ascii="Times New Roman" w:hAnsi="Times New Roman" w:cs="Times New Roman"/>
          <w:bCs/>
          <w:sz w:val="24"/>
          <w:szCs w:val="24"/>
        </w:rPr>
        <w:t xml:space="preserve"> aktuálny</w:t>
      </w:r>
      <w:r w:rsidR="0015762B" w:rsidRPr="00CB6899">
        <w:rPr>
          <w:rFonts w:ascii="Times New Roman" w:hAnsi="Times New Roman" w:cs="Times New Roman"/>
          <w:bCs/>
          <w:sz w:val="24"/>
          <w:szCs w:val="24"/>
        </w:rPr>
        <w:t xml:space="preserve"> podiel medzi priemernou mesačnou mzdou za rok 2018 (1013</w:t>
      </w:r>
      <w:r w:rsidR="0015762B">
        <w:rPr>
          <w:rFonts w:ascii="Times New Roman" w:hAnsi="Times New Roman" w:cs="Times New Roman"/>
          <w:bCs/>
          <w:sz w:val="24"/>
          <w:szCs w:val="24"/>
        </w:rPr>
        <w:t xml:space="preserve"> </w:t>
      </w:r>
      <w:r w:rsidR="0015762B" w:rsidRPr="00CB6899">
        <w:rPr>
          <w:rFonts w:ascii="Times New Roman" w:hAnsi="Times New Roman" w:cs="Times New Roman"/>
          <w:bCs/>
          <w:sz w:val="24"/>
          <w:szCs w:val="24"/>
        </w:rPr>
        <w:t>eur) a mesačnou minimálnou mzdou na kalendárny rok 2018 (580 eur).</w:t>
      </w:r>
    </w:p>
    <w:p w:rsidR="001D7D3F" w:rsidRPr="00EC6989" w:rsidRDefault="001D7D3F" w:rsidP="0015762B">
      <w:pPr>
        <w:spacing w:after="0" w:line="240" w:lineRule="auto"/>
        <w:jc w:val="both"/>
        <w:rPr>
          <w:rFonts w:ascii="Times New Roman" w:eastAsia="Times New Roman" w:hAnsi="Times New Roman" w:cs="Times New Roman"/>
          <w:sz w:val="24"/>
          <w:szCs w:val="24"/>
        </w:rPr>
      </w:pPr>
    </w:p>
    <w:p w:rsidR="001D7D3F" w:rsidRPr="00B833A0" w:rsidRDefault="00D03DEF" w:rsidP="00A628B1">
      <w:pPr>
        <w:spacing w:after="0" w:line="240" w:lineRule="auto"/>
        <w:ind w:firstLine="708"/>
        <w:jc w:val="both"/>
        <w:rPr>
          <w:rFonts w:ascii="Times New Roman" w:eastAsia="Times New Roman" w:hAnsi="Times New Roman" w:cs="Times New Roman"/>
          <w:sz w:val="24"/>
          <w:szCs w:val="24"/>
        </w:rPr>
      </w:pPr>
      <w:r w:rsidRPr="00D03DEF">
        <w:rPr>
          <w:rFonts w:ascii="Times New Roman" w:eastAsia="Times New Roman" w:hAnsi="Times New Roman" w:cs="Times New Roman"/>
          <w:sz w:val="24"/>
          <w:szCs w:val="24"/>
        </w:rPr>
        <w:t>Kvantifikácia uvedená v tabuľke 1, ako aj vo všetkých súvisiacich tabuľkách, sa týka dopadu zmeny minimálnej mzdy z 580 eur na 62</w:t>
      </w:r>
      <w:r w:rsidR="0015762B">
        <w:rPr>
          <w:rFonts w:ascii="Times New Roman" w:eastAsia="Times New Roman" w:hAnsi="Times New Roman" w:cs="Times New Roman"/>
          <w:sz w:val="24"/>
          <w:szCs w:val="24"/>
        </w:rPr>
        <w:t>3</w:t>
      </w:r>
      <w:r w:rsidRPr="00D03DEF">
        <w:rPr>
          <w:rFonts w:ascii="Times New Roman" w:eastAsia="Times New Roman" w:hAnsi="Times New Roman" w:cs="Times New Roman"/>
          <w:sz w:val="24"/>
          <w:szCs w:val="24"/>
        </w:rPr>
        <w:t xml:space="preserve"> eur. </w:t>
      </w:r>
      <w:r w:rsidR="001D7D3F" w:rsidRPr="00D03DEF">
        <w:rPr>
          <w:rFonts w:ascii="Times New Roman" w:eastAsia="Times New Roman" w:hAnsi="Times New Roman" w:cs="Times New Roman"/>
          <w:sz w:val="24"/>
          <w:szCs w:val="24"/>
        </w:rPr>
        <w:t xml:space="preserve">Vzhľadom na zmeny v oblasti </w:t>
      </w:r>
      <w:r w:rsidR="000203A1" w:rsidRPr="00D03DEF">
        <w:rPr>
          <w:rFonts w:ascii="Times New Roman" w:eastAsia="Times New Roman" w:hAnsi="Times New Roman" w:cs="Times New Roman"/>
          <w:sz w:val="24"/>
          <w:szCs w:val="24"/>
        </w:rPr>
        <w:t xml:space="preserve">zisťovania údajov </w:t>
      </w:r>
      <w:r w:rsidR="001D7D3F" w:rsidRPr="00D03DEF">
        <w:rPr>
          <w:rFonts w:ascii="Times New Roman" w:eastAsia="Times New Roman" w:hAnsi="Times New Roman" w:cs="Times New Roman"/>
          <w:sz w:val="24"/>
          <w:szCs w:val="24"/>
        </w:rPr>
        <w:t>disponuje predkladateľ len obmedzeným rozsahom údajov, ktoré vie z hľadiska doložky vplyvov na rozpočet verejnej správy spracovať.</w:t>
      </w:r>
      <w:r w:rsidR="00961DF3" w:rsidRPr="00D03DEF">
        <w:rPr>
          <w:rFonts w:ascii="Times New Roman" w:eastAsia="Times New Roman" w:hAnsi="Times New Roman" w:cs="Times New Roman"/>
          <w:sz w:val="24"/>
          <w:szCs w:val="24"/>
        </w:rPr>
        <w:t xml:space="preserve"> </w:t>
      </w:r>
      <w:r w:rsidR="00B833A0">
        <w:rPr>
          <w:rFonts w:ascii="Times New Roman" w:eastAsia="Times New Roman" w:hAnsi="Times New Roman" w:cs="Times New Roman"/>
          <w:sz w:val="24"/>
          <w:szCs w:val="24"/>
        </w:rPr>
        <w:t>Vzhľadom na to, že údaje o vývoji priemernej mzdy v roku 2020 a</w:t>
      </w:r>
      <w:r w:rsidR="002378A0">
        <w:rPr>
          <w:rFonts w:ascii="Times New Roman" w:eastAsia="Times New Roman" w:hAnsi="Times New Roman" w:cs="Times New Roman"/>
          <w:sz w:val="24"/>
          <w:szCs w:val="24"/>
        </w:rPr>
        <w:t> </w:t>
      </w:r>
      <w:r w:rsidR="00B833A0">
        <w:rPr>
          <w:rFonts w:ascii="Times New Roman" w:eastAsia="Times New Roman" w:hAnsi="Times New Roman" w:cs="Times New Roman"/>
          <w:sz w:val="24"/>
          <w:szCs w:val="24"/>
        </w:rPr>
        <w:t>2021</w:t>
      </w:r>
      <w:r w:rsidR="002378A0">
        <w:rPr>
          <w:rFonts w:ascii="Times New Roman" w:eastAsia="Times New Roman" w:hAnsi="Times New Roman" w:cs="Times New Roman"/>
          <w:sz w:val="24"/>
          <w:szCs w:val="24"/>
        </w:rPr>
        <w:t xml:space="preserve"> od ŠÚSR zatiaľ nie sú dostupné a odhady sú spojené so značnou mierou neistoty prameniacej z pandemického vývoja, nebolo možné s dostatočnou presnosťou kvantifikovať dopady zmeny legislatívy na roky 2022 a 2023.</w:t>
      </w:r>
      <w:r w:rsidR="00BB5D5A">
        <w:rPr>
          <w:rFonts w:ascii="Times New Roman" w:eastAsia="Times New Roman" w:hAnsi="Times New Roman" w:cs="Times New Roman"/>
          <w:sz w:val="24"/>
          <w:szCs w:val="24"/>
        </w:rPr>
        <w:t xml:space="preserve"> Vzhľadom na významné zmeny v spôsobe výpočtu minimálnych mzdových nárokov a </w:t>
      </w:r>
      <w:r w:rsidR="00015E5F">
        <w:rPr>
          <w:rFonts w:ascii="Times New Roman" w:eastAsia="Times New Roman" w:hAnsi="Times New Roman" w:cs="Times New Roman"/>
          <w:sz w:val="24"/>
          <w:szCs w:val="24"/>
        </w:rPr>
        <w:t xml:space="preserve"> </w:t>
      </w:r>
      <w:r w:rsidR="00BB5D5A">
        <w:rPr>
          <w:rFonts w:ascii="Times New Roman" w:eastAsia="Times New Roman" w:hAnsi="Times New Roman" w:cs="Times New Roman"/>
          <w:sz w:val="24"/>
          <w:szCs w:val="24"/>
        </w:rPr>
        <w:t>mzdových zvýhodnení však môžeme konštatovať, že dopady zmien minimálnej mzdy po roku 2021 budú výrazne zmiernené oproti aktuálnej situácii.</w:t>
      </w:r>
    </w:p>
    <w:p w:rsidR="00304B65" w:rsidRPr="00EC6989" w:rsidRDefault="00304B65" w:rsidP="00285F21">
      <w:pPr>
        <w:spacing w:after="0" w:line="240" w:lineRule="auto"/>
        <w:rPr>
          <w:rFonts w:ascii="Times New Roman" w:eastAsia="Times New Roman" w:hAnsi="Times New Roman" w:cs="Times New Roman"/>
          <w:sz w:val="24"/>
          <w:szCs w:val="24"/>
        </w:rPr>
      </w:pPr>
    </w:p>
    <w:p w:rsidR="007D5748" w:rsidRPr="00EC6989" w:rsidRDefault="007D5748" w:rsidP="00CD2466">
      <w:pPr>
        <w:spacing w:after="0" w:line="240" w:lineRule="auto"/>
        <w:jc w:val="both"/>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2.1.1. Financovanie návrhu - Návrh na riešenie úbytku príjmov alebo zvýšených výdavkov podľa § 33 ods. 1 zákona č. 523/2004 Z. z. o rozpočtových pravidlách verejnej správy:</w:t>
      </w:r>
    </w:p>
    <w:p w:rsidR="007D64A4" w:rsidRPr="00AA411B" w:rsidRDefault="007D64A4" w:rsidP="00CD2466">
      <w:pPr>
        <w:spacing w:after="0" w:line="240" w:lineRule="auto"/>
        <w:rPr>
          <w:rFonts w:ascii="Times New Roman" w:eastAsia="Times New Roman" w:hAnsi="Times New Roman" w:cs="Times New Roman"/>
          <w:bCs/>
          <w:sz w:val="24"/>
          <w:szCs w:val="24"/>
        </w:rPr>
      </w:pPr>
    </w:p>
    <w:p w:rsidR="00307164" w:rsidRPr="00AA411B" w:rsidRDefault="00AA411B" w:rsidP="00CD2466">
      <w:pPr>
        <w:spacing w:after="0" w:line="240" w:lineRule="auto"/>
        <w:rPr>
          <w:rFonts w:ascii="Times New Roman" w:eastAsia="Times New Roman" w:hAnsi="Times New Roman" w:cs="Times New Roman"/>
          <w:bCs/>
          <w:sz w:val="24"/>
          <w:szCs w:val="24"/>
        </w:rPr>
      </w:pPr>
      <w:r w:rsidRPr="00AA411B">
        <w:rPr>
          <w:rFonts w:ascii="Times New Roman" w:eastAsia="Times New Roman" w:hAnsi="Times New Roman" w:cs="Times New Roman"/>
          <w:bCs/>
          <w:sz w:val="24"/>
          <w:szCs w:val="24"/>
        </w:rPr>
        <w:t xml:space="preserve">Financovanie návrhu je zabezpečené vzhľadom na to, že predpokladané príjmy rozpočtu verejnej správy prevyšujú predpokladané výdavky. </w:t>
      </w:r>
    </w:p>
    <w:p w:rsidR="00AA411B" w:rsidRPr="00AA411B" w:rsidRDefault="00AA411B" w:rsidP="00CD2466">
      <w:pPr>
        <w:spacing w:after="0" w:line="240" w:lineRule="auto"/>
        <w:rPr>
          <w:rFonts w:ascii="Times New Roman" w:eastAsia="Times New Roman" w:hAnsi="Times New Roman" w:cs="Times New Roman"/>
          <w:bCs/>
          <w:sz w:val="24"/>
          <w:szCs w:val="24"/>
        </w:rPr>
      </w:pPr>
    </w:p>
    <w:p w:rsidR="007D5748" w:rsidRPr="00EC6989" w:rsidRDefault="007D5748" w:rsidP="00CD2466">
      <w:pPr>
        <w:spacing w:after="0" w:line="240" w:lineRule="auto"/>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2.2. Popis a charakteristika návrhu</w:t>
      </w:r>
    </w:p>
    <w:p w:rsidR="00307164" w:rsidRPr="00EC6989" w:rsidRDefault="00307164" w:rsidP="00CD2466">
      <w:pPr>
        <w:spacing w:after="0" w:line="240" w:lineRule="auto"/>
        <w:rPr>
          <w:rFonts w:ascii="Times New Roman" w:eastAsia="Times New Roman" w:hAnsi="Times New Roman" w:cs="Times New Roman"/>
          <w:sz w:val="24"/>
          <w:szCs w:val="24"/>
        </w:rPr>
      </w:pPr>
    </w:p>
    <w:p w:rsidR="002439B0" w:rsidRPr="00EC6989" w:rsidRDefault="00176F52" w:rsidP="00CD2466">
      <w:pPr>
        <w:spacing w:after="0" w:line="240" w:lineRule="auto"/>
        <w:jc w:val="both"/>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2.2.1. Popis návrhu:</w:t>
      </w:r>
    </w:p>
    <w:p w:rsidR="00307164" w:rsidRPr="00EC6989" w:rsidRDefault="00307164" w:rsidP="00307164">
      <w:pPr>
        <w:spacing w:after="0" w:line="240" w:lineRule="auto"/>
        <w:jc w:val="both"/>
        <w:rPr>
          <w:rFonts w:ascii="Times New Roman" w:eastAsia="Times New Roman" w:hAnsi="Times New Roman" w:cs="Times New Roman"/>
          <w:sz w:val="24"/>
          <w:szCs w:val="24"/>
        </w:rPr>
      </w:pPr>
    </w:p>
    <w:p w:rsidR="00307164" w:rsidRDefault="00307164" w:rsidP="0015762B">
      <w:pPr>
        <w:spacing w:after="0" w:line="240" w:lineRule="auto"/>
        <w:ind w:firstLine="708"/>
        <w:jc w:val="both"/>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rPr>
        <w:t xml:space="preserve">V návrhu je </w:t>
      </w:r>
      <w:r w:rsidR="00AE0997" w:rsidRPr="00EC6989">
        <w:rPr>
          <w:rFonts w:ascii="Times New Roman" w:eastAsia="Times New Roman" w:hAnsi="Times New Roman" w:cs="Times New Roman"/>
          <w:sz w:val="24"/>
          <w:szCs w:val="24"/>
        </w:rPr>
        <w:t xml:space="preserve">sa navrhuje </w:t>
      </w:r>
      <w:r w:rsidR="00304B65">
        <w:rPr>
          <w:rFonts w:ascii="Times New Roman" w:eastAsia="Times New Roman" w:hAnsi="Times New Roman" w:cs="Times New Roman"/>
          <w:sz w:val="24"/>
          <w:szCs w:val="24"/>
        </w:rPr>
        <w:t xml:space="preserve">osobitne </w:t>
      </w:r>
      <w:r w:rsidR="00AE0997" w:rsidRPr="00EC6989">
        <w:rPr>
          <w:rFonts w:ascii="Times New Roman" w:eastAsia="Times New Roman" w:hAnsi="Times New Roman" w:cs="Times New Roman"/>
          <w:sz w:val="24"/>
          <w:szCs w:val="24"/>
        </w:rPr>
        <w:t xml:space="preserve">ustanoviť sumu minimálnej mzdy na rok 2021 na </w:t>
      </w:r>
      <w:r w:rsidRPr="00EC6989">
        <w:rPr>
          <w:rFonts w:ascii="Times New Roman" w:eastAsia="Times New Roman" w:hAnsi="Times New Roman" w:cs="Times New Roman"/>
          <w:sz w:val="24"/>
          <w:szCs w:val="24"/>
        </w:rPr>
        <w:t>62</w:t>
      </w:r>
      <w:r w:rsidR="0015762B">
        <w:rPr>
          <w:rFonts w:ascii="Times New Roman" w:eastAsia="Times New Roman" w:hAnsi="Times New Roman" w:cs="Times New Roman"/>
          <w:sz w:val="24"/>
          <w:szCs w:val="24"/>
        </w:rPr>
        <w:t>3</w:t>
      </w:r>
      <w:r w:rsidR="00304B65">
        <w:rPr>
          <w:rFonts w:ascii="Times New Roman" w:eastAsia="Times New Roman" w:hAnsi="Times New Roman" w:cs="Times New Roman"/>
          <w:sz w:val="24"/>
          <w:szCs w:val="24"/>
        </w:rPr>
        <w:t>,-</w:t>
      </w:r>
      <w:r w:rsidRPr="00EC6989">
        <w:rPr>
          <w:rFonts w:ascii="Times New Roman" w:eastAsia="Times New Roman" w:hAnsi="Times New Roman" w:cs="Times New Roman"/>
          <w:sz w:val="24"/>
          <w:szCs w:val="24"/>
        </w:rPr>
        <w:t xml:space="preserve"> eur, čo </w:t>
      </w:r>
      <w:r w:rsidR="000203A1">
        <w:rPr>
          <w:rFonts w:ascii="Times New Roman" w:eastAsia="Times New Roman" w:hAnsi="Times New Roman" w:cs="Times New Roman"/>
          <w:sz w:val="24"/>
          <w:szCs w:val="24"/>
        </w:rPr>
        <w:t xml:space="preserve">predstavuje síce </w:t>
      </w:r>
      <w:r w:rsidRPr="00EC6989">
        <w:rPr>
          <w:rFonts w:ascii="Times New Roman" w:eastAsia="Times New Roman" w:hAnsi="Times New Roman" w:cs="Times New Roman"/>
          <w:sz w:val="24"/>
          <w:szCs w:val="24"/>
        </w:rPr>
        <w:t xml:space="preserve">nárast o cca </w:t>
      </w:r>
      <w:r w:rsidR="0015762B">
        <w:rPr>
          <w:rFonts w:ascii="Times New Roman" w:eastAsia="Times New Roman" w:hAnsi="Times New Roman" w:cs="Times New Roman"/>
          <w:sz w:val="24"/>
          <w:szCs w:val="24"/>
        </w:rPr>
        <w:t>7,4</w:t>
      </w:r>
      <w:r w:rsidRPr="00EC6989">
        <w:rPr>
          <w:rFonts w:ascii="Times New Roman" w:eastAsia="Times New Roman" w:hAnsi="Times New Roman" w:cs="Times New Roman"/>
          <w:sz w:val="24"/>
          <w:szCs w:val="24"/>
        </w:rPr>
        <w:t xml:space="preserve"> %</w:t>
      </w:r>
      <w:r w:rsidR="00AE0997" w:rsidRPr="00EC6989">
        <w:rPr>
          <w:rFonts w:ascii="Times New Roman" w:eastAsia="Times New Roman" w:hAnsi="Times New Roman" w:cs="Times New Roman"/>
          <w:sz w:val="24"/>
          <w:szCs w:val="24"/>
        </w:rPr>
        <w:t xml:space="preserve"> oproti roku 2020, avšak v kontexte sumy predvídanej tzv. automatom – 656 eur ide </w:t>
      </w:r>
      <w:r w:rsidR="0015762B">
        <w:rPr>
          <w:rFonts w:ascii="Times New Roman" w:eastAsia="Times New Roman" w:hAnsi="Times New Roman" w:cs="Times New Roman"/>
          <w:sz w:val="24"/>
          <w:szCs w:val="24"/>
        </w:rPr>
        <w:t>o ú</w:t>
      </w:r>
      <w:r w:rsidR="000203A1">
        <w:rPr>
          <w:rFonts w:ascii="Times New Roman" w:eastAsia="Times New Roman" w:hAnsi="Times New Roman" w:cs="Times New Roman"/>
          <w:sz w:val="24"/>
          <w:szCs w:val="24"/>
        </w:rPr>
        <w:t>pravu smerom dole</w:t>
      </w:r>
      <w:r w:rsidR="00AE0997" w:rsidRPr="00EC6989">
        <w:rPr>
          <w:rFonts w:ascii="Times New Roman" w:eastAsia="Times New Roman" w:hAnsi="Times New Roman" w:cs="Times New Roman"/>
          <w:sz w:val="24"/>
          <w:szCs w:val="24"/>
        </w:rPr>
        <w:t xml:space="preserve"> oproti predvídanému nárastu 13,1%</w:t>
      </w:r>
      <w:r w:rsidRPr="00EC6989">
        <w:rPr>
          <w:rFonts w:ascii="Times New Roman" w:eastAsia="Times New Roman" w:hAnsi="Times New Roman" w:cs="Times New Roman"/>
          <w:sz w:val="24"/>
          <w:szCs w:val="24"/>
        </w:rPr>
        <w:t>.</w:t>
      </w:r>
      <w:r w:rsidR="00AE0997" w:rsidRPr="00EC6989">
        <w:rPr>
          <w:rFonts w:ascii="Times New Roman" w:eastAsia="Times New Roman" w:hAnsi="Times New Roman" w:cs="Times New Roman"/>
          <w:sz w:val="24"/>
          <w:szCs w:val="24"/>
        </w:rPr>
        <w:t xml:space="preserve"> Návrh sa </w:t>
      </w:r>
      <w:r w:rsidR="0015762B">
        <w:rPr>
          <w:rFonts w:ascii="Times New Roman" w:eastAsia="Times New Roman" w:hAnsi="Times New Roman" w:cs="Times New Roman"/>
          <w:sz w:val="24"/>
          <w:szCs w:val="24"/>
        </w:rPr>
        <w:lastRenderedPageBreak/>
        <w:t xml:space="preserve">čiastočne </w:t>
      </w:r>
      <w:r w:rsidR="00AE0997" w:rsidRPr="00EC6989">
        <w:rPr>
          <w:rFonts w:ascii="Times New Roman" w:eastAsia="Times New Roman" w:hAnsi="Times New Roman" w:cs="Times New Roman"/>
          <w:sz w:val="24"/>
          <w:szCs w:val="24"/>
        </w:rPr>
        <w:t>týka ďalších</w:t>
      </w:r>
      <w:r w:rsidR="00304B65">
        <w:rPr>
          <w:rFonts w:ascii="Times New Roman" w:eastAsia="Times New Roman" w:hAnsi="Times New Roman" w:cs="Times New Roman"/>
          <w:sz w:val="24"/>
          <w:szCs w:val="24"/>
        </w:rPr>
        <w:t xml:space="preserve"> kalendárnych</w:t>
      </w:r>
      <w:r w:rsidR="00AE0997" w:rsidRPr="00EC6989">
        <w:rPr>
          <w:rFonts w:ascii="Times New Roman" w:eastAsia="Times New Roman" w:hAnsi="Times New Roman" w:cs="Times New Roman"/>
          <w:sz w:val="24"/>
          <w:szCs w:val="24"/>
        </w:rPr>
        <w:t xml:space="preserve"> rokov</w:t>
      </w:r>
      <w:r w:rsidR="0015762B">
        <w:rPr>
          <w:rFonts w:ascii="Times New Roman" w:eastAsia="Times New Roman" w:hAnsi="Times New Roman" w:cs="Times New Roman"/>
          <w:sz w:val="24"/>
          <w:szCs w:val="24"/>
        </w:rPr>
        <w:t xml:space="preserve"> - </w:t>
      </w:r>
      <w:r w:rsidR="00AE0997" w:rsidRPr="00EC6989">
        <w:rPr>
          <w:rFonts w:ascii="Times New Roman" w:eastAsia="Times New Roman" w:hAnsi="Times New Roman" w:cs="Times New Roman"/>
          <w:sz w:val="24"/>
          <w:szCs w:val="24"/>
        </w:rPr>
        <w:t xml:space="preserve"> neruší sa tzv. automat </w:t>
      </w:r>
      <w:r w:rsidR="00304B65">
        <w:rPr>
          <w:rFonts w:ascii="Times New Roman" w:eastAsia="Times New Roman" w:hAnsi="Times New Roman" w:cs="Times New Roman"/>
          <w:sz w:val="24"/>
          <w:szCs w:val="24"/>
        </w:rPr>
        <w:t xml:space="preserve">určenia minimálnej mzdy </w:t>
      </w:r>
      <w:r w:rsidR="00AE0997" w:rsidRPr="00EC6989">
        <w:rPr>
          <w:rFonts w:ascii="Times New Roman" w:eastAsia="Times New Roman" w:hAnsi="Times New Roman" w:cs="Times New Roman"/>
          <w:sz w:val="24"/>
          <w:szCs w:val="24"/>
        </w:rPr>
        <w:t>predvídaný zákonom</w:t>
      </w:r>
      <w:r w:rsidR="000203A1">
        <w:rPr>
          <w:rFonts w:ascii="Times New Roman" w:eastAsia="Times New Roman" w:hAnsi="Times New Roman" w:cs="Times New Roman"/>
          <w:sz w:val="24"/>
          <w:szCs w:val="24"/>
        </w:rPr>
        <w:t xml:space="preserve"> na ďalšie kalendárne roky</w:t>
      </w:r>
      <w:r w:rsidR="0015762B">
        <w:rPr>
          <w:rFonts w:ascii="Times New Roman" w:eastAsia="Times New Roman" w:hAnsi="Times New Roman" w:cs="Times New Roman"/>
          <w:sz w:val="24"/>
          <w:szCs w:val="24"/>
        </w:rPr>
        <w:t>, ale znižuje sa % podielu zo 60 % na 57 %.</w:t>
      </w:r>
      <w:r w:rsidRPr="00EC6989">
        <w:rPr>
          <w:rFonts w:ascii="Times New Roman" w:eastAsia="Times New Roman" w:hAnsi="Times New Roman" w:cs="Times New Roman"/>
          <w:sz w:val="24"/>
          <w:szCs w:val="24"/>
        </w:rPr>
        <w:t xml:space="preserve"> </w:t>
      </w:r>
    </w:p>
    <w:p w:rsidR="0015762B" w:rsidRPr="00EC6989" w:rsidRDefault="0015762B" w:rsidP="0015762B">
      <w:pPr>
        <w:spacing w:after="0" w:line="240" w:lineRule="auto"/>
        <w:ind w:firstLine="708"/>
        <w:jc w:val="both"/>
        <w:rPr>
          <w:rFonts w:ascii="Times New Roman" w:eastAsia="Times New Roman" w:hAnsi="Times New Roman" w:cs="Times New Roman"/>
          <w:sz w:val="24"/>
          <w:szCs w:val="24"/>
        </w:rPr>
      </w:pPr>
    </w:p>
    <w:p w:rsidR="00307164" w:rsidRDefault="00307164" w:rsidP="001C4C3E">
      <w:pPr>
        <w:spacing w:after="0" w:line="240" w:lineRule="auto"/>
        <w:ind w:firstLine="708"/>
        <w:jc w:val="both"/>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rPr>
        <w:t xml:space="preserve">Navrhovaná minimálna mzda je záväzná pre všetkých zamestnávateľov, ktorí zamestnávajú zamestnancov v pracovnoprávnom vzťahu, t.j. v pracovnom pomere, obdobnom pracovnom vzťahu alebo na základe niektorej z dohôd o prácach vykonávaných mimo pracovného pomeru. Ak výška mzdy, platu alebo poskytnutej odmeny nedosiahne sumu minimálnej mzdy, zamestnávateľ </w:t>
      </w:r>
      <w:r w:rsidR="000203A1">
        <w:rPr>
          <w:rFonts w:ascii="Times New Roman" w:eastAsia="Times New Roman" w:hAnsi="Times New Roman" w:cs="Times New Roman"/>
          <w:sz w:val="24"/>
          <w:szCs w:val="24"/>
        </w:rPr>
        <w:t>je</w:t>
      </w:r>
      <w:r w:rsidRPr="00EC6989">
        <w:rPr>
          <w:rFonts w:ascii="Times New Roman" w:eastAsia="Times New Roman" w:hAnsi="Times New Roman" w:cs="Times New Roman"/>
          <w:sz w:val="24"/>
          <w:szCs w:val="24"/>
        </w:rPr>
        <w:t xml:space="preserve"> povinný poskytnúť doplatok vo výške rozdielu. Táto povinnosť sa týka ako zamestnávateľov podnikateľskej sféry, tak aj zamestnávateľov napojených na verejné rozpočty.</w:t>
      </w:r>
    </w:p>
    <w:p w:rsidR="00854DAD" w:rsidRDefault="00854DAD" w:rsidP="001C4C3E">
      <w:pPr>
        <w:spacing w:after="0" w:line="240" w:lineRule="auto"/>
        <w:ind w:firstLine="708"/>
        <w:jc w:val="both"/>
        <w:rPr>
          <w:rFonts w:ascii="Times New Roman" w:eastAsia="Times New Roman" w:hAnsi="Times New Roman" w:cs="Times New Roman"/>
          <w:sz w:val="24"/>
          <w:szCs w:val="24"/>
        </w:rPr>
      </w:pPr>
    </w:p>
    <w:p w:rsidR="00854DAD" w:rsidRPr="00854DAD" w:rsidRDefault="00854DAD" w:rsidP="00854DAD">
      <w:pPr>
        <w:spacing w:after="0" w:line="240" w:lineRule="auto"/>
        <w:ind w:firstLine="708"/>
        <w:jc w:val="both"/>
        <w:rPr>
          <w:rFonts w:ascii="Times New Roman" w:eastAsia="Times New Roman" w:hAnsi="Times New Roman" w:cs="Times New Roman"/>
          <w:sz w:val="24"/>
          <w:szCs w:val="24"/>
        </w:rPr>
      </w:pPr>
      <w:r w:rsidRPr="00854DAD">
        <w:rPr>
          <w:rFonts w:ascii="Times New Roman" w:eastAsia="Times New Roman" w:hAnsi="Times New Roman" w:cs="Times New Roman"/>
          <w:sz w:val="24"/>
          <w:szCs w:val="24"/>
        </w:rPr>
        <w:t>Vzhľadom na to, že návrh ustanovuje sumu minimálnej mzdy na kalendárny rok 2021 na úrovni 62</w:t>
      </w:r>
      <w:r w:rsidR="0015762B">
        <w:rPr>
          <w:rFonts w:ascii="Times New Roman" w:eastAsia="Times New Roman" w:hAnsi="Times New Roman" w:cs="Times New Roman"/>
          <w:sz w:val="24"/>
          <w:szCs w:val="24"/>
        </w:rPr>
        <w:t>3</w:t>
      </w:r>
      <w:r w:rsidRPr="00854DAD">
        <w:rPr>
          <w:rFonts w:ascii="Times New Roman" w:eastAsia="Times New Roman" w:hAnsi="Times New Roman" w:cs="Times New Roman"/>
          <w:sz w:val="24"/>
          <w:szCs w:val="24"/>
        </w:rPr>
        <w:t xml:space="preserve">,- eur a nedochádza k jej zmrazeniu na sume 580,- eur (tzv. automat naopak predvída sumu 656,- eur), krytie negatívnych vplyvov na rozpočet z dôvodu nárastu minimálnej mzdy bude musieť zabezpečené v rámci záväzných ukazovateľov schváleného rozpočtu verejnej správy na príslušný rok a krytie vplyvu nárastu minimálnej mzdy, vyplývajúceho z uplatňovania právnych predpisov, v ktorých je výška plnenia viazaná na sumu minimálnej mzdy, bude musieť byť zabezpečené v rámci stanovených limitov dotknutých subjektov verejnej správy na rok 2021. Pokiaľ ide o roky 2022 – 2023 návrh sa </w:t>
      </w:r>
      <w:r w:rsidR="0015762B">
        <w:rPr>
          <w:rFonts w:ascii="Times New Roman" w:eastAsia="Times New Roman" w:hAnsi="Times New Roman" w:cs="Times New Roman"/>
          <w:sz w:val="24"/>
          <w:szCs w:val="24"/>
        </w:rPr>
        <w:t xml:space="preserve">len čiastočne </w:t>
      </w:r>
      <w:r w:rsidRPr="00854DAD">
        <w:rPr>
          <w:rFonts w:ascii="Times New Roman" w:eastAsia="Times New Roman" w:hAnsi="Times New Roman" w:cs="Times New Roman"/>
          <w:sz w:val="24"/>
          <w:szCs w:val="24"/>
        </w:rPr>
        <w:t>týka rokov 2022 a 2023 (pre roky 2022 a 2023 naďalej platí tzv. automat</w:t>
      </w:r>
      <w:r w:rsidR="0015762B">
        <w:rPr>
          <w:rFonts w:ascii="Times New Roman" w:eastAsia="Times New Roman" w:hAnsi="Times New Roman" w:cs="Times New Roman"/>
          <w:sz w:val="24"/>
          <w:szCs w:val="24"/>
        </w:rPr>
        <w:t xml:space="preserve"> s 3% korekciou</w:t>
      </w:r>
      <w:r w:rsidRPr="00854DAD">
        <w:rPr>
          <w:rFonts w:ascii="Times New Roman" w:eastAsia="Times New Roman" w:hAnsi="Times New Roman" w:cs="Times New Roman"/>
          <w:sz w:val="24"/>
          <w:szCs w:val="24"/>
        </w:rPr>
        <w:t>)</w:t>
      </w:r>
      <w:r w:rsidR="0015762B">
        <w:rPr>
          <w:rFonts w:ascii="Times New Roman" w:eastAsia="Times New Roman" w:hAnsi="Times New Roman" w:cs="Times New Roman"/>
          <w:sz w:val="24"/>
          <w:szCs w:val="24"/>
        </w:rPr>
        <w:t>.</w:t>
      </w:r>
    </w:p>
    <w:p w:rsidR="00854DAD" w:rsidRDefault="00854DAD" w:rsidP="00854DAD">
      <w:pPr>
        <w:spacing w:after="0" w:line="240" w:lineRule="auto"/>
        <w:jc w:val="both"/>
        <w:rPr>
          <w:rFonts w:ascii="Times New Roman" w:eastAsia="Times New Roman" w:hAnsi="Times New Roman" w:cs="Times New Roman"/>
          <w:sz w:val="24"/>
          <w:szCs w:val="24"/>
        </w:rPr>
      </w:pPr>
    </w:p>
    <w:p w:rsidR="00854DAD" w:rsidRPr="00EC6989" w:rsidRDefault="00854DAD" w:rsidP="00854DAD">
      <w:pPr>
        <w:spacing w:after="0" w:line="240" w:lineRule="auto"/>
        <w:jc w:val="both"/>
        <w:rPr>
          <w:rFonts w:ascii="Times New Roman" w:eastAsia="Times New Roman" w:hAnsi="Times New Roman" w:cs="Times New Roman"/>
          <w:sz w:val="24"/>
          <w:szCs w:val="24"/>
        </w:rPr>
      </w:pPr>
    </w:p>
    <w:p w:rsidR="007D5748" w:rsidRPr="00EC6989" w:rsidRDefault="007D5748" w:rsidP="00CD2466">
      <w:pPr>
        <w:spacing w:after="0" w:line="240" w:lineRule="auto"/>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2.2.2. Charakteristika návrhu:</w:t>
      </w:r>
    </w:p>
    <w:p w:rsidR="007D5748" w:rsidRPr="00EC6989" w:rsidRDefault="007D5748" w:rsidP="00CD2466">
      <w:pPr>
        <w:spacing w:after="0" w:line="240" w:lineRule="auto"/>
        <w:rPr>
          <w:rFonts w:ascii="Times New Roman" w:eastAsia="Times New Roman" w:hAnsi="Times New Roman" w:cs="Times New Roman"/>
          <w:sz w:val="24"/>
          <w:szCs w:val="24"/>
        </w:rPr>
      </w:pPr>
    </w:p>
    <w:p w:rsidR="007D5748" w:rsidRPr="00EC6989" w:rsidRDefault="00285F21" w:rsidP="00CD2466">
      <w:pPr>
        <w:spacing w:after="0" w:line="240" w:lineRule="auto"/>
        <w:rPr>
          <w:rFonts w:ascii="Times New Roman" w:eastAsia="Times New Roman" w:hAnsi="Times New Roman" w:cs="Times New Roman"/>
          <w:sz w:val="24"/>
          <w:szCs w:val="24"/>
        </w:rPr>
      </w:pPr>
      <w:r w:rsidRPr="00EC6989">
        <w:rPr>
          <w:rFonts w:ascii="Times New Roman" w:eastAsia="Times New Roman" w:hAnsi="Times New Roman" w:cs="Times New Roman"/>
          <w:b/>
          <w:sz w:val="24"/>
          <w:szCs w:val="24"/>
          <w:bdr w:val="single" w:sz="4" w:space="0" w:color="auto"/>
        </w:rPr>
        <w:t xml:space="preserve"> X</w:t>
      </w:r>
      <w:r w:rsidR="00F632EF" w:rsidRPr="00EC6989">
        <w:rPr>
          <w:rFonts w:ascii="Times New Roman" w:eastAsia="Times New Roman" w:hAnsi="Times New Roman" w:cs="Times New Roman"/>
          <w:b/>
          <w:sz w:val="24"/>
          <w:szCs w:val="24"/>
          <w:bdr w:val="single" w:sz="4" w:space="0" w:color="auto"/>
        </w:rPr>
        <w:t xml:space="preserve"> </w:t>
      </w:r>
      <w:r w:rsidR="007D5748" w:rsidRPr="00EC6989">
        <w:rPr>
          <w:rFonts w:ascii="Times New Roman" w:eastAsia="Times New Roman" w:hAnsi="Times New Roman" w:cs="Times New Roman"/>
          <w:b/>
          <w:sz w:val="24"/>
          <w:szCs w:val="24"/>
        </w:rPr>
        <w:t xml:space="preserve">  </w:t>
      </w:r>
      <w:r w:rsidR="007D5748" w:rsidRPr="00EC6989">
        <w:rPr>
          <w:rFonts w:ascii="Times New Roman" w:eastAsia="Times New Roman" w:hAnsi="Times New Roman" w:cs="Times New Roman"/>
          <w:sz w:val="24"/>
          <w:szCs w:val="24"/>
        </w:rPr>
        <w:t>zmena sadzby</w:t>
      </w:r>
    </w:p>
    <w:p w:rsidR="007D5748" w:rsidRPr="00EC6989" w:rsidRDefault="00011952" w:rsidP="00CD2466">
      <w:pPr>
        <w:spacing w:after="0" w:line="240" w:lineRule="auto"/>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bdr w:val="single" w:sz="4" w:space="0" w:color="auto"/>
        </w:rPr>
        <w:t xml:space="preserve"> </w:t>
      </w:r>
      <w:r w:rsidR="00285F21" w:rsidRPr="00EC6989">
        <w:rPr>
          <w:rFonts w:ascii="Times New Roman" w:eastAsia="Times New Roman" w:hAnsi="Times New Roman" w:cs="Times New Roman"/>
          <w:b/>
          <w:sz w:val="24"/>
          <w:szCs w:val="24"/>
          <w:bdr w:val="single" w:sz="4" w:space="0" w:color="auto"/>
        </w:rPr>
        <w:t xml:space="preserve">   </w:t>
      </w:r>
      <w:r w:rsidRPr="00EC6989">
        <w:rPr>
          <w:rFonts w:ascii="Times New Roman" w:eastAsia="Times New Roman" w:hAnsi="Times New Roman" w:cs="Times New Roman"/>
          <w:b/>
          <w:sz w:val="24"/>
          <w:szCs w:val="24"/>
          <w:bdr w:val="single" w:sz="4" w:space="0" w:color="auto"/>
        </w:rPr>
        <w:t xml:space="preserve"> </w:t>
      </w:r>
      <w:r w:rsidR="007D5748" w:rsidRPr="00EC6989">
        <w:rPr>
          <w:rFonts w:ascii="Times New Roman" w:eastAsia="Times New Roman" w:hAnsi="Times New Roman" w:cs="Times New Roman"/>
          <w:sz w:val="24"/>
          <w:szCs w:val="24"/>
        </w:rPr>
        <w:t xml:space="preserve">  zmena v nároku</w:t>
      </w:r>
    </w:p>
    <w:p w:rsidR="007D5748" w:rsidRPr="00EC6989" w:rsidRDefault="007D5748" w:rsidP="00CD2466">
      <w:pPr>
        <w:spacing w:after="0" w:line="240" w:lineRule="auto"/>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bdr w:val="single" w:sz="4" w:space="0" w:color="auto"/>
        </w:rPr>
        <w:t xml:space="preserve">     </w:t>
      </w:r>
      <w:r w:rsidRPr="00EC6989">
        <w:rPr>
          <w:rFonts w:ascii="Times New Roman" w:eastAsia="Times New Roman" w:hAnsi="Times New Roman" w:cs="Times New Roman"/>
          <w:sz w:val="24"/>
          <w:szCs w:val="24"/>
        </w:rPr>
        <w:t xml:space="preserve">  nová služba alebo nariadenie (alebo ich zrušenie)</w:t>
      </w:r>
    </w:p>
    <w:p w:rsidR="007D5748" w:rsidRPr="00EC6989" w:rsidRDefault="007D5748" w:rsidP="00CD2466">
      <w:pPr>
        <w:spacing w:after="0" w:line="240" w:lineRule="auto"/>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bdr w:val="single" w:sz="4" w:space="0" w:color="auto"/>
        </w:rPr>
        <w:t xml:space="preserve">     </w:t>
      </w:r>
      <w:r w:rsidRPr="00EC6989">
        <w:rPr>
          <w:rFonts w:ascii="Times New Roman" w:eastAsia="Times New Roman" w:hAnsi="Times New Roman" w:cs="Times New Roman"/>
          <w:sz w:val="24"/>
          <w:szCs w:val="24"/>
        </w:rPr>
        <w:t xml:space="preserve">  kombinovaný návrh</w:t>
      </w:r>
    </w:p>
    <w:p w:rsidR="007D5748" w:rsidRPr="00EC6989" w:rsidRDefault="007D5748" w:rsidP="00CD2466">
      <w:pPr>
        <w:spacing w:after="0" w:line="240" w:lineRule="auto"/>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bdr w:val="single" w:sz="4" w:space="0" w:color="auto"/>
        </w:rPr>
        <w:t xml:space="preserve">     </w:t>
      </w:r>
      <w:r w:rsidRPr="00EC6989">
        <w:rPr>
          <w:rFonts w:ascii="Times New Roman" w:eastAsia="Times New Roman" w:hAnsi="Times New Roman" w:cs="Times New Roman"/>
          <w:sz w:val="24"/>
          <w:szCs w:val="24"/>
        </w:rPr>
        <w:t xml:space="preserve">  iné </w:t>
      </w:r>
    </w:p>
    <w:p w:rsidR="007D5748" w:rsidRPr="00EC6989" w:rsidRDefault="007D5748" w:rsidP="00CD2466">
      <w:pPr>
        <w:spacing w:after="0" w:line="240" w:lineRule="auto"/>
        <w:rPr>
          <w:rFonts w:ascii="Times New Roman" w:eastAsia="Times New Roman" w:hAnsi="Times New Roman" w:cs="Times New Roman"/>
          <w:sz w:val="24"/>
          <w:szCs w:val="24"/>
        </w:rPr>
      </w:pPr>
    </w:p>
    <w:p w:rsidR="00544A66" w:rsidRPr="00EC6989" w:rsidRDefault="00544A66" w:rsidP="00CD2466">
      <w:pPr>
        <w:spacing w:after="0" w:line="240" w:lineRule="auto"/>
        <w:rPr>
          <w:rFonts w:ascii="Times New Roman" w:eastAsia="Times New Roman" w:hAnsi="Times New Roman" w:cs="Times New Roman"/>
          <w:sz w:val="24"/>
          <w:szCs w:val="24"/>
        </w:rPr>
      </w:pPr>
    </w:p>
    <w:p w:rsidR="007D5748" w:rsidRDefault="007D5748" w:rsidP="00CD2466">
      <w:pPr>
        <w:spacing w:after="0" w:line="240" w:lineRule="auto"/>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2.2.3. Predpoklady vývoja objemu aktivít:</w:t>
      </w:r>
    </w:p>
    <w:p w:rsidR="00961DF3" w:rsidRDefault="00961DF3" w:rsidP="00CD2466">
      <w:pPr>
        <w:spacing w:after="0" w:line="240" w:lineRule="auto"/>
        <w:rPr>
          <w:rFonts w:ascii="Times New Roman" w:eastAsia="Times New Roman" w:hAnsi="Times New Roman" w:cs="Times New Roman"/>
          <w:b/>
          <w:bCs/>
          <w:sz w:val="24"/>
          <w:szCs w:val="24"/>
        </w:rPr>
      </w:pPr>
    </w:p>
    <w:p w:rsidR="00961DF3" w:rsidRPr="002D51EB" w:rsidRDefault="0032561F" w:rsidP="002D51EB">
      <w:pPr>
        <w:spacing w:after="0" w:line="240" w:lineRule="auto"/>
        <w:jc w:val="both"/>
        <w:rPr>
          <w:rFonts w:ascii="Times New Roman" w:eastAsia="Times New Roman" w:hAnsi="Times New Roman" w:cs="Times New Roman"/>
          <w:bCs/>
          <w:sz w:val="24"/>
          <w:szCs w:val="24"/>
        </w:rPr>
      </w:pPr>
      <w:r w:rsidRPr="002D51EB">
        <w:rPr>
          <w:rFonts w:ascii="Times New Roman" w:eastAsia="Times New Roman" w:hAnsi="Times New Roman" w:cs="Times New Roman"/>
          <w:bCs/>
          <w:sz w:val="24"/>
          <w:szCs w:val="24"/>
        </w:rPr>
        <w:t>Kvantifikácia vývoja objemu aktivít vychádza z údajov MF SR a Trexima (výkaz ISCP(MPSVR SR)1-04) o počte zamestnancov v sektore verejnej správy a špecificky o počte zamestnancov v pásme medzi minimálnou mzdou platnou v roku 2020 a navrhovanou minimálnou mzdou</w:t>
      </w:r>
      <w:r w:rsidR="00D03DEF">
        <w:rPr>
          <w:rFonts w:ascii="Times New Roman" w:eastAsia="Times New Roman" w:hAnsi="Times New Roman" w:cs="Times New Roman"/>
          <w:bCs/>
          <w:sz w:val="24"/>
          <w:szCs w:val="24"/>
        </w:rPr>
        <w:t xml:space="preserve"> 62</w:t>
      </w:r>
      <w:r w:rsidR="0015762B">
        <w:rPr>
          <w:rFonts w:ascii="Times New Roman" w:eastAsia="Times New Roman" w:hAnsi="Times New Roman" w:cs="Times New Roman"/>
          <w:bCs/>
          <w:sz w:val="24"/>
          <w:szCs w:val="24"/>
        </w:rPr>
        <w:t>3</w:t>
      </w:r>
      <w:r w:rsidR="00D03DEF">
        <w:rPr>
          <w:rFonts w:ascii="Times New Roman" w:eastAsia="Times New Roman" w:hAnsi="Times New Roman" w:cs="Times New Roman"/>
          <w:bCs/>
          <w:sz w:val="24"/>
          <w:szCs w:val="24"/>
        </w:rPr>
        <w:t xml:space="preserve"> eur</w:t>
      </w:r>
      <w:r w:rsidRPr="002D51EB">
        <w:rPr>
          <w:rFonts w:ascii="Times New Roman" w:eastAsia="Times New Roman" w:hAnsi="Times New Roman" w:cs="Times New Roman"/>
          <w:bCs/>
          <w:sz w:val="24"/>
          <w:szCs w:val="24"/>
        </w:rPr>
        <w:t>.</w:t>
      </w:r>
    </w:p>
    <w:p w:rsidR="00E12502" w:rsidRDefault="00E12502" w:rsidP="002D51E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prípade </w:t>
      </w:r>
      <w:r w:rsidR="00EB2CED">
        <w:rPr>
          <w:rFonts w:ascii="Times New Roman" w:eastAsia="Times New Roman" w:hAnsi="Times New Roman" w:cs="Times New Roman"/>
          <w:bCs/>
          <w:sz w:val="24"/>
          <w:szCs w:val="24"/>
        </w:rPr>
        <w:t>osôb v štátnej službe</w:t>
      </w:r>
      <w:r>
        <w:rPr>
          <w:rFonts w:ascii="Times New Roman" w:eastAsia="Times New Roman" w:hAnsi="Times New Roman" w:cs="Times New Roman"/>
          <w:bCs/>
          <w:sz w:val="24"/>
          <w:szCs w:val="24"/>
        </w:rPr>
        <w:t xml:space="preserve"> odmeňovaných </w:t>
      </w:r>
      <w:r w:rsidRPr="00E12502">
        <w:rPr>
          <w:rFonts w:ascii="Times New Roman" w:eastAsia="Times New Roman" w:hAnsi="Times New Roman" w:cs="Times New Roman"/>
          <w:bCs/>
          <w:sz w:val="24"/>
          <w:szCs w:val="24"/>
        </w:rPr>
        <w:t xml:space="preserve">podľa zákona č. 55/2017 Z. z. o štátnej službe a o zmene a doplnení niektorých zákonov </w:t>
      </w:r>
      <w:r>
        <w:rPr>
          <w:rFonts w:ascii="Times New Roman" w:eastAsia="Times New Roman" w:hAnsi="Times New Roman" w:cs="Times New Roman"/>
          <w:bCs/>
          <w:sz w:val="24"/>
          <w:szCs w:val="24"/>
        </w:rPr>
        <w:t>k</w:t>
      </w:r>
      <w:r w:rsidR="0032561F" w:rsidRPr="002D51EB">
        <w:rPr>
          <w:rFonts w:ascii="Times New Roman" w:eastAsia="Times New Roman" w:hAnsi="Times New Roman" w:cs="Times New Roman"/>
          <w:bCs/>
          <w:sz w:val="24"/>
          <w:szCs w:val="24"/>
        </w:rPr>
        <w:t>vantifikácia zohľadnila, vychádzajúc z Makroekonomickej prognózy Inštitútu finančnej politiky z j</w:t>
      </w:r>
      <w:r w:rsidRPr="00E12502">
        <w:rPr>
          <w:rFonts w:ascii="Times New Roman" w:eastAsia="Times New Roman" w:hAnsi="Times New Roman" w:cs="Times New Roman"/>
          <w:bCs/>
          <w:sz w:val="24"/>
          <w:szCs w:val="24"/>
        </w:rPr>
        <w:t>ú</w:t>
      </w:r>
      <w:r>
        <w:rPr>
          <w:rFonts w:ascii="Times New Roman" w:eastAsia="Times New Roman" w:hAnsi="Times New Roman" w:cs="Times New Roman"/>
          <w:bCs/>
          <w:sz w:val="24"/>
          <w:szCs w:val="24"/>
        </w:rPr>
        <w:t>n</w:t>
      </w:r>
      <w:r w:rsidR="0032561F" w:rsidRPr="002D51EB">
        <w:rPr>
          <w:rFonts w:ascii="Times New Roman" w:eastAsia="Times New Roman" w:hAnsi="Times New Roman" w:cs="Times New Roman"/>
          <w:bCs/>
          <w:sz w:val="24"/>
          <w:szCs w:val="24"/>
        </w:rPr>
        <w:t>a 2020,</w:t>
      </w:r>
      <w:r w:rsidR="003126D3" w:rsidRPr="003126D3">
        <w:rPr>
          <w:rStyle w:val="Odkaznapoznmkupodiarou"/>
          <w:rFonts w:ascii="Times New Roman" w:eastAsia="Times New Roman" w:hAnsi="Times New Roman" w:cs="Times New Roman"/>
          <w:sz w:val="24"/>
          <w:szCs w:val="24"/>
        </w:rPr>
        <w:t xml:space="preserve"> </w:t>
      </w:r>
      <w:r w:rsidR="003126D3">
        <w:rPr>
          <w:rStyle w:val="Odkaznapoznmkupodiarou"/>
          <w:rFonts w:ascii="Times New Roman" w:eastAsia="Times New Roman" w:hAnsi="Times New Roman" w:cs="Times New Roman"/>
          <w:sz w:val="24"/>
          <w:szCs w:val="24"/>
        </w:rPr>
        <w:footnoteReference w:id="1"/>
      </w:r>
      <w:r w:rsidR="0032561F" w:rsidRPr="002D51EB">
        <w:rPr>
          <w:rFonts w:ascii="Times New Roman" w:eastAsia="Times New Roman" w:hAnsi="Times New Roman" w:cs="Times New Roman"/>
          <w:bCs/>
          <w:sz w:val="24"/>
          <w:szCs w:val="24"/>
        </w:rPr>
        <w:t xml:space="preserve"> predpokladaný nárast tarifných platov o 1,9 percent a nárast miezd o 1 percento z dôvodu započítanej </w:t>
      </w:r>
      <w:r w:rsidRPr="002D51EB">
        <w:rPr>
          <w:rFonts w:ascii="Times New Roman" w:eastAsia="Times New Roman" w:hAnsi="Times New Roman" w:cs="Times New Roman"/>
          <w:bCs/>
          <w:sz w:val="24"/>
          <w:szCs w:val="24"/>
        </w:rPr>
        <w:t>praxe</w:t>
      </w:r>
      <w:r>
        <w:rPr>
          <w:rFonts w:ascii="Times New Roman" w:eastAsia="Times New Roman" w:hAnsi="Times New Roman" w:cs="Times New Roman"/>
          <w:bCs/>
          <w:sz w:val="24"/>
          <w:szCs w:val="24"/>
        </w:rPr>
        <w:t>.</w:t>
      </w:r>
    </w:p>
    <w:p w:rsidR="0032561F" w:rsidRPr="002D51EB" w:rsidRDefault="00E12502" w:rsidP="002D51E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prípade </w:t>
      </w:r>
      <w:r w:rsidRPr="002D51E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zamestnancov odmeňovaných podľa </w:t>
      </w:r>
      <w:r w:rsidRPr="00E12502">
        <w:rPr>
          <w:rFonts w:ascii="Times New Roman" w:eastAsia="Times New Roman" w:hAnsi="Times New Roman" w:cs="Times New Roman"/>
          <w:bCs/>
          <w:sz w:val="24"/>
          <w:szCs w:val="24"/>
        </w:rPr>
        <w:t>zákona č. 553/2003 Z. z. o odmeňovaní niektorých z</w:t>
      </w:r>
      <w:r>
        <w:rPr>
          <w:rFonts w:ascii="Times New Roman" w:eastAsia="Times New Roman" w:hAnsi="Times New Roman" w:cs="Times New Roman"/>
          <w:bCs/>
          <w:sz w:val="24"/>
          <w:szCs w:val="24"/>
        </w:rPr>
        <w:t xml:space="preserve">amestnancov pri výkone práce vo </w:t>
      </w:r>
      <w:r w:rsidRPr="00E12502">
        <w:rPr>
          <w:rFonts w:ascii="Times New Roman" w:eastAsia="Times New Roman" w:hAnsi="Times New Roman" w:cs="Times New Roman"/>
          <w:bCs/>
          <w:sz w:val="24"/>
          <w:szCs w:val="24"/>
        </w:rPr>
        <w:t>verejnom záujme v znení neskorších predpisov</w:t>
      </w:r>
      <w:r>
        <w:rPr>
          <w:rFonts w:ascii="Times New Roman" w:eastAsia="Times New Roman" w:hAnsi="Times New Roman" w:cs="Times New Roman"/>
          <w:bCs/>
          <w:sz w:val="24"/>
          <w:szCs w:val="24"/>
        </w:rPr>
        <w:t xml:space="preserve"> predpokladala kvantifikácia</w:t>
      </w:r>
      <w:r w:rsidR="00D03DEF" w:rsidRPr="002D51EB">
        <w:rPr>
          <w:rFonts w:ascii="Times New Roman" w:eastAsia="Times New Roman" w:hAnsi="Times New Roman" w:cs="Times New Roman"/>
          <w:bCs/>
          <w:sz w:val="24"/>
          <w:szCs w:val="24"/>
        </w:rPr>
        <w:t>, vychádzajúc z Makroekonomickej prognózy Inštitútu finančnej politiky z j</w:t>
      </w:r>
      <w:r w:rsidR="00D03DEF" w:rsidRPr="00E12502">
        <w:rPr>
          <w:rFonts w:ascii="Times New Roman" w:eastAsia="Times New Roman" w:hAnsi="Times New Roman" w:cs="Times New Roman"/>
          <w:bCs/>
          <w:sz w:val="24"/>
          <w:szCs w:val="24"/>
        </w:rPr>
        <w:t>ú</w:t>
      </w:r>
      <w:r w:rsidR="00D03DEF">
        <w:rPr>
          <w:rFonts w:ascii="Times New Roman" w:eastAsia="Times New Roman" w:hAnsi="Times New Roman" w:cs="Times New Roman"/>
          <w:bCs/>
          <w:sz w:val="24"/>
          <w:szCs w:val="24"/>
        </w:rPr>
        <w:t>n</w:t>
      </w:r>
      <w:r w:rsidR="00D03DEF" w:rsidRPr="002D51EB">
        <w:rPr>
          <w:rFonts w:ascii="Times New Roman" w:eastAsia="Times New Roman" w:hAnsi="Times New Roman" w:cs="Times New Roman"/>
          <w:bCs/>
          <w:sz w:val="24"/>
          <w:szCs w:val="24"/>
        </w:rPr>
        <w:t>a 2020,</w:t>
      </w:r>
      <w:r>
        <w:rPr>
          <w:rFonts w:ascii="Times New Roman" w:eastAsia="Times New Roman" w:hAnsi="Times New Roman" w:cs="Times New Roman"/>
          <w:bCs/>
          <w:sz w:val="24"/>
          <w:szCs w:val="24"/>
        </w:rPr>
        <w:t xml:space="preserve"> nárast priemernej mesačnej mzdy o 1,9 percent.</w:t>
      </w:r>
    </w:p>
    <w:p w:rsidR="00E523ED" w:rsidRDefault="00E523ED" w:rsidP="00E523ED">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Tabuľka č. 2</w:t>
      </w:r>
    </w:p>
    <w:tbl>
      <w:tblPr>
        <w:tblStyle w:val="Mriekatabuky"/>
        <w:tblW w:w="0" w:type="auto"/>
        <w:jc w:val="center"/>
        <w:tblLook w:val="04A0" w:firstRow="1" w:lastRow="0" w:firstColumn="1" w:lastColumn="0" w:noHBand="0" w:noVBand="1"/>
      </w:tblPr>
      <w:tblGrid>
        <w:gridCol w:w="3123"/>
        <w:gridCol w:w="1431"/>
        <w:gridCol w:w="1810"/>
        <w:gridCol w:w="1461"/>
        <w:gridCol w:w="1461"/>
      </w:tblGrid>
      <w:tr w:rsidR="00E12502" w:rsidTr="002D51EB">
        <w:trPr>
          <w:jc w:val="center"/>
        </w:trPr>
        <w:tc>
          <w:tcPr>
            <w:tcW w:w="3123" w:type="dxa"/>
            <w:vAlign w:val="center"/>
          </w:tcPr>
          <w:p w:rsidR="00E12502" w:rsidRPr="00E523ED" w:rsidRDefault="00E12502" w:rsidP="00E523ED">
            <w:pPr>
              <w:rPr>
                <w:rFonts w:ascii="Times New Roman" w:eastAsia="Times New Roman" w:hAnsi="Times New Roman" w:cs="Times New Roman"/>
                <w:sz w:val="24"/>
                <w:szCs w:val="24"/>
              </w:rPr>
            </w:pPr>
            <w:r>
              <w:rPr>
                <w:rFonts w:ascii="Times New Roman" w:eastAsia="Times New Roman" w:hAnsi="Times New Roman" w:cs="Times New Roman"/>
                <w:sz w:val="24"/>
                <w:szCs w:val="24"/>
              </w:rPr>
              <w:t>Objem aktivít</w:t>
            </w:r>
          </w:p>
        </w:tc>
        <w:tc>
          <w:tcPr>
            <w:tcW w:w="1431" w:type="dxa"/>
          </w:tcPr>
          <w:p w:rsidR="00E12502" w:rsidRDefault="002D51EB" w:rsidP="00E523E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10" w:type="dxa"/>
            <w:vAlign w:val="center"/>
          </w:tcPr>
          <w:p w:rsidR="00E12502" w:rsidRDefault="00E12502" w:rsidP="00E523E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461" w:type="dxa"/>
          </w:tcPr>
          <w:p w:rsidR="00E12502" w:rsidRDefault="002D51EB" w:rsidP="00E523E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461" w:type="dxa"/>
          </w:tcPr>
          <w:p w:rsidR="00E12502" w:rsidRDefault="002D51EB" w:rsidP="00E523E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E12502" w:rsidTr="00EF1E2A">
        <w:trPr>
          <w:jc w:val="center"/>
        </w:trPr>
        <w:tc>
          <w:tcPr>
            <w:tcW w:w="3123" w:type="dxa"/>
            <w:vAlign w:val="center"/>
          </w:tcPr>
          <w:p w:rsidR="00E12502" w:rsidRDefault="00E12502" w:rsidP="00E523ED">
            <w:pPr>
              <w:rPr>
                <w:rFonts w:ascii="Times New Roman" w:eastAsia="Times New Roman" w:hAnsi="Times New Roman" w:cs="Times New Roman"/>
                <w:sz w:val="24"/>
                <w:szCs w:val="24"/>
              </w:rPr>
            </w:pPr>
            <w:r w:rsidRPr="00E523ED">
              <w:rPr>
                <w:rFonts w:ascii="Times New Roman" w:eastAsia="Times New Roman" w:hAnsi="Times New Roman" w:cs="Times New Roman"/>
                <w:sz w:val="24"/>
                <w:szCs w:val="24"/>
              </w:rPr>
              <w:t xml:space="preserve">Počty zamestnancov napojených na verejný </w:t>
            </w:r>
            <w:r w:rsidRPr="00E523ED">
              <w:rPr>
                <w:rFonts w:ascii="Times New Roman" w:eastAsia="Times New Roman" w:hAnsi="Times New Roman" w:cs="Times New Roman"/>
                <w:sz w:val="24"/>
                <w:szCs w:val="24"/>
              </w:rPr>
              <w:lastRenderedPageBreak/>
              <w:t>rozpočet s platmi pod úrovňou navrhovanej sumy minimálnej mzdy – kvalifikovaný odhad*)</w:t>
            </w:r>
          </w:p>
        </w:tc>
        <w:tc>
          <w:tcPr>
            <w:tcW w:w="1431" w:type="dxa"/>
            <w:vAlign w:val="center"/>
          </w:tcPr>
          <w:p w:rsidR="00E12502" w:rsidRPr="00E523ED" w:rsidRDefault="002D51EB" w:rsidP="00EF1E2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1810" w:type="dxa"/>
            <w:vAlign w:val="center"/>
          </w:tcPr>
          <w:p w:rsidR="00E12502" w:rsidRDefault="002378A0" w:rsidP="00EF1E2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8833,1</w:t>
            </w:r>
          </w:p>
        </w:tc>
        <w:tc>
          <w:tcPr>
            <w:tcW w:w="1461" w:type="dxa"/>
            <w:vAlign w:val="center"/>
          </w:tcPr>
          <w:p w:rsidR="00E12502" w:rsidRPr="00E523ED" w:rsidRDefault="002D51EB" w:rsidP="00EF1E2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1" w:type="dxa"/>
            <w:vAlign w:val="center"/>
          </w:tcPr>
          <w:p w:rsidR="00E12502" w:rsidRPr="00E523ED" w:rsidRDefault="002D51EB" w:rsidP="00EF1E2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5762B" w:rsidRDefault="0015762B" w:rsidP="00CD2466">
      <w:pPr>
        <w:spacing w:after="0" w:line="240" w:lineRule="auto"/>
        <w:rPr>
          <w:rFonts w:ascii="Times New Roman" w:eastAsia="Times New Roman" w:hAnsi="Times New Roman" w:cs="Times New Roman"/>
          <w:sz w:val="24"/>
          <w:szCs w:val="24"/>
        </w:rPr>
      </w:pPr>
    </w:p>
    <w:p w:rsidR="00E523ED" w:rsidRPr="00DB4905" w:rsidRDefault="00E523ED" w:rsidP="00CD2466">
      <w:pPr>
        <w:spacing w:after="0" w:line="240" w:lineRule="auto"/>
        <w:rPr>
          <w:rFonts w:ascii="Times New Roman" w:eastAsia="Times New Roman" w:hAnsi="Times New Roman" w:cs="Times New Roman"/>
          <w:sz w:val="24"/>
          <w:szCs w:val="24"/>
        </w:rPr>
      </w:pPr>
      <w:r w:rsidRPr="00E523ED">
        <w:rPr>
          <w:rFonts w:ascii="Times New Roman" w:eastAsia="Times New Roman" w:hAnsi="Times New Roman" w:cs="Times New Roman"/>
          <w:sz w:val="24"/>
          <w:szCs w:val="24"/>
        </w:rPr>
        <w:t>*</w:t>
      </w:r>
      <w:r>
        <w:rPr>
          <w:rFonts w:ascii="Times New Roman" w:eastAsia="Times New Roman" w:hAnsi="Times New Roman" w:cs="Times New Roman"/>
          <w:sz w:val="24"/>
          <w:szCs w:val="24"/>
        </w:rPr>
        <w:t>Údaje dopočítané na plný počet zamestnancov sektora VS v 4. kvartáli roku 2019</w:t>
      </w:r>
      <w:r w:rsidR="00DB4905">
        <w:rPr>
          <w:rFonts w:ascii="Times New Roman" w:eastAsia="Times New Roman" w:hAnsi="Times New Roman" w:cs="Times New Roman"/>
          <w:sz w:val="24"/>
          <w:szCs w:val="24"/>
        </w:rPr>
        <w:t>, údaje od MF SR a</w:t>
      </w:r>
      <w:r w:rsidR="000C4B15">
        <w:rPr>
          <w:rFonts w:ascii="Times New Roman" w:eastAsia="Times New Roman" w:hAnsi="Times New Roman" w:cs="Times New Roman"/>
          <w:sz w:val="24"/>
          <w:szCs w:val="24"/>
        </w:rPr>
        <w:t> </w:t>
      </w:r>
      <w:r w:rsidR="00DB4905">
        <w:rPr>
          <w:rFonts w:ascii="Times New Roman" w:eastAsia="Times New Roman" w:hAnsi="Times New Roman" w:cs="Times New Roman"/>
          <w:sz w:val="24"/>
          <w:szCs w:val="24"/>
        </w:rPr>
        <w:t>Trexima</w:t>
      </w:r>
      <w:r w:rsidR="000C4B15">
        <w:rPr>
          <w:rFonts w:ascii="Times New Roman" w:eastAsia="Times New Roman" w:hAnsi="Times New Roman" w:cs="Times New Roman"/>
          <w:sz w:val="24"/>
          <w:szCs w:val="24"/>
        </w:rPr>
        <w:t xml:space="preserve"> </w:t>
      </w:r>
      <w:r w:rsidR="000C4B15" w:rsidRPr="000C4B15">
        <w:rPr>
          <w:rFonts w:ascii="Times New Roman" w:eastAsia="Times New Roman" w:hAnsi="Times New Roman" w:cs="Times New Roman"/>
          <w:sz w:val="24"/>
          <w:szCs w:val="24"/>
        </w:rPr>
        <w:t>(výkaz ISCP(MPSVR SR)1-04)</w:t>
      </w:r>
      <w:r w:rsidR="000C4B15">
        <w:rPr>
          <w:rFonts w:ascii="Times New Roman" w:eastAsia="Times New Roman" w:hAnsi="Times New Roman" w:cs="Times New Roman"/>
          <w:sz w:val="24"/>
          <w:szCs w:val="24"/>
        </w:rPr>
        <w:t xml:space="preserve"> </w:t>
      </w:r>
      <w:r w:rsidR="00DB4905">
        <w:rPr>
          <w:rFonts w:ascii="Times New Roman" w:eastAsia="Times New Roman" w:hAnsi="Times New Roman" w:cs="Times New Roman"/>
          <w:sz w:val="24"/>
          <w:szCs w:val="24"/>
        </w:rPr>
        <w:t>.</w:t>
      </w:r>
    </w:p>
    <w:p w:rsidR="00307164" w:rsidRPr="00EC6989" w:rsidRDefault="00307164" w:rsidP="00CD2466">
      <w:pPr>
        <w:spacing w:after="0" w:line="240" w:lineRule="auto"/>
        <w:rPr>
          <w:rFonts w:ascii="Times New Roman" w:eastAsia="Times New Roman" w:hAnsi="Times New Roman" w:cs="Times New Roman"/>
          <w:b/>
          <w:bCs/>
          <w:sz w:val="24"/>
          <w:szCs w:val="24"/>
        </w:rPr>
      </w:pPr>
    </w:p>
    <w:p w:rsidR="007D5748" w:rsidRPr="00EC6989" w:rsidRDefault="007D5748" w:rsidP="00CD2466">
      <w:pPr>
        <w:spacing w:after="0" w:line="240" w:lineRule="auto"/>
        <w:rPr>
          <w:rFonts w:ascii="Times New Roman" w:eastAsia="Times New Roman" w:hAnsi="Times New Roman" w:cs="Times New Roman"/>
          <w:b/>
          <w:bCs/>
          <w:sz w:val="24"/>
          <w:szCs w:val="24"/>
        </w:rPr>
      </w:pPr>
      <w:r w:rsidRPr="00EC6989">
        <w:rPr>
          <w:rFonts w:ascii="Times New Roman" w:eastAsia="Times New Roman" w:hAnsi="Times New Roman" w:cs="Times New Roman"/>
          <w:b/>
          <w:bCs/>
          <w:sz w:val="24"/>
          <w:szCs w:val="24"/>
        </w:rPr>
        <w:t>2.2.4. Výpočty vplyvov na verejné financie</w:t>
      </w:r>
    </w:p>
    <w:p w:rsidR="00AE0997" w:rsidRDefault="00AE0997" w:rsidP="00CD2466">
      <w:pPr>
        <w:spacing w:after="0" w:line="240" w:lineRule="auto"/>
        <w:jc w:val="both"/>
        <w:rPr>
          <w:rFonts w:ascii="Times New Roman" w:eastAsia="Times New Roman" w:hAnsi="Times New Roman" w:cs="Times New Roman"/>
          <w:sz w:val="24"/>
          <w:szCs w:val="24"/>
        </w:rPr>
      </w:pPr>
    </w:p>
    <w:p w:rsidR="00EC6989" w:rsidRDefault="00E523ED" w:rsidP="00E523ED">
      <w:pPr>
        <w:spacing w:after="0" w:line="240" w:lineRule="auto"/>
        <w:rPr>
          <w:rFonts w:ascii="Times New Roman" w:eastAsia="Times New Roman" w:hAnsi="Times New Roman" w:cs="Times New Roman"/>
          <w:b/>
          <w:bCs/>
          <w:sz w:val="24"/>
          <w:szCs w:val="24"/>
        </w:rPr>
      </w:pPr>
      <w:r w:rsidRPr="00E523ED">
        <w:rPr>
          <w:rFonts w:ascii="Times New Roman" w:eastAsia="Times New Roman" w:hAnsi="Times New Roman" w:cs="Times New Roman"/>
          <w:b/>
          <w:bCs/>
          <w:sz w:val="24"/>
          <w:szCs w:val="24"/>
        </w:rPr>
        <w:t>Tabuľková časť vplyvov na rozpočet verejnej správy</w:t>
      </w:r>
    </w:p>
    <w:p w:rsidR="002D51EB" w:rsidRPr="00E523ED" w:rsidRDefault="002D51EB" w:rsidP="002D51EB">
      <w:pPr>
        <w:spacing w:after="0" w:line="240" w:lineRule="auto"/>
        <w:rPr>
          <w:rFonts w:ascii="Times New Roman" w:eastAsia="Times New Roman" w:hAnsi="Times New Roman" w:cs="Times New Roman"/>
          <w:b/>
          <w:bCs/>
          <w:sz w:val="24"/>
          <w:szCs w:val="24"/>
        </w:rPr>
      </w:pPr>
    </w:p>
    <w:tbl>
      <w:tblPr>
        <w:tblStyle w:val="Mriekatabuky"/>
        <w:tblW w:w="10031" w:type="dxa"/>
        <w:tblLook w:val="04A0" w:firstRow="1" w:lastRow="0" w:firstColumn="1" w:lastColumn="0" w:noHBand="0" w:noVBand="1"/>
      </w:tblPr>
      <w:tblGrid>
        <w:gridCol w:w="3652"/>
        <w:gridCol w:w="6379"/>
      </w:tblGrid>
      <w:tr w:rsidR="002D51EB" w:rsidTr="007B33D3">
        <w:tc>
          <w:tcPr>
            <w:tcW w:w="3652" w:type="dxa"/>
          </w:tcPr>
          <w:p w:rsidR="002D51EB" w:rsidRPr="004D7E47" w:rsidRDefault="002D51EB" w:rsidP="009E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Zdroj údajov</w:t>
            </w:r>
          </w:p>
        </w:tc>
        <w:tc>
          <w:tcPr>
            <w:tcW w:w="6379" w:type="dxa"/>
          </w:tcPr>
          <w:p w:rsidR="002D51EB" w:rsidRDefault="006C5605" w:rsidP="009E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MFSR/Trexima (</w:t>
            </w:r>
            <w:r w:rsidRPr="006C5605">
              <w:rPr>
                <w:rFonts w:ascii="Times New Roman" w:eastAsia="Times New Roman" w:hAnsi="Times New Roman" w:cs="Times New Roman"/>
                <w:sz w:val="24"/>
                <w:szCs w:val="24"/>
              </w:rPr>
              <w:t>Výberové štatistické zisťovanie, štvrťročný výkaz o cene práce ISCP (MPSVR SR)</w:t>
            </w:r>
            <w:r>
              <w:rPr>
                <w:rFonts w:ascii="Times New Roman" w:eastAsia="Times New Roman" w:hAnsi="Times New Roman" w:cs="Times New Roman"/>
                <w:sz w:val="24"/>
                <w:szCs w:val="24"/>
              </w:rPr>
              <w:t xml:space="preserve"> 1-04, údaje za I. štvrťrok 2020) a </w:t>
            </w:r>
            <w:r w:rsidRPr="006C5605">
              <w:rPr>
                <w:rFonts w:ascii="Times New Roman" w:eastAsia="Times New Roman" w:hAnsi="Times New Roman" w:cs="Times New Roman"/>
                <w:sz w:val="24"/>
                <w:szCs w:val="24"/>
              </w:rPr>
              <w:t>podklady Ministerstva financií Slovenskej republiky o počtoch zamestnancov napojených na štátny rozpočet a na rozpočty územných samospráv, skutočnosť za I</w:t>
            </w:r>
            <w:r>
              <w:rPr>
                <w:rFonts w:ascii="Times New Roman" w:eastAsia="Times New Roman" w:hAnsi="Times New Roman" w:cs="Times New Roman"/>
                <w:sz w:val="24"/>
                <w:szCs w:val="24"/>
              </w:rPr>
              <w:t>V</w:t>
            </w:r>
            <w:r w:rsidRPr="006C5605">
              <w:rPr>
                <w:rFonts w:ascii="Times New Roman" w:eastAsia="Times New Roman" w:hAnsi="Times New Roman" w:cs="Times New Roman"/>
                <w:sz w:val="24"/>
                <w:szCs w:val="24"/>
              </w:rPr>
              <w:t>. štvrťrok 2019.</w:t>
            </w:r>
            <w:r>
              <w:rPr>
                <w:rFonts w:ascii="Times New Roman" w:eastAsia="Times New Roman" w:hAnsi="Times New Roman" w:cs="Times New Roman"/>
                <w:sz w:val="24"/>
                <w:szCs w:val="24"/>
              </w:rPr>
              <w:t xml:space="preserve"> </w:t>
            </w:r>
          </w:p>
          <w:p w:rsidR="00CA272B" w:rsidRDefault="00CA272B" w:rsidP="009E4084">
            <w:pPr>
              <w:jc w:val="both"/>
              <w:rPr>
                <w:rFonts w:ascii="Times New Roman" w:eastAsia="Times New Roman" w:hAnsi="Times New Roman" w:cs="Times New Roman"/>
                <w:sz w:val="24"/>
                <w:szCs w:val="24"/>
              </w:rPr>
            </w:pPr>
          </w:p>
          <w:p w:rsidR="00CA272B" w:rsidRPr="004D7E47" w:rsidRDefault="00CA272B" w:rsidP="00394B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 účely odhadu počtu zamestnancov SZČO dotknutých nárastom</w:t>
            </w:r>
            <w:r w:rsidR="00D03DEF">
              <w:rPr>
                <w:rFonts w:ascii="Times New Roman" w:eastAsia="Times New Roman" w:hAnsi="Times New Roman" w:cs="Times New Roman"/>
                <w:sz w:val="24"/>
                <w:szCs w:val="24"/>
              </w:rPr>
              <w:t xml:space="preserve"> minimálnej mzdy vychádzala kvantifikácia</w:t>
            </w:r>
            <w:r>
              <w:rPr>
                <w:rFonts w:ascii="Times New Roman" w:eastAsia="Times New Roman" w:hAnsi="Times New Roman" w:cs="Times New Roman"/>
                <w:sz w:val="24"/>
                <w:szCs w:val="24"/>
              </w:rPr>
              <w:t xml:space="preserve"> z dát Sociálnej poisťovne za október 2019-február 2020</w:t>
            </w:r>
            <w:r w:rsidR="00394B54">
              <w:rPr>
                <w:rFonts w:ascii="Times New Roman" w:eastAsia="Times New Roman" w:hAnsi="Times New Roman" w:cs="Times New Roman"/>
                <w:sz w:val="24"/>
                <w:szCs w:val="24"/>
              </w:rPr>
              <w:t xml:space="preserve"> a z</w:t>
            </w:r>
            <w:r w:rsidR="00BB5D5A">
              <w:rPr>
                <w:rFonts w:ascii="Times New Roman" w:eastAsia="Times New Roman" w:hAnsi="Times New Roman" w:cs="Times New Roman"/>
                <w:sz w:val="24"/>
                <w:szCs w:val="24"/>
              </w:rPr>
              <w:t>o</w:t>
            </w:r>
            <w:r w:rsidR="00394B54">
              <w:rPr>
                <w:rFonts w:ascii="Times New Roman" w:eastAsia="Times New Roman" w:hAnsi="Times New Roman" w:cs="Times New Roman"/>
                <w:sz w:val="24"/>
                <w:szCs w:val="24"/>
              </w:rPr>
              <w:t xml:space="preserve"> štvrťročného</w:t>
            </w:r>
            <w:r w:rsidR="00394B54" w:rsidRPr="00394B54">
              <w:rPr>
                <w:rFonts w:ascii="Times New Roman" w:eastAsia="Times New Roman" w:hAnsi="Times New Roman" w:cs="Times New Roman"/>
                <w:sz w:val="24"/>
                <w:szCs w:val="24"/>
              </w:rPr>
              <w:t xml:space="preserve"> výkaz</w:t>
            </w:r>
            <w:r w:rsidR="00394B54">
              <w:rPr>
                <w:rFonts w:ascii="Times New Roman" w:eastAsia="Times New Roman" w:hAnsi="Times New Roman" w:cs="Times New Roman"/>
                <w:sz w:val="24"/>
                <w:szCs w:val="24"/>
              </w:rPr>
              <w:t>u</w:t>
            </w:r>
            <w:r w:rsidR="00394B54" w:rsidRPr="00394B54">
              <w:rPr>
                <w:rFonts w:ascii="Times New Roman" w:eastAsia="Times New Roman" w:hAnsi="Times New Roman" w:cs="Times New Roman"/>
                <w:sz w:val="24"/>
                <w:szCs w:val="24"/>
              </w:rPr>
              <w:t xml:space="preserve"> o cene práce ISCP (MPSVR SR) 1-04, </w:t>
            </w:r>
            <w:r w:rsidR="00394B54">
              <w:rPr>
                <w:rFonts w:ascii="Times New Roman" w:eastAsia="Times New Roman" w:hAnsi="Times New Roman" w:cs="Times New Roman"/>
                <w:sz w:val="24"/>
                <w:szCs w:val="24"/>
              </w:rPr>
              <w:t>(</w:t>
            </w:r>
            <w:r w:rsidR="00394B54" w:rsidRPr="00394B54">
              <w:rPr>
                <w:rFonts w:ascii="Times New Roman" w:eastAsia="Times New Roman" w:hAnsi="Times New Roman" w:cs="Times New Roman"/>
                <w:sz w:val="24"/>
                <w:szCs w:val="24"/>
              </w:rPr>
              <w:t>údaje za I. štvrťrok 2020</w:t>
            </w:r>
            <w:r w:rsidR="00394B5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2D51EB" w:rsidTr="007B33D3">
        <w:tc>
          <w:tcPr>
            <w:tcW w:w="3652" w:type="dxa"/>
          </w:tcPr>
          <w:p w:rsidR="002D51EB" w:rsidRDefault="002D51EB" w:rsidP="009E4084">
            <w:pPr>
              <w:jc w:val="both"/>
              <w:rPr>
                <w:rFonts w:ascii="Times New Roman" w:eastAsia="Times New Roman" w:hAnsi="Times New Roman" w:cs="Times New Roman"/>
                <w:sz w:val="24"/>
                <w:szCs w:val="24"/>
              </w:rPr>
            </w:pPr>
            <w:r w:rsidRPr="004D7E47">
              <w:rPr>
                <w:rFonts w:ascii="Times New Roman" w:eastAsia="Times New Roman" w:hAnsi="Times New Roman" w:cs="Times New Roman"/>
                <w:sz w:val="24"/>
                <w:szCs w:val="24"/>
              </w:rPr>
              <w:t>Používané údaje:</w:t>
            </w:r>
          </w:p>
        </w:tc>
        <w:tc>
          <w:tcPr>
            <w:tcW w:w="6379" w:type="dxa"/>
          </w:tcPr>
          <w:p w:rsidR="002D51EB" w:rsidRPr="004D7E47" w:rsidRDefault="002D51EB" w:rsidP="009E4084">
            <w:pPr>
              <w:jc w:val="both"/>
              <w:rPr>
                <w:rFonts w:ascii="Times New Roman" w:eastAsia="Times New Roman" w:hAnsi="Times New Roman" w:cs="Times New Roman"/>
                <w:sz w:val="24"/>
                <w:szCs w:val="24"/>
              </w:rPr>
            </w:pPr>
            <w:r w:rsidRPr="004D7E47">
              <w:rPr>
                <w:rFonts w:ascii="Times New Roman" w:eastAsia="Times New Roman" w:hAnsi="Times New Roman" w:cs="Times New Roman"/>
                <w:sz w:val="24"/>
                <w:szCs w:val="24"/>
              </w:rPr>
              <w:t>- počty zame</w:t>
            </w:r>
            <w:r>
              <w:rPr>
                <w:rFonts w:ascii="Times New Roman" w:eastAsia="Times New Roman" w:hAnsi="Times New Roman" w:cs="Times New Roman"/>
                <w:sz w:val="24"/>
                <w:szCs w:val="24"/>
              </w:rPr>
              <w:t>stnancov s mesačnou mzdou nad 58</w:t>
            </w:r>
            <w:r w:rsidRPr="004D7E47">
              <w:rPr>
                <w:rFonts w:ascii="Times New Roman" w:eastAsia="Times New Roman" w:hAnsi="Times New Roman" w:cs="Times New Roman"/>
                <w:sz w:val="24"/>
                <w:szCs w:val="24"/>
              </w:rPr>
              <w:t>0 eur</w:t>
            </w:r>
            <w:r>
              <w:rPr>
                <w:rFonts w:ascii="Times New Roman" w:eastAsia="Times New Roman" w:hAnsi="Times New Roman" w:cs="Times New Roman"/>
                <w:sz w:val="24"/>
                <w:szCs w:val="24"/>
              </w:rPr>
              <w:t xml:space="preserve"> a do 62</w:t>
            </w:r>
            <w:r w:rsidR="0015762B">
              <w:rPr>
                <w:rFonts w:ascii="Times New Roman" w:eastAsia="Times New Roman" w:hAnsi="Times New Roman" w:cs="Times New Roman"/>
                <w:sz w:val="24"/>
                <w:szCs w:val="24"/>
              </w:rPr>
              <w:t>3</w:t>
            </w:r>
            <w:r w:rsidRPr="004D7E47">
              <w:rPr>
                <w:rFonts w:ascii="Times New Roman" w:eastAsia="Times New Roman" w:hAnsi="Times New Roman" w:cs="Times New Roman"/>
                <w:sz w:val="24"/>
                <w:szCs w:val="24"/>
              </w:rPr>
              <w:t xml:space="preserve"> eur mesačne,</w:t>
            </w:r>
          </w:p>
          <w:p w:rsidR="00A05CF1" w:rsidRDefault="00A05CF1" w:rsidP="009E4084">
            <w:pPr>
              <w:jc w:val="both"/>
              <w:rPr>
                <w:rFonts w:ascii="Times New Roman" w:eastAsia="Times New Roman" w:hAnsi="Times New Roman" w:cs="Times New Roman"/>
                <w:sz w:val="24"/>
                <w:szCs w:val="24"/>
              </w:rPr>
            </w:pPr>
          </w:p>
          <w:p w:rsidR="002D51EB" w:rsidRDefault="002D51EB" w:rsidP="009E4084">
            <w:pPr>
              <w:jc w:val="both"/>
              <w:rPr>
                <w:rFonts w:ascii="Times New Roman" w:eastAsia="Times New Roman" w:hAnsi="Times New Roman" w:cs="Times New Roman"/>
                <w:sz w:val="24"/>
                <w:szCs w:val="24"/>
              </w:rPr>
            </w:pPr>
            <w:r w:rsidRPr="004D7E47">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bjem doplatkov do novej sumy </w:t>
            </w:r>
            <w:r w:rsidR="001354ED">
              <w:rPr>
                <w:rFonts w:ascii="Times New Roman" w:eastAsia="Times New Roman" w:hAnsi="Times New Roman" w:cs="Times New Roman"/>
                <w:sz w:val="24"/>
                <w:szCs w:val="24"/>
              </w:rPr>
              <w:t>623</w:t>
            </w:r>
            <w:r w:rsidRPr="004D7E47">
              <w:rPr>
                <w:rFonts w:ascii="Times New Roman" w:eastAsia="Times New Roman" w:hAnsi="Times New Roman" w:cs="Times New Roman"/>
                <w:sz w:val="24"/>
                <w:szCs w:val="24"/>
              </w:rPr>
              <w:t xml:space="preserve"> eur mesačne</w:t>
            </w:r>
            <w:r>
              <w:rPr>
                <w:rFonts w:ascii="Times New Roman" w:eastAsia="Times New Roman" w:hAnsi="Times New Roman" w:cs="Times New Roman"/>
                <w:sz w:val="24"/>
                <w:szCs w:val="24"/>
              </w:rPr>
              <w:t xml:space="preserve"> (zodpovedá hodinovej mzde </w:t>
            </w:r>
            <w:r w:rsidRPr="0015762B">
              <w:rPr>
                <w:rFonts w:ascii="Times New Roman" w:eastAsia="Times New Roman" w:hAnsi="Times New Roman" w:cs="Times New Roman"/>
                <w:sz w:val="24"/>
                <w:szCs w:val="24"/>
              </w:rPr>
              <w:t>3,5</w:t>
            </w:r>
            <w:r w:rsidR="0015762B" w:rsidRPr="0015762B">
              <w:rPr>
                <w:rFonts w:ascii="Times New Roman" w:eastAsia="Times New Roman" w:hAnsi="Times New Roman" w:cs="Times New Roman"/>
                <w:sz w:val="24"/>
                <w:szCs w:val="24"/>
              </w:rPr>
              <w:t>80</w:t>
            </w:r>
            <w:r w:rsidRPr="0015762B">
              <w:rPr>
                <w:rFonts w:ascii="Times New Roman" w:eastAsia="Times New Roman" w:hAnsi="Times New Roman" w:cs="Times New Roman"/>
                <w:sz w:val="24"/>
                <w:szCs w:val="24"/>
              </w:rPr>
              <w:t xml:space="preserve"> eura na</w:t>
            </w:r>
            <w:r w:rsidRPr="004D7E47">
              <w:rPr>
                <w:rFonts w:ascii="Times New Roman" w:eastAsia="Times New Roman" w:hAnsi="Times New Roman" w:cs="Times New Roman"/>
                <w:sz w:val="24"/>
                <w:szCs w:val="24"/>
              </w:rPr>
              <w:t xml:space="preserve"> hodinu).</w:t>
            </w:r>
          </w:p>
          <w:p w:rsidR="00A05CF1" w:rsidRDefault="00A05CF1" w:rsidP="00B5307F">
            <w:pPr>
              <w:jc w:val="both"/>
              <w:rPr>
                <w:rFonts w:ascii="Times New Roman" w:eastAsia="Times New Roman" w:hAnsi="Times New Roman" w:cs="Times New Roman"/>
                <w:sz w:val="24"/>
                <w:szCs w:val="24"/>
              </w:rPr>
            </w:pPr>
          </w:p>
          <w:p w:rsidR="002D51EB" w:rsidRDefault="002D51EB" w:rsidP="00B530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počty zamestnancov s vyšším stupňom náročnosti práce, ktorých odmeňovanie nie je dohodnuté v kolektívnej zmluve</w:t>
            </w:r>
            <w:r w:rsidR="00B5307F">
              <w:rPr>
                <w:rFonts w:ascii="Times New Roman" w:eastAsia="Times New Roman" w:hAnsi="Times New Roman" w:cs="Times New Roman"/>
                <w:sz w:val="24"/>
                <w:szCs w:val="24"/>
              </w:rPr>
              <w:t xml:space="preserve"> a ktorých mzda nedosahuje minimálny mzdový nárok uvedený v § 120 Zákona 311/2001 Z. z.(</w:t>
            </w:r>
            <w:r w:rsidR="00B5307F" w:rsidRPr="00B5307F">
              <w:rPr>
                <w:rFonts w:ascii="Times New Roman" w:eastAsia="Times New Roman" w:hAnsi="Times New Roman" w:cs="Times New Roman"/>
                <w:sz w:val="24"/>
                <w:szCs w:val="24"/>
              </w:rPr>
              <w:t>Zákonník práce</w:t>
            </w:r>
            <w:r w:rsidR="00B5307F">
              <w:rPr>
                <w:rFonts w:ascii="Times New Roman" w:eastAsia="Times New Roman" w:hAnsi="Times New Roman" w:cs="Times New Roman"/>
                <w:sz w:val="24"/>
                <w:szCs w:val="24"/>
              </w:rPr>
              <w:t>).</w:t>
            </w:r>
          </w:p>
          <w:p w:rsidR="00A05CF1" w:rsidRDefault="00A05CF1" w:rsidP="00B5307F">
            <w:pPr>
              <w:jc w:val="both"/>
              <w:rPr>
                <w:rFonts w:ascii="Times New Roman" w:eastAsia="Times New Roman" w:hAnsi="Times New Roman" w:cs="Times New Roman"/>
                <w:sz w:val="24"/>
                <w:szCs w:val="24"/>
              </w:rPr>
            </w:pPr>
          </w:p>
          <w:p w:rsidR="00A05CF1" w:rsidRDefault="00A05CF1" w:rsidP="00B530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-počty zamestnancov SZČO, ktorých vymeriavací základ podľa údajov Sociálnej poisťovne rástol medzi októbrom 2019-februárom 2020 o rovnaké percento (±1 percento), ako rástla minimálna mzda</w:t>
            </w:r>
            <w:r w:rsidR="00D03DEF">
              <w:rPr>
                <w:rFonts w:ascii="Times New Roman" w:eastAsia="Times New Roman" w:hAnsi="Times New Roman" w:cs="Times New Roman"/>
                <w:sz w:val="24"/>
                <w:szCs w:val="24"/>
              </w:rPr>
              <w:t xml:space="preserve"> medzi rokmi 2019-2020</w:t>
            </w:r>
            <w:r>
              <w:rPr>
                <w:rFonts w:ascii="Times New Roman" w:eastAsia="Times New Roman" w:hAnsi="Times New Roman" w:cs="Times New Roman"/>
                <w:sz w:val="24"/>
                <w:szCs w:val="24"/>
              </w:rPr>
              <w:t>.</w:t>
            </w:r>
            <w:r w:rsidR="00D03DEF">
              <w:rPr>
                <w:rFonts w:ascii="Times New Roman" w:eastAsia="Times New Roman" w:hAnsi="Times New Roman" w:cs="Times New Roman"/>
                <w:sz w:val="24"/>
                <w:szCs w:val="24"/>
              </w:rPr>
              <w:t xml:space="preserve"> </w:t>
            </w:r>
          </w:p>
        </w:tc>
      </w:tr>
      <w:tr w:rsidR="002D51EB" w:rsidTr="007B33D3">
        <w:tc>
          <w:tcPr>
            <w:tcW w:w="3652" w:type="dxa"/>
          </w:tcPr>
          <w:p w:rsidR="002D51EB" w:rsidRPr="004D7E47" w:rsidRDefault="002D51EB" w:rsidP="009E4084">
            <w:pPr>
              <w:jc w:val="both"/>
              <w:rPr>
                <w:rFonts w:ascii="Times New Roman" w:eastAsia="Times New Roman" w:hAnsi="Times New Roman" w:cs="Times New Roman"/>
                <w:sz w:val="24"/>
                <w:szCs w:val="24"/>
              </w:rPr>
            </w:pPr>
            <w:r w:rsidRPr="00BD0484">
              <w:rPr>
                <w:rFonts w:ascii="Times New Roman" w:eastAsia="Times New Roman" w:hAnsi="Times New Roman" w:cs="Times New Roman"/>
                <w:sz w:val="24"/>
                <w:szCs w:val="24"/>
              </w:rPr>
              <w:t>Kritériá výberu:</w:t>
            </w:r>
          </w:p>
        </w:tc>
        <w:tc>
          <w:tcPr>
            <w:tcW w:w="6379" w:type="dxa"/>
          </w:tcPr>
          <w:p w:rsidR="002D51EB" w:rsidRPr="00BD0484" w:rsidRDefault="002D51EB" w:rsidP="009E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0484">
              <w:rPr>
                <w:rFonts w:ascii="Times New Roman" w:eastAsia="Times New Roman" w:hAnsi="Times New Roman" w:cs="Times New Roman"/>
                <w:sz w:val="24"/>
                <w:szCs w:val="24"/>
              </w:rPr>
              <w:t>zamestnanci v pracovnom pomere a v štátnozamestnaneckom pomere k</w:t>
            </w:r>
            <w:r>
              <w:rPr>
                <w:rFonts w:ascii="Times New Roman" w:eastAsia="Times New Roman" w:hAnsi="Times New Roman" w:cs="Times New Roman"/>
                <w:sz w:val="24"/>
                <w:szCs w:val="24"/>
              </w:rPr>
              <w:t> </w:t>
            </w:r>
            <w:r w:rsidRPr="00BD0484">
              <w:rPr>
                <w:rFonts w:ascii="Times New Roman" w:eastAsia="Times New Roman" w:hAnsi="Times New Roman" w:cs="Times New Roman"/>
                <w:sz w:val="24"/>
                <w:szCs w:val="24"/>
              </w:rPr>
              <w:t>zamestnávateľom</w:t>
            </w:r>
            <w:r>
              <w:rPr>
                <w:rFonts w:ascii="Times New Roman" w:eastAsia="Times New Roman" w:hAnsi="Times New Roman" w:cs="Times New Roman"/>
                <w:sz w:val="24"/>
                <w:szCs w:val="24"/>
              </w:rPr>
              <w:t xml:space="preserve"> zvlášť</w:t>
            </w:r>
            <w:r w:rsidRPr="00BD04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sektore verejnej správy (</w:t>
            </w:r>
            <w:r w:rsidRPr="008F5058">
              <w:rPr>
                <w:rFonts w:ascii="Times New Roman" w:eastAsia="Times New Roman" w:hAnsi="Times New Roman" w:cs="Times New Roman"/>
                <w:sz w:val="24"/>
                <w:szCs w:val="24"/>
              </w:rPr>
              <w:t>ústredn</w:t>
            </w:r>
            <w:r>
              <w:rPr>
                <w:rFonts w:ascii="Times New Roman" w:eastAsia="Times New Roman" w:hAnsi="Times New Roman" w:cs="Times New Roman"/>
                <w:sz w:val="24"/>
                <w:szCs w:val="24"/>
              </w:rPr>
              <w:t>á štátna správa, samospráva a fondy sociálneho a zdravotného poistenia) a mimo sektoru verejnej správy</w:t>
            </w:r>
          </w:p>
          <w:p w:rsidR="00A05CF1" w:rsidRDefault="00A05CF1" w:rsidP="009E4084">
            <w:pPr>
              <w:jc w:val="both"/>
              <w:rPr>
                <w:rFonts w:ascii="Times New Roman" w:eastAsia="Times New Roman" w:hAnsi="Times New Roman" w:cs="Times New Roman"/>
                <w:sz w:val="24"/>
                <w:szCs w:val="24"/>
              </w:rPr>
            </w:pPr>
          </w:p>
          <w:p w:rsidR="00B5307F" w:rsidRPr="004D7E47" w:rsidRDefault="002D51EB" w:rsidP="009E4084">
            <w:pPr>
              <w:jc w:val="both"/>
              <w:rPr>
                <w:rFonts w:ascii="Times New Roman" w:eastAsia="Times New Roman" w:hAnsi="Times New Roman" w:cs="Times New Roman"/>
                <w:sz w:val="24"/>
                <w:szCs w:val="24"/>
              </w:rPr>
            </w:pPr>
            <w:r w:rsidRPr="00BD0484">
              <w:rPr>
                <w:rFonts w:ascii="Times New Roman" w:eastAsia="Times New Roman" w:hAnsi="Times New Roman" w:cs="Times New Roman"/>
                <w:sz w:val="24"/>
                <w:szCs w:val="24"/>
              </w:rPr>
              <w:t xml:space="preserve">- výsledky za výberovú vzorku boli </w:t>
            </w:r>
            <w:r>
              <w:rPr>
                <w:rFonts w:ascii="Times New Roman" w:eastAsia="Times New Roman" w:hAnsi="Times New Roman" w:cs="Times New Roman"/>
                <w:sz w:val="24"/>
                <w:szCs w:val="24"/>
              </w:rPr>
              <w:t>v</w:t>
            </w:r>
            <w:r w:rsidR="00CA272B">
              <w:rPr>
                <w:rFonts w:ascii="Times New Roman" w:eastAsia="Times New Roman" w:hAnsi="Times New Roman" w:cs="Times New Roman"/>
                <w:sz w:val="24"/>
                <w:szCs w:val="24"/>
              </w:rPr>
              <w:t> prípade zamestnancov sektora verejnej správy</w:t>
            </w:r>
            <w:r>
              <w:rPr>
                <w:rFonts w:ascii="Times New Roman" w:eastAsia="Times New Roman" w:hAnsi="Times New Roman" w:cs="Times New Roman"/>
                <w:sz w:val="24"/>
                <w:szCs w:val="24"/>
              </w:rPr>
              <w:t xml:space="preserve"> </w:t>
            </w:r>
            <w:r w:rsidRPr="00BD0484">
              <w:rPr>
                <w:rFonts w:ascii="Times New Roman" w:eastAsia="Times New Roman" w:hAnsi="Times New Roman" w:cs="Times New Roman"/>
                <w:sz w:val="24"/>
                <w:szCs w:val="24"/>
              </w:rPr>
              <w:t>dopočítané na celkový poče</w:t>
            </w:r>
            <w:r>
              <w:rPr>
                <w:rFonts w:ascii="Times New Roman" w:eastAsia="Times New Roman" w:hAnsi="Times New Roman" w:cs="Times New Roman"/>
                <w:sz w:val="24"/>
                <w:szCs w:val="24"/>
              </w:rPr>
              <w:t>t zamestnancov sektoru verejnej správy</w:t>
            </w:r>
            <w:r w:rsidRPr="00BD04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B3607A">
              <w:rPr>
                <w:rFonts w:ascii="Times New Roman" w:eastAsia="Times New Roman" w:hAnsi="Times New Roman" w:cs="Times New Roman"/>
                <w:sz w:val="24"/>
                <w:szCs w:val="24"/>
              </w:rPr>
              <w:t>84982</w:t>
            </w:r>
            <w:r>
              <w:rPr>
                <w:rFonts w:ascii="Times New Roman" w:eastAsia="Times New Roman" w:hAnsi="Times New Roman" w:cs="Times New Roman"/>
                <w:sz w:val="24"/>
                <w:szCs w:val="24"/>
              </w:rPr>
              <w:t xml:space="preserve"> za </w:t>
            </w:r>
            <w:r w:rsidRPr="008F5058">
              <w:rPr>
                <w:rFonts w:ascii="Times New Roman" w:eastAsia="Times New Roman" w:hAnsi="Times New Roman" w:cs="Times New Roman"/>
                <w:sz w:val="24"/>
                <w:szCs w:val="24"/>
              </w:rPr>
              <w:t>ústredn</w:t>
            </w:r>
            <w:r>
              <w:rPr>
                <w:rFonts w:ascii="Times New Roman" w:eastAsia="Times New Roman" w:hAnsi="Times New Roman" w:cs="Times New Roman"/>
                <w:sz w:val="24"/>
                <w:szCs w:val="24"/>
              </w:rPr>
              <w:t>ú štátnu správu</w:t>
            </w:r>
            <w:r w:rsidR="00B3607A">
              <w:rPr>
                <w:rFonts w:ascii="Times New Roman" w:eastAsia="Times New Roman" w:hAnsi="Times New Roman" w:cs="Times New Roman"/>
                <w:sz w:val="24"/>
                <w:szCs w:val="24"/>
              </w:rPr>
              <w:t xml:space="preserve"> </w:t>
            </w:r>
            <w:r w:rsidR="00B3607A" w:rsidRPr="00801807">
              <w:rPr>
                <w:rFonts w:ascii="Times New Roman" w:eastAsia="Times New Roman" w:hAnsi="Times New Roman" w:cs="Times New Roman"/>
                <w:sz w:val="24"/>
                <w:szCs w:val="24"/>
              </w:rPr>
              <w:t>[</w:t>
            </w:r>
            <w:r w:rsidR="00B3607A">
              <w:rPr>
                <w:rFonts w:ascii="Times New Roman" w:eastAsia="Times New Roman" w:hAnsi="Times New Roman" w:cs="Times New Roman"/>
                <w:sz w:val="24"/>
                <w:szCs w:val="24"/>
              </w:rPr>
              <w:t>z toho 64148 zamestnancov samospráv vykonávajúcich prenesený výkon štátnej správy v školstve a financovaných priamo zo štátneho rozpočtu]</w:t>
            </w:r>
            <w:r>
              <w:rPr>
                <w:rFonts w:ascii="Times New Roman" w:eastAsia="Times New Roman" w:hAnsi="Times New Roman" w:cs="Times New Roman"/>
                <w:sz w:val="24"/>
                <w:szCs w:val="24"/>
              </w:rPr>
              <w:t>, 1</w:t>
            </w:r>
            <w:r w:rsidR="000736D1">
              <w:rPr>
                <w:rFonts w:ascii="Times New Roman" w:eastAsia="Times New Roman" w:hAnsi="Times New Roman" w:cs="Times New Roman"/>
                <w:sz w:val="24"/>
                <w:szCs w:val="24"/>
              </w:rPr>
              <w:t>29840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za samosprávu </w:t>
            </w:r>
            <w:r w:rsidR="00B3607A">
              <w:rPr>
                <w:rFonts w:ascii="Times New Roman" w:eastAsia="Times New Roman" w:hAnsi="Times New Roman" w:cs="Times New Roman"/>
                <w:sz w:val="24"/>
                <w:szCs w:val="24"/>
              </w:rPr>
              <w:t xml:space="preserve">[bez zamestnancov v prenesenom výkone štátnej správy v školstve] </w:t>
            </w:r>
            <w:r>
              <w:rPr>
                <w:rFonts w:ascii="Times New Roman" w:eastAsia="Times New Roman" w:hAnsi="Times New Roman" w:cs="Times New Roman"/>
                <w:sz w:val="24"/>
                <w:szCs w:val="24"/>
              </w:rPr>
              <w:t>a 7421 za fondy sociálneho a zdravotného poistenia)</w:t>
            </w:r>
            <w:r w:rsidRPr="00BD0484">
              <w:rPr>
                <w:rFonts w:ascii="Times New Roman" w:eastAsia="Times New Roman" w:hAnsi="Times New Roman" w:cs="Times New Roman"/>
                <w:sz w:val="24"/>
                <w:szCs w:val="24"/>
              </w:rPr>
              <w:t>.</w:t>
            </w:r>
          </w:p>
        </w:tc>
      </w:tr>
      <w:tr w:rsidR="00CA272B" w:rsidTr="007B33D3">
        <w:tc>
          <w:tcPr>
            <w:tcW w:w="3652" w:type="dxa"/>
          </w:tcPr>
          <w:p w:rsidR="00CA272B" w:rsidRPr="00BD0484" w:rsidRDefault="00CA272B" w:rsidP="009E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Hlavné predpoklady kvantifikácie</w:t>
            </w:r>
          </w:p>
        </w:tc>
        <w:tc>
          <w:tcPr>
            <w:tcW w:w="6379" w:type="dxa"/>
          </w:tcPr>
          <w:p w:rsidR="00C03ED7" w:rsidRDefault="00C03ED7" w:rsidP="00EB2C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-Kvantifikácia vyhodnocuje dopady zmeny výšky minimálnej mzdy z 580 eur na 62</w:t>
            </w:r>
            <w:r w:rsidR="0015762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eur. </w:t>
            </w:r>
          </w:p>
          <w:p w:rsidR="00C03ED7" w:rsidRDefault="00C03ED7" w:rsidP="00EB2CED">
            <w:pPr>
              <w:jc w:val="both"/>
              <w:rPr>
                <w:rFonts w:ascii="Times New Roman" w:eastAsia="Times New Roman" w:hAnsi="Times New Roman" w:cs="Times New Roman"/>
                <w:sz w:val="24"/>
                <w:szCs w:val="24"/>
              </w:rPr>
            </w:pPr>
          </w:p>
          <w:p w:rsidR="00EB2CED" w:rsidRPr="00EB2CED" w:rsidRDefault="00A7711E" w:rsidP="00EB2C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3DEF">
              <w:rPr>
                <w:rFonts w:ascii="Times New Roman" w:eastAsia="Times New Roman" w:hAnsi="Times New Roman" w:cs="Times New Roman"/>
                <w:sz w:val="24"/>
                <w:szCs w:val="24"/>
              </w:rPr>
              <w:t>V prípade osôb</w:t>
            </w:r>
            <w:r w:rsidR="00EB2CED" w:rsidRPr="00EB2CED">
              <w:rPr>
                <w:rFonts w:ascii="Times New Roman" w:eastAsia="Times New Roman" w:hAnsi="Times New Roman" w:cs="Times New Roman"/>
                <w:sz w:val="24"/>
                <w:szCs w:val="24"/>
              </w:rPr>
              <w:t xml:space="preserve"> odmeňovaných podľa zákona č. 55/2017 Z. z. o štátnej službe a o zmene a doplnení niektorých zákonov kvantifikácia zohľadnila, vychádzajúc z Makroekonomickej prognózy Inštitútu finančnej politiky z júna 2020, predpokladaný nárast </w:t>
            </w:r>
            <w:r w:rsidR="00EB2CED">
              <w:rPr>
                <w:rFonts w:ascii="Times New Roman" w:eastAsia="Times New Roman" w:hAnsi="Times New Roman" w:cs="Times New Roman"/>
                <w:sz w:val="24"/>
                <w:szCs w:val="24"/>
              </w:rPr>
              <w:t xml:space="preserve">mesačných </w:t>
            </w:r>
            <w:r w:rsidR="00EB2CED" w:rsidRPr="00EB2CED">
              <w:rPr>
                <w:rFonts w:ascii="Times New Roman" w:eastAsia="Times New Roman" w:hAnsi="Times New Roman" w:cs="Times New Roman"/>
                <w:sz w:val="24"/>
                <w:szCs w:val="24"/>
              </w:rPr>
              <w:t xml:space="preserve">tarifných platov </w:t>
            </w:r>
            <w:r w:rsidR="00EB2CED">
              <w:rPr>
                <w:rFonts w:ascii="Times New Roman" w:eastAsia="Times New Roman" w:hAnsi="Times New Roman" w:cs="Times New Roman"/>
                <w:sz w:val="24"/>
                <w:szCs w:val="24"/>
              </w:rPr>
              <w:t>d</w:t>
            </w:r>
            <w:r w:rsidR="00EB2CED" w:rsidRPr="00EB2CED">
              <w:rPr>
                <w:rFonts w:ascii="Times New Roman" w:eastAsia="Times New Roman" w:hAnsi="Times New Roman" w:cs="Times New Roman"/>
                <w:sz w:val="24"/>
                <w:szCs w:val="24"/>
              </w:rPr>
              <w:t>o</w:t>
            </w:r>
            <w:r w:rsidR="00EB2CED">
              <w:rPr>
                <w:rFonts w:ascii="Times New Roman" w:eastAsia="Times New Roman" w:hAnsi="Times New Roman" w:cs="Times New Roman"/>
                <w:sz w:val="24"/>
                <w:szCs w:val="24"/>
              </w:rPr>
              <w:t xml:space="preserve"> roku 2021 o 1,9 percent a tiež nárast</w:t>
            </w:r>
            <w:r w:rsidR="00EB2CED" w:rsidRPr="00EB2CED">
              <w:rPr>
                <w:rFonts w:ascii="Times New Roman" w:eastAsia="Times New Roman" w:hAnsi="Times New Roman" w:cs="Times New Roman"/>
                <w:sz w:val="24"/>
                <w:szCs w:val="24"/>
              </w:rPr>
              <w:t xml:space="preserve"> </w:t>
            </w:r>
            <w:r w:rsidR="00EB2CED">
              <w:rPr>
                <w:rFonts w:ascii="Times New Roman" w:eastAsia="Times New Roman" w:hAnsi="Times New Roman" w:cs="Times New Roman"/>
                <w:sz w:val="24"/>
                <w:szCs w:val="24"/>
              </w:rPr>
              <w:t xml:space="preserve">platov </w:t>
            </w:r>
            <w:r w:rsidR="00EB2CED" w:rsidRPr="00EB2CED">
              <w:rPr>
                <w:rFonts w:ascii="Times New Roman" w:eastAsia="Times New Roman" w:hAnsi="Times New Roman" w:cs="Times New Roman"/>
                <w:sz w:val="24"/>
                <w:szCs w:val="24"/>
              </w:rPr>
              <w:t>o 1 percento z dôvodu započítanej praxe.</w:t>
            </w:r>
          </w:p>
          <w:p w:rsidR="00C439B3" w:rsidRDefault="00C439B3" w:rsidP="00EB2CED">
            <w:pPr>
              <w:jc w:val="both"/>
              <w:rPr>
                <w:rFonts w:ascii="Times New Roman" w:eastAsia="Times New Roman" w:hAnsi="Times New Roman" w:cs="Times New Roman"/>
                <w:sz w:val="24"/>
                <w:szCs w:val="24"/>
              </w:rPr>
            </w:pPr>
          </w:p>
          <w:p w:rsidR="00CA272B" w:rsidRDefault="00A7711E" w:rsidP="00EB2C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2CED" w:rsidRPr="00EB2CED">
              <w:rPr>
                <w:rFonts w:ascii="Times New Roman" w:eastAsia="Times New Roman" w:hAnsi="Times New Roman" w:cs="Times New Roman"/>
                <w:sz w:val="24"/>
                <w:szCs w:val="24"/>
              </w:rPr>
              <w:t>V prípade  zamestnancov odmeňovaných podľa zákona č. 553/2003 Z. z. o odmeňovaní niektorých zamestnancov pri výkone práce vo verejnom záujme v znení neskorších predpisov predpokladala kvantifikácia</w:t>
            </w:r>
            <w:r w:rsidR="003126D3" w:rsidRPr="00EB2CED">
              <w:rPr>
                <w:rFonts w:ascii="Times New Roman" w:eastAsia="Times New Roman" w:hAnsi="Times New Roman" w:cs="Times New Roman"/>
                <w:sz w:val="24"/>
                <w:szCs w:val="24"/>
              </w:rPr>
              <w:t>, vychádzajúc z Makroekonomickej prognózy Inštitútu finančnej politiky z júna 2020,</w:t>
            </w:r>
            <w:r w:rsidR="00EB2CED" w:rsidRPr="00EB2CED">
              <w:rPr>
                <w:rFonts w:ascii="Times New Roman" w:eastAsia="Times New Roman" w:hAnsi="Times New Roman" w:cs="Times New Roman"/>
                <w:sz w:val="24"/>
                <w:szCs w:val="24"/>
              </w:rPr>
              <w:t xml:space="preserve"> nárast priemernej </w:t>
            </w:r>
            <w:r w:rsidR="0007038D">
              <w:rPr>
                <w:rFonts w:ascii="Times New Roman" w:eastAsia="Times New Roman" w:hAnsi="Times New Roman" w:cs="Times New Roman"/>
                <w:sz w:val="24"/>
                <w:szCs w:val="24"/>
              </w:rPr>
              <w:t xml:space="preserve">nominálnej </w:t>
            </w:r>
            <w:r w:rsidR="00EB2CED" w:rsidRPr="00EB2CED">
              <w:rPr>
                <w:rFonts w:ascii="Times New Roman" w:eastAsia="Times New Roman" w:hAnsi="Times New Roman" w:cs="Times New Roman"/>
                <w:sz w:val="24"/>
                <w:szCs w:val="24"/>
              </w:rPr>
              <w:t>mesačnej mzdy o 1,9 percent.</w:t>
            </w:r>
          </w:p>
          <w:p w:rsidR="00C439B3" w:rsidRDefault="00C439B3" w:rsidP="00EB2CED">
            <w:pPr>
              <w:jc w:val="both"/>
              <w:rPr>
                <w:rFonts w:ascii="Times New Roman" w:eastAsia="Times New Roman" w:hAnsi="Times New Roman" w:cs="Times New Roman"/>
                <w:sz w:val="24"/>
                <w:szCs w:val="24"/>
              </w:rPr>
            </w:pPr>
          </w:p>
          <w:p w:rsidR="00EB2CED" w:rsidRDefault="00A7711E" w:rsidP="00EB2C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2CED">
              <w:rPr>
                <w:rFonts w:ascii="Times New Roman" w:eastAsia="Times New Roman" w:hAnsi="Times New Roman" w:cs="Times New Roman"/>
                <w:sz w:val="24"/>
                <w:szCs w:val="24"/>
              </w:rPr>
              <w:t xml:space="preserve">Tiež </w:t>
            </w:r>
            <w:r w:rsidR="00EB2CED" w:rsidRPr="00EB2CED">
              <w:rPr>
                <w:rFonts w:ascii="Times New Roman" w:eastAsia="Times New Roman" w:hAnsi="Times New Roman" w:cs="Times New Roman"/>
                <w:sz w:val="24"/>
                <w:szCs w:val="24"/>
              </w:rPr>
              <w:t>vychádzajúc z Makroekonomickej prognózy Inštitútu finančnej politiky z júna 2020,</w:t>
            </w:r>
            <w:r w:rsidR="00EB2CED">
              <w:rPr>
                <w:rFonts w:ascii="Times New Roman" w:eastAsia="Times New Roman" w:hAnsi="Times New Roman" w:cs="Times New Roman"/>
                <w:sz w:val="24"/>
                <w:szCs w:val="24"/>
              </w:rPr>
              <w:t xml:space="preserve"> v prípade osôb zamestnaných </w:t>
            </w:r>
            <w:r w:rsidR="003126D3">
              <w:rPr>
                <w:rFonts w:ascii="Times New Roman" w:eastAsia="Times New Roman" w:hAnsi="Times New Roman" w:cs="Times New Roman"/>
                <w:sz w:val="24"/>
                <w:szCs w:val="24"/>
              </w:rPr>
              <w:t xml:space="preserve">v </w:t>
            </w:r>
            <w:r w:rsidR="00EB2CED" w:rsidRPr="00EF1E2A">
              <w:rPr>
                <w:rFonts w:ascii="Times New Roman" w:eastAsia="Times New Roman" w:hAnsi="Times New Roman" w:cs="Times New Roman"/>
                <w:sz w:val="24"/>
                <w:szCs w:val="24"/>
              </w:rPr>
              <w:t>s</w:t>
            </w:r>
            <w:r w:rsidR="00EB2CED">
              <w:rPr>
                <w:rFonts w:ascii="Times New Roman" w:eastAsia="Times New Roman" w:hAnsi="Times New Roman" w:cs="Times New Roman"/>
                <w:sz w:val="24"/>
                <w:szCs w:val="24"/>
              </w:rPr>
              <w:t xml:space="preserve">úkromnom sektore (Zákonník práce) predpokladala kvantifikácia </w:t>
            </w:r>
            <w:r>
              <w:rPr>
                <w:rFonts w:ascii="Times New Roman" w:eastAsia="Times New Roman" w:hAnsi="Times New Roman" w:cs="Times New Roman"/>
                <w:sz w:val="24"/>
                <w:szCs w:val="24"/>
              </w:rPr>
              <w:t xml:space="preserve">medziročný rast </w:t>
            </w:r>
            <w:r w:rsidR="0007038D">
              <w:rPr>
                <w:rFonts w:ascii="Times New Roman" w:eastAsia="Times New Roman" w:hAnsi="Times New Roman" w:cs="Times New Roman"/>
                <w:sz w:val="24"/>
                <w:szCs w:val="24"/>
              </w:rPr>
              <w:t xml:space="preserve">nominálnych </w:t>
            </w:r>
            <w:r>
              <w:rPr>
                <w:rFonts w:ascii="Times New Roman" w:eastAsia="Times New Roman" w:hAnsi="Times New Roman" w:cs="Times New Roman"/>
                <w:sz w:val="24"/>
                <w:szCs w:val="24"/>
              </w:rPr>
              <w:t>miezd o 3,6 percent.</w:t>
            </w:r>
            <w:r w:rsidR="000D3256">
              <w:rPr>
                <w:rStyle w:val="Odkaznapoznmkupodiarou"/>
                <w:rFonts w:ascii="Times New Roman" w:eastAsia="Times New Roman" w:hAnsi="Times New Roman" w:cs="Times New Roman"/>
                <w:sz w:val="24"/>
                <w:szCs w:val="24"/>
              </w:rPr>
              <w:footnoteReference w:id="2"/>
            </w:r>
          </w:p>
          <w:p w:rsidR="00C439B3" w:rsidRDefault="00C439B3" w:rsidP="00DB6F01">
            <w:pPr>
              <w:jc w:val="both"/>
              <w:rPr>
                <w:rFonts w:ascii="Times New Roman" w:eastAsia="Times New Roman" w:hAnsi="Times New Roman" w:cs="Times New Roman"/>
                <w:sz w:val="24"/>
                <w:szCs w:val="24"/>
              </w:rPr>
            </w:pPr>
          </w:p>
          <w:p w:rsidR="00DB6F01" w:rsidRDefault="00DB6F01" w:rsidP="00DB6F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súlade s analytickým výstupom IFP o daňovej a odvodovej progn</w:t>
            </w:r>
            <w:r w:rsidR="00B53725">
              <w:rPr>
                <w:rFonts w:ascii="Times New Roman" w:eastAsia="Times New Roman" w:hAnsi="Times New Roman" w:cs="Times New Roman"/>
                <w:sz w:val="24"/>
                <w:szCs w:val="24"/>
              </w:rPr>
              <w:t>óze na roky 2019-2023</w:t>
            </w:r>
            <w:r w:rsidR="00A151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bola efektívna sadzba DPH stanovená na 15,</w:t>
            </w:r>
            <w:r w:rsidR="00B66EB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percent.</w:t>
            </w:r>
            <w:r w:rsidR="006661A3">
              <w:rPr>
                <w:rStyle w:val="Odkaznapoznmkupodiarou"/>
                <w:rFonts w:ascii="Times New Roman" w:eastAsia="Times New Roman" w:hAnsi="Times New Roman" w:cs="Times New Roman"/>
                <w:sz w:val="24"/>
                <w:szCs w:val="24"/>
              </w:rPr>
              <w:t xml:space="preserve"> </w:t>
            </w:r>
            <w:r w:rsidR="006661A3">
              <w:rPr>
                <w:rStyle w:val="Odkaznapoznmkupodiarou"/>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r w:rsidR="003126D3">
              <w:rPr>
                <w:rFonts w:ascii="Times New Roman" w:eastAsia="Times New Roman" w:hAnsi="Times New Roman" w:cs="Times New Roman"/>
                <w:sz w:val="24"/>
                <w:szCs w:val="24"/>
              </w:rPr>
              <w:t>Vzhľadom na fakt, že ide o</w:t>
            </w:r>
            <w:r w:rsidR="00B53725">
              <w:rPr>
                <w:rFonts w:ascii="Times New Roman" w:eastAsia="Times New Roman" w:hAnsi="Times New Roman" w:cs="Times New Roman"/>
                <w:sz w:val="24"/>
                <w:szCs w:val="24"/>
              </w:rPr>
              <w:t> nárast disponibilných príjmov skôr</w:t>
            </w:r>
            <w:r w:rsidR="003126D3">
              <w:rPr>
                <w:rFonts w:ascii="Times New Roman" w:eastAsia="Times New Roman" w:hAnsi="Times New Roman" w:cs="Times New Roman"/>
                <w:sz w:val="24"/>
                <w:szCs w:val="24"/>
              </w:rPr>
              <w:t xml:space="preserve"> nízkopríjmových domácností, s</w:t>
            </w:r>
            <w:r>
              <w:rPr>
                <w:rFonts w:ascii="Times New Roman" w:eastAsia="Times New Roman" w:hAnsi="Times New Roman" w:cs="Times New Roman"/>
                <w:sz w:val="24"/>
                <w:szCs w:val="24"/>
              </w:rPr>
              <w:t>klon k spotrebe bol stanovený na úroveň 1.</w:t>
            </w:r>
          </w:p>
          <w:p w:rsidR="00C439B3" w:rsidRDefault="00C439B3" w:rsidP="00DB6F01">
            <w:pPr>
              <w:jc w:val="both"/>
              <w:rPr>
                <w:rFonts w:ascii="Times New Roman" w:eastAsia="Times New Roman" w:hAnsi="Times New Roman" w:cs="Times New Roman"/>
                <w:sz w:val="24"/>
                <w:szCs w:val="24"/>
              </w:rPr>
            </w:pPr>
          </w:p>
          <w:p w:rsidR="00A7711E" w:rsidRDefault="00DB6F01" w:rsidP="00DB6F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1A3">
              <w:rPr>
                <w:rFonts w:ascii="Times New Roman" w:eastAsia="Times New Roman" w:hAnsi="Times New Roman" w:cs="Times New Roman"/>
                <w:sz w:val="24"/>
                <w:szCs w:val="24"/>
              </w:rPr>
              <w:t>Daňová sadzba pre právnické osoby bola určená ako aritmetický priemer dvoch existujúcich daňových sadzieb dane z príjmov právnických osôb</w:t>
            </w:r>
            <w:r w:rsidR="007B33D3">
              <w:rPr>
                <w:rFonts w:ascii="Times New Roman" w:eastAsia="Times New Roman" w:hAnsi="Times New Roman" w:cs="Times New Roman"/>
                <w:sz w:val="24"/>
                <w:szCs w:val="24"/>
              </w:rPr>
              <w:t xml:space="preserve"> (15 a 21 percent)</w:t>
            </w:r>
            <w:r w:rsidR="006661A3">
              <w:rPr>
                <w:rFonts w:ascii="Times New Roman" w:eastAsia="Times New Roman" w:hAnsi="Times New Roman" w:cs="Times New Roman"/>
                <w:sz w:val="24"/>
                <w:szCs w:val="24"/>
              </w:rPr>
              <w:t>.</w:t>
            </w:r>
            <w:r w:rsidR="007B33D3">
              <w:rPr>
                <w:rFonts w:ascii="Times New Roman" w:eastAsia="Times New Roman" w:hAnsi="Times New Roman" w:cs="Times New Roman"/>
                <w:sz w:val="24"/>
                <w:szCs w:val="24"/>
              </w:rPr>
              <w:t xml:space="preserve"> Takto získaná daňová sadzba (18 percent) sa následne použila pri výpočte poklesu príjmov z dane z príjmov právnických osôb</w:t>
            </w:r>
            <w:r w:rsidR="006967B1">
              <w:rPr>
                <w:rFonts w:ascii="Times New Roman" w:eastAsia="Times New Roman" w:hAnsi="Times New Roman" w:cs="Times New Roman"/>
                <w:sz w:val="24"/>
                <w:szCs w:val="24"/>
              </w:rPr>
              <w:t>.</w:t>
            </w:r>
            <w:r w:rsidR="006661A3">
              <w:rPr>
                <w:rFonts w:ascii="Times New Roman" w:eastAsia="Times New Roman" w:hAnsi="Times New Roman" w:cs="Times New Roman"/>
                <w:sz w:val="24"/>
                <w:szCs w:val="24"/>
              </w:rPr>
              <w:t xml:space="preserve"> </w:t>
            </w:r>
          </w:p>
          <w:p w:rsidR="00C439B3" w:rsidRDefault="00C439B3" w:rsidP="00C439B3">
            <w:pPr>
              <w:jc w:val="both"/>
              <w:rPr>
                <w:rFonts w:ascii="Times New Roman" w:eastAsia="Times New Roman" w:hAnsi="Times New Roman" w:cs="Times New Roman"/>
                <w:sz w:val="24"/>
                <w:szCs w:val="24"/>
              </w:rPr>
            </w:pPr>
          </w:p>
          <w:p w:rsidR="007B33D3" w:rsidRDefault="007B33D3" w:rsidP="00C439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439B3">
              <w:rPr>
                <w:rFonts w:ascii="Times New Roman" w:eastAsia="Times New Roman" w:hAnsi="Times New Roman" w:cs="Times New Roman"/>
                <w:sz w:val="24"/>
                <w:szCs w:val="24"/>
              </w:rPr>
              <w:t>Nakoľko sa predpokladá, že väčšina fyzických osôb – podnikateľov má príjmy do 100 tisíc eur, d</w:t>
            </w:r>
            <w:r w:rsidR="006967B1">
              <w:rPr>
                <w:rFonts w:ascii="Times New Roman" w:eastAsia="Times New Roman" w:hAnsi="Times New Roman" w:cs="Times New Roman"/>
                <w:sz w:val="24"/>
                <w:szCs w:val="24"/>
              </w:rPr>
              <w:t xml:space="preserve">aňová sadzba </w:t>
            </w:r>
            <w:r w:rsidR="003126D3">
              <w:rPr>
                <w:rFonts w:ascii="Times New Roman" w:eastAsia="Times New Roman" w:hAnsi="Times New Roman" w:cs="Times New Roman"/>
                <w:sz w:val="24"/>
                <w:szCs w:val="24"/>
              </w:rPr>
              <w:t xml:space="preserve">dane z príjmov </w:t>
            </w:r>
            <w:r w:rsidR="006967B1">
              <w:rPr>
                <w:rFonts w:ascii="Times New Roman" w:eastAsia="Times New Roman" w:hAnsi="Times New Roman" w:cs="Times New Roman"/>
                <w:sz w:val="24"/>
                <w:szCs w:val="24"/>
              </w:rPr>
              <w:t>fyzických osôb – podnikateľov, ktorí s</w:t>
            </w:r>
            <w:r w:rsidR="00C439B3">
              <w:rPr>
                <w:rFonts w:ascii="Times New Roman" w:eastAsia="Times New Roman" w:hAnsi="Times New Roman" w:cs="Times New Roman"/>
                <w:sz w:val="24"/>
                <w:szCs w:val="24"/>
              </w:rPr>
              <w:t>ú ako</w:t>
            </w:r>
            <w:r w:rsidR="006967B1">
              <w:rPr>
                <w:rFonts w:ascii="Times New Roman" w:eastAsia="Times New Roman" w:hAnsi="Times New Roman" w:cs="Times New Roman"/>
                <w:sz w:val="24"/>
                <w:szCs w:val="24"/>
              </w:rPr>
              <w:t xml:space="preserve"> zamestnávate</w:t>
            </w:r>
            <w:r w:rsidR="00C439B3">
              <w:rPr>
                <w:rFonts w:ascii="Times New Roman" w:eastAsia="Times New Roman" w:hAnsi="Times New Roman" w:cs="Times New Roman"/>
                <w:sz w:val="24"/>
                <w:szCs w:val="24"/>
              </w:rPr>
              <w:t xml:space="preserve">lia dotknutí nárastom minimálnej mzdy je odhadovaná na 15 percent (v súlade so zákonom </w:t>
            </w:r>
            <w:r w:rsidR="00C439B3" w:rsidRPr="00C439B3">
              <w:rPr>
                <w:rFonts w:ascii="Times New Roman" w:eastAsia="Times New Roman" w:hAnsi="Times New Roman" w:cs="Times New Roman"/>
                <w:sz w:val="24"/>
                <w:szCs w:val="24"/>
              </w:rPr>
              <w:t>595/2003 Z. z. o dani z príjm</w:t>
            </w:r>
            <w:r w:rsidR="00C439B3">
              <w:rPr>
                <w:rFonts w:ascii="Times New Roman" w:eastAsia="Times New Roman" w:hAnsi="Times New Roman" w:cs="Times New Roman"/>
                <w:sz w:val="24"/>
                <w:szCs w:val="24"/>
              </w:rPr>
              <w:t>ov v znení neskorších predpisov).</w:t>
            </w:r>
          </w:p>
          <w:p w:rsidR="00C439B3" w:rsidRDefault="00C439B3" w:rsidP="00C439B3">
            <w:pPr>
              <w:jc w:val="both"/>
              <w:rPr>
                <w:rFonts w:ascii="Times New Roman" w:eastAsia="Times New Roman" w:hAnsi="Times New Roman" w:cs="Times New Roman"/>
                <w:sz w:val="24"/>
                <w:szCs w:val="24"/>
              </w:rPr>
            </w:pPr>
          </w:p>
          <w:p w:rsidR="00C439B3" w:rsidRDefault="00C439B3" w:rsidP="00C439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-Vzhľadom na statický charakter odhadu, kvantifikácia predpokladá úplné premietnutie nárastu výdavkov na mzdy a iné platby zamestnancom </w:t>
            </w:r>
            <w:r w:rsidR="00B5307F">
              <w:rPr>
                <w:rFonts w:ascii="Times New Roman" w:eastAsia="Times New Roman" w:hAnsi="Times New Roman" w:cs="Times New Roman"/>
                <w:sz w:val="24"/>
                <w:szCs w:val="24"/>
              </w:rPr>
              <w:t xml:space="preserve">a na ne nadväzujúce odvody do poklesu daňového základu </w:t>
            </w:r>
            <w:r w:rsidR="00B53725">
              <w:rPr>
                <w:rFonts w:ascii="Times New Roman" w:eastAsia="Times New Roman" w:hAnsi="Times New Roman" w:cs="Times New Roman"/>
                <w:sz w:val="24"/>
                <w:szCs w:val="24"/>
              </w:rPr>
              <w:t xml:space="preserve">ich </w:t>
            </w:r>
            <w:r w:rsidR="00B5307F">
              <w:rPr>
                <w:rFonts w:ascii="Times New Roman" w:eastAsia="Times New Roman" w:hAnsi="Times New Roman" w:cs="Times New Roman"/>
                <w:sz w:val="24"/>
                <w:szCs w:val="24"/>
              </w:rPr>
              <w:t>zamestnávateľov.</w:t>
            </w:r>
            <w:r w:rsidR="003126D3">
              <w:rPr>
                <w:rFonts w:ascii="Times New Roman" w:eastAsia="Times New Roman" w:hAnsi="Times New Roman" w:cs="Times New Roman"/>
                <w:sz w:val="24"/>
                <w:szCs w:val="24"/>
              </w:rPr>
              <w:t xml:space="preserve"> Tento pokles následne negatívne ovplyvní daň z príjmov.</w:t>
            </w:r>
          </w:p>
          <w:p w:rsidR="006003E2" w:rsidRDefault="006003E2" w:rsidP="00C439B3">
            <w:pPr>
              <w:jc w:val="both"/>
              <w:rPr>
                <w:rFonts w:ascii="Times New Roman" w:eastAsia="Times New Roman" w:hAnsi="Times New Roman" w:cs="Times New Roman"/>
                <w:sz w:val="24"/>
                <w:szCs w:val="24"/>
              </w:rPr>
            </w:pPr>
          </w:p>
          <w:p w:rsidR="00B5307F" w:rsidRPr="007B33D3" w:rsidRDefault="006003E2" w:rsidP="00C439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003E2">
              <w:rPr>
                <w:rFonts w:ascii="Times New Roman" w:eastAsia="Times New Roman" w:hAnsi="Times New Roman" w:cs="Times New Roman"/>
                <w:sz w:val="24"/>
                <w:szCs w:val="24"/>
              </w:rPr>
              <w:t xml:space="preserve">Suma odvodov </w:t>
            </w:r>
            <w:r>
              <w:rPr>
                <w:rFonts w:ascii="Times New Roman" w:eastAsia="Times New Roman" w:hAnsi="Times New Roman" w:cs="Times New Roman"/>
                <w:sz w:val="24"/>
                <w:szCs w:val="24"/>
              </w:rPr>
              <w:t xml:space="preserve">na zdravotné poistenie </w:t>
            </w:r>
            <w:r w:rsidRPr="006003E2">
              <w:rPr>
                <w:rFonts w:ascii="Times New Roman" w:eastAsia="Times New Roman" w:hAnsi="Times New Roman" w:cs="Times New Roman"/>
                <w:sz w:val="24"/>
                <w:szCs w:val="24"/>
              </w:rPr>
              <w:t>je príjmom zdravotných poisťovní a zároveň sa v danom roku uvádzajú aj ako výdavky zdravotných poisťovní. Ako prostriedky zdravotných poisťovní sú tak súčasťou celkových výdavkov zdravotných poisťovní v pr</w:t>
            </w:r>
            <w:r>
              <w:rPr>
                <w:rFonts w:ascii="Times New Roman" w:eastAsia="Times New Roman" w:hAnsi="Times New Roman" w:cs="Times New Roman"/>
                <w:sz w:val="24"/>
                <w:szCs w:val="24"/>
              </w:rPr>
              <w:t>ospech zdravotníckych zariadení.</w:t>
            </w:r>
          </w:p>
        </w:tc>
      </w:tr>
    </w:tbl>
    <w:p w:rsidR="008919A0" w:rsidRDefault="00631D94" w:rsidP="00CD2466">
      <w:pPr>
        <w:spacing w:after="0" w:line="240" w:lineRule="auto"/>
        <w:rPr>
          <w:rFonts w:ascii="Times New Roman" w:eastAsia="Times New Roman" w:hAnsi="Times New Roman" w:cs="Times New Roman"/>
          <w:b/>
          <w:bCs/>
          <w:iCs/>
          <w:sz w:val="24"/>
          <w:szCs w:val="24"/>
        </w:rPr>
      </w:pPr>
      <w:r w:rsidRPr="00EC6989">
        <w:rPr>
          <w:rFonts w:ascii="Times New Roman" w:eastAsia="Times New Roman" w:hAnsi="Times New Roman" w:cs="Times New Roman"/>
          <w:b/>
          <w:bCs/>
          <w:iCs/>
          <w:sz w:val="24"/>
          <w:szCs w:val="24"/>
        </w:rPr>
        <w:lastRenderedPageBreak/>
        <w:t>2.2.4.1 Kvantifikácia príjmov</w:t>
      </w:r>
    </w:p>
    <w:p w:rsidR="002637EF" w:rsidRPr="00CE11A7" w:rsidRDefault="002637EF" w:rsidP="000233E5">
      <w:pPr>
        <w:spacing w:after="0" w:line="240" w:lineRule="auto"/>
        <w:rPr>
          <w:rFonts w:ascii="Times New Roman" w:eastAsia="Times New Roman" w:hAnsi="Times New Roman" w:cs="Times New Roman"/>
          <w:bCs/>
          <w:iCs/>
          <w:sz w:val="20"/>
          <w:szCs w:val="20"/>
        </w:rPr>
      </w:pPr>
      <w:r w:rsidRPr="000233E5">
        <w:rPr>
          <w:rFonts w:ascii="Times New Roman" w:eastAsia="Times New Roman" w:hAnsi="Times New Roman" w:cs="Times New Roman"/>
          <w:bCs/>
          <w:iCs/>
          <w:sz w:val="20"/>
          <w:szCs w:val="20"/>
        </w:rPr>
        <w:t>Ide o kva</w:t>
      </w:r>
      <w:r w:rsidR="00CE11A7">
        <w:rPr>
          <w:rFonts w:ascii="Times New Roman" w:eastAsia="Times New Roman" w:hAnsi="Times New Roman" w:cs="Times New Roman"/>
          <w:bCs/>
          <w:iCs/>
          <w:sz w:val="20"/>
          <w:szCs w:val="20"/>
        </w:rPr>
        <w:t>ntifikáciu príjmov na rok 2021.</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ook w:val="04A0" w:firstRow="1" w:lastRow="0" w:firstColumn="1" w:lastColumn="0" w:noHBand="0" w:noVBand="1"/>
      </w:tblPr>
      <w:tblGrid>
        <w:gridCol w:w="5400"/>
        <w:gridCol w:w="3971"/>
      </w:tblGrid>
      <w:tr w:rsidR="00A23BBD" w:rsidRPr="00CE11A7" w:rsidTr="007957E6">
        <w:trPr>
          <w:trHeight w:val="300"/>
        </w:trPr>
        <w:tc>
          <w:tcPr>
            <w:tcW w:w="5400" w:type="dxa"/>
            <w:shd w:val="clear" w:color="000000" w:fill="FFFFFF" w:themeFill="background1"/>
            <w:noWrap/>
            <w:vAlign w:val="center"/>
            <w:hideMark/>
          </w:tcPr>
          <w:p w:rsidR="00A23BBD" w:rsidRPr="00CE11A7" w:rsidRDefault="00A23BBD"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Vplyvy na rozpočet verejnej správy</w:t>
            </w:r>
          </w:p>
        </w:tc>
        <w:tc>
          <w:tcPr>
            <w:tcW w:w="3971" w:type="dxa"/>
            <w:shd w:val="clear" w:color="000000" w:fill="FFFFFF" w:themeFill="background1"/>
            <w:noWrap/>
            <w:vAlign w:val="center"/>
            <w:hideMark/>
          </w:tcPr>
          <w:p w:rsidR="00A23BBD" w:rsidRPr="00CE11A7" w:rsidRDefault="00A23BBD" w:rsidP="007957E6">
            <w:pPr>
              <w:spacing w:after="0" w:line="240" w:lineRule="auto"/>
              <w:jc w:val="right"/>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2021</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b/>
                <w:bCs/>
                <w:sz w:val="20"/>
                <w:szCs w:val="20"/>
                <w:lang w:eastAsia="en-US"/>
              </w:rPr>
            </w:pPr>
            <w:r w:rsidRPr="00CE11A7">
              <w:rPr>
                <w:rFonts w:ascii="Times New Roman" w:eastAsia="Times New Roman" w:hAnsi="Times New Roman" w:cs="Times New Roman"/>
                <w:b/>
                <w:bCs/>
                <w:sz w:val="20"/>
                <w:szCs w:val="20"/>
                <w:lang w:eastAsia="en-US"/>
              </w:rPr>
              <w:t>Príjmy verejnej správy celkom</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26 242 892,58 €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v tom:</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Sociálna poisťovňa</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17 058 419,03 €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zdravotné poisťovne</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6 909 058,27 €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štátny rozpočet v položke 111</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štátny rozpočet v položke 131</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5 244 655,63 €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štátny rozpočet v položke 112 - DPPO</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-10 273 367,24 €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rozpočet obcí v položke 111</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5 095 578,07 €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rozpočet VÚC v položke 111</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2 183 819,17 €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rozpočet obcí (transfer z MV SR)</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24 729,64 €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 xml:space="preserve">z toho: </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 vplyv na ŠR</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-5 053 441,25 €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 vplyv na územnú samosprávu</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7 304 126,89 €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 xml:space="preserve"> - v tom vplyv na príjmy VÚC</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2 183 819,17 € </w:t>
            </w:r>
          </w:p>
        </w:tc>
      </w:tr>
      <w:tr w:rsidR="00C25D1A" w:rsidRPr="00CE11A7" w:rsidTr="007957E6">
        <w:trPr>
          <w:trHeight w:val="300"/>
        </w:trPr>
        <w:tc>
          <w:tcPr>
            <w:tcW w:w="5400" w:type="dxa"/>
            <w:shd w:val="clear" w:color="000000" w:fill="FFFFFF" w:themeFill="background1"/>
            <w:noWrap/>
            <w:vAlign w:val="center"/>
            <w:hideMark/>
          </w:tcPr>
          <w:p w:rsidR="00C25D1A" w:rsidRPr="00CE11A7" w:rsidRDefault="00C25D1A" w:rsidP="007957E6">
            <w:pPr>
              <w:spacing w:after="0" w:line="240" w:lineRule="auto"/>
              <w:rPr>
                <w:rFonts w:ascii="Times New Roman" w:eastAsia="Times New Roman" w:hAnsi="Times New Roman" w:cs="Times New Roman"/>
                <w:sz w:val="20"/>
                <w:szCs w:val="20"/>
                <w:lang w:eastAsia="en-US"/>
              </w:rPr>
            </w:pPr>
            <w:r w:rsidRPr="00CE11A7">
              <w:rPr>
                <w:rFonts w:ascii="Times New Roman" w:eastAsia="Times New Roman" w:hAnsi="Times New Roman" w:cs="Times New Roman"/>
                <w:sz w:val="20"/>
                <w:szCs w:val="20"/>
                <w:lang w:eastAsia="en-US"/>
              </w:rPr>
              <w:t xml:space="preserve"> - v tom vplyv na príjmy obcí</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5 120 307,71 € </w:t>
            </w:r>
          </w:p>
        </w:tc>
      </w:tr>
    </w:tbl>
    <w:p w:rsidR="00631D94" w:rsidRPr="000233E5" w:rsidRDefault="00631D94" w:rsidP="000233E5">
      <w:pPr>
        <w:spacing w:after="0" w:line="240" w:lineRule="auto"/>
        <w:rPr>
          <w:rFonts w:ascii="Times New Roman" w:eastAsia="Times New Roman" w:hAnsi="Times New Roman" w:cs="Times New Roman"/>
          <w:b/>
          <w:bCs/>
          <w:iCs/>
          <w:sz w:val="20"/>
          <w:szCs w:val="20"/>
        </w:rPr>
      </w:pPr>
      <w:r w:rsidRPr="000233E5">
        <w:rPr>
          <w:rFonts w:ascii="Times New Roman" w:eastAsia="Times New Roman" w:hAnsi="Times New Roman" w:cs="Times New Roman"/>
          <w:b/>
          <w:bCs/>
          <w:iCs/>
          <w:sz w:val="20"/>
          <w:szCs w:val="20"/>
        </w:rPr>
        <w:t>2.2.4.2 Kvantifikácia výdavkov</w:t>
      </w:r>
    </w:p>
    <w:p w:rsidR="002743B8" w:rsidRPr="000233E5" w:rsidRDefault="002637EF" w:rsidP="000233E5">
      <w:pPr>
        <w:spacing w:after="0" w:line="240" w:lineRule="auto"/>
        <w:rPr>
          <w:rFonts w:ascii="Times New Roman" w:eastAsia="Times New Roman" w:hAnsi="Times New Roman" w:cs="Times New Roman"/>
          <w:bCs/>
          <w:iCs/>
          <w:sz w:val="20"/>
          <w:szCs w:val="20"/>
        </w:rPr>
      </w:pPr>
      <w:r w:rsidRPr="000233E5">
        <w:rPr>
          <w:rFonts w:ascii="Times New Roman" w:eastAsia="Times New Roman" w:hAnsi="Times New Roman" w:cs="Times New Roman"/>
          <w:bCs/>
          <w:iCs/>
          <w:sz w:val="20"/>
          <w:szCs w:val="20"/>
        </w:rPr>
        <w:t>Ide o kvantifikáciu výdavkov na rok 2021</w:t>
      </w:r>
      <w:r w:rsidR="00015E5F">
        <w:rPr>
          <w:rFonts w:ascii="Times New Roman" w:eastAsia="Times New Roman" w:hAnsi="Times New Roman" w:cs="Times New Roman"/>
          <w:bCs/>
          <w:iCs/>
          <w:sz w:val="20"/>
          <w:szCs w:val="20"/>
        </w:rPr>
        <w:t>.</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ook w:val="04A0" w:firstRow="1" w:lastRow="0" w:firstColumn="1" w:lastColumn="0" w:noHBand="0" w:noVBand="1"/>
      </w:tblPr>
      <w:tblGrid>
        <w:gridCol w:w="5400"/>
        <w:gridCol w:w="3971"/>
      </w:tblGrid>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b/>
                <w:bCs/>
                <w:sz w:val="20"/>
                <w:szCs w:val="20"/>
                <w:lang w:eastAsia="en-US"/>
              </w:rPr>
            </w:pPr>
            <w:r w:rsidRPr="000233E5">
              <w:rPr>
                <w:rFonts w:ascii="Times New Roman" w:eastAsia="Times New Roman" w:hAnsi="Times New Roman" w:cs="Times New Roman"/>
                <w:b/>
                <w:bCs/>
                <w:sz w:val="20"/>
                <w:szCs w:val="20"/>
                <w:lang w:eastAsia="en-US"/>
              </w:rPr>
              <w:t>Výdavky verejnej správy celkom</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16 015 916,18 €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v tom:</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Nárast výdavkov na mzdy a mzdové zvýhodnenia</w:t>
            </w:r>
            <w:r>
              <w:rPr>
                <w:rFonts w:ascii="Times New Roman" w:eastAsia="Times New Roman" w:hAnsi="Times New Roman" w:cs="Times New Roman"/>
                <w:sz w:val="20"/>
                <w:szCs w:val="20"/>
                <w:lang w:eastAsia="en-US"/>
              </w:rPr>
              <w:t>/príplatky</w:t>
            </w:r>
            <w:r w:rsidRPr="000233E5">
              <w:rPr>
                <w:rFonts w:ascii="Times New Roman" w:eastAsia="Times New Roman" w:hAnsi="Times New Roman" w:cs="Times New Roman"/>
                <w:sz w:val="20"/>
                <w:szCs w:val="20"/>
                <w:lang w:eastAsia="en-US"/>
              </w:rPr>
              <w:t xml:space="preserve"> vo VS</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6 729 995,01 €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Odvod zdravotného poistenia v prospech ZP</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672 999,50 €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Odvod sociálneho poistenia v prospech SP</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1 679 133,76 €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Ministerstvo vnútra SR, transfer obciam</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24 729,64 €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Výdavky zdravotných poisťovní</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6 909 058,27 €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xml:space="preserve">z toho: </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vplyv na ŠR</w:t>
            </w:r>
          </w:p>
        </w:tc>
        <w:tc>
          <w:tcPr>
            <w:tcW w:w="3971" w:type="dxa"/>
            <w:shd w:val="clear" w:color="000000" w:fill="FFFFFF" w:themeFill="background1"/>
            <w:noWrap/>
            <w:vAlign w:val="center"/>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5 441 914,12 €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vplyv na územnú samosprávu</w:t>
            </w:r>
          </w:p>
        </w:tc>
        <w:tc>
          <w:tcPr>
            <w:tcW w:w="3971" w:type="dxa"/>
            <w:shd w:val="clear" w:color="000000" w:fill="FFFFFF" w:themeFill="background1"/>
            <w:noWrap/>
            <w:vAlign w:val="center"/>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3 648 569,54 €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xml:space="preserve">  - v tom vplyv na výdavky VÚC</w:t>
            </w:r>
          </w:p>
        </w:tc>
        <w:tc>
          <w:tcPr>
            <w:tcW w:w="3971" w:type="dxa"/>
            <w:shd w:val="clear" w:color="000000" w:fill="FFFFFF" w:themeFill="background1"/>
            <w:noWrap/>
            <w:vAlign w:val="center"/>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617 775,55 €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xml:space="preserve">  - v tom vplyv na výdavky obcí </w:t>
            </w:r>
          </w:p>
        </w:tc>
        <w:tc>
          <w:tcPr>
            <w:tcW w:w="3971" w:type="dxa"/>
            <w:shd w:val="clear" w:color="000000" w:fill="FFFFFF" w:themeFill="background1"/>
            <w:noWrap/>
            <w:vAlign w:val="center"/>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3 030 793,99 €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xml:space="preserve">Vplyv na mzdové výdavky </w:t>
            </w:r>
            <w:r>
              <w:rPr>
                <w:rFonts w:ascii="Times New Roman" w:eastAsia="Times New Roman" w:hAnsi="Times New Roman" w:cs="Times New Roman"/>
                <w:sz w:val="20"/>
                <w:szCs w:val="20"/>
                <w:lang w:eastAsia="en-US"/>
              </w:rPr>
              <w:t>fondov soc. a zdrav. p</w:t>
            </w:r>
            <w:r w:rsidRPr="000233E5">
              <w:rPr>
                <w:rFonts w:ascii="Times New Roman" w:eastAsia="Times New Roman" w:hAnsi="Times New Roman" w:cs="Times New Roman"/>
                <w:sz w:val="20"/>
                <w:szCs w:val="20"/>
                <w:lang w:eastAsia="en-US"/>
              </w:rPr>
              <w:t>oistenia</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 16 374,25 € </w:t>
            </w:r>
          </w:p>
        </w:tc>
      </w:tr>
      <w:tr w:rsidR="00C25D1A" w:rsidRPr="000233E5" w:rsidTr="009E4D2C">
        <w:trPr>
          <w:trHeight w:val="300"/>
        </w:trPr>
        <w:tc>
          <w:tcPr>
            <w:tcW w:w="5400" w:type="dxa"/>
            <w:shd w:val="clear" w:color="000000" w:fill="FFFFFF" w:themeFill="background1"/>
            <w:noWrap/>
            <w:vAlign w:val="bottom"/>
            <w:hideMark/>
          </w:tcPr>
          <w:p w:rsidR="00C25D1A" w:rsidRPr="000233E5" w:rsidRDefault="00C25D1A"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 xml:space="preserve">Celková zamestnanosť </w:t>
            </w:r>
          </w:p>
        </w:tc>
        <w:tc>
          <w:tcPr>
            <w:tcW w:w="3971" w:type="dxa"/>
            <w:shd w:val="clear" w:color="000000" w:fill="FFFFFF" w:themeFill="background1"/>
            <w:noWrap/>
            <w:vAlign w:val="center"/>
            <w:hideMark/>
          </w:tcPr>
          <w:p w:rsidR="00C25D1A" w:rsidRPr="004F35AA" w:rsidRDefault="00C25D1A" w:rsidP="00B363DB">
            <w:pPr>
              <w:spacing w:after="0"/>
              <w:jc w:val="right"/>
              <w:rPr>
                <w:rFonts w:ascii="Times New Roman" w:hAnsi="Times New Roman" w:cs="Times New Roman"/>
              </w:rPr>
            </w:pPr>
            <w:r w:rsidRPr="004F35AA">
              <w:rPr>
                <w:rFonts w:ascii="Times New Roman" w:hAnsi="Times New Roman" w:cs="Times New Roman"/>
              </w:rPr>
              <w:t xml:space="preserve">0,00 </w:t>
            </w:r>
          </w:p>
        </w:tc>
      </w:tr>
      <w:tr w:rsidR="007957E6" w:rsidRPr="000233E5" w:rsidTr="00B66EBA">
        <w:trPr>
          <w:trHeight w:val="300"/>
        </w:trPr>
        <w:tc>
          <w:tcPr>
            <w:tcW w:w="5400" w:type="dxa"/>
            <w:shd w:val="clear" w:color="000000" w:fill="FFFFFF" w:themeFill="background1"/>
            <w:noWrap/>
            <w:vAlign w:val="bottom"/>
            <w:hideMark/>
          </w:tcPr>
          <w:p w:rsidR="007957E6" w:rsidRPr="000233E5" w:rsidRDefault="007957E6"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lastRenderedPageBreak/>
              <w:t>- z toho vplyv na ŠR</w:t>
            </w:r>
          </w:p>
        </w:tc>
        <w:tc>
          <w:tcPr>
            <w:tcW w:w="3971" w:type="dxa"/>
            <w:shd w:val="clear" w:color="000000" w:fill="FFFFFF" w:themeFill="background1"/>
            <w:noWrap/>
            <w:hideMark/>
          </w:tcPr>
          <w:p w:rsidR="007957E6" w:rsidRPr="007957E6" w:rsidRDefault="007957E6" w:rsidP="000233E5">
            <w:pPr>
              <w:spacing w:after="0"/>
              <w:jc w:val="right"/>
              <w:rPr>
                <w:rFonts w:ascii="Times New Roman" w:hAnsi="Times New Roman" w:cs="Times New Roman"/>
                <w:sz w:val="20"/>
                <w:szCs w:val="20"/>
              </w:rPr>
            </w:pPr>
            <w:r w:rsidRPr="007957E6">
              <w:rPr>
                <w:rFonts w:ascii="Times New Roman" w:hAnsi="Times New Roman" w:cs="Times New Roman"/>
              </w:rPr>
              <w:t xml:space="preserve">0,00 </w:t>
            </w:r>
          </w:p>
        </w:tc>
      </w:tr>
      <w:tr w:rsidR="007957E6" w:rsidRPr="000233E5" w:rsidTr="00B66EBA">
        <w:trPr>
          <w:trHeight w:val="300"/>
        </w:trPr>
        <w:tc>
          <w:tcPr>
            <w:tcW w:w="5400" w:type="dxa"/>
            <w:shd w:val="clear" w:color="000000" w:fill="FFFFFF" w:themeFill="background1"/>
            <w:noWrap/>
            <w:vAlign w:val="bottom"/>
            <w:hideMark/>
          </w:tcPr>
          <w:p w:rsidR="007957E6" w:rsidRPr="000233E5" w:rsidRDefault="007957E6"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Financovanie zabezpečené v rozpočte</w:t>
            </w:r>
          </w:p>
        </w:tc>
        <w:tc>
          <w:tcPr>
            <w:tcW w:w="3971" w:type="dxa"/>
            <w:shd w:val="clear" w:color="000000" w:fill="FFFFFF" w:themeFill="background1"/>
            <w:noWrap/>
            <w:hideMark/>
          </w:tcPr>
          <w:p w:rsidR="007957E6" w:rsidRPr="007957E6" w:rsidRDefault="007957E6" w:rsidP="000233E5">
            <w:pPr>
              <w:spacing w:after="0"/>
              <w:jc w:val="right"/>
              <w:rPr>
                <w:rFonts w:ascii="Times New Roman" w:hAnsi="Times New Roman" w:cs="Times New Roman"/>
                <w:sz w:val="20"/>
                <w:szCs w:val="20"/>
              </w:rPr>
            </w:pPr>
            <w:r w:rsidRPr="007957E6">
              <w:rPr>
                <w:rFonts w:ascii="Times New Roman" w:hAnsi="Times New Roman" w:cs="Times New Roman"/>
              </w:rPr>
              <w:t xml:space="preserve"> 9 106 857,91 € </w:t>
            </w:r>
          </w:p>
        </w:tc>
      </w:tr>
      <w:tr w:rsidR="007957E6" w:rsidRPr="000233E5" w:rsidTr="00B66EBA">
        <w:trPr>
          <w:trHeight w:val="300"/>
        </w:trPr>
        <w:tc>
          <w:tcPr>
            <w:tcW w:w="5400" w:type="dxa"/>
            <w:shd w:val="clear" w:color="000000" w:fill="FFFFFF" w:themeFill="background1"/>
            <w:noWrap/>
            <w:vAlign w:val="bottom"/>
            <w:hideMark/>
          </w:tcPr>
          <w:p w:rsidR="007957E6" w:rsidRPr="000233E5" w:rsidRDefault="007957E6" w:rsidP="000233E5">
            <w:pPr>
              <w:spacing w:after="0" w:line="240" w:lineRule="auto"/>
              <w:rPr>
                <w:rFonts w:ascii="Times New Roman" w:eastAsia="Times New Roman" w:hAnsi="Times New Roman" w:cs="Times New Roman"/>
                <w:sz w:val="20"/>
                <w:szCs w:val="20"/>
                <w:lang w:eastAsia="en-US"/>
              </w:rPr>
            </w:pPr>
            <w:r w:rsidRPr="000233E5">
              <w:rPr>
                <w:rFonts w:ascii="Times New Roman" w:eastAsia="Times New Roman" w:hAnsi="Times New Roman" w:cs="Times New Roman"/>
                <w:sz w:val="20"/>
                <w:szCs w:val="20"/>
                <w:lang w:eastAsia="en-US"/>
              </w:rPr>
              <w:t>v tom: za každý subjekt verejnej správy / program zvlášť</w:t>
            </w:r>
          </w:p>
        </w:tc>
        <w:tc>
          <w:tcPr>
            <w:tcW w:w="3971" w:type="dxa"/>
            <w:shd w:val="clear" w:color="000000" w:fill="FFFFFF" w:themeFill="background1"/>
            <w:noWrap/>
            <w:hideMark/>
          </w:tcPr>
          <w:p w:rsidR="007957E6" w:rsidRPr="007957E6" w:rsidRDefault="007957E6" w:rsidP="000233E5">
            <w:pPr>
              <w:spacing w:after="0"/>
              <w:jc w:val="right"/>
              <w:rPr>
                <w:rFonts w:ascii="Times New Roman" w:hAnsi="Times New Roman" w:cs="Times New Roman"/>
                <w:sz w:val="20"/>
                <w:szCs w:val="20"/>
              </w:rPr>
            </w:pPr>
            <w:r w:rsidRPr="007957E6">
              <w:rPr>
                <w:rFonts w:ascii="Times New Roman" w:hAnsi="Times New Roman" w:cs="Times New Roman"/>
              </w:rPr>
              <w:t xml:space="preserve">0,00 </w:t>
            </w:r>
          </w:p>
        </w:tc>
      </w:tr>
    </w:tbl>
    <w:p w:rsidR="00EF1E2A" w:rsidRDefault="00EF1E2A" w:rsidP="008919A0">
      <w:pPr>
        <w:spacing w:after="0" w:line="240" w:lineRule="auto"/>
        <w:jc w:val="both"/>
        <w:rPr>
          <w:rFonts w:ascii="Times New Roman" w:eastAsia="Times New Roman" w:hAnsi="Times New Roman" w:cs="Times New Roman"/>
          <w:sz w:val="24"/>
          <w:szCs w:val="24"/>
        </w:rPr>
        <w:sectPr w:rsidR="00EF1E2A" w:rsidSect="007B33D3">
          <w:headerReference w:type="even" r:id="rId9"/>
          <w:headerReference w:type="default" r:id="rId10"/>
          <w:footerReference w:type="even" r:id="rId11"/>
          <w:footerReference w:type="default" r:id="rId12"/>
          <w:headerReference w:type="first" r:id="rId13"/>
          <w:footerReference w:type="first" r:id="rId14"/>
          <w:pgSz w:w="11906" w:h="16838"/>
          <w:pgMar w:top="1418" w:right="849" w:bottom="1418" w:left="1418" w:header="709" w:footer="709" w:gutter="0"/>
          <w:cols w:space="708"/>
          <w:docGrid w:linePitch="360"/>
        </w:sectPr>
      </w:pPr>
    </w:p>
    <w:tbl>
      <w:tblPr>
        <w:tblW w:w="13907" w:type="dxa"/>
        <w:tblInd w:w="93" w:type="dxa"/>
        <w:shd w:val="clear" w:color="auto" w:fill="FFFFFF" w:themeFill="background1"/>
        <w:tblLook w:val="04A0" w:firstRow="1" w:lastRow="0" w:firstColumn="1" w:lastColumn="0" w:noHBand="0" w:noVBand="1"/>
      </w:tblPr>
      <w:tblGrid>
        <w:gridCol w:w="3559"/>
        <w:gridCol w:w="2552"/>
        <w:gridCol w:w="3260"/>
        <w:gridCol w:w="4536"/>
      </w:tblGrid>
      <w:tr w:rsidR="00A23BBD" w:rsidRPr="00A23BBD" w:rsidTr="004A14CE">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3BBD" w:rsidRPr="00A23BBD" w:rsidRDefault="00A23BBD" w:rsidP="004A14CE">
            <w:pPr>
              <w:spacing w:after="0" w:line="240" w:lineRule="auto"/>
              <w:jc w:val="center"/>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lastRenderedPageBreak/>
              <w:t>Subsektory VS</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23BBD" w:rsidRPr="00A23BBD" w:rsidRDefault="00A23BBD" w:rsidP="004A14CE">
            <w:pPr>
              <w:spacing w:after="0" w:line="240" w:lineRule="auto"/>
              <w:jc w:val="center"/>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Celkový počet zamestnancov*</w:t>
            </w:r>
          </w:p>
        </w:tc>
        <w:tc>
          <w:tcPr>
            <w:tcW w:w="3260" w:type="dxa"/>
            <w:tcBorders>
              <w:top w:val="single" w:sz="4" w:space="0" w:color="auto"/>
              <w:bottom w:val="single" w:sz="4" w:space="0" w:color="auto"/>
              <w:right w:val="single" w:sz="4" w:space="0" w:color="auto"/>
            </w:tcBorders>
            <w:shd w:val="clear" w:color="auto" w:fill="FFFFFF" w:themeFill="background1"/>
            <w:vAlign w:val="center"/>
          </w:tcPr>
          <w:p w:rsidR="00A23BBD" w:rsidRPr="00A23BBD" w:rsidRDefault="00A23BBD" w:rsidP="004A14CE">
            <w:pPr>
              <w:spacing w:after="0"/>
              <w:jc w:val="center"/>
              <w:rPr>
                <w:rFonts w:ascii="Times New Roman" w:hAnsi="Times New Roman" w:cs="Times New Roman"/>
                <w:sz w:val="28"/>
                <w:szCs w:val="28"/>
              </w:rPr>
            </w:pPr>
            <w:r w:rsidRPr="00A23BBD">
              <w:rPr>
                <w:rFonts w:ascii="Times New Roman" w:hAnsi="Times New Roman" w:cs="Times New Roman"/>
                <w:sz w:val="28"/>
                <w:szCs w:val="28"/>
              </w:rPr>
              <w:t xml:space="preserve">Percentuálny podiel pod MM </w:t>
            </w:r>
            <w:r>
              <w:rPr>
                <w:rFonts w:ascii="Times New Roman" w:hAnsi="Times New Roman" w:cs="Times New Roman"/>
                <w:sz w:val="28"/>
                <w:szCs w:val="28"/>
              </w:rPr>
              <w:t>–</w:t>
            </w:r>
            <w:r w:rsidRPr="00A23BBD">
              <w:rPr>
                <w:rFonts w:ascii="Times New Roman" w:hAnsi="Times New Roman" w:cs="Times New Roman"/>
                <w:sz w:val="28"/>
                <w:szCs w:val="28"/>
              </w:rPr>
              <w:t xml:space="preserve"> 62</w:t>
            </w:r>
            <w:r w:rsidR="0015762B">
              <w:rPr>
                <w:rFonts w:ascii="Times New Roman" w:hAnsi="Times New Roman" w:cs="Times New Roman"/>
                <w:sz w:val="28"/>
                <w:szCs w:val="28"/>
              </w:rPr>
              <w:t xml:space="preserve">3 </w:t>
            </w:r>
            <w:r>
              <w:rPr>
                <w:rFonts w:ascii="Times New Roman" w:hAnsi="Times New Roman" w:cs="Times New Roman"/>
                <w:sz w:val="28"/>
                <w:szCs w:val="28"/>
              </w:rPr>
              <w:t>eur</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BBD" w:rsidRPr="00A23BBD" w:rsidRDefault="00A23BBD" w:rsidP="004A14CE">
            <w:pPr>
              <w:spacing w:after="0"/>
              <w:jc w:val="center"/>
              <w:rPr>
                <w:rFonts w:ascii="Times New Roman" w:hAnsi="Times New Roman" w:cs="Times New Roman"/>
                <w:sz w:val="28"/>
                <w:szCs w:val="28"/>
              </w:rPr>
            </w:pPr>
            <w:r w:rsidRPr="00A23BBD">
              <w:rPr>
                <w:rFonts w:ascii="Times New Roman" w:hAnsi="Times New Roman" w:cs="Times New Roman"/>
                <w:sz w:val="28"/>
                <w:szCs w:val="28"/>
              </w:rPr>
              <w:t>Celkový počet zamestnancov priamo dotknutých novou MM</w:t>
            </w:r>
          </w:p>
        </w:tc>
      </w:tr>
      <w:tr w:rsidR="00A23BBD" w:rsidRPr="00A23BBD" w:rsidTr="00A23BBD">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23BBD" w:rsidRPr="00A23BBD" w:rsidRDefault="00170DE1" w:rsidP="004A14C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Sektor verejnej správy</w:t>
            </w:r>
            <w:r w:rsidR="00A23BBD" w:rsidRPr="00A23BBD">
              <w:rPr>
                <w:rFonts w:ascii="Times New Roman" w:eastAsia="Times New Roman" w:hAnsi="Times New Roman" w:cs="Times New Roman"/>
                <w:sz w:val="28"/>
                <w:szCs w:val="28"/>
                <w:lang w:eastAsia="en-US"/>
              </w:rPr>
              <w:t xml:space="preserve"> celkom</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A23BBD" w:rsidRPr="00A23BBD" w:rsidRDefault="00A23BBD" w:rsidP="004A14CE">
            <w:pPr>
              <w:spacing w:after="0" w:line="240" w:lineRule="auto"/>
              <w:jc w:val="right"/>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422243</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A23BBD" w:rsidRPr="00A23BBD" w:rsidRDefault="00CB2E8D" w:rsidP="004A14CE">
            <w:pPr>
              <w:spacing w:after="0"/>
              <w:jc w:val="right"/>
              <w:rPr>
                <w:rFonts w:ascii="Times New Roman" w:hAnsi="Times New Roman" w:cs="Times New Roman"/>
                <w:sz w:val="28"/>
                <w:szCs w:val="28"/>
              </w:rPr>
            </w:pPr>
            <w:r>
              <w:rPr>
                <w:rFonts w:ascii="Times New Roman" w:hAnsi="Times New Roman" w:cs="Times New Roman"/>
                <w:sz w:val="28"/>
                <w:szCs w:val="28"/>
              </w:rPr>
              <w:t>2,09</w:t>
            </w:r>
            <w:r w:rsidR="00A23BBD"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3BBD" w:rsidRPr="00A23BBD" w:rsidRDefault="00A23BBD" w:rsidP="004A14CE">
            <w:pPr>
              <w:spacing w:after="0"/>
              <w:rPr>
                <w:rFonts w:ascii="Times New Roman" w:hAnsi="Times New Roman" w:cs="Times New Roman"/>
                <w:sz w:val="28"/>
                <w:szCs w:val="28"/>
              </w:rPr>
            </w:pPr>
            <w:r w:rsidRPr="00A23BBD">
              <w:rPr>
                <w:rFonts w:ascii="Times New Roman" w:hAnsi="Times New Roman" w:cs="Times New Roman"/>
                <w:sz w:val="28"/>
                <w:szCs w:val="28"/>
              </w:rPr>
              <w:t> </w:t>
            </w:r>
          </w:p>
        </w:tc>
      </w:tr>
      <w:tr w:rsidR="00A23BBD"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23BBD" w:rsidRPr="00586CB7" w:rsidRDefault="00170DE1" w:rsidP="004A14CE">
            <w:pPr>
              <w:spacing w:after="0" w:line="240" w:lineRule="auto"/>
              <w:rPr>
                <w:rFonts w:ascii="Times New Roman" w:eastAsia="Times New Roman" w:hAnsi="Times New Roman" w:cs="Times New Roman"/>
                <w:sz w:val="28"/>
                <w:szCs w:val="28"/>
                <w:lang w:eastAsia="en-US"/>
              </w:rPr>
            </w:pPr>
            <w:r w:rsidRPr="00170DE1">
              <w:rPr>
                <w:rFonts w:ascii="Times New Roman" w:eastAsia="Times New Roman" w:hAnsi="Times New Roman" w:cs="Times New Roman"/>
                <w:sz w:val="28"/>
                <w:szCs w:val="28"/>
                <w:lang w:eastAsia="en-US"/>
              </w:rPr>
              <w:t>Ústredná správa spolu</w:t>
            </w:r>
            <w:r w:rsidR="00586CB7">
              <w:rPr>
                <w:rFonts w:ascii="Times New Roman" w:eastAsia="Times New Roman" w:hAnsi="Times New Roman" w:cs="Times New Roman"/>
                <w:sz w:val="28"/>
                <w:szCs w:val="28"/>
                <w:lang w:eastAsia="en-US"/>
              </w:rPr>
              <w:t xml:space="preserve"> </w:t>
            </w:r>
            <w:r w:rsidR="00586CB7">
              <w:rPr>
                <w:rFonts w:ascii="Times New Roman" w:eastAsia="Times New Roman" w:hAnsi="Times New Roman" w:cs="Times New Roman"/>
                <w:sz w:val="28"/>
                <w:szCs w:val="28"/>
                <w:lang w:eastAsia="en-US"/>
              </w:rPr>
              <w:br/>
            </w:r>
            <w:r w:rsidR="00586CB7" w:rsidRPr="00801807">
              <w:rPr>
                <w:rFonts w:ascii="Times New Roman" w:eastAsia="Times New Roman" w:hAnsi="Times New Roman" w:cs="Times New Roman"/>
                <w:sz w:val="20"/>
                <w:szCs w:val="20"/>
                <w:lang w:eastAsia="en-US"/>
              </w:rPr>
              <w:t>(</w:t>
            </w:r>
            <w:r w:rsidR="00B3607A">
              <w:rPr>
                <w:rFonts w:ascii="Times New Roman" w:eastAsia="Times New Roman" w:hAnsi="Times New Roman" w:cs="Times New Roman"/>
                <w:sz w:val="20"/>
                <w:szCs w:val="20"/>
                <w:lang w:eastAsia="en-US"/>
              </w:rPr>
              <w:t>vrátane zamestnancov financovaných</w:t>
            </w:r>
            <w:r w:rsidR="00B3607A" w:rsidRPr="00B3607A">
              <w:rPr>
                <w:rFonts w:ascii="Times New Roman" w:eastAsia="Times New Roman" w:hAnsi="Times New Roman" w:cs="Times New Roman"/>
                <w:sz w:val="20"/>
                <w:szCs w:val="20"/>
                <w:lang w:eastAsia="en-US"/>
              </w:rPr>
              <w:t xml:space="preserve"> zo štátneho rozpočtu za prenesený výkon štátnej správy</w:t>
            </w:r>
            <w:r w:rsidR="00B3607A">
              <w:rPr>
                <w:rFonts w:ascii="Times New Roman" w:eastAsia="Times New Roman" w:hAnsi="Times New Roman" w:cs="Times New Roman"/>
                <w:sz w:val="20"/>
                <w:szCs w:val="20"/>
                <w:lang w:eastAsia="en-US"/>
              </w:rPr>
              <w:t xml:space="preserve"> v školstve</w:t>
            </w:r>
            <w:r w:rsidR="00586CB7" w:rsidRPr="00801807">
              <w:rPr>
                <w:rFonts w:ascii="Times New Roman" w:eastAsia="Times New Roman" w:hAnsi="Times New Roman" w:cs="Times New Roman"/>
                <w:sz w:val="20"/>
                <w:szCs w:val="20"/>
                <w:lang w:eastAsia="en-US"/>
              </w:rPr>
              <w:t>)</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A23BBD" w:rsidRPr="00A23BBD" w:rsidRDefault="00A23BBD" w:rsidP="004A14CE">
            <w:pPr>
              <w:spacing w:after="0" w:line="240" w:lineRule="auto"/>
              <w:jc w:val="right"/>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2</w:t>
            </w:r>
            <w:r w:rsidR="00B3607A">
              <w:rPr>
                <w:rFonts w:ascii="Times New Roman" w:eastAsia="Times New Roman" w:hAnsi="Times New Roman" w:cs="Times New Roman"/>
                <w:sz w:val="28"/>
                <w:szCs w:val="28"/>
                <w:lang w:eastAsia="en-US"/>
              </w:rPr>
              <w:t>84982</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A23BBD" w:rsidRPr="00A23BBD" w:rsidRDefault="003837E9" w:rsidP="004A14CE">
            <w:pPr>
              <w:spacing w:after="0"/>
              <w:jc w:val="right"/>
              <w:rPr>
                <w:rFonts w:ascii="Times New Roman" w:hAnsi="Times New Roman" w:cs="Times New Roman"/>
                <w:sz w:val="28"/>
                <w:szCs w:val="28"/>
              </w:rPr>
            </w:pPr>
            <w:r>
              <w:rPr>
                <w:rFonts w:ascii="Times New Roman" w:hAnsi="Times New Roman" w:cs="Times New Roman"/>
                <w:sz w:val="28"/>
                <w:szCs w:val="28"/>
              </w:rPr>
              <w:t>1</w:t>
            </w:r>
            <w:r w:rsidR="00BC0FE0">
              <w:rPr>
                <w:rFonts w:ascii="Times New Roman" w:hAnsi="Times New Roman" w:cs="Times New Roman"/>
                <w:sz w:val="28"/>
                <w:szCs w:val="28"/>
              </w:rPr>
              <w:t>,</w:t>
            </w:r>
            <w:r w:rsidR="007957E6">
              <w:rPr>
                <w:rFonts w:ascii="Times New Roman" w:hAnsi="Times New Roman" w:cs="Times New Roman"/>
                <w:sz w:val="28"/>
                <w:szCs w:val="28"/>
              </w:rPr>
              <w:t>33</w:t>
            </w:r>
            <w:r w:rsidR="00A23BBD"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3BBD" w:rsidRPr="00CE11A7" w:rsidRDefault="007957E6" w:rsidP="00CE11A7">
            <w:pPr>
              <w:spacing w:after="0"/>
              <w:jc w:val="right"/>
              <w:rPr>
                <w:rFonts w:ascii="Times New Roman" w:hAnsi="Times New Roman" w:cs="Times New Roman"/>
                <w:b/>
                <w:sz w:val="28"/>
                <w:szCs w:val="28"/>
              </w:rPr>
            </w:pPr>
            <w:r w:rsidRPr="00CE11A7">
              <w:rPr>
                <w:rFonts w:ascii="Times New Roman" w:hAnsi="Times New Roman" w:cs="Times New Roman"/>
                <w:b/>
                <w:sz w:val="28"/>
                <w:szCs w:val="28"/>
              </w:rPr>
              <w:t>3795,50</w:t>
            </w:r>
          </w:p>
        </w:tc>
      </w:tr>
      <w:tr w:rsidR="007957E6"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57E6" w:rsidRDefault="007957E6" w:rsidP="004A14CE">
            <w:pPr>
              <w:spacing w:after="0" w:line="240" w:lineRule="auto"/>
              <w:rPr>
                <w:rFonts w:ascii="Times New Roman" w:eastAsia="Times New Roman" w:hAnsi="Times New Roman" w:cs="Times New Roman"/>
                <w:sz w:val="28"/>
                <w:szCs w:val="28"/>
                <w:lang w:eastAsia="en-US"/>
              </w:rPr>
            </w:pPr>
            <w:r w:rsidRPr="00170DE1">
              <w:rPr>
                <w:rFonts w:ascii="Times New Roman" w:eastAsia="Times New Roman" w:hAnsi="Times New Roman" w:cs="Times New Roman"/>
                <w:sz w:val="28"/>
                <w:szCs w:val="28"/>
                <w:lang w:eastAsia="en-US"/>
              </w:rPr>
              <w:t>Územná samospráva spolu</w:t>
            </w:r>
            <w:r>
              <w:rPr>
                <w:rFonts w:ascii="Times New Roman" w:eastAsia="Times New Roman" w:hAnsi="Times New Roman" w:cs="Times New Roman"/>
                <w:sz w:val="28"/>
                <w:szCs w:val="28"/>
                <w:lang w:eastAsia="en-US"/>
              </w:rPr>
              <w:t xml:space="preserve">  </w:t>
            </w:r>
          </w:p>
          <w:p w:rsidR="007957E6" w:rsidRPr="00A23BBD" w:rsidRDefault="007957E6" w:rsidP="004A14CE">
            <w:pPr>
              <w:spacing w:after="0" w:line="240" w:lineRule="auto"/>
              <w:rPr>
                <w:rFonts w:ascii="Times New Roman" w:eastAsia="Times New Roman" w:hAnsi="Times New Roman" w:cs="Times New Roman"/>
                <w:sz w:val="28"/>
                <w:szCs w:val="28"/>
                <w:lang w:eastAsia="en-US"/>
              </w:rPr>
            </w:pPr>
            <w:r w:rsidRPr="00473ED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okrem zamestnancov financovaných</w:t>
            </w:r>
            <w:r w:rsidRPr="00B3607A">
              <w:rPr>
                <w:rFonts w:ascii="Times New Roman" w:eastAsia="Times New Roman" w:hAnsi="Times New Roman" w:cs="Times New Roman"/>
                <w:sz w:val="20"/>
                <w:szCs w:val="20"/>
                <w:lang w:eastAsia="en-US"/>
              </w:rPr>
              <w:t xml:space="preserve"> zo štátneho rozpočtu za prenesený výkon štátnej správy</w:t>
            </w:r>
            <w:r>
              <w:rPr>
                <w:rFonts w:ascii="Times New Roman" w:eastAsia="Times New Roman" w:hAnsi="Times New Roman" w:cs="Times New Roman"/>
                <w:sz w:val="20"/>
                <w:szCs w:val="20"/>
                <w:lang w:eastAsia="en-US"/>
              </w:rPr>
              <w:t xml:space="preserve"> v školstve</w:t>
            </w:r>
            <w:r w:rsidRPr="00473EDE">
              <w:rPr>
                <w:rFonts w:ascii="Times New Roman" w:eastAsia="Times New Roman" w:hAnsi="Times New Roman" w:cs="Times New Roman"/>
                <w:sz w:val="20"/>
                <w:szCs w:val="20"/>
                <w:lang w:eastAsia="en-US"/>
              </w:rPr>
              <w:t>)</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7957E6" w:rsidRPr="00A23BBD" w:rsidRDefault="007957E6" w:rsidP="004A14CE">
            <w:pPr>
              <w:spacing w:after="0" w:line="240" w:lineRule="auto"/>
              <w:jc w:val="right"/>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29840</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7957E6" w:rsidRPr="00A23BBD" w:rsidRDefault="005747E0" w:rsidP="004A14CE">
            <w:pPr>
              <w:spacing w:after="0"/>
              <w:jc w:val="right"/>
              <w:rPr>
                <w:rFonts w:ascii="Times New Roman" w:hAnsi="Times New Roman" w:cs="Times New Roman"/>
                <w:sz w:val="28"/>
                <w:szCs w:val="28"/>
              </w:rPr>
            </w:pPr>
            <w:r>
              <w:rPr>
                <w:rFonts w:ascii="Times New Roman" w:hAnsi="Times New Roman" w:cs="Times New Roman"/>
                <w:sz w:val="28"/>
                <w:szCs w:val="28"/>
              </w:rPr>
              <w:t>3,88</w:t>
            </w:r>
            <w:r w:rsidR="007957E6"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957E6" w:rsidRPr="005747E0" w:rsidRDefault="007957E6" w:rsidP="00CE11A7">
            <w:pPr>
              <w:spacing w:after="0"/>
              <w:jc w:val="right"/>
              <w:rPr>
                <w:rFonts w:ascii="Times New Roman" w:hAnsi="Times New Roman" w:cs="Times New Roman"/>
                <w:b/>
                <w:sz w:val="28"/>
                <w:szCs w:val="28"/>
              </w:rPr>
            </w:pPr>
            <w:r w:rsidRPr="005747E0">
              <w:rPr>
                <w:rFonts w:ascii="Times New Roman" w:hAnsi="Times New Roman" w:cs="Times New Roman"/>
                <w:b/>
                <w:sz w:val="28"/>
                <w:szCs w:val="28"/>
              </w:rPr>
              <w:t>5037,60</w:t>
            </w:r>
          </w:p>
        </w:tc>
      </w:tr>
      <w:tr w:rsidR="007957E6"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57E6" w:rsidRPr="00A23BBD" w:rsidRDefault="007957E6" w:rsidP="004A14CE">
            <w:pPr>
              <w:spacing w:after="0" w:line="240" w:lineRule="auto"/>
              <w:rPr>
                <w:rFonts w:ascii="Times New Roman" w:eastAsia="Times New Roman" w:hAnsi="Times New Roman" w:cs="Times New Roman"/>
                <w:sz w:val="28"/>
                <w:szCs w:val="28"/>
                <w:lang w:eastAsia="en-US"/>
              </w:rPr>
            </w:pPr>
            <w:r w:rsidRPr="00170DE1">
              <w:rPr>
                <w:rFonts w:ascii="Times New Roman" w:eastAsia="Times New Roman" w:hAnsi="Times New Roman" w:cs="Times New Roman"/>
                <w:sz w:val="28"/>
                <w:szCs w:val="28"/>
                <w:lang w:eastAsia="en-US"/>
              </w:rPr>
              <w:t>vyššie územné celky</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7957E6" w:rsidRPr="00A23BBD" w:rsidRDefault="007957E6" w:rsidP="004A14CE">
            <w:pPr>
              <w:spacing w:after="0" w:line="240" w:lineRule="auto"/>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21984,5</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7957E6" w:rsidRPr="00A23BBD" w:rsidRDefault="005747E0" w:rsidP="004A14CE">
            <w:pPr>
              <w:spacing w:after="0"/>
              <w:jc w:val="right"/>
              <w:rPr>
                <w:rFonts w:ascii="Times New Roman" w:hAnsi="Times New Roman" w:cs="Times New Roman"/>
                <w:sz w:val="28"/>
                <w:szCs w:val="28"/>
              </w:rPr>
            </w:pPr>
            <w:r>
              <w:rPr>
                <w:rFonts w:ascii="Times New Roman" w:hAnsi="Times New Roman" w:cs="Times New Roman"/>
                <w:sz w:val="28"/>
                <w:szCs w:val="28"/>
              </w:rPr>
              <w:t>3,88</w:t>
            </w:r>
            <w:r w:rsidR="007957E6"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957E6" w:rsidRPr="00CE11A7" w:rsidRDefault="007957E6" w:rsidP="00CE11A7">
            <w:pPr>
              <w:spacing w:after="0"/>
              <w:jc w:val="right"/>
              <w:rPr>
                <w:rFonts w:ascii="Times New Roman" w:hAnsi="Times New Roman" w:cs="Times New Roman"/>
                <w:sz w:val="28"/>
                <w:szCs w:val="28"/>
              </w:rPr>
            </w:pPr>
            <w:r w:rsidRPr="00CE11A7">
              <w:rPr>
                <w:rFonts w:ascii="Times New Roman" w:hAnsi="Times New Roman" w:cs="Times New Roman"/>
              </w:rPr>
              <w:t>852,97</w:t>
            </w:r>
          </w:p>
        </w:tc>
      </w:tr>
      <w:tr w:rsidR="007957E6"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57E6" w:rsidRPr="00A23BBD" w:rsidRDefault="007957E6" w:rsidP="004A14C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územná samosprá</w:t>
            </w:r>
            <w:r w:rsidRPr="00A23BBD">
              <w:rPr>
                <w:rFonts w:ascii="Times New Roman" w:eastAsia="Times New Roman" w:hAnsi="Times New Roman" w:cs="Times New Roman"/>
                <w:sz w:val="28"/>
                <w:szCs w:val="28"/>
                <w:lang w:eastAsia="en-US"/>
              </w:rPr>
              <w:t>va (okr</w:t>
            </w:r>
            <w:r>
              <w:rPr>
                <w:rFonts w:ascii="Times New Roman" w:eastAsia="Times New Roman" w:hAnsi="Times New Roman" w:cs="Times New Roman"/>
                <w:sz w:val="28"/>
                <w:szCs w:val="28"/>
                <w:lang w:eastAsia="en-US"/>
              </w:rPr>
              <w:t>em VÚ</w:t>
            </w:r>
            <w:r w:rsidRPr="00A23BBD">
              <w:rPr>
                <w:rFonts w:ascii="Times New Roman" w:eastAsia="Times New Roman" w:hAnsi="Times New Roman" w:cs="Times New Roman"/>
                <w:sz w:val="28"/>
                <w:szCs w:val="28"/>
                <w:lang w:eastAsia="en-US"/>
              </w:rPr>
              <w:t>C)</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7957E6" w:rsidRPr="00A23BBD" w:rsidRDefault="007957E6" w:rsidP="004A14CE">
            <w:pPr>
              <w:spacing w:after="0" w:line="240" w:lineRule="auto"/>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107855,5</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7957E6" w:rsidRPr="00A23BBD" w:rsidRDefault="005747E0" w:rsidP="004A14CE">
            <w:pPr>
              <w:spacing w:after="0"/>
              <w:jc w:val="right"/>
              <w:rPr>
                <w:rFonts w:ascii="Times New Roman" w:hAnsi="Times New Roman" w:cs="Times New Roman"/>
                <w:sz w:val="28"/>
                <w:szCs w:val="28"/>
              </w:rPr>
            </w:pPr>
            <w:r>
              <w:rPr>
                <w:rFonts w:ascii="Times New Roman" w:hAnsi="Times New Roman" w:cs="Times New Roman"/>
                <w:sz w:val="28"/>
                <w:szCs w:val="28"/>
              </w:rPr>
              <w:t>3,88</w:t>
            </w:r>
            <w:r w:rsidR="007957E6"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957E6" w:rsidRPr="00CE11A7" w:rsidRDefault="007957E6" w:rsidP="00CE11A7">
            <w:pPr>
              <w:spacing w:after="0"/>
              <w:jc w:val="right"/>
              <w:rPr>
                <w:rFonts w:ascii="Times New Roman" w:hAnsi="Times New Roman" w:cs="Times New Roman"/>
                <w:sz w:val="28"/>
                <w:szCs w:val="28"/>
              </w:rPr>
            </w:pPr>
            <w:r w:rsidRPr="00CE11A7">
              <w:rPr>
                <w:rFonts w:ascii="Times New Roman" w:hAnsi="Times New Roman" w:cs="Times New Roman"/>
              </w:rPr>
              <w:t>4184,63</w:t>
            </w:r>
          </w:p>
        </w:tc>
      </w:tr>
      <w:tr w:rsidR="00A23BBD"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23BBD" w:rsidRPr="00A23BBD" w:rsidRDefault="00170DE1" w:rsidP="004A14CE">
            <w:pPr>
              <w:spacing w:after="0" w:line="240" w:lineRule="auto"/>
              <w:rPr>
                <w:rFonts w:ascii="Times New Roman" w:eastAsia="Times New Roman" w:hAnsi="Times New Roman" w:cs="Times New Roman"/>
                <w:sz w:val="28"/>
                <w:szCs w:val="28"/>
                <w:lang w:eastAsia="en-US"/>
              </w:rPr>
            </w:pPr>
            <w:r w:rsidRPr="00170DE1">
              <w:rPr>
                <w:rFonts w:ascii="Times New Roman" w:eastAsia="Times New Roman" w:hAnsi="Times New Roman" w:cs="Times New Roman"/>
                <w:sz w:val="28"/>
                <w:szCs w:val="28"/>
                <w:lang w:eastAsia="en-US"/>
              </w:rPr>
              <w:t>Fondy sociálneho a zdravotného poistenia spolu</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A23BBD" w:rsidRPr="00A23BBD" w:rsidRDefault="00A23BBD" w:rsidP="004A14CE">
            <w:pPr>
              <w:spacing w:after="0" w:line="240" w:lineRule="auto"/>
              <w:jc w:val="right"/>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7421</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A23BBD" w:rsidRPr="00A23BBD" w:rsidRDefault="00AA411B" w:rsidP="004A14CE">
            <w:pPr>
              <w:spacing w:after="0"/>
              <w:jc w:val="right"/>
              <w:rPr>
                <w:rFonts w:ascii="Times New Roman" w:hAnsi="Times New Roman" w:cs="Times New Roman"/>
                <w:sz w:val="28"/>
                <w:szCs w:val="28"/>
              </w:rPr>
            </w:pPr>
            <w:r>
              <w:rPr>
                <w:rFonts w:ascii="Times New Roman" w:hAnsi="Times New Roman" w:cs="Times New Roman"/>
                <w:sz w:val="28"/>
                <w:szCs w:val="28"/>
              </w:rPr>
              <w:t>0,0</w:t>
            </w:r>
            <w:r w:rsidR="00A23BBD" w:rsidRPr="00A23BBD">
              <w:rPr>
                <w:rFonts w:ascii="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3BBD" w:rsidRPr="00CE11A7" w:rsidRDefault="00A23BBD" w:rsidP="00CE11A7">
            <w:pPr>
              <w:spacing w:after="0"/>
              <w:jc w:val="right"/>
              <w:rPr>
                <w:rFonts w:ascii="Times New Roman" w:hAnsi="Times New Roman" w:cs="Times New Roman"/>
                <w:sz w:val="28"/>
                <w:szCs w:val="28"/>
              </w:rPr>
            </w:pPr>
            <w:r w:rsidRPr="00CE11A7">
              <w:rPr>
                <w:rFonts w:ascii="Times New Roman" w:hAnsi="Times New Roman" w:cs="Times New Roman"/>
                <w:sz w:val="28"/>
                <w:szCs w:val="28"/>
              </w:rPr>
              <w:t>0</w:t>
            </w:r>
          </w:p>
        </w:tc>
      </w:tr>
      <w:tr w:rsidR="00A23BBD" w:rsidRPr="00A23BBD" w:rsidTr="00CE11A7">
        <w:trPr>
          <w:trHeight w:val="300"/>
        </w:trPr>
        <w:tc>
          <w:tcPr>
            <w:tcW w:w="35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23BBD" w:rsidRPr="00A23BBD" w:rsidRDefault="00A23BBD" w:rsidP="004A14CE">
            <w:pPr>
              <w:spacing w:after="0" w:line="240" w:lineRule="auto"/>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 </w:t>
            </w:r>
          </w:p>
        </w:tc>
        <w:tc>
          <w:tcPr>
            <w:tcW w:w="2552" w:type="dxa"/>
            <w:tcBorders>
              <w:top w:val="nil"/>
              <w:left w:val="nil"/>
              <w:bottom w:val="single" w:sz="4" w:space="0" w:color="auto"/>
              <w:right w:val="single" w:sz="4" w:space="0" w:color="auto"/>
            </w:tcBorders>
            <w:shd w:val="clear" w:color="auto" w:fill="FFFFFF" w:themeFill="background1"/>
            <w:noWrap/>
            <w:vAlign w:val="bottom"/>
            <w:hideMark/>
          </w:tcPr>
          <w:p w:rsidR="00A23BBD" w:rsidRPr="00A23BBD" w:rsidRDefault="00A23BBD" w:rsidP="004A14CE">
            <w:pPr>
              <w:spacing w:after="0" w:line="240" w:lineRule="auto"/>
              <w:rPr>
                <w:rFonts w:ascii="Times New Roman" w:eastAsia="Times New Roman" w:hAnsi="Times New Roman" w:cs="Times New Roman"/>
                <w:sz w:val="28"/>
                <w:szCs w:val="28"/>
                <w:lang w:eastAsia="en-US"/>
              </w:rPr>
            </w:pPr>
            <w:r w:rsidRPr="00A23BBD">
              <w:rPr>
                <w:rFonts w:ascii="Times New Roman" w:eastAsia="Times New Roman" w:hAnsi="Times New Roman" w:cs="Times New Roman"/>
                <w:sz w:val="28"/>
                <w:szCs w:val="28"/>
                <w:lang w:eastAsia="en-US"/>
              </w:rPr>
              <w:t> </w:t>
            </w:r>
          </w:p>
        </w:tc>
        <w:tc>
          <w:tcPr>
            <w:tcW w:w="3260" w:type="dxa"/>
            <w:tcBorders>
              <w:top w:val="single" w:sz="4" w:space="0" w:color="auto"/>
              <w:bottom w:val="single" w:sz="4" w:space="0" w:color="auto"/>
              <w:right w:val="single" w:sz="4" w:space="0" w:color="auto"/>
            </w:tcBorders>
            <w:shd w:val="clear" w:color="auto" w:fill="FFFFFF" w:themeFill="background1"/>
            <w:vAlign w:val="bottom"/>
          </w:tcPr>
          <w:p w:rsidR="00A23BBD" w:rsidRPr="00A23BBD" w:rsidRDefault="00A23BBD" w:rsidP="004A14CE">
            <w:pPr>
              <w:spacing w:after="0"/>
              <w:rPr>
                <w:rFonts w:ascii="Times New Roman" w:hAnsi="Times New Roman" w:cs="Times New Roman"/>
                <w:b/>
                <w:bCs/>
                <w:sz w:val="28"/>
                <w:szCs w:val="28"/>
              </w:rPr>
            </w:pPr>
            <w:r w:rsidRPr="00A23BBD">
              <w:rPr>
                <w:rFonts w:ascii="Times New Roman" w:hAnsi="Times New Roman" w:cs="Times New Roman"/>
                <w:b/>
                <w:bCs/>
                <w:sz w:val="28"/>
                <w:szCs w:val="28"/>
              </w:rPr>
              <w:t>SUM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3BBD" w:rsidRPr="00CE11A7" w:rsidRDefault="007957E6" w:rsidP="00CE11A7">
            <w:pPr>
              <w:spacing w:after="0"/>
              <w:jc w:val="right"/>
              <w:rPr>
                <w:rFonts w:ascii="Times New Roman" w:hAnsi="Times New Roman" w:cs="Times New Roman"/>
                <w:b/>
                <w:sz w:val="28"/>
                <w:szCs w:val="28"/>
              </w:rPr>
            </w:pPr>
            <w:r w:rsidRPr="00CE11A7">
              <w:rPr>
                <w:rFonts w:ascii="Times New Roman" w:hAnsi="Times New Roman" w:cs="Times New Roman"/>
                <w:b/>
                <w:sz w:val="28"/>
                <w:szCs w:val="28"/>
              </w:rPr>
              <w:t>8833,1</w:t>
            </w:r>
          </w:p>
        </w:tc>
      </w:tr>
    </w:tbl>
    <w:p w:rsidR="00A23BBD" w:rsidRDefault="00524D2F" w:rsidP="008919A0">
      <w:pPr>
        <w:spacing w:after="0" w:line="240" w:lineRule="auto"/>
        <w:jc w:val="both"/>
        <w:rPr>
          <w:rFonts w:ascii="Times New Roman" w:eastAsia="Times New Roman" w:hAnsi="Times New Roman" w:cs="Times New Roman"/>
          <w:color w:val="000000"/>
          <w:lang w:eastAsia="en-US"/>
        </w:rPr>
      </w:pPr>
      <w:r w:rsidRPr="00EC6989">
        <w:rPr>
          <w:rFonts w:ascii="Times New Roman" w:eastAsia="Times New Roman" w:hAnsi="Times New Roman" w:cs="Times New Roman"/>
          <w:color w:val="000000"/>
          <w:lang w:eastAsia="en-US"/>
        </w:rPr>
        <w:t>*Údaje za 4. kvartál 2019 od SRP MF SR</w:t>
      </w:r>
      <w:r w:rsidR="005A3CBE">
        <w:rPr>
          <w:rFonts w:ascii="Times New Roman" w:eastAsia="Times New Roman" w:hAnsi="Times New Roman" w:cs="Times New Roman"/>
          <w:color w:val="000000"/>
          <w:lang w:eastAsia="en-US"/>
        </w:rPr>
        <w:t xml:space="preserve">; </w:t>
      </w:r>
      <w:r w:rsidR="005A3CBE" w:rsidRPr="00801807">
        <w:rPr>
          <w:rFonts w:ascii="Times New Roman" w:eastAsia="Times New Roman" w:hAnsi="Times New Roman" w:cs="Times New Roman"/>
          <w:color w:val="000000"/>
          <w:lang w:eastAsia="en-US"/>
        </w:rPr>
        <w:t>údaje o po</w:t>
      </w:r>
      <w:r w:rsidR="005A3CBE">
        <w:rPr>
          <w:rFonts w:ascii="Times New Roman" w:eastAsia="Times New Roman" w:hAnsi="Times New Roman" w:cs="Times New Roman"/>
          <w:color w:val="000000"/>
          <w:lang w:eastAsia="en-US"/>
        </w:rPr>
        <w:t xml:space="preserve">čte </w:t>
      </w:r>
      <w:r w:rsidR="00A135C9">
        <w:rPr>
          <w:rFonts w:ascii="Times New Roman" w:eastAsia="Times New Roman" w:hAnsi="Times New Roman" w:cs="Times New Roman"/>
          <w:color w:val="000000"/>
          <w:lang w:eastAsia="en-US"/>
        </w:rPr>
        <w:t xml:space="preserve">zamestnancov </w:t>
      </w:r>
      <w:r w:rsidR="00A135C9" w:rsidRPr="00A135C9">
        <w:rPr>
          <w:rFonts w:ascii="Times New Roman" w:eastAsia="Times New Roman" w:hAnsi="Times New Roman" w:cs="Times New Roman"/>
          <w:color w:val="000000"/>
          <w:lang w:eastAsia="en-US"/>
        </w:rPr>
        <w:t>financovaných zo štátneho rozpočtu za prenesený výkon štátnej správy v</w:t>
      </w:r>
      <w:r w:rsidR="00A135C9">
        <w:rPr>
          <w:rFonts w:ascii="Times New Roman" w:eastAsia="Times New Roman" w:hAnsi="Times New Roman" w:cs="Times New Roman"/>
          <w:color w:val="000000"/>
          <w:lang w:eastAsia="en-US"/>
        </w:rPr>
        <w:t> </w:t>
      </w:r>
      <w:r w:rsidR="00A135C9" w:rsidRPr="00A135C9">
        <w:rPr>
          <w:rFonts w:ascii="Times New Roman" w:eastAsia="Times New Roman" w:hAnsi="Times New Roman" w:cs="Times New Roman"/>
          <w:color w:val="000000"/>
          <w:lang w:eastAsia="en-US"/>
        </w:rPr>
        <w:t>školstve</w:t>
      </w:r>
      <w:r w:rsidR="00A135C9">
        <w:rPr>
          <w:rFonts w:ascii="Times New Roman" w:eastAsia="Times New Roman" w:hAnsi="Times New Roman" w:cs="Times New Roman"/>
          <w:color w:val="000000"/>
          <w:lang w:eastAsia="en-US"/>
        </w:rPr>
        <w:t xml:space="preserve"> za rok 2019 poskytnuté SRP MF SR 18.08.2020.</w:t>
      </w:r>
    </w:p>
    <w:p w:rsidR="00EF1E2A" w:rsidRDefault="00EF1E2A" w:rsidP="008919A0">
      <w:pPr>
        <w:spacing w:after="0" w:line="240" w:lineRule="auto"/>
        <w:jc w:val="both"/>
        <w:rPr>
          <w:rFonts w:ascii="Times New Roman" w:eastAsia="Times New Roman" w:hAnsi="Times New Roman" w:cs="Times New Roman"/>
          <w:color w:val="000000"/>
          <w:lang w:eastAsia="en-US"/>
        </w:rPr>
      </w:pPr>
    </w:p>
    <w:tbl>
      <w:tblPr>
        <w:tblW w:w="14029" w:type="dxa"/>
        <w:jc w:val="center"/>
        <w:tblCellMar>
          <w:left w:w="70" w:type="dxa"/>
          <w:right w:w="70" w:type="dxa"/>
        </w:tblCellMar>
        <w:tblLook w:val="04A0" w:firstRow="1" w:lastRow="0" w:firstColumn="1" w:lastColumn="0" w:noHBand="0" w:noVBand="1"/>
      </w:tblPr>
      <w:tblGrid>
        <w:gridCol w:w="2000"/>
        <w:gridCol w:w="2116"/>
        <w:gridCol w:w="1951"/>
        <w:gridCol w:w="1943"/>
        <w:gridCol w:w="2014"/>
        <w:gridCol w:w="2190"/>
        <w:gridCol w:w="1815"/>
      </w:tblGrid>
      <w:tr w:rsidR="00051C80" w:rsidRPr="00413EA8" w:rsidTr="00524D2F">
        <w:trPr>
          <w:trHeight w:val="12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Sektor</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 xml:space="preserve">Doplatky do úrovne novej minim. </w:t>
            </w:r>
            <w:r w:rsidR="00D51D3C" w:rsidRPr="00413EA8">
              <w:rPr>
                <w:rFonts w:ascii="Times New Roman" w:eastAsia="Times New Roman" w:hAnsi="Times New Roman" w:cs="Times New Roman"/>
                <w:sz w:val="20"/>
                <w:szCs w:val="20"/>
              </w:rPr>
              <w:t>M</w:t>
            </w:r>
            <w:r w:rsidRPr="00413EA8">
              <w:rPr>
                <w:rFonts w:ascii="Times New Roman" w:eastAsia="Times New Roman" w:hAnsi="Times New Roman" w:cs="Times New Roman"/>
                <w:sz w:val="20"/>
                <w:szCs w:val="20"/>
              </w:rPr>
              <w:t>zdy</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Očakávaný objem nárastu mzdových zvýhodnení</w:t>
            </w:r>
            <w:r w:rsidR="00051C80">
              <w:rPr>
                <w:rFonts w:ascii="Times New Roman" w:eastAsia="Times New Roman" w:hAnsi="Times New Roman" w:cs="Times New Roman"/>
                <w:sz w:val="20"/>
                <w:szCs w:val="20"/>
              </w:rPr>
              <w:t>/príplatkov</w:t>
            </w:r>
            <w:r w:rsidRPr="00413EA8">
              <w:rPr>
                <w:rFonts w:ascii="Times New Roman" w:eastAsia="Times New Roman" w:hAnsi="Times New Roman" w:cs="Times New Roman"/>
                <w:sz w:val="20"/>
                <w:szCs w:val="20"/>
              </w:rPr>
              <w:t xml:space="preserve">  </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Odvody zamestnávateľa na Soc. poistenie</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Odvody zamestnanca na soc. poistenie</w:t>
            </w:r>
          </w:p>
        </w:tc>
        <w:tc>
          <w:tcPr>
            <w:tcW w:w="2190"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Odvody zamestnávateľa na zdravotné poistenie</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EF1E2A" w:rsidRPr="00413EA8" w:rsidRDefault="00EF1E2A" w:rsidP="00D51D3C">
            <w:pPr>
              <w:spacing w:after="0" w:line="240" w:lineRule="auto"/>
              <w:jc w:val="center"/>
              <w:rPr>
                <w:rFonts w:ascii="Times New Roman" w:eastAsia="Times New Roman" w:hAnsi="Times New Roman" w:cs="Times New Roman"/>
                <w:sz w:val="20"/>
                <w:szCs w:val="20"/>
              </w:rPr>
            </w:pPr>
            <w:r w:rsidRPr="00413EA8">
              <w:rPr>
                <w:rFonts w:ascii="Times New Roman" w:eastAsia="Times New Roman" w:hAnsi="Times New Roman" w:cs="Times New Roman"/>
                <w:sz w:val="20"/>
                <w:szCs w:val="20"/>
              </w:rPr>
              <w:t>Odvody zamestnanca na zdravotné poistenie</w:t>
            </w:r>
          </w:p>
        </w:tc>
      </w:tr>
      <w:tr w:rsidR="00CE11A7" w:rsidRPr="00CE11A7" w:rsidTr="00CE11A7">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CE11A7" w:rsidRPr="00CE11A7" w:rsidRDefault="00CE11A7" w:rsidP="00CE11A7">
            <w:pPr>
              <w:spacing w:after="0" w:line="240" w:lineRule="auto"/>
              <w:rPr>
                <w:rFonts w:ascii="Times New Roman" w:eastAsia="Times New Roman" w:hAnsi="Times New Roman" w:cs="Times New Roman"/>
                <w:sz w:val="20"/>
                <w:szCs w:val="20"/>
              </w:rPr>
            </w:pPr>
            <w:r w:rsidRPr="00CE11A7">
              <w:rPr>
                <w:rFonts w:ascii="Times New Roman" w:eastAsia="Times New Roman" w:hAnsi="Times New Roman" w:cs="Times New Roman"/>
                <w:sz w:val="20"/>
                <w:szCs w:val="20"/>
              </w:rPr>
              <w:t>Sektor verejnej správy celkom</w:t>
            </w:r>
          </w:p>
        </w:tc>
        <w:tc>
          <w:tcPr>
            <w:tcW w:w="2116"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2 295 943,46 € </w:t>
            </w:r>
          </w:p>
        </w:tc>
        <w:tc>
          <w:tcPr>
            <w:tcW w:w="1951"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4 421 917,98 € </w:t>
            </w:r>
          </w:p>
        </w:tc>
        <w:tc>
          <w:tcPr>
            <w:tcW w:w="1943"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1 676 106,43 € </w:t>
            </w:r>
          </w:p>
        </w:tc>
        <w:tc>
          <w:tcPr>
            <w:tcW w:w="2014"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631 478,98 € </w:t>
            </w:r>
          </w:p>
        </w:tc>
        <w:tc>
          <w:tcPr>
            <w:tcW w:w="2190"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671 786,14 € </w:t>
            </w:r>
          </w:p>
        </w:tc>
        <w:tc>
          <w:tcPr>
            <w:tcW w:w="1815" w:type="dxa"/>
            <w:tcBorders>
              <w:top w:val="nil"/>
              <w:left w:val="nil"/>
              <w:bottom w:val="single" w:sz="4" w:space="0" w:color="auto"/>
              <w:right w:val="single" w:sz="4" w:space="0" w:color="auto"/>
            </w:tcBorders>
            <w:shd w:val="clear" w:color="auto" w:fill="auto"/>
            <w:noWrap/>
            <w:vAlign w:val="center"/>
          </w:tcPr>
          <w:p w:rsidR="00CE11A7" w:rsidRPr="00CE11A7" w:rsidRDefault="00CE11A7"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 xml:space="preserve"> 268 714,46 € </w:t>
            </w:r>
          </w:p>
        </w:tc>
      </w:tr>
      <w:tr w:rsidR="007957E6" w:rsidRPr="00CE11A7" w:rsidTr="007957E6">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957E6" w:rsidRPr="00CE11A7" w:rsidRDefault="007957E6" w:rsidP="007957E6">
            <w:pPr>
              <w:spacing w:after="0" w:line="240" w:lineRule="auto"/>
              <w:rPr>
                <w:rFonts w:ascii="Times New Roman" w:eastAsia="Times New Roman" w:hAnsi="Times New Roman" w:cs="Times New Roman"/>
                <w:sz w:val="20"/>
                <w:szCs w:val="20"/>
              </w:rPr>
            </w:pPr>
            <w:r w:rsidRPr="00CE11A7">
              <w:rPr>
                <w:rFonts w:ascii="Times New Roman" w:eastAsia="Times New Roman" w:hAnsi="Times New Roman" w:cs="Times New Roman"/>
                <w:sz w:val="20"/>
                <w:szCs w:val="20"/>
              </w:rPr>
              <w:t>Súkromný sektor</w:t>
            </w:r>
          </w:p>
        </w:tc>
        <w:tc>
          <w:tcPr>
            <w:tcW w:w="2116"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20 282 822,17 €</w:t>
            </w:r>
          </w:p>
        </w:tc>
        <w:tc>
          <w:tcPr>
            <w:tcW w:w="1951"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22 337 599,05 €</w:t>
            </w:r>
          </w:p>
        </w:tc>
        <w:tc>
          <w:tcPr>
            <w:tcW w:w="1943"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10 740 346,15 €</w:t>
            </w:r>
          </w:p>
        </w:tc>
        <w:tc>
          <w:tcPr>
            <w:tcW w:w="2014"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4 006 319,59 €</w:t>
            </w:r>
          </w:p>
        </w:tc>
        <w:tc>
          <w:tcPr>
            <w:tcW w:w="2190"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4 262 042,12 €</w:t>
            </w:r>
          </w:p>
        </w:tc>
        <w:tc>
          <w:tcPr>
            <w:tcW w:w="1815" w:type="dxa"/>
            <w:tcBorders>
              <w:top w:val="nil"/>
              <w:left w:val="nil"/>
              <w:bottom w:val="single" w:sz="4" w:space="0" w:color="auto"/>
              <w:right w:val="single" w:sz="4" w:space="0" w:color="auto"/>
            </w:tcBorders>
            <w:shd w:val="clear" w:color="auto" w:fill="auto"/>
            <w:noWrap/>
            <w:vAlign w:val="center"/>
            <w:hideMark/>
          </w:tcPr>
          <w:p w:rsidR="007957E6" w:rsidRPr="00CE11A7" w:rsidRDefault="007957E6" w:rsidP="00723EAF">
            <w:pPr>
              <w:spacing w:after="0" w:line="240" w:lineRule="auto"/>
              <w:jc w:val="right"/>
              <w:rPr>
                <w:rFonts w:ascii="Times New Roman" w:eastAsia="Times New Roman" w:hAnsi="Times New Roman" w:cs="Times New Roman"/>
                <w:sz w:val="20"/>
                <w:szCs w:val="20"/>
              </w:rPr>
            </w:pPr>
            <w:r w:rsidRPr="00CE11A7">
              <w:rPr>
                <w:rFonts w:ascii="Times New Roman" w:hAnsi="Times New Roman" w:cs="Times New Roman"/>
                <w:sz w:val="20"/>
                <w:szCs w:val="20"/>
              </w:rPr>
              <w:t>1 704 816,85 €</w:t>
            </w:r>
          </w:p>
        </w:tc>
      </w:tr>
    </w:tbl>
    <w:p w:rsidR="00EF1E2A" w:rsidRDefault="00EF1E2A" w:rsidP="008919A0">
      <w:pPr>
        <w:spacing w:after="0" w:line="240" w:lineRule="auto"/>
        <w:jc w:val="both"/>
        <w:rPr>
          <w:rFonts w:ascii="Times New Roman" w:eastAsia="Times New Roman" w:hAnsi="Times New Roman" w:cs="Times New Roman"/>
          <w:color w:val="000000"/>
          <w:lang w:eastAsia="en-US"/>
        </w:rPr>
      </w:pPr>
    </w:p>
    <w:p w:rsidR="002637EF" w:rsidRDefault="002637EF" w:rsidP="008919A0">
      <w:pPr>
        <w:spacing w:after="0" w:line="240" w:lineRule="auto"/>
        <w:jc w:val="both"/>
        <w:rPr>
          <w:rFonts w:ascii="Times New Roman" w:eastAsia="Times New Roman" w:hAnsi="Times New Roman" w:cs="Times New Roman"/>
          <w:sz w:val="24"/>
          <w:szCs w:val="24"/>
        </w:rPr>
        <w:sectPr w:rsidR="002637EF" w:rsidSect="00A23BBD">
          <w:pgSz w:w="16838" w:h="11906" w:orient="landscape"/>
          <w:pgMar w:top="1418" w:right="1418" w:bottom="1418" w:left="1418" w:header="709" w:footer="709" w:gutter="0"/>
          <w:cols w:space="708"/>
          <w:docGrid w:linePitch="360"/>
        </w:sectPr>
      </w:pPr>
    </w:p>
    <w:p w:rsidR="002637EF" w:rsidRPr="00EC6989" w:rsidRDefault="002637EF" w:rsidP="002637EF">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Vo </w:t>
      </w:r>
      <w:r w:rsidRPr="00EC6989">
        <w:rPr>
          <w:rFonts w:ascii="Times New Roman" w:eastAsia="Times New Roman" w:hAnsi="Times New Roman" w:cs="Times New Roman"/>
          <w:sz w:val="24"/>
          <w:szCs w:val="24"/>
        </w:rPr>
        <w:t>viacerých zákonoch je suma minimálnej mzdy použitá ako referenčná veličina pre určenie výšky určitého nárokového plnenia. Možný vplyv úpravy minimálnej mzdy na potreby prostriedkov zo štátneho rozpočtu závisí od počtu vzniknutých prípadov, zakladajúcich nárok na príslušné plnenie. Kvantifikovať je preto možné len dopad na jeden vzniknutý prípad. Vzhľadom</w:t>
      </w:r>
      <w:r>
        <w:rPr>
          <w:rFonts w:ascii="Times New Roman" w:eastAsia="Times New Roman" w:hAnsi="Times New Roman" w:cs="Times New Roman"/>
          <w:sz w:val="24"/>
          <w:szCs w:val="24"/>
        </w:rPr>
        <w:t xml:space="preserve"> na to</w:t>
      </w:r>
      <w:r w:rsidRPr="00EC6989">
        <w:rPr>
          <w:rFonts w:ascii="Times New Roman" w:eastAsia="Times New Roman" w:hAnsi="Times New Roman" w:cs="Times New Roman"/>
          <w:sz w:val="24"/>
          <w:szCs w:val="24"/>
        </w:rPr>
        <w:t>, že návrhom sa nezvyšuje minimálna mzda na rok 2021, ale dochádza k jej zmene</w:t>
      </w:r>
      <w:r>
        <w:rPr>
          <w:rFonts w:ascii="Times New Roman" w:eastAsia="Times New Roman" w:hAnsi="Times New Roman" w:cs="Times New Roman"/>
          <w:sz w:val="24"/>
          <w:szCs w:val="24"/>
        </w:rPr>
        <w:t xml:space="preserve"> oproti zákonom predvídanej sume</w:t>
      </w:r>
      <w:r w:rsidRPr="00EC6989">
        <w:rPr>
          <w:rFonts w:ascii="Times New Roman" w:eastAsia="Times New Roman" w:hAnsi="Times New Roman" w:cs="Times New Roman"/>
          <w:sz w:val="24"/>
          <w:szCs w:val="24"/>
        </w:rPr>
        <w:t xml:space="preserve">, oproti roku 2020 síce dochádza k nárastu výdavkov ale v porovnaní s nákladmi pri sume 656 eur dochádza k ich redukcii </w:t>
      </w:r>
    </w:p>
    <w:p w:rsidR="002637EF" w:rsidRPr="00EC6989" w:rsidRDefault="002637EF" w:rsidP="002637EF">
      <w:pPr>
        <w:spacing w:after="0" w:line="240" w:lineRule="auto"/>
        <w:jc w:val="both"/>
        <w:rPr>
          <w:rFonts w:ascii="Times New Roman" w:eastAsia="Times New Roman" w:hAnsi="Times New Roman" w:cs="Times New Roman"/>
          <w:sz w:val="24"/>
          <w:szCs w:val="24"/>
        </w:rPr>
      </w:pPr>
    </w:p>
    <w:p w:rsidR="002637EF" w:rsidRPr="00EC6989" w:rsidRDefault="002637EF" w:rsidP="002637EF">
      <w:pPr>
        <w:spacing w:after="0" w:line="240" w:lineRule="auto"/>
        <w:ind w:firstLine="708"/>
        <w:jc w:val="both"/>
        <w:rPr>
          <w:rFonts w:ascii="Times New Roman" w:eastAsia="Times New Roman" w:hAnsi="Times New Roman" w:cs="Times New Roman"/>
          <w:sz w:val="24"/>
          <w:szCs w:val="24"/>
        </w:rPr>
      </w:pPr>
      <w:r w:rsidRPr="00EC6989">
        <w:rPr>
          <w:rFonts w:ascii="Times New Roman" w:eastAsia="Times New Roman" w:hAnsi="Times New Roman" w:cs="Times New Roman"/>
          <w:sz w:val="24"/>
          <w:szCs w:val="24"/>
        </w:rPr>
        <w:t>Ide najmä o nasledujúce právne predpisy:</w:t>
      </w:r>
    </w:p>
    <w:p w:rsidR="002637EF" w:rsidRPr="00EC6989" w:rsidRDefault="002637EF" w:rsidP="002637EF">
      <w:pPr>
        <w:spacing w:after="0" w:line="240" w:lineRule="auto"/>
        <w:jc w:val="both"/>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gridCol w:w="1418"/>
      </w:tblGrid>
      <w:tr w:rsidR="002637EF" w:rsidRPr="00EC6989" w:rsidTr="008F5058">
        <w:trPr>
          <w:trHeight w:val="285"/>
        </w:trPr>
        <w:tc>
          <w:tcPr>
            <w:tcW w:w="8188" w:type="dxa"/>
            <w:noWrap/>
          </w:tcPr>
          <w:p w:rsidR="002637EF" w:rsidRPr="00EC6989" w:rsidRDefault="002637EF" w:rsidP="008F5058">
            <w:pPr>
              <w:spacing w:after="0" w:line="240" w:lineRule="auto"/>
              <w:ind w:left="-18"/>
              <w:rPr>
                <w:rFonts w:ascii="Times New Roman" w:hAnsi="Times New Roman" w:cs="Times New Roman"/>
                <w:b/>
                <w:sz w:val="24"/>
                <w:szCs w:val="24"/>
              </w:rPr>
            </w:pPr>
            <w:r w:rsidRPr="00EC6989">
              <w:rPr>
                <w:rFonts w:ascii="Times New Roman" w:hAnsi="Times New Roman" w:cs="Times New Roman"/>
                <w:b/>
                <w:sz w:val="24"/>
                <w:szCs w:val="24"/>
              </w:rPr>
              <w:t>Zmena vyčísliteľná v e</w:t>
            </w:r>
            <w:r w:rsidR="0030440F">
              <w:rPr>
                <w:rFonts w:ascii="Times New Roman" w:hAnsi="Times New Roman" w:cs="Times New Roman"/>
                <w:b/>
                <w:sz w:val="24"/>
                <w:szCs w:val="24"/>
              </w:rPr>
              <w:t>urách v porovnaní so sumou 580</w:t>
            </w:r>
            <w:r w:rsidRPr="00EC6989">
              <w:rPr>
                <w:rFonts w:ascii="Times New Roman" w:hAnsi="Times New Roman" w:cs="Times New Roman"/>
                <w:b/>
                <w:sz w:val="24"/>
                <w:szCs w:val="24"/>
              </w:rPr>
              <w:t xml:space="preserve"> eur</w:t>
            </w:r>
          </w:p>
        </w:tc>
        <w:tc>
          <w:tcPr>
            <w:tcW w:w="1418" w:type="dxa"/>
            <w:noWrap/>
            <w:vAlign w:val="center"/>
          </w:tcPr>
          <w:p w:rsidR="002637EF" w:rsidRPr="00EC6989" w:rsidRDefault="002637EF" w:rsidP="008F5058">
            <w:pPr>
              <w:spacing w:after="0" w:line="240" w:lineRule="auto"/>
              <w:ind w:right="-70"/>
              <w:rPr>
                <w:rFonts w:ascii="Times New Roman" w:hAnsi="Times New Roman" w:cs="Times New Roman"/>
                <w:b/>
                <w:sz w:val="24"/>
                <w:szCs w:val="24"/>
              </w:rPr>
            </w:pPr>
            <w:r w:rsidRPr="00EC6989">
              <w:rPr>
                <w:rFonts w:ascii="Times New Roman" w:hAnsi="Times New Roman" w:cs="Times New Roman"/>
                <w:b/>
                <w:sz w:val="24"/>
                <w:szCs w:val="24"/>
              </w:rPr>
              <w:t>Zmena v eurách</w:t>
            </w:r>
          </w:p>
        </w:tc>
      </w:tr>
      <w:tr w:rsidR="002637EF" w:rsidRPr="00EC6989" w:rsidTr="008F5058">
        <w:trPr>
          <w:trHeight w:val="285"/>
        </w:trPr>
        <w:tc>
          <w:tcPr>
            <w:tcW w:w="9606" w:type="dxa"/>
            <w:gridSpan w:val="2"/>
            <w:noWrap/>
            <w:vAlign w:val="center"/>
          </w:tcPr>
          <w:p w:rsidR="002637EF" w:rsidRPr="00EC6989" w:rsidRDefault="002637EF" w:rsidP="008F5058">
            <w:pPr>
              <w:spacing w:after="0" w:line="240" w:lineRule="auto"/>
              <w:ind w:right="-270"/>
              <w:rPr>
                <w:rFonts w:ascii="Times New Roman" w:hAnsi="Times New Roman" w:cs="Times New Roman"/>
                <w:b/>
                <w:bCs/>
                <w:sz w:val="24"/>
                <w:szCs w:val="24"/>
              </w:rPr>
            </w:pPr>
            <w:r w:rsidRPr="00EC6989">
              <w:rPr>
                <w:rFonts w:ascii="Times New Roman" w:hAnsi="Times New Roman" w:cs="Times New Roman"/>
                <w:b/>
                <w:bCs/>
                <w:sz w:val="24"/>
                <w:szCs w:val="24"/>
              </w:rPr>
              <w:t>Jednorazové odškodnenie prokurátora podľa zákona č. 154/2001 Z. z.</w:t>
            </w:r>
            <w:r w:rsidRPr="00EC6989">
              <w:rPr>
                <w:rFonts w:ascii="Times New Roman" w:hAnsi="Times New Roman" w:cs="Times New Roman"/>
                <w:b/>
                <w:bCs/>
                <w:sz w:val="24"/>
                <w:szCs w:val="24"/>
                <w:vertAlign w:val="superscript"/>
              </w:rPr>
              <w:t xml:space="preserve"> </w:t>
            </w:r>
            <w:r w:rsidRPr="00EC6989">
              <w:rPr>
                <w:rFonts w:ascii="Times New Roman" w:hAnsi="Times New Roman" w:cs="Times New Roman"/>
                <w:b/>
                <w:bCs/>
                <w:sz w:val="24"/>
                <w:szCs w:val="24"/>
              </w:rPr>
              <w:t xml:space="preserve">o prokurátoroch a právnych čakateľoch prokuratúry v znení neskorších predpisov </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w:t>
            </w:r>
            <w:r w:rsidRPr="00962F79">
              <w:rPr>
                <w:rFonts w:ascii="Times New Roman" w:hAnsi="Times New Roman" w:cs="Times New Roman"/>
                <w:bCs/>
                <w:i/>
                <w:iCs/>
                <w:sz w:val="24"/>
                <w:szCs w:val="24"/>
              </w:rPr>
              <w:t>v prípade</w:t>
            </w:r>
            <w:r w:rsidRPr="00962F79">
              <w:rPr>
                <w:rFonts w:ascii="Times New Roman" w:hAnsi="Times New Roman" w:cs="Times New Roman"/>
                <w:i/>
                <w:iCs/>
                <w:sz w:val="24"/>
                <w:szCs w:val="24"/>
              </w:rPr>
              <w:t xml:space="preserve"> služobného úrazu prokurátora 100-nás. MM (§ 169)</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4</w:t>
            </w:r>
            <w:r w:rsidR="00962F79" w:rsidRPr="00962F79">
              <w:rPr>
                <w:rFonts w:ascii="Times New Roman" w:hAnsi="Times New Roman" w:cs="Times New Roman"/>
                <w:i/>
                <w:sz w:val="24"/>
                <w:szCs w:val="24"/>
              </w:rPr>
              <w:t>3</w:t>
            </w:r>
            <w:r w:rsidRPr="00962F79">
              <w:rPr>
                <w:rFonts w:ascii="Times New Roman" w:hAnsi="Times New Roman" w:cs="Times New Roman"/>
                <w:i/>
                <w:sz w:val="24"/>
                <w:szCs w:val="24"/>
              </w:rPr>
              <w:t>00,00</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manželke a deťom prokurátora zomrelého prokurátora 50- nás. MM (§ 175)</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2</w:t>
            </w:r>
            <w:r w:rsidR="00962F79" w:rsidRPr="00962F79">
              <w:rPr>
                <w:rFonts w:ascii="Times New Roman" w:hAnsi="Times New Roman" w:cs="Times New Roman"/>
                <w:i/>
                <w:sz w:val="24"/>
                <w:szCs w:val="24"/>
              </w:rPr>
              <w:t>15</w:t>
            </w:r>
            <w:r w:rsidRPr="00962F79">
              <w:rPr>
                <w:rFonts w:ascii="Times New Roman" w:hAnsi="Times New Roman" w:cs="Times New Roman"/>
                <w:i/>
                <w:sz w:val="24"/>
                <w:szCs w:val="24"/>
              </w:rPr>
              <w:t>0,00</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pacing w:val="-2"/>
                <w:sz w:val="24"/>
                <w:szCs w:val="24"/>
              </w:rPr>
            </w:pPr>
            <w:r w:rsidRPr="00962F79">
              <w:rPr>
                <w:rFonts w:ascii="Times New Roman" w:hAnsi="Times New Roman" w:cs="Times New Roman"/>
                <w:i/>
                <w:iCs/>
                <w:spacing w:val="-2"/>
                <w:sz w:val="24"/>
                <w:szCs w:val="24"/>
              </w:rPr>
              <w:t xml:space="preserve"> - rodičom zomrelého prokurátora v odôvodnených prípadoch 20-nás. MM (§ 175)</w:t>
            </w:r>
          </w:p>
        </w:tc>
        <w:tc>
          <w:tcPr>
            <w:tcW w:w="1418" w:type="dxa"/>
            <w:noWrap/>
            <w:vAlign w:val="center"/>
          </w:tcPr>
          <w:p w:rsidR="002637EF" w:rsidRPr="00962F79" w:rsidRDefault="00F7091C" w:rsidP="00F7091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860</w:t>
            </w:r>
            <w:r w:rsidR="002637EF" w:rsidRPr="00962F79">
              <w:rPr>
                <w:rFonts w:ascii="Times New Roman" w:hAnsi="Times New Roman" w:cs="Times New Roman"/>
                <w:i/>
                <w:sz w:val="24"/>
                <w:szCs w:val="24"/>
              </w:rPr>
              <w:t>,00</w:t>
            </w:r>
          </w:p>
        </w:tc>
      </w:tr>
      <w:tr w:rsidR="002637EF" w:rsidRPr="00EC6989" w:rsidTr="008F5058">
        <w:trPr>
          <w:trHeight w:val="285"/>
        </w:trPr>
        <w:tc>
          <w:tcPr>
            <w:tcW w:w="9606" w:type="dxa"/>
            <w:gridSpan w:val="2"/>
            <w:noWrap/>
            <w:vAlign w:val="center"/>
          </w:tcPr>
          <w:p w:rsidR="002637EF" w:rsidRPr="00962F79" w:rsidRDefault="002637EF" w:rsidP="008F5058">
            <w:pPr>
              <w:spacing w:after="0" w:line="240" w:lineRule="auto"/>
              <w:ind w:left="-18"/>
              <w:rPr>
                <w:rFonts w:ascii="Times New Roman" w:hAnsi="Times New Roman" w:cs="Times New Roman"/>
                <w:b/>
                <w:bCs/>
                <w:sz w:val="24"/>
                <w:szCs w:val="24"/>
                <w:vertAlign w:val="superscript"/>
              </w:rPr>
            </w:pPr>
            <w:r w:rsidRPr="00962F79">
              <w:rPr>
                <w:rFonts w:ascii="Times New Roman" w:hAnsi="Times New Roman" w:cs="Times New Roman"/>
                <w:b/>
                <w:bCs/>
                <w:sz w:val="24"/>
                <w:szCs w:val="24"/>
              </w:rPr>
              <w:t>Jednorazové odškodnenie sudcu podľa zákona č. 385/2000 Z. z. o sudcoch a prísediacich.... v znení neskorších predpisov</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w:t>
            </w:r>
            <w:r w:rsidRPr="00962F79">
              <w:rPr>
                <w:rFonts w:ascii="Times New Roman" w:hAnsi="Times New Roman" w:cs="Times New Roman"/>
                <w:bCs/>
                <w:i/>
                <w:iCs/>
                <w:sz w:val="24"/>
                <w:szCs w:val="24"/>
              </w:rPr>
              <w:t>v prípade</w:t>
            </w:r>
            <w:r w:rsidRPr="00962F79">
              <w:rPr>
                <w:rFonts w:ascii="Times New Roman" w:hAnsi="Times New Roman" w:cs="Times New Roman"/>
                <w:i/>
                <w:iCs/>
                <w:sz w:val="24"/>
                <w:szCs w:val="24"/>
              </w:rPr>
              <w:t xml:space="preserve"> služobného úrazu sudcu 100- nás. MM (§ 112)</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4</w:t>
            </w:r>
            <w:r w:rsidR="00962F79" w:rsidRPr="00962F79">
              <w:rPr>
                <w:rFonts w:ascii="Times New Roman" w:hAnsi="Times New Roman" w:cs="Times New Roman"/>
                <w:i/>
                <w:sz w:val="24"/>
                <w:szCs w:val="24"/>
              </w:rPr>
              <w:t>3</w:t>
            </w:r>
            <w:r w:rsidRPr="00962F79">
              <w:rPr>
                <w:rFonts w:ascii="Times New Roman" w:hAnsi="Times New Roman" w:cs="Times New Roman"/>
                <w:i/>
                <w:sz w:val="24"/>
                <w:szCs w:val="24"/>
              </w:rPr>
              <w:t>00,00</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manželke a deťom zomrelého sudcu 50-nás. MM (§ 113)</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2</w:t>
            </w:r>
            <w:r w:rsidR="00962F79" w:rsidRPr="00962F79">
              <w:rPr>
                <w:rFonts w:ascii="Times New Roman" w:hAnsi="Times New Roman" w:cs="Times New Roman"/>
                <w:i/>
                <w:sz w:val="24"/>
                <w:szCs w:val="24"/>
              </w:rPr>
              <w:t>15</w:t>
            </w:r>
            <w:r w:rsidRPr="00962F79">
              <w:rPr>
                <w:rFonts w:ascii="Times New Roman" w:hAnsi="Times New Roman" w:cs="Times New Roman"/>
                <w:i/>
                <w:sz w:val="24"/>
                <w:szCs w:val="24"/>
              </w:rPr>
              <w:t>0,00</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rodičom zomrelého sudcu v odôvodnených prípadoch 20-nás. MM (§ 113)</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8</w:t>
            </w:r>
            <w:r w:rsidR="00962F79" w:rsidRPr="00962F79">
              <w:rPr>
                <w:rFonts w:ascii="Times New Roman" w:hAnsi="Times New Roman" w:cs="Times New Roman"/>
                <w:i/>
                <w:sz w:val="24"/>
                <w:szCs w:val="24"/>
              </w:rPr>
              <w:t>6</w:t>
            </w:r>
            <w:r w:rsidRPr="00962F79">
              <w:rPr>
                <w:rFonts w:ascii="Times New Roman" w:hAnsi="Times New Roman" w:cs="Times New Roman"/>
                <w:i/>
                <w:sz w:val="24"/>
                <w:szCs w:val="24"/>
              </w:rPr>
              <w:t>0,00</w:t>
            </w:r>
          </w:p>
        </w:tc>
      </w:tr>
      <w:tr w:rsidR="002637EF" w:rsidRPr="00EC6989" w:rsidTr="008F5058">
        <w:trPr>
          <w:trHeight w:val="255"/>
        </w:trPr>
        <w:tc>
          <w:tcPr>
            <w:tcW w:w="9606" w:type="dxa"/>
            <w:gridSpan w:val="2"/>
            <w:noWrap/>
            <w:vAlign w:val="center"/>
          </w:tcPr>
          <w:p w:rsidR="002637EF" w:rsidRPr="00962F79" w:rsidRDefault="002637EF" w:rsidP="008F5058">
            <w:pPr>
              <w:spacing w:after="0" w:line="240" w:lineRule="auto"/>
              <w:rPr>
                <w:rFonts w:ascii="Times New Roman" w:hAnsi="Times New Roman" w:cs="Times New Roman"/>
                <w:b/>
                <w:sz w:val="24"/>
                <w:szCs w:val="24"/>
                <w:vertAlign w:val="superscript"/>
              </w:rPr>
            </w:pPr>
            <w:r w:rsidRPr="00962F79">
              <w:rPr>
                <w:rFonts w:ascii="Times New Roman" w:hAnsi="Times New Roman" w:cs="Times New Roman"/>
                <w:b/>
                <w:bCs/>
                <w:sz w:val="24"/>
                <w:szCs w:val="24"/>
              </w:rPr>
              <w:t xml:space="preserve">Jednorazové odškodnenie podľa zákona </w:t>
            </w:r>
            <w:r w:rsidRPr="00962F79">
              <w:rPr>
                <w:rFonts w:ascii="Times New Roman" w:hAnsi="Times New Roman" w:cs="Times New Roman"/>
                <w:b/>
                <w:sz w:val="24"/>
                <w:szCs w:val="24"/>
              </w:rPr>
              <w:t xml:space="preserve">č. 215/2006 Z. z. o odškodňovaní osôb poškodených násilnými trestnými činmi v znení zákona č. </w:t>
            </w:r>
            <w:hyperlink r:id="rId15" w:history="1">
              <w:r w:rsidRPr="00962F79">
                <w:rPr>
                  <w:rFonts w:ascii="Times New Roman" w:hAnsi="Times New Roman" w:cs="Times New Roman"/>
                  <w:b/>
                  <w:sz w:val="24"/>
                  <w:szCs w:val="24"/>
                </w:rPr>
                <w:t>79/2008 Z. z.</w:t>
              </w:r>
            </w:hyperlink>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osobe usmrtenej násilným činom 50-nás. MM (§ 5)</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2</w:t>
            </w:r>
            <w:r w:rsidR="00962F79" w:rsidRPr="00962F79">
              <w:rPr>
                <w:rFonts w:ascii="Times New Roman" w:hAnsi="Times New Roman" w:cs="Times New Roman"/>
                <w:i/>
                <w:sz w:val="24"/>
                <w:szCs w:val="24"/>
              </w:rPr>
              <w:t>15</w:t>
            </w:r>
            <w:r w:rsidRPr="00962F79">
              <w:rPr>
                <w:rFonts w:ascii="Times New Roman" w:hAnsi="Times New Roman" w:cs="Times New Roman"/>
                <w:i/>
                <w:sz w:val="24"/>
                <w:szCs w:val="24"/>
              </w:rPr>
              <w:t>0,00</w:t>
            </w:r>
          </w:p>
        </w:tc>
      </w:tr>
      <w:tr w:rsidR="002637EF" w:rsidRPr="00962F7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osobe poškodenej znásilnením alebo sexuálnym násilím 10-nás. MM (§ 5)</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4</w:t>
            </w:r>
            <w:r w:rsidR="00962F79" w:rsidRPr="00962F79">
              <w:rPr>
                <w:rFonts w:ascii="Times New Roman" w:hAnsi="Times New Roman" w:cs="Times New Roman"/>
                <w:i/>
                <w:sz w:val="24"/>
                <w:szCs w:val="24"/>
              </w:rPr>
              <w:t>3</w:t>
            </w:r>
            <w:r w:rsidRPr="00962F79">
              <w:rPr>
                <w:rFonts w:ascii="Times New Roman" w:hAnsi="Times New Roman" w:cs="Times New Roman"/>
                <w:i/>
                <w:sz w:val="24"/>
                <w:szCs w:val="24"/>
              </w:rPr>
              <w:t>0,00</w:t>
            </w:r>
          </w:p>
        </w:tc>
      </w:tr>
      <w:tr w:rsidR="002637EF" w:rsidRPr="00EC6989" w:rsidTr="008F5058">
        <w:trPr>
          <w:trHeight w:val="255"/>
        </w:trPr>
        <w:tc>
          <w:tcPr>
            <w:tcW w:w="9606" w:type="dxa"/>
            <w:gridSpan w:val="2"/>
            <w:noWrap/>
            <w:vAlign w:val="center"/>
          </w:tcPr>
          <w:p w:rsidR="002637EF" w:rsidRPr="00962F79" w:rsidRDefault="002637EF" w:rsidP="008F5058">
            <w:pPr>
              <w:spacing w:after="0" w:line="240" w:lineRule="auto"/>
              <w:rPr>
                <w:rFonts w:ascii="Times New Roman" w:hAnsi="Times New Roman" w:cs="Times New Roman"/>
                <w:b/>
                <w:bCs/>
                <w:sz w:val="24"/>
                <w:szCs w:val="24"/>
              </w:rPr>
            </w:pPr>
            <w:r w:rsidRPr="00962F79">
              <w:rPr>
                <w:rFonts w:ascii="Times New Roman" w:hAnsi="Times New Roman" w:cs="Times New Roman"/>
                <w:b/>
                <w:bCs/>
                <w:sz w:val="24"/>
                <w:szCs w:val="24"/>
              </w:rPr>
              <w:t xml:space="preserve">Jednorazové odškodnenie podľa zákona </w:t>
            </w:r>
            <w:r w:rsidRPr="00962F79">
              <w:rPr>
                <w:rFonts w:ascii="Times New Roman" w:hAnsi="Times New Roman" w:cs="Times New Roman"/>
                <w:b/>
                <w:sz w:val="24"/>
                <w:szCs w:val="24"/>
              </w:rPr>
              <w:t>č. 543/2002 Z. z. o ochrane prírody v znení neskorších predpisov</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sz w:val="24"/>
                <w:szCs w:val="24"/>
              </w:rPr>
            </w:pPr>
            <w:r w:rsidRPr="00962F79">
              <w:rPr>
                <w:rFonts w:ascii="Times New Roman" w:hAnsi="Times New Roman" w:cs="Times New Roman"/>
                <w:i/>
                <w:iCs/>
                <w:sz w:val="24"/>
                <w:szCs w:val="24"/>
              </w:rPr>
              <w:t xml:space="preserve"> - manželovi (druhovi) usmrteného a pozostalej maloletej osobe vo výške 30-násobku </w:t>
            </w:r>
            <w:bookmarkStart w:id="2" w:name="731"/>
            <w:bookmarkEnd w:id="2"/>
            <w:r w:rsidRPr="00962F79">
              <w:rPr>
                <w:rFonts w:ascii="Times New Roman" w:hAnsi="Times New Roman" w:cs="Times New Roman"/>
                <w:i/>
                <w:iCs/>
                <w:sz w:val="24"/>
                <w:szCs w:val="24"/>
              </w:rPr>
              <w:t xml:space="preserve">minimálnej </w:t>
            </w:r>
            <w:bookmarkStart w:id="3" w:name="732"/>
            <w:bookmarkEnd w:id="3"/>
            <w:r w:rsidRPr="00962F79">
              <w:rPr>
                <w:rFonts w:ascii="Times New Roman" w:hAnsi="Times New Roman" w:cs="Times New Roman"/>
                <w:i/>
                <w:iCs/>
                <w:sz w:val="24"/>
                <w:szCs w:val="24"/>
              </w:rPr>
              <w:t>mzdy (§ 99)</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12</w:t>
            </w:r>
            <w:r w:rsidR="00962F79" w:rsidRPr="00962F79">
              <w:rPr>
                <w:rFonts w:ascii="Times New Roman" w:hAnsi="Times New Roman" w:cs="Times New Roman"/>
                <w:i/>
                <w:sz w:val="24"/>
                <w:szCs w:val="24"/>
              </w:rPr>
              <w:t>90</w:t>
            </w:r>
            <w:r w:rsidRPr="00962F79">
              <w:rPr>
                <w:rFonts w:ascii="Times New Roman" w:hAnsi="Times New Roman" w:cs="Times New Roman"/>
                <w:i/>
                <w:sz w:val="24"/>
                <w:szCs w:val="24"/>
              </w:rPr>
              <w:t>,00</w:t>
            </w:r>
          </w:p>
        </w:tc>
      </w:tr>
      <w:tr w:rsidR="002637EF" w:rsidRPr="00EC6989" w:rsidTr="008F5058">
        <w:trPr>
          <w:trHeight w:val="255"/>
        </w:trPr>
        <w:tc>
          <w:tcPr>
            <w:tcW w:w="8188" w:type="dxa"/>
            <w:noWrap/>
            <w:vAlign w:val="center"/>
          </w:tcPr>
          <w:p w:rsidR="002637EF" w:rsidRPr="00962F79" w:rsidRDefault="002637EF" w:rsidP="008F5058">
            <w:pPr>
              <w:spacing w:after="0" w:line="240" w:lineRule="auto"/>
              <w:ind w:left="-18"/>
              <w:rPr>
                <w:rFonts w:ascii="Times New Roman" w:hAnsi="Times New Roman" w:cs="Times New Roman"/>
                <w:i/>
                <w:iCs/>
                <w:sz w:val="24"/>
                <w:szCs w:val="24"/>
              </w:rPr>
            </w:pPr>
            <w:r w:rsidRPr="00962F79">
              <w:rPr>
                <w:rFonts w:ascii="Times New Roman" w:hAnsi="Times New Roman" w:cs="Times New Roman"/>
                <w:i/>
                <w:iCs/>
                <w:sz w:val="24"/>
                <w:szCs w:val="24"/>
              </w:rPr>
              <w:t xml:space="preserve"> - ostatným pozostalým vo výške 20-násobku </w:t>
            </w:r>
            <w:bookmarkStart w:id="4" w:name="733"/>
            <w:bookmarkEnd w:id="4"/>
            <w:r w:rsidRPr="00962F79">
              <w:rPr>
                <w:rFonts w:ascii="Times New Roman" w:hAnsi="Times New Roman" w:cs="Times New Roman"/>
                <w:i/>
                <w:iCs/>
                <w:sz w:val="24"/>
                <w:szCs w:val="24"/>
              </w:rPr>
              <w:t xml:space="preserve">minimálnej </w:t>
            </w:r>
            <w:bookmarkStart w:id="5" w:name="734"/>
            <w:bookmarkEnd w:id="5"/>
            <w:r w:rsidRPr="00962F79">
              <w:rPr>
                <w:rFonts w:ascii="Times New Roman" w:hAnsi="Times New Roman" w:cs="Times New Roman"/>
                <w:i/>
                <w:iCs/>
                <w:sz w:val="24"/>
                <w:szCs w:val="24"/>
              </w:rPr>
              <w:t>mzdy (§ 99)</w:t>
            </w:r>
          </w:p>
        </w:tc>
        <w:tc>
          <w:tcPr>
            <w:tcW w:w="1418" w:type="dxa"/>
            <w:noWrap/>
            <w:vAlign w:val="center"/>
          </w:tcPr>
          <w:p w:rsidR="002637EF" w:rsidRPr="00962F79" w:rsidRDefault="002637EF" w:rsidP="008F5058">
            <w:pPr>
              <w:spacing w:after="0" w:line="240" w:lineRule="auto"/>
              <w:jc w:val="center"/>
              <w:rPr>
                <w:rFonts w:ascii="Times New Roman" w:hAnsi="Times New Roman" w:cs="Times New Roman"/>
                <w:i/>
                <w:sz w:val="24"/>
                <w:szCs w:val="24"/>
              </w:rPr>
            </w:pPr>
            <w:r w:rsidRPr="00962F79">
              <w:rPr>
                <w:rFonts w:ascii="Times New Roman" w:hAnsi="Times New Roman" w:cs="Times New Roman"/>
                <w:i/>
                <w:sz w:val="24"/>
                <w:szCs w:val="24"/>
              </w:rPr>
              <w:t>8</w:t>
            </w:r>
            <w:r w:rsidR="00962F79" w:rsidRPr="00962F79">
              <w:rPr>
                <w:rFonts w:ascii="Times New Roman" w:hAnsi="Times New Roman" w:cs="Times New Roman"/>
                <w:i/>
                <w:sz w:val="24"/>
                <w:szCs w:val="24"/>
              </w:rPr>
              <w:t>6</w:t>
            </w:r>
            <w:r w:rsidRPr="00962F79">
              <w:rPr>
                <w:rFonts w:ascii="Times New Roman" w:hAnsi="Times New Roman" w:cs="Times New Roman"/>
                <w:i/>
                <w:sz w:val="24"/>
                <w:szCs w:val="24"/>
              </w:rPr>
              <w:t>0,00</w:t>
            </w:r>
          </w:p>
        </w:tc>
      </w:tr>
      <w:tr w:rsidR="002637EF" w:rsidRPr="00EC6989" w:rsidTr="008F5058">
        <w:trPr>
          <w:trHeight w:val="255"/>
        </w:trPr>
        <w:tc>
          <w:tcPr>
            <w:tcW w:w="8188" w:type="dxa"/>
            <w:noWrap/>
            <w:vAlign w:val="center"/>
          </w:tcPr>
          <w:p w:rsidR="002637EF" w:rsidRPr="00EC6989" w:rsidRDefault="002637EF" w:rsidP="008F5058">
            <w:pPr>
              <w:spacing w:after="0" w:line="240" w:lineRule="auto"/>
              <w:rPr>
                <w:rFonts w:ascii="Times New Roman" w:hAnsi="Times New Roman" w:cs="Times New Roman"/>
                <w:sz w:val="24"/>
                <w:szCs w:val="24"/>
              </w:rPr>
            </w:pPr>
          </w:p>
        </w:tc>
        <w:tc>
          <w:tcPr>
            <w:tcW w:w="1418" w:type="dxa"/>
            <w:vAlign w:val="center"/>
          </w:tcPr>
          <w:p w:rsidR="002637EF" w:rsidRPr="00EC6989" w:rsidRDefault="002637EF" w:rsidP="008F5058">
            <w:pPr>
              <w:spacing w:after="0" w:line="240" w:lineRule="auto"/>
              <w:jc w:val="center"/>
              <w:rPr>
                <w:rFonts w:ascii="Times New Roman" w:hAnsi="Times New Roman" w:cs="Times New Roman"/>
                <w:i/>
                <w:sz w:val="24"/>
                <w:szCs w:val="24"/>
              </w:rPr>
            </w:pPr>
          </w:p>
        </w:tc>
      </w:tr>
    </w:tbl>
    <w:p w:rsidR="002637EF" w:rsidRPr="00EC6989" w:rsidRDefault="002637EF" w:rsidP="002637EF">
      <w:pPr>
        <w:spacing w:after="0" w:line="240" w:lineRule="auto"/>
        <w:jc w:val="both"/>
        <w:rPr>
          <w:rFonts w:ascii="Times New Roman" w:eastAsia="Times New Roman" w:hAnsi="Times New Roman" w:cs="Times New Roman"/>
          <w:sz w:val="24"/>
          <w:szCs w:val="24"/>
        </w:rPr>
      </w:pPr>
    </w:p>
    <w:p w:rsidR="002637EF" w:rsidRPr="004A14B0" w:rsidRDefault="002637EF" w:rsidP="004A14B0">
      <w:pPr>
        <w:spacing w:after="0" w:line="240" w:lineRule="auto"/>
        <w:ind w:firstLine="708"/>
        <w:jc w:val="both"/>
        <w:rPr>
          <w:rFonts w:ascii="Times New Roman" w:hAnsi="Times New Roman" w:cs="Times New Roman"/>
          <w:b/>
          <w:bCs/>
          <w:sz w:val="24"/>
          <w:szCs w:val="24"/>
        </w:rPr>
      </w:pPr>
      <w:r w:rsidRPr="00EC6989">
        <w:rPr>
          <w:rFonts w:ascii="Times New Roman" w:hAnsi="Times New Roman" w:cs="Times New Roman"/>
          <w:sz w:val="24"/>
          <w:szCs w:val="24"/>
        </w:rPr>
        <w:t xml:space="preserve">Nepriamo vyvolaným vplyvom úpravy sumy minimálnej mzdy na štátny rozpočet môže byť </w:t>
      </w:r>
      <w:r w:rsidR="00334068">
        <w:rPr>
          <w:rFonts w:ascii="Times New Roman" w:hAnsi="Times New Roman" w:cs="Times New Roman"/>
          <w:b/>
          <w:bCs/>
          <w:sz w:val="24"/>
          <w:szCs w:val="24"/>
        </w:rPr>
        <w:t>zmena</w:t>
      </w:r>
      <w:r w:rsidRPr="00EC6989">
        <w:rPr>
          <w:rFonts w:ascii="Times New Roman" w:hAnsi="Times New Roman" w:cs="Times New Roman"/>
          <w:b/>
          <w:bCs/>
          <w:sz w:val="24"/>
          <w:szCs w:val="24"/>
        </w:rPr>
        <w:t xml:space="preserve"> pracovnej odmeny obvinených a odsúdených</w:t>
      </w:r>
      <w:r w:rsidRPr="00EC6989">
        <w:rPr>
          <w:rFonts w:ascii="Times New Roman" w:hAnsi="Times New Roman" w:cs="Times New Roman"/>
          <w:sz w:val="24"/>
          <w:szCs w:val="24"/>
        </w:rPr>
        <w:t xml:space="preserve"> podľa nariadenia vlády Slovenskej republiky </w:t>
      </w:r>
      <w:r w:rsidRPr="00EC6989">
        <w:rPr>
          <w:rFonts w:ascii="Times New Roman" w:hAnsi="Times New Roman" w:cs="Times New Roman"/>
          <w:b/>
          <w:sz w:val="24"/>
          <w:szCs w:val="24"/>
        </w:rPr>
        <w:t>č. 384/2006 Z. z. o výške pracovnej odmeny</w:t>
      </w:r>
      <w:r w:rsidRPr="00EC6989">
        <w:rPr>
          <w:rFonts w:ascii="Times New Roman" w:hAnsi="Times New Roman" w:cs="Times New Roman"/>
          <w:sz w:val="24"/>
          <w:szCs w:val="24"/>
        </w:rPr>
        <w:t xml:space="preserve"> a podmienkach jej poskytovania obvineným a odsúdeným v znení neskorších predpisov. Podľa § 3 ods. 3 tohto nariadenia vlády sa výška pracovných taríf </w:t>
      </w:r>
      <w:r w:rsidRPr="00EC6989">
        <w:rPr>
          <w:rFonts w:ascii="Times New Roman" w:hAnsi="Times New Roman" w:cs="Times New Roman"/>
          <w:bCs/>
          <w:sz w:val="24"/>
          <w:szCs w:val="24"/>
        </w:rPr>
        <w:t>pre obvinených a odsúdených zaradených do práce</w:t>
      </w:r>
      <w:r w:rsidRPr="00EC6989">
        <w:rPr>
          <w:rFonts w:ascii="Times New Roman" w:hAnsi="Times New Roman" w:cs="Times New Roman"/>
          <w:sz w:val="24"/>
          <w:szCs w:val="24"/>
        </w:rPr>
        <w:t xml:space="preserve"> upraví vždy k 1. januáru príslušného kalendárneho roka </w:t>
      </w:r>
      <w:r w:rsidRPr="00EC6989">
        <w:rPr>
          <w:rFonts w:ascii="Times New Roman" w:hAnsi="Times New Roman" w:cs="Times New Roman"/>
          <w:b/>
          <w:bCs/>
          <w:sz w:val="24"/>
          <w:szCs w:val="24"/>
        </w:rPr>
        <w:t>úmerne zvýšeniu minimálnej mzdy</w:t>
      </w:r>
      <w:r w:rsidRPr="00EC6989">
        <w:rPr>
          <w:rFonts w:ascii="Times New Roman" w:hAnsi="Times New Roman" w:cs="Times New Roman"/>
          <w:sz w:val="24"/>
          <w:szCs w:val="24"/>
        </w:rPr>
        <w:t>. Ak sa na rok 2021 ustanovenie § 3 ods. 3 použije, po zaokrúhlení podielu výšky ustanovenej minimálnej mzdy 62</w:t>
      </w:r>
      <w:r w:rsidR="00962F79">
        <w:rPr>
          <w:rFonts w:ascii="Times New Roman" w:hAnsi="Times New Roman" w:cs="Times New Roman"/>
          <w:sz w:val="24"/>
          <w:szCs w:val="24"/>
        </w:rPr>
        <w:t>3</w:t>
      </w:r>
      <w:r w:rsidRPr="00EC6989">
        <w:rPr>
          <w:rFonts w:ascii="Times New Roman" w:hAnsi="Times New Roman" w:cs="Times New Roman"/>
          <w:sz w:val="24"/>
          <w:szCs w:val="24"/>
        </w:rPr>
        <w:t xml:space="preserve"> eur mesačne a výšky minimálnej mzdy ustanovenej v predchádzajúcom roku (580 eur mesačne) </w:t>
      </w:r>
      <w:r w:rsidRPr="00EC6989">
        <w:rPr>
          <w:rFonts w:ascii="Times New Roman" w:hAnsi="Times New Roman" w:cs="Times New Roman"/>
          <w:b/>
          <w:sz w:val="24"/>
          <w:szCs w:val="24"/>
        </w:rPr>
        <w:t>s presnosťou na dve desatinné miesta</w:t>
      </w:r>
      <w:r w:rsidRPr="00EC6989">
        <w:rPr>
          <w:rFonts w:ascii="Times New Roman" w:hAnsi="Times New Roman" w:cs="Times New Roman"/>
          <w:sz w:val="24"/>
          <w:szCs w:val="24"/>
        </w:rPr>
        <w:t xml:space="preserve">, na rok </w:t>
      </w:r>
      <w:r w:rsidRPr="00CE11A7">
        <w:rPr>
          <w:rFonts w:ascii="Times New Roman" w:hAnsi="Times New Roman" w:cs="Times New Roman"/>
          <w:sz w:val="24"/>
          <w:szCs w:val="24"/>
        </w:rPr>
        <w:t>2020 bude koeficient</w:t>
      </w:r>
      <w:r w:rsidRPr="00CE11A7">
        <w:rPr>
          <w:rFonts w:ascii="Times New Roman" w:hAnsi="Times New Roman" w:cs="Times New Roman"/>
          <w:b/>
          <w:sz w:val="24"/>
          <w:szCs w:val="24"/>
        </w:rPr>
        <w:t xml:space="preserve"> predstavovať 1,07.</w:t>
      </w:r>
    </w:p>
    <w:p w:rsidR="002637EF" w:rsidRPr="00EC6989" w:rsidRDefault="002637EF" w:rsidP="002637EF">
      <w:pPr>
        <w:spacing w:after="0" w:line="240" w:lineRule="auto"/>
        <w:ind w:firstLine="708"/>
        <w:rPr>
          <w:rFonts w:ascii="Times New Roman" w:hAnsi="Times New Roman" w:cs="Times New Roman"/>
          <w:b/>
          <w:sz w:val="24"/>
          <w:szCs w:val="24"/>
        </w:rPr>
      </w:pPr>
    </w:p>
    <w:p w:rsidR="002637EF" w:rsidRPr="00EC6989" w:rsidRDefault="002637EF" w:rsidP="002637EF">
      <w:pPr>
        <w:pStyle w:val="Nzov"/>
        <w:jc w:val="both"/>
        <w:rPr>
          <w:b/>
          <w:bCs/>
          <w:iCs/>
          <w:sz w:val="24"/>
          <w:szCs w:val="24"/>
        </w:rPr>
      </w:pPr>
      <w:r w:rsidRPr="00EC6989">
        <w:rPr>
          <w:b/>
          <w:bCs/>
          <w:iCs/>
          <w:sz w:val="24"/>
          <w:szCs w:val="24"/>
        </w:rPr>
        <w:t xml:space="preserve">Transfer obciam na údržbu vojnových hrobov </w:t>
      </w:r>
    </w:p>
    <w:p w:rsidR="002637EF" w:rsidRPr="00EC6989" w:rsidRDefault="002637EF" w:rsidP="002637EF">
      <w:pPr>
        <w:spacing w:after="0" w:line="240" w:lineRule="auto"/>
        <w:ind w:firstLine="708"/>
        <w:rPr>
          <w:rFonts w:ascii="Times New Roman" w:hAnsi="Times New Roman" w:cs="Times New Roman"/>
          <w:b/>
          <w:bCs/>
          <w:sz w:val="24"/>
          <w:szCs w:val="24"/>
        </w:rPr>
      </w:pPr>
    </w:p>
    <w:p w:rsidR="002637EF" w:rsidRPr="00EC6989" w:rsidRDefault="002637EF" w:rsidP="002637EF">
      <w:pPr>
        <w:spacing w:after="0" w:line="240" w:lineRule="auto"/>
        <w:ind w:firstLine="708"/>
        <w:jc w:val="both"/>
        <w:rPr>
          <w:rFonts w:ascii="Times New Roman" w:hAnsi="Times New Roman" w:cs="Times New Roman"/>
          <w:sz w:val="24"/>
          <w:szCs w:val="24"/>
        </w:rPr>
      </w:pPr>
      <w:r w:rsidRPr="00EC6989">
        <w:rPr>
          <w:rFonts w:ascii="Times New Roman" w:hAnsi="Times New Roman" w:cs="Times New Roman"/>
          <w:sz w:val="24"/>
          <w:szCs w:val="24"/>
        </w:rPr>
        <w:t xml:space="preserve">Podľa § 4 ods. 1 zákona č. 130/2005 Z. z. o vojnových hroboch v znení neskorších predpisov (cit.): </w:t>
      </w:r>
      <w:r w:rsidRPr="00EC6989">
        <w:rPr>
          <w:rFonts w:ascii="Times New Roman" w:hAnsi="Times New Roman" w:cs="Times New Roman"/>
          <w:i/>
          <w:sz w:val="24"/>
          <w:szCs w:val="24"/>
        </w:rPr>
        <w:t xml:space="preserve">„Na zabezpečovanie starostlivosti o vojnový hrob sa poskytne obci príspevok na kalendárny rok na každý vojnový hrob v sume </w:t>
      </w:r>
      <w:r w:rsidRPr="00EC6989">
        <w:rPr>
          <w:rFonts w:ascii="Times New Roman" w:hAnsi="Times New Roman" w:cs="Times New Roman"/>
          <w:b/>
          <w:i/>
          <w:sz w:val="24"/>
          <w:szCs w:val="24"/>
        </w:rPr>
        <w:t xml:space="preserve">päťnásobku minimálnej hodinovej mzdy </w:t>
      </w:r>
      <w:r w:rsidRPr="00EC6989">
        <w:rPr>
          <w:rFonts w:ascii="Times New Roman" w:hAnsi="Times New Roman" w:cs="Times New Roman"/>
          <w:i/>
          <w:sz w:val="24"/>
          <w:szCs w:val="24"/>
        </w:rPr>
        <w:t>ustanovenej osobitným predpisom“</w:t>
      </w:r>
      <w:r w:rsidRPr="00EC6989">
        <w:rPr>
          <w:rFonts w:ascii="Times New Roman" w:hAnsi="Times New Roman" w:cs="Times New Roman"/>
          <w:sz w:val="24"/>
          <w:szCs w:val="24"/>
        </w:rPr>
        <w:t xml:space="preserve">. V roku </w:t>
      </w:r>
      <w:r w:rsidR="00F7091C">
        <w:rPr>
          <w:rFonts w:ascii="Times New Roman" w:hAnsi="Times New Roman" w:cs="Times New Roman"/>
          <w:sz w:val="24"/>
          <w:szCs w:val="24"/>
        </w:rPr>
        <w:t>2021</w:t>
      </w:r>
      <w:r w:rsidRPr="00EC6989">
        <w:rPr>
          <w:rFonts w:ascii="Times New Roman" w:hAnsi="Times New Roman" w:cs="Times New Roman"/>
          <w:sz w:val="24"/>
          <w:szCs w:val="24"/>
        </w:rPr>
        <w:t xml:space="preserve"> celková výška príspevku na 1 vojnový hrob </w:t>
      </w:r>
      <w:r w:rsidRPr="00EC6989">
        <w:rPr>
          <w:rFonts w:ascii="Times New Roman" w:hAnsi="Times New Roman" w:cs="Times New Roman"/>
          <w:sz w:val="24"/>
          <w:szCs w:val="24"/>
        </w:rPr>
        <w:lastRenderedPageBreak/>
        <w:t xml:space="preserve">bude </w:t>
      </w:r>
      <w:r w:rsidRPr="00962F79">
        <w:rPr>
          <w:rFonts w:ascii="Times New Roman" w:hAnsi="Times New Roman" w:cs="Times New Roman"/>
          <w:sz w:val="24"/>
          <w:szCs w:val="24"/>
        </w:rPr>
        <w:t>predstavovať 17,</w:t>
      </w:r>
      <w:r w:rsidR="00962F79" w:rsidRPr="00962F79">
        <w:rPr>
          <w:rFonts w:ascii="Times New Roman" w:hAnsi="Times New Roman" w:cs="Times New Roman"/>
          <w:sz w:val="24"/>
          <w:szCs w:val="24"/>
        </w:rPr>
        <w:t>9</w:t>
      </w:r>
      <w:r w:rsidRPr="00962F79">
        <w:rPr>
          <w:rFonts w:ascii="Times New Roman" w:hAnsi="Times New Roman" w:cs="Times New Roman"/>
          <w:sz w:val="24"/>
          <w:szCs w:val="24"/>
        </w:rPr>
        <w:t xml:space="preserve"> eura ročne, čo oproti sume 16,665 eura platnej v roku 2020 predstavuje </w:t>
      </w:r>
      <w:r w:rsidRPr="00962F79">
        <w:rPr>
          <w:rFonts w:ascii="Times New Roman" w:hAnsi="Times New Roman" w:cs="Times New Roman"/>
          <w:b/>
          <w:sz w:val="24"/>
          <w:szCs w:val="24"/>
        </w:rPr>
        <w:t>nárast o 1,</w:t>
      </w:r>
      <w:r w:rsidR="00962F79" w:rsidRPr="00962F79">
        <w:rPr>
          <w:rFonts w:ascii="Times New Roman" w:hAnsi="Times New Roman" w:cs="Times New Roman"/>
          <w:b/>
          <w:sz w:val="24"/>
          <w:szCs w:val="24"/>
        </w:rPr>
        <w:t>235</w:t>
      </w:r>
      <w:r w:rsidRPr="00962F79">
        <w:rPr>
          <w:rFonts w:ascii="Times New Roman" w:hAnsi="Times New Roman" w:cs="Times New Roman"/>
          <w:b/>
          <w:sz w:val="24"/>
          <w:szCs w:val="24"/>
        </w:rPr>
        <w:t xml:space="preserve"> eura na 1 vojnový hrob</w:t>
      </w:r>
      <w:r w:rsidRPr="00962F79">
        <w:rPr>
          <w:rFonts w:ascii="Times New Roman" w:hAnsi="Times New Roman" w:cs="Times New Roman"/>
          <w:sz w:val="24"/>
          <w:szCs w:val="24"/>
        </w:rPr>
        <w:t>.</w:t>
      </w:r>
    </w:p>
    <w:p w:rsidR="002637EF" w:rsidRPr="00EC6989" w:rsidRDefault="002637EF" w:rsidP="002637EF">
      <w:pPr>
        <w:spacing w:after="0" w:line="240" w:lineRule="auto"/>
        <w:jc w:val="both"/>
        <w:rPr>
          <w:rFonts w:ascii="Times New Roman" w:hAnsi="Times New Roman" w:cs="Times New Roman"/>
          <w:sz w:val="24"/>
          <w:szCs w:val="24"/>
        </w:rPr>
      </w:pPr>
    </w:p>
    <w:p w:rsidR="002637EF" w:rsidRPr="00EC6989" w:rsidRDefault="002637EF" w:rsidP="002637EF">
      <w:pPr>
        <w:spacing w:after="0" w:line="240" w:lineRule="auto"/>
        <w:ind w:firstLine="708"/>
        <w:jc w:val="both"/>
        <w:rPr>
          <w:rFonts w:ascii="Times New Roman" w:hAnsi="Times New Roman" w:cs="Times New Roman"/>
          <w:sz w:val="24"/>
          <w:szCs w:val="24"/>
        </w:rPr>
      </w:pPr>
      <w:r w:rsidRPr="00EC6989">
        <w:rPr>
          <w:rFonts w:ascii="Times New Roman" w:hAnsi="Times New Roman" w:cs="Times New Roman"/>
          <w:sz w:val="24"/>
          <w:szCs w:val="24"/>
        </w:rPr>
        <w:t>Podľa údajov získaných z MV SR v roku 2019 boli obciam poskytované príspevky podľa § 4 ods. 1 tohto zákona na úpravu 20 024 hrobov*)</w:t>
      </w:r>
      <w:hyperlink w:history="1"/>
      <w:r w:rsidRPr="00EC6989">
        <w:rPr>
          <w:rFonts w:ascii="Times New Roman" w:hAnsi="Times New Roman" w:cs="Times New Roman"/>
          <w:sz w:val="24"/>
          <w:szCs w:val="24"/>
        </w:rPr>
        <w:t xml:space="preserve">. Vplyv úpravy sumy minimálnej </w:t>
      </w:r>
      <w:r w:rsidRPr="00962F79">
        <w:rPr>
          <w:rFonts w:ascii="Times New Roman" w:hAnsi="Times New Roman" w:cs="Times New Roman"/>
          <w:sz w:val="24"/>
          <w:szCs w:val="24"/>
        </w:rPr>
        <w:t xml:space="preserve">mzdy na štátny rozpočet z dôvodu transferu príspevku obciam na údržbu vojnových hrobov možno odhadnúť </w:t>
      </w:r>
      <w:r w:rsidRPr="00962F79">
        <w:rPr>
          <w:rFonts w:ascii="Times New Roman" w:hAnsi="Times New Roman" w:cs="Times New Roman"/>
          <w:b/>
          <w:sz w:val="24"/>
          <w:szCs w:val="24"/>
        </w:rPr>
        <w:t>na 2</w:t>
      </w:r>
      <w:r w:rsidR="00962F79" w:rsidRPr="00962F79">
        <w:rPr>
          <w:rFonts w:ascii="Times New Roman" w:hAnsi="Times New Roman" w:cs="Times New Roman"/>
          <w:b/>
          <w:sz w:val="24"/>
          <w:szCs w:val="24"/>
        </w:rPr>
        <w:t>4729</w:t>
      </w:r>
      <w:r w:rsidRPr="00962F79">
        <w:rPr>
          <w:rFonts w:ascii="Times New Roman" w:hAnsi="Times New Roman" w:cs="Times New Roman"/>
          <w:b/>
          <w:sz w:val="24"/>
          <w:szCs w:val="24"/>
        </w:rPr>
        <w:t>,6</w:t>
      </w:r>
      <w:r w:rsidR="00962F79" w:rsidRPr="00962F79">
        <w:rPr>
          <w:rFonts w:ascii="Times New Roman" w:hAnsi="Times New Roman" w:cs="Times New Roman"/>
          <w:b/>
          <w:sz w:val="24"/>
          <w:szCs w:val="24"/>
        </w:rPr>
        <w:t>4</w:t>
      </w:r>
      <w:r w:rsidRPr="00962F79" w:rsidDel="008444BA">
        <w:rPr>
          <w:rFonts w:ascii="Times New Roman" w:hAnsi="Times New Roman" w:cs="Times New Roman"/>
          <w:b/>
          <w:sz w:val="24"/>
          <w:szCs w:val="24"/>
        </w:rPr>
        <w:t xml:space="preserve"> </w:t>
      </w:r>
      <w:r w:rsidRPr="00962F79">
        <w:rPr>
          <w:rFonts w:ascii="Times New Roman" w:hAnsi="Times New Roman" w:cs="Times New Roman"/>
          <w:b/>
          <w:sz w:val="24"/>
          <w:szCs w:val="24"/>
        </w:rPr>
        <w:t>eura ročne</w:t>
      </w:r>
      <w:r w:rsidRPr="00EC6989">
        <w:rPr>
          <w:rFonts w:ascii="Times New Roman" w:hAnsi="Times New Roman" w:cs="Times New Roman"/>
          <w:sz w:val="24"/>
          <w:szCs w:val="24"/>
        </w:rPr>
        <w:t xml:space="preserve"> (pričom v porovnaní so sumou 656</w:t>
      </w:r>
      <w:r w:rsidR="00FA36A7">
        <w:rPr>
          <w:rFonts w:ascii="Times New Roman" w:hAnsi="Times New Roman" w:cs="Times New Roman"/>
          <w:sz w:val="24"/>
          <w:szCs w:val="24"/>
        </w:rPr>
        <w:t xml:space="preserve"> </w:t>
      </w:r>
      <w:r w:rsidRPr="00EC6989">
        <w:rPr>
          <w:rFonts w:ascii="Times New Roman" w:hAnsi="Times New Roman" w:cs="Times New Roman"/>
          <w:sz w:val="24"/>
          <w:szCs w:val="24"/>
        </w:rPr>
        <w:t>eur ide o zníženie nárastu) V tomto počte sú uvedené len vojnové hroby, na ktoré MV SR na základe požiadania obce poskytlo obci príspevok na údržbu hrobov.</w:t>
      </w:r>
    </w:p>
    <w:p w:rsidR="00453C9E" w:rsidRDefault="002637EF" w:rsidP="002637EF">
      <w:pPr>
        <w:spacing w:after="0" w:line="240" w:lineRule="auto"/>
        <w:rPr>
          <w:rFonts w:ascii="Times New Roman" w:hAnsi="Times New Roman" w:cs="Times New Roman"/>
          <w:i/>
          <w:sz w:val="24"/>
          <w:szCs w:val="24"/>
        </w:rPr>
        <w:sectPr w:rsidR="00453C9E" w:rsidSect="00A23BBD">
          <w:pgSz w:w="11906" w:h="16838"/>
          <w:pgMar w:top="1418" w:right="1418" w:bottom="1418" w:left="1418" w:header="709" w:footer="709" w:gutter="0"/>
          <w:cols w:space="708"/>
          <w:docGrid w:linePitch="360"/>
        </w:sectPr>
      </w:pPr>
      <w:r w:rsidRPr="00EC6989">
        <w:rPr>
          <w:rFonts w:ascii="Times New Roman" w:hAnsi="Times New Roman" w:cs="Times New Roman"/>
          <w:i/>
          <w:sz w:val="24"/>
          <w:szCs w:val="24"/>
        </w:rPr>
        <w:t>*) Zdroj: MV SR, http://www.minv.sk/swift_data/source/verejna_sprava/vh_ziados</w:t>
      </w:r>
      <w:r w:rsidR="0030440F">
        <w:rPr>
          <w:rFonts w:ascii="Times New Roman" w:hAnsi="Times New Roman" w:cs="Times New Roman"/>
          <w:i/>
          <w:sz w:val="24"/>
          <w:szCs w:val="24"/>
        </w:rPr>
        <w:t>ti_4_ods1/hroby_odsek1_2019.p</w:t>
      </w:r>
    </w:p>
    <w:p w:rsidR="00453C9E" w:rsidRPr="007D5748" w:rsidRDefault="00453C9E" w:rsidP="00453C9E">
      <w:pPr>
        <w:tabs>
          <w:tab w:val="num" w:pos="1080"/>
        </w:tabs>
        <w:spacing w:after="0" w:line="240" w:lineRule="auto"/>
        <w:jc w:val="right"/>
        <w:rPr>
          <w:rFonts w:ascii="Times New Roman" w:eastAsia="Times New Roman" w:hAnsi="Times New Roman" w:cs="Times New Roman"/>
          <w:bCs/>
          <w:sz w:val="24"/>
          <w:szCs w:val="24"/>
        </w:rPr>
      </w:pPr>
      <w:r w:rsidRPr="007D5748">
        <w:rPr>
          <w:rFonts w:ascii="Times New Roman" w:eastAsia="Times New Roman" w:hAnsi="Times New Roman" w:cs="Times New Roman"/>
          <w:bCs/>
          <w:sz w:val="24"/>
          <w:szCs w:val="24"/>
        </w:rPr>
        <w:lastRenderedPageBreak/>
        <w:t xml:space="preserve">Tabuľka č. 3 </w:t>
      </w:r>
    </w:p>
    <w:tbl>
      <w:tblPr>
        <w:tblpPr w:leftFromText="141" w:rightFromText="141" w:horzAnchor="margin" w:tblpXSpec="center" w:tblpY="533"/>
        <w:tblW w:w="14150" w:type="dxa"/>
        <w:tblCellMar>
          <w:left w:w="70" w:type="dxa"/>
          <w:right w:w="70" w:type="dxa"/>
        </w:tblCellMar>
        <w:tblLook w:val="0000" w:firstRow="0" w:lastRow="0" w:firstColumn="0" w:lastColumn="0" w:noHBand="0" w:noVBand="0"/>
      </w:tblPr>
      <w:tblGrid>
        <w:gridCol w:w="4950"/>
        <w:gridCol w:w="1500"/>
        <w:gridCol w:w="1700"/>
        <w:gridCol w:w="1500"/>
        <w:gridCol w:w="1500"/>
        <w:gridCol w:w="3000"/>
      </w:tblGrid>
      <w:tr w:rsidR="00453C9E" w:rsidRPr="000233E5" w:rsidTr="00AE15A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Príjmy (v eurách)</w:t>
            </w:r>
          </w:p>
        </w:tc>
        <w:tc>
          <w:tcPr>
            <w:tcW w:w="62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poznámka</w:t>
            </w:r>
          </w:p>
        </w:tc>
      </w:tr>
      <w:tr w:rsidR="00453C9E" w:rsidRPr="000233E5" w:rsidTr="00AE15A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453C9E" w:rsidRPr="000233E5" w:rsidRDefault="00453C9E" w:rsidP="00F02D64">
            <w:pPr>
              <w:spacing w:after="0" w:line="240" w:lineRule="auto"/>
              <w:rPr>
                <w:rFonts w:ascii="Times New Roman" w:eastAsia="Times New Roman" w:hAnsi="Times New Roman" w:cs="Times New Roman"/>
                <w:b/>
                <w:bCs/>
                <w:color w:val="FFFFFF"/>
                <w:sz w:val="20"/>
                <w:szCs w:val="20"/>
              </w:rPr>
            </w:pPr>
          </w:p>
        </w:tc>
        <w:tc>
          <w:tcPr>
            <w:tcW w:w="1500" w:type="dxa"/>
            <w:tcBorders>
              <w:top w:val="nil"/>
              <w:left w:val="nil"/>
              <w:bottom w:val="single" w:sz="4" w:space="0" w:color="auto"/>
              <w:right w:val="single" w:sz="4" w:space="0" w:color="auto"/>
            </w:tcBorders>
            <w:shd w:val="clear" w:color="auto" w:fill="BFBFBF" w:themeFill="background1" w:themeFillShade="BF"/>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2020</w:t>
            </w:r>
          </w:p>
        </w:tc>
        <w:tc>
          <w:tcPr>
            <w:tcW w:w="1700" w:type="dxa"/>
            <w:tcBorders>
              <w:top w:val="nil"/>
              <w:left w:val="nil"/>
              <w:bottom w:val="single" w:sz="4" w:space="0" w:color="auto"/>
              <w:right w:val="single" w:sz="4" w:space="0" w:color="auto"/>
            </w:tcBorders>
            <w:shd w:val="clear" w:color="auto" w:fill="BFBFBF" w:themeFill="background1" w:themeFillShade="BF"/>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453C9E" w:rsidRPr="000233E5" w:rsidRDefault="00453C9E" w:rsidP="00F02D64">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2023</w:t>
            </w:r>
          </w:p>
        </w:tc>
        <w:tc>
          <w:tcPr>
            <w:tcW w:w="3000" w:type="dxa"/>
            <w:vMerge/>
            <w:tcBorders>
              <w:top w:val="single" w:sz="4" w:space="0" w:color="auto"/>
              <w:left w:val="single" w:sz="4" w:space="0" w:color="auto"/>
              <w:bottom w:val="single" w:sz="4" w:space="0" w:color="auto"/>
              <w:right w:val="single" w:sz="4" w:space="0" w:color="auto"/>
            </w:tcBorders>
            <w:vAlign w:val="center"/>
          </w:tcPr>
          <w:p w:rsidR="00453C9E" w:rsidRPr="000233E5" w:rsidRDefault="00453C9E" w:rsidP="00F02D64">
            <w:pPr>
              <w:spacing w:after="0" w:line="240" w:lineRule="auto"/>
              <w:rPr>
                <w:rFonts w:ascii="Times New Roman" w:eastAsia="Times New Roman" w:hAnsi="Times New Roman" w:cs="Times New Roman"/>
                <w:b/>
                <w:bCs/>
                <w:color w:val="FFFFFF"/>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eastAsia="Times New Roman" w:hAnsi="Times New Roman" w:cs="Times New Roman"/>
                <w:bCs/>
                <w:sz w:val="20"/>
                <w:szCs w:val="20"/>
              </w:rPr>
              <w:t>Príjmy poistného na sociálne poistenie (151 + 152 + 153 + 155 + 156 + 157 + 158)</w:t>
            </w:r>
          </w:p>
          <w:p w:rsidR="00C25D1A" w:rsidRPr="000233E5" w:rsidRDefault="00C25D1A" w:rsidP="00F02D64">
            <w:pPr>
              <w:spacing w:after="0" w:line="240" w:lineRule="auto"/>
              <w:rPr>
                <w:rFonts w:ascii="Times New Roman" w:eastAsia="Times New Roman" w:hAnsi="Times New Roman" w:cs="Times New Roman"/>
                <w:bCs/>
                <w:sz w:val="20"/>
                <w:szCs w:val="20"/>
                <w:vertAlign w:val="superscript"/>
              </w:rPr>
            </w:pPr>
            <w:r w:rsidRPr="000233E5">
              <w:rPr>
                <w:rFonts w:ascii="Times New Roman" w:eastAsia="Times New Roman" w:hAnsi="Times New Roman" w:cs="Times New Roman"/>
                <w:bCs/>
                <w:sz w:val="20"/>
                <w:szCs w:val="20"/>
              </w:rPr>
              <w:t>(Daňové príjmy - 100)</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17 058 419,03 € </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eastAsia="Times New Roman" w:hAnsi="Times New Roman" w:cs="Times New Roman"/>
                <w:bCs/>
                <w:sz w:val="20"/>
                <w:szCs w:val="20"/>
              </w:rPr>
              <w:t>Príjmy poistného na zdravotné poistenie (154)</w:t>
            </w:r>
          </w:p>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eastAsia="Times New Roman" w:hAnsi="Times New Roman" w:cs="Times New Roman"/>
                <w:bCs/>
                <w:sz w:val="20"/>
                <w:szCs w:val="20"/>
              </w:rPr>
              <w:t>(Daňové príjmy - 100)</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6 909 058,27 € </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pStyle w:val="Default"/>
              <w:rPr>
                <w:sz w:val="20"/>
                <w:szCs w:val="20"/>
              </w:rPr>
            </w:pPr>
            <w:r w:rsidRPr="000233E5">
              <w:rPr>
                <w:sz w:val="20"/>
                <w:szCs w:val="20"/>
              </w:rPr>
              <w:t xml:space="preserve">Daň z príjmov fyzickej osoby (111) </w:t>
            </w:r>
          </w:p>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hAnsi="Times New Roman" w:cs="Times New Roman"/>
                <w:sz w:val="20"/>
                <w:szCs w:val="20"/>
              </w:rPr>
              <w:t xml:space="preserve">(Daňové príjmy - 100) </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7 279 397,25 € </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pStyle w:val="Default"/>
              <w:rPr>
                <w:sz w:val="20"/>
                <w:szCs w:val="20"/>
              </w:rPr>
            </w:pPr>
            <w:r w:rsidRPr="000233E5">
              <w:rPr>
                <w:sz w:val="20"/>
                <w:szCs w:val="20"/>
              </w:rPr>
              <w:t>Zvýšenie príjmov z DPH zo zvýšených súm doplatkov  do novej minimálnej mzdy a mzdových zvýhodnení</w:t>
            </w:r>
            <w:r>
              <w:rPr>
                <w:sz w:val="20"/>
                <w:szCs w:val="20"/>
              </w:rPr>
              <w:t>/príplatkov</w:t>
            </w:r>
            <w:r w:rsidRPr="000233E5">
              <w:rPr>
                <w:sz w:val="20"/>
                <w:szCs w:val="20"/>
              </w:rPr>
              <w:t xml:space="preserve"> (131) </w:t>
            </w:r>
          </w:p>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hAnsi="Times New Roman" w:cs="Times New Roman"/>
                <w:sz w:val="20"/>
                <w:szCs w:val="20"/>
              </w:rPr>
              <w:t xml:space="preserve">(Daňové príjmy - 100)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5 244 655,63 €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pStyle w:val="Default"/>
              <w:rPr>
                <w:sz w:val="20"/>
                <w:szCs w:val="20"/>
              </w:rPr>
            </w:pPr>
            <w:r w:rsidRPr="000233E5">
              <w:rPr>
                <w:sz w:val="20"/>
                <w:szCs w:val="20"/>
              </w:rPr>
              <w:t>Pokles príjmov z DPPO (112) (Daňové príjmy – 100)</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-10 273 367,24 €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pStyle w:val="Default"/>
              <w:rPr>
                <w:sz w:val="20"/>
                <w:szCs w:val="20"/>
              </w:rPr>
            </w:pPr>
            <w:r w:rsidRPr="000233E5">
              <w:rPr>
                <w:sz w:val="20"/>
                <w:szCs w:val="20"/>
              </w:rPr>
              <w:t xml:space="preserve">Nedaňové príjmy (200)2 </w:t>
            </w:r>
          </w:p>
          <w:p w:rsidR="00C25D1A" w:rsidRPr="000233E5" w:rsidRDefault="00C25D1A" w:rsidP="00F02D64">
            <w:pPr>
              <w:spacing w:after="0" w:line="240" w:lineRule="auto"/>
              <w:rPr>
                <w:rFonts w:ascii="Times New Roman" w:eastAsia="Times New Roman" w:hAnsi="Times New Roman" w:cs="Times New Roman"/>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eastAsia="Times New Roman" w:hAnsi="Times New Roman" w:cs="Times New Roman"/>
                <w:bCs/>
                <w:sz w:val="20"/>
                <w:szCs w:val="20"/>
              </w:rPr>
              <w:t>Príjem obcí na údržbu vojnových hrobov (transfer zo ŠR – 312001)</w:t>
            </w:r>
          </w:p>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eastAsia="Times New Roman" w:hAnsi="Times New Roman" w:cs="Times New Roman"/>
                <w:bCs/>
                <w:sz w:val="20"/>
                <w:szCs w:val="20"/>
              </w:rPr>
              <w:t>Granty a transfery (300)3</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24 729,64 €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hAnsi="Times New Roman" w:cs="Times New Roman"/>
                <w:sz w:val="20"/>
                <w:szCs w:val="20"/>
              </w:rPr>
              <w:t xml:space="preserve">Príjmy z transakcií s finančnými aktívami a finančnými pasívami (400)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tcPr>
          <w:p w:rsidR="00C25D1A" w:rsidRPr="000233E5" w:rsidRDefault="00C25D1A" w:rsidP="00F02D64">
            <w:pPr>
              <w:spacing w:after="0" w:line="240" w:lineRule="auto"/>
              <w:rPr>
                <w:rFonts w:ascii="Times New Roman" w:eastAsia="Times New Roman" w:hAnsi="Times New Roman" w:cs="Times New Roman"/>
                <w:bCs/>
                <w:sz w:val="20"/>
                <w:szCs w:val="20"/>
              </w:rPr>
            </w:pPr>
            <w:r w:rsidRPr="000233E5">
              <w:rPr>
                <w:rFonts w:ascii="Times New Roman" w:hAnsi="Times New Roman" w:cs="Times New Roman"/>
                <w:sz w:val="20"/>
                <w:szCs w:val="20"/>
              </w:rPr>
              <w:t xml:space="preserve">Prijaté úvery, pôžičky a návratné finančné výpomoci (500) </w:t>
            </w: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700"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500"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3000"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5A221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25D1A" w:rsidRPr="000233E5" w:rsidRDefault="00C25D1A" w:rsidP="00F02D64">
            <w:pPr>
              <w:spacing w:after="0" w:line="240" w:lineRule="auto"/>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700" w:type="dxa"/>
            <w:tcBorders>
              <w:top w:val="nil"/>
              <w:left w:val="nil"/>
              <w:bottom w:val="single" w:sz="4" w:space="0" w:color="auto"/>
              <w:right w:val="single" w:sz="4" w:space="0" w:color="auto"/>
            </w:tcBorders>
            <w:shd w:val="clear" w:color="auto" w:fill="BFBFBF" w:themeFill="background1" w:themeFillShade="BF"/>
          </w:tcPr>
          <w:p w:rsidR="00C25D1A" w:rsidRPr="00C25D1A" w:rsidRDefault="00C25D1A" w:rsidP="00C25D1A">
            <w:pPr>
              <w:spacing w:after="0" w:line="240" w:lineRule="auto"/>
              <w:jc w:val="center"/>
              <w:rPr>
                <w:rFonts w:ascii="Times New Roman" w:eastAsia="Times New Roman" w:hAnsi="Times New Roman" w:cs="Times New Roman"/>
                <w:bCs/>
                <w:sz w:val="20"/>
                <w:szCs w:val="20"/>
              </w:rPr>
            </w:pPr>
            <w:r w:rsidRPr="00C25D1A">
              <w:rPr>
                <w:rFonts w:ascii="Times New Roman" w:eastAsia="Times New Roman" w:hAnsi="Times New Roman" w:cs="Times New Roman"/>
                <w:bCs/>
                <w:sz w:val="20"/>
                <w:szCs w:val="20"/>
              </w:rPr>
              <w:t xml:space="preserve"> 26 242 892,58 € </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bl>
    <w:p w:rsidR="00F02D64" w:rsidRDefault="00F02D64" w:rsidP="002637EF">
      <w:pPr>
        <w:spacing w:after="0" w:line="240" w:lineRule="auto"/>
        <w:rPr>
          <w:rFonts w:ascii="Times New Roman" w:hAnsi="Times New Roman" w:cs="Times New Roman"/>
          <w:sz w:val="24"/>
          <w:szCs w:val="24"/>
        </w:rPr>
        <w:sectPr w:rsidR="00F02D64" w:rsidSect="00453C9E">
          <w:pgSz w:w="16838" w:h="11906" w:orient="landscape"/>
          <w:pgMar w:top="1418" w:right="1418" w:bottom="1418" w:left="1418" w:header="709" w:footer="709" w:gutter="0"/>
          <w:cols w:space="708"/>
          <w:docGrid w:linePitch="360"/>
        </w:sectPr>
      </w:pPr>
    </w:p>
    <w:p w:rsidR="00F02D64" w:rsidRPr="007D5748" w:rsidRDefault="00F02D64" w:rsidP="00F02D64">
      <w:pPr>
        <w:tabs>
          <w:tab w:val="num" w:pos="1080"/>
        </w:tabs>
        <w:spacing w:after="0" w:line="240" w:lineRule="auto"/>
        <w:ind w:right="-32"/>
        <w:jc w:val="right"/>
        <w:rPr>
          <w:rFonts w:ascii="Times New Roman" w:eastAsia="Times New Roman" w:hAnsi="Times New Roman" w:cs="Times New Roman"/>
          <w:bCs/>
          <w:sz w:val="24"/>
          <w:szCs w:val="24"/>
        </w:rPr>
      </w:pPr>
      <w:r w:rsidRPr="007D5748">
        <w:rPr>
          <w:rFonts w:ascii="Times New Roman" w:eastAsia="Times New Roman" w:hAnsi="Times New Roman" w:cs="Times New Roman"/>
          <w:bCs/>
          <w:sz w:val="24"/>
          <w:szCs w:val="24"/>
        </w:rPr>
        <w:lastRenderedPageBreak/>
        <w:t xml:space="preserve">Tabuľka č. 4 </w:t>
      </w:r>
    </w:p>
    <w:p w:rsidR="00F02D64" w:rsidRPr="007D5748" w:rsidRDefault="00F02D64" w:rsidP="00F02D64">
      <w:pPr>
        <w:tabs>
          <w:tab w:val="num" w:pos="1080"/>
        </w:tabs>
        <w:spacing w:after="0" w:line="240" w:lineRule="auto"/>
        <w:jc w:val="both"/>
        <w:rPr>
          <w:rFonts w:ascii="Times New Roman" w:eastAsia="Times New Roman" w:hAnsi="Times New Roman" w:cs="Times New Roman"/>
          <w:bCs/>
          <w:sz w:val="24"/>
          <w:szCs w:val="20"/>
        </w:rPr>
      </w:pPr>
    </w:p>
    <w:tbl>
      <w:tblPr>
        <w:tblpPr w:leftFromText="141" w:rightFromText="141" w:vertAnchor="text" w:horzAnchor="page" w:tblpXSpec="center" w:tblpY="2"/>
        <w:tblW w:w="13986" w:type="dxa"/>
        <w:tblCellMar>
          <w:left w:w="70" w:type="dxa"/>
          <w:right w:w="70" w:type="dxa"/>
        </w:tblCellMar>
        <w:tblLook w:val="0000" w:firstRow="0" w:lastRow="0" w:firstColumn="0" w:lastColumn="0" w:noHBand="0" w:noVBand="0"/>
      </w:tblPr>
      <w:tblGrid>
        <w:gridCol w:w="7070"/>
        <w:gridCol w:w="1222"/>
        <w:gridCol w:w="1666"/>
        <w:gridCol w:w="1276"/>
        <w:gridCol w:w="1154"/>
        <w:gridCol w:w="1598"/>
      </w:tblGrid>
      <w:tr w:rsidR="00F02D64" w:rsidRPr="000233E5" w:rsidTr="000233E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Výdavky (v eurách)</w:t>
            </w:r>
          </w:p>
        </w:tc>
        <w:tc>
          <w:tcPr>
            <w:tcW w:w="5318"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Vplyv na rozpočet verejnej správy</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poznámka</w:t>
            </w:r>
          </w:p>
        </w:tc>
      </w:tr>
      <w:tr w:rsidR="00F02D64" w:rsidRPr="000233E5" w:rsidTr="000233E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F02D64" w:rsidRPr="000233E5" w:rsidRDefault="00F02D64" w:rsidP="000233E5">
            <w:pPr>
              <w:spacing w:after="0" w:line="240" w:lineRule="auto"/>
              <w:jc w:val="center"/>
              <w:rPr>
                <w:rFonts w:ascii="Times New Roman" w:eastAsia="Times New Roman" w:hAnsi="Times New Roman" w:cs="Times New Roman"/>
                <w:b/>
                <w:bCs/>
                <w:color w:val="FFFFFF"/>
                <w:sz w:val="20"/>
                <w:szCs w:val="20"/>
              </w:rPr>
            </w:pPr>
          </w:p>
        </w:tc>
        <w:tc>
          <w:tcPr>
            <w:tcW w:w="1222" w:type="dxa"/>
            <w:tcBorders>
              <w:top w:val="nil"/>
              <w:left w:val="nil"/>
              <w:bottom w:val="single" w:sz="4" w:space="0" w:color="auto"/>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2020</w:t>
            </w:r>
          </w:p>
        </w:tc>
        <w:tc>
          <w:tcPr>
            <w:tcW w:w="1666" w:type="dxa"/>
            <w:tcBorders>
              <w:top w:val="nil"/>
              <w:left w:val="nil"/>
              <w:bottom w:val="single" w:sz="4" w:space="0" w:color="auto"/>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2021</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2022</w:t>
            </w:r>
          </w:p>
        </w:tc>
        <w:tc>
          <w:tcPr>
            <w:tcW w:w="1154" w:type="dxa"/>
            <w:tcBorders>
              <w:top w:val="nil"/>
              <w:left w:val="nil"/>
              <w:bottom w:val="single" w:sz="4" w:space="0" w:color="auto"/>
              <w:right w:val="single" w:sz="4" w:space="0" w:color="auto"/>
            </w:tcBorders>
            <w:shd w:val="clear" w:color="auto" w:fill="BFBFBF" w:themeFill="background1" w:themeFillShade="BF"/>
            <w:vAlign w:val="center"/>
          </w:tcPr>
          <w:p w:rsidR="00F02D64" w:rsidRPr="000233E5" w:rsidRDefault="00F02D64"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2023</w:t>
            </w:r>
          </w:p>
        </w:tc>
        <w:tc>
          <w:tcPr>
            <w:tcW w:w="1598" w:type="dxa"/>
            <w:vMerge/>
            <w:tcBorders>
              <w:top w:val="single" w:sz="4" w:space="0" w:color="auto"/>
              <w:left w:val="single" w:sz="4" w:space="0" w:color="auto"/>
              <w:bottom w:val="single" w:sz="4" w:space="0" w:color="auto"/>
              <w:right w:val="single" w:sz="4" w:space="0" w:color="auto"/>
            </w:tcBorders>
            <w:vAlign w:val="center"/>
          </w:tcPr>
          <w:p w:rsidR="00F02D64" w:rsidRPr="000233E5" w:rsidRDefault="00F02D64" w:rsidP="000233E5">
            <w:pPr>
              <w:spacing w:after="0" w:line="240" w:lineRule="auto"/>
              <w:jc w:val="center"/>
              <w:rPr>
                <w:rFonts w:ascii="Times New Roman" w:eastAsia="Times New Roman" w:hAnsi="Times New Roman" w:cs="Times New Roman"/>
                <w:b/>
                <w:bCs/>
                <w:color w:val="FFFFFF"/>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Bežné výdavky (600)</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16 015 916,18 €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Výdavky na doplatky do novej sumy minimálnej mzdy zamestnancov</w:t>
            </w:r>
            <w:r>
              <w:rPr>
                <w:rFonts w:ascii="Times New Roman" w:eastAsia="Times New Roman" w:hAnsi="Times New Roman" w:cs="Times New Roman"/>
                <w:sz w:val="20"/>
                <w:szCs w:val="20"/>
              </w:rPr>
              <w:t xml:space="preserve"> a odhadovaný nárast mzdových zvýhodnení/príplatkov</w:t>
            </w:r>
          </w:p>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Mzdy, platy, služobné príjmy a ostatné osobné vyrovnania (610)</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6 729 995,01 €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Poistné na zdravotné poistenie (621 + 623) (Poistné a príspevok do poisťovní)</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672 999,50 €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Poistné do Sociálnej poisťovne (625)</w:t>
            </w:r>
          </w:p>
          <w:p w:rsidR="00C25D1A" w:rsidRPr="000233E5" w:rsidRDefault="00C25D1A" w:rsidP="000233E5">
            <w:pPr>
              <w:spacing w:after="0" w:line="240" w:lineRule="auto"/>
              <w:jc w:val="center"/>
              <w:rPr>
                <w:rFonts w:ascii="Times New Roman" w:eastAsia="Times New Roman" w:hAnsi="Times New Roman" w:cs="Times New Roman"/>
                <w:sz w:val="20"/>
                <w:szCs w:val="20"/>
                <w:vertAlign w:val="superscript"/>
              </w:rPr>
            </w:pPr>
            <w:r w:rsidRPr="000233E5">
              <w:rPr>
                <w:rFonts w:ascii="Times New Roman" w:eastAsia="Times New Roman" w:hAnsi="Times New Roman" w:cs="Times New Roman"/>
                <w:sz w:val="20"/>
                <w:szCs w:val="20"/>
              </w:rPr>
              <w:t>(Poistné a príspevok do poisťovní)</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1 679 133,76 €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Výdavky zdravotných poisťovní na služby zdravotníckych zariadení (637034) Tovary a služby (630)</w:t>
            </w:r>
            <w:r w:rsidRPr="000233E5">
              <w:rPr>
                <w:rStyle w:val="Odkaznapoznmkupodiarou"/>
                <w:rFonts w:ascii="Times New Roman" w:eastAsia="Times New Roman" w:hAnsi="Times New Roman" w:cs="Times New Roman"/>
                <w:sz w:val="20"/>
                <w:szCs w:val="20"/>
              </w:rPr>
              <w:footnoteReference w:id="4"/>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6 909 058,27 €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Výdavky na údržbu vojnových hrobov v prospech obcí – zákon č. 130/2005 Z. z.</w:t>
            </w:r>
          </w:p>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(Bežné transfery v rámci verejnej správy v prospech obce - 641009)</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24 729,64 € </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Splácanie úrokov a ostatné platby súvisiace s úvermi, pôžičkami a NFV (650)</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Kapitálové výdavky (700)</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Obstarávanie kapitálových aktív (710)</w:t>
            </w:r>
            <w:r w:rsidRPr="000233E5">
              <w:rPr>
                <w:rFonts w:ascii="Times New Roman" w:eastAsia="Times New Roman" w:hAnsi="Times New Roman" w:cs="Times New Roman"/>
                <w:sz w:val="20"/>
                <w:szCs w:val="20"/>
                <w:vertAlign w:val="superscript"/>
              </w:rPr>
              <w:t>2</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0</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Kapitálové transfery (720)</w:t>
            </w:r>
            <w:r w:rsidRPr="000233E5">
              <w:rPr>
                <w:rFonts w:ascii="Times New Roman" w:eastAsia="Times New Roman" w:hAnsi="Times New Roman" w:cs="Times New Roman"/>
                <w:sz w:val="20"/>
                <w:szCs w:val="20"/>
                <w:vertAlign w:val="superscript"/>
              </w:rPr>
              <w:t>2</w:t>
            </w:r>
          </w:p>
        </w:tc>
        <w:tc>
          <w:tcPr>
            <w:tcW w:w="1222"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666" w:type="dxa"/>
            <w:tcBorders>
              <w:top w:val="nil"/>
              <w:left w:val="nil"/>
              <w:bottom w:val="single" w:sz="4" w:space="0" w:color="auto"/>
              <w:right w:val="single" w:sz="4" w:space="0" w:color="auto"/>
            </w:tcBorders>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0</w:t>
            </w:r>
          </w:p>
        </w:tc>
        <w:tc>
          <w:tcPr>
            <w:tcW w:w="1276"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154" w:type="dxa"/>
            <w:tcBorders>
              <w:top w:val="nil"/>
              <w:left w:val="nil"/>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r w:rsidRPr="000233E5">
              <w:rPr>
                <w:rFonts w:ascii="Times New Roman" w:eastAsia="Times New Roman" w:hAnsi="Times New Roman" w:cs="Times New Roman"/>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nil"/>
              <w:left w:val="single" w:sz="4" w:space="0" w:color="auto"/>
              <w:bottom w:val="single" w:sz="4" w:space="0" w:color="auto"/>
              <w:right w:val="single" w:sz="4" w:space="0" w:color="auto"/>
            </w:tcBorders>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Výdavky z transakcií s finančnými aktívami a finančnými pasívami (800)</w:t>
            </w:r>
          </w:p>
        </w:tc>
        <w:tc>
          <w:tcPr>
            <w:tcW w:w="1222"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nil"/>
              <w:left w:val="nil"/>
              <w:bottom w:val="single" w:sz="4" w:space="0" w:color="auto"/>
              <w:right w:val="single" w:sz="4" w:space="0" w:color="auto"/>
            </w:tcBorders>
            <w:shd w:val="clear" w:color="auto" w:fill="FFFF99"/>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0 </w:t>
            </w:r>
          </w:p>
        </w:tc>
        <w:tc>
          <w:tcPr>
            <w:tcW w:w="1276"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154" w:type="dxa"/>
            <w:tcBorders>
              <w:top w:val="nil"/>
              <w:left w:val="nil"/>
              <w:bottom w:val="single" w:sz="4" w:space="0" w:color="auto"/>
              <w:right w:val="single" w:sz="4" w:space="0" w:color="auto"/>
            </w:tcBorders>
            <w:shd w:val="clear" w:color="auto" w:fill="FFFF99"/>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98" w:type="dxa"/>
            <w:tcBorders>
              <w:top w:val="nil"/>
              <w:left w:val="nil"/>
              <w:bottom w:val="single" w:sz="4" w:space="0" w:color="auto"/>
              <w:right w:val="single" w:sz="4" w:space="0" w:color="auto"/>
            </w:tcBorders>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Dopad na výdavky verejnej správy celkom</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BFBFBF" w:themeFill="background1" w:themeFillShade="BF"/>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16 015 916,18 € </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59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vAlign w:val="center"/>
          </w:tcPr>
          <w:p w:rsidR="00C25D1A" w:rsidRPr="000233E5" w:rsidRDefault="00C25D1A" w:rsidP="000233E5">
            <w:pPr>
              <w:pStyle w:val="Default"/>
              <w:jc w:val="center"/>
              <w:rPr>
                <w:sz w:val="20"/>
                <w:szCs w:val="20"/>
              </w:rPr>
            </w:pPr>
            <w:r w:rsidRPr="000233E5">
              <w:rPr>
                <w:sz w:val="20"/>
                <w:szCs w:val="20"/>
              </w:rPr>
              <w:t>z toho výdavky na ŠR</w:t>
            </w:r>
          </w:p>
        </w:tc>
        <w:tc>
          <w:tcPr>
            <w:tcW w:w="1222"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auto"/>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5 441 914,12 € </w:t>
            </w:r>
          </w:p>
        </w:tc>
        <w:tc>
          <w:tcPr>
            <w:tcW w:w="1276"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154"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vAlign w:val="center"/>
          </w:tcPr>
          <w:p w:rsidR="00C25D1A" w:rsidRPr="000233E5" w:rsidRDefault="00C25D1A" w:rsidP="000233E5">
            <w:pPr>
              <w:pStyle w:val="Default"/>
              <w:jc w:val="center"/>
              <w:rPr>
                <w:sz w:val="20"/>
                <w:szCs w:val="20"/>
              </w:rPr>
            </w:pPr>
            <w:r w:rsidRPr="000233E5">
              <w:rPr>
                <w:sz w:val="20"/>
                <w:szCs w:val="20"/>
              </w:rPr>
              <w:t>Bežné výdavky (600)</w:t>
            </w:r>
          </w:p>
        </w:tc>
        <w:tc>
          <w:tcPr>
            <w:tcW w:w="1222"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auto"/>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 xml:space="preserve"> 5 441 914,12 € </w:t>
            </w:r>
          </w:p>
        </w:tc>
        <w:tc>
          <w:tcPr>
            <w:tcW w:w="1276"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154"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C25D1A" w:rsidRPr="000233E5" w:rsidTr="0020046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vAlign w:val="center"/>
          </w:tcPr>
          <w:p w:rsidR="00C25D1A" w:rsidRPr="000233E5" w:rsidRDefault="00C25D1A" w:rsidP="000233E5">
            <w:pPr>
              <w:pStyle w:val="Default"/>
              <w:jc w:val="center"/>
              <w:rPr>
                <w:sz w:val="20"/>
                <w:szCs w:val="20"/>
              </w:rPr>
            </w:pPr>
            <w:r w:rsidRPr="000233E5">
              <w:rPr>
                <w:sz w:val="20"/>
                <w:szCs w:val="20"/>
              </w:rPr>
              <w:t>Mzdy, platy, služobné príjmy a ostatné osobné vyrovnania (610)</w:t>
            </w:r>
          </w:p>
        </w:tc>
        <w:tc>
          <w:tcPr>
            <w:tcW w:w="1222"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auto"/>
          </w:tcPr>
          <w:p w:rsidR="00C25D1A" w:rsidRPr="00C25D1A" w:rsidRDefault="00C25D1A" w:rsidP="00C25D1A">
            <w:pPr>
              <w:spacing w:after="0" w:line="240" w:lineRule="auto"/>
              <w:jc w:val="center"/>
              <w:rPr>
                <w:rFonts w:ascii="Times New Roman" w:eastAsia="Times New Roman" w:hAnsi="Times New Roman" w:cs="Times New Roman"/>
                <w:sz w:val="20"/>
                <w:szCs w:val="20"/>
              </w:rPr>
            </w:pPr>
            <w:r w:rsidRPr="00C25D1A">
              <w:rPr>
                <w:rFonts w:ascii="Times New Roman" w:eastAsia="Times New Roman" w:hAnsi="Times New Roman" w:cs="Times New Roman"/>
                <w:sz w:val="20"/>
                <w:szCs w:val="20"/>
              </w:rPr>
              <w:t>4 014 215,99 €</w:t>
            </w:r>
          </w:p>
        </w:tc>
        <w:tc>
          <w:tcPr>
            <w:tcW w:w="1276"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154" w:type="dxa"/>
            <w:tcBorders>
              <w:top w:val="single" w:sz="4" w:space="0" w:color="auto"/>
              <w:left w:val="nil"/>
              <w:bottom w:val="single" w:sz="4" w:space="0" w:color="auto"/>
              <w:right w:val="single" w:sz="4" w:space="0" w:color="auto"/>
            </w:tcBorders>
            <w:shd w:val="clear" w:color="auto" w:fill="auto"/>
            <w:vAlign w:val="center"/>
          </w:tcPr>
          <w:p w:rsidR="00C25D1A" w:rsidRPr="000233E5" w:rsidRDefault="00C25D1A" w:rsidP="000233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C25D1A" w:rsidRPr="000233E5" w:rsidRDefault="00C25D1A" w:rsidP="000233E5">
            <w:pPr>
              <w:spacing w:after="0" w:line="240" w:lineRule="auto"/>
              <w:jc w:val="center"/>
              <w:rPr>
                <w:rFonts w:ascii="Times New Roman" w:eastAsia="Times New Roman" w:hAnsi="Times New Roman" w:cs="Times New Roman"/>
                <w:sz w:val="20"/>
                <w:szCs w:val="20"/>
              </w:rPr>
            </w:pPr>
          </w:p>
        </w:tc>
      </w:tr>
      <w:tr w:rsidR="00EA2587" w:rsidRPr="000233E5" w:rsidTr="00CE11A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vAlign w:val="center"/>
          </w:tcPr>
          <w:p w:rsidR="00EA2587" w:rsidRPr="000233E5" w:rsidRDefault="00EA2587" w:rsidP="000233E5">
            <w:pPr>
              <w:pStyle w:val="Default"/>
              <w:jc w:val="center"/>
              <w:rPr>
                <w:sz w:val="20"/>
                <w:szCs w:val="20"/>
              </w:rPr>
            </w:pPr>
            <w:r w:rsidRPr="000233E5">
              <w:rPr>
                <w:sz w:val="20"/>
                <w:szCs w:val="20"/>
              </w:rPr>
              <w:t>Kapitálové výdavky (700)</w:t>
            </w:r>
          </w:p>
        </w:tc>
        <w:tc>
          <w:tcPr>
            <w:tcW w:w="1222"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auto"/>
            <w:vAlign w:val="center"/>
          </w:tcPr>
          <w:p w:rsidR="00EA2587" w:rsidRPr="00C25D1A" w:rsidRDefault="00EA2587" w:rsidP="00C25D1A">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EA2587" w:rsidRPr="000233E5" w:rsidRDefault="00EA2587" w:rsidP="000233E5">
            <w:pPr>
              <w:spacing w:after="0" w:line="240" w:lineRule="auto"/>
              <w:jc w:val="center"/>
              <w:rPr>
                <w:rFonts w:ascii="Times New Roman" w:eastAsia="Times New Roman" w:hAnsi="Times New Roman" w:cs="Times New Roman"/>
                <w:sz w:val="20"/>
                <w:szCs w:val="20"/>
              </w:rPr>
            </w:pPr>
          </w:p>
        </w:tc>
      </w:tr>
      <w:tr w:rsidR="00EA2587" w:rsidRPr="000233E5" w:rsidTr="00CE11A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vAlign w:val="center"/>
          </w:tcPr>
          <w:p w:rsidR="00EA2587" w:rsidRPr="000233E5" w:rsidRDefault="00EA2587" w:rsidP="000233E5">
            <w:pPr>
              <w:pStyle w:val="Default"/>
              <w:jc w:val="center"/>
              <w:rPr>
                <w:sz w:val="20"/>
                <w:szCs w:val="20"/>
              </w:rPr>
            </w:pPr>
            <w:r w:rsidRPr="000233E5">
              <w:rPr>
                <w:sz w:val="20"/>
                <w:szCs w:val="20"/>
              </w:rPr>
              <w:t>Výdavky z transakcií s finančnými aktívami a finančnými pasívami (800)</w:t>
            </w:r>
          </w:p>
        </w:tc>
        <w:tc>
          <w:tcPr>
            <w:tcW w:w="1222"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r w:rsidRPr="000233E5">
              <w:rPr>
                <w:rFonts w:ascii="Times New Roman" w:eastAsia="Times New Roman" w:hAnsi="Times New Roman" w:cs="Times New Roman"/>
                <w:b/>
                <w:bCs/>
                <w:sz w:val="20"/>
                <w:szCs w:val="20"/>
              </w:rPr>
              <w:t>0</w:t>
            </w:r>
          </w:p>
        </w:tc>
        <w:tc>
          <w:tcPr>
            <w:tcW w:w="1666" w:type="dxa"/>
            <w:tcBorders>
              <w:top w:val="single" w:sz="4" w:space="0" w:color="auto"/>
              <w:left w:val="nil"/>
              <w:bottom w:val="single" w:sz="4" w:space="0" w:color="auto"/>
              <w:right w:val="single" w:sz="4" w:space="0" w:color="auto"/>
            </w:tcBorders>
            <w:shd w:val="clear" w:color="auto" w:fill="auto"/>
            <w:vAlign w:val="center"/>
          </w:tcPr>
          <w:p w:rsidR="00EA2587" w:rsidRPr="00C25D1A" w:rsidRDefault="00EA2587" w:rsidP="00C25D1A">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A2587" w:rsidRPr="000233E5" w:rsidRDefault="00EA2587" w:rsidP="000233E5">
            <w:pPr>
              <w:spacing w:after="0" w:line="240" w:lineRule="auto"/>
              <w:jc w:val="center"/>
              <w:rPr>
                <w:rFonts w:ascii="Times New Roman" w:eastAsia="Times New Roman" w:hAnsi="Times New Roman" w:cs="Times New Roman"/>
                <w:b/>
                <w:bCs/>
                <w:sz w:val="20"/>
                <w:szCs w:val="20"/>
              </w:rPr>
            </w:pP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EA2587" w:rsidRPr="000233E5" w:rsidRDefault="00EA2587" w:rsidP="000233E5">
            <w:pPr>
              <w:spacing w:after="0" w:line="240" w:lineRule="auto"/>
              <w:jc w:val="center"/>
              <w:rPr>
                <w:rFonts w:ascii="Times New Roman" w:eastAsia="Times New Roman" w:hAnsi="Times New Roman" w:cs="Times New Roman"/>
                <w:sz w:val="20"/>
                <w:szCs w:val="20"/>
              </w:rPr>
            </w:pPr>
          </w:p>
        </w:tc>
      </w:tr>
    </w:tbl>
    <w:p w:rsidR="002637EF" w:rsidRDefault="002637EF" w:rsidP="002637EF">
      <w:pPr>
        <w:spacing w:after="0" w:line="240" w:lineRule="auto"/>
        <w:rPr>
          <w:rFonts w:ascii="Times New Roman" w:hAnsi="Times New Roman" w:cs="Times New Roman"/>
          <w:sz w:val="24"/>
          <w:szCs w:val="24"/>
        </w:rPr>
      </w:pPr>
    </w:p>
    <w:p w:rsidR="00A0384E" w:rsidRDefault="00A0384E" w:rsidP="002637EF">
      <w:pPr>
        <w:spacing w:after="0" w:line="240" w:lineRule="auto"/>
        <w:rPr>
          <w:rFonts w:ascii="Times New Roman" w:hAnsi="Times New Roman" w:cs="Times New Roman"/>
          <w:sz w:val="24"/>
          <w:szCs w:val="24"/>
        </w:rPr>
      </w:pPr>
    </w:p>
    <w:sectPr w:rsidR="00A0384E" w:rsidSect="00453C9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F8" w:rsidRDefault="000203F8">
      <w:pPr>
        <w:spacing w:after="0" w:line="240" w:lineRule="auto"/>
      </w:pPr>
      <w:r>
        <w:separator/>
      </w:r>
    </w:p>
  </w:endnote>
  <w:endnote w:type="continuationSeparator" w:id="0">
    <w:p w:rsidR="000203F8" w:rsidRDefault="0002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A" w:rsidRDefault="004F35A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F35AA" w:rsidRDefault="004F35A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687173"/>
      <w:docPartObj>
        <w:docPartGallery w:val="Page Numbers (Bottom of Page)"/>
        <w:docPartUnique/>
      </w:docPartObj>
    </w:sdtPr>
    <w:sdtEndPr/>
    <w:sdtContent>
      <w:p w:rsidR="004F35AA" w:rsidRDefault="004F35AA">
        <w:pPr>
          <w:pStyle w:val="Pta"/>
          <w:jc w:val="center"/>
        </w:pPr>
        <w:r>
          <w:fldChar w:fldCharType="begin"/>
        </w:r>
        <w:r>
          <w:instrText>PAGE   \* MERGEFORMAT</w:instrText>
        </w:r>
        <w:r>
          <w:fldChar w:fldCharType="separate"/>
        </w:r>
        <w:r w:rsidR="0097332F">
          <w:rPr>
            <w:noProof/>
          </w:rPr>
          <w:t>2</w:t>
        </w:r>
        <w:r>
          <w:fldChar w:fldCharType="end"/>
        </w:r>
      </w:p>
    </w:sdtContent>
  </w:sdt>
  <w:p w:rsidR="004F35AA" w:rsidRDefault="004F35AA">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A" w:rsidRDefault="004F35AA">
    <w:pPr>
      <w:pStyle w:val="Pta"/>
      <w:jc w:val="right"/>
    </w:pPr>
    <w:r>
      <w:fldChar w:fldCharType="begin"/>
    </w:r>
    <w:r>
      <w:instrText>PAGE   \* MERGEFORMAT</w:instrText>
    </w:r>
    <w:r>
      <w:fldChar w:fldCharType="separate"/>
    </w:r>
    <w:r>
      <w:rPr>
        <w:noProof/>
      </w:rPr>
      <w:t>0</w:t>
    </w:r>
    <w:r>
      <w:fldChar w:fldCharType="end"/>
    </w:r>
  </w:p>
  <w:p w:rsidR="004F35AA" w:rsidRDefault="004F35A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F8" w:rsidRDefault="000203F8">
      <w:pPr>
        <w:spacing w:after="0" w:line="240" w:lineRule="auto"/>
      </w:pPr>
      <w:r>
        <w:separator/>
      </w:r>
    </w:p>
  </w:footnote>
  <w:footnote w:type="continuationSeparator" w:id="0">
    <w:p w:rsidR="000203F8" w:rsidRDefault="000203F8">
      <w:pPr>
        <w:spacing w:after="0" w:line="240" w:lineRule="auto"/>
      </w:pPr>
      <w:r>
        <w:continuationSeparator/>
      </w:r>
    </w:p>
  </w:footnote>
  <w:footnote w:id="1">
    <w:p w:rsidR="004F35AA" w:rsidRPr="00C03ED7" w:rsidRDefault="004F35AA" w:rsidP="003126D3">
      <w:pPr>
        <w:pStyle w:val="Textpoznmkypodiarou"/>
        <w:rPr>
          <w:rFonts w:ascii="Times New Roman" w:hAnsi="Times New Roman"/>
          <w:lang w:val="sk-SK"/>
        </w:rPr>
      </w:pPr>
      <w:r w:rsidRPr="00C03ED7">
        <w:rPr>
          <w:rStyle w:val="Odkaznapoznmkupodiarou"/>
          <w:rFonts w:ascii="Times New Roman" w:hAnsi="Times New Roman"/>
        </w:rPr>
        <w:footnoteRef/>
      </w:r>
      <w:r w:rsidRPr="00C03ED7">
        <w:rPr>
          <w:rFonts w:ascii="Times New Roman" w:hAnsi="Times New Roman"/>
        </w:rPr>
        <w:t xml:space="preserve"> </w:t>
      </w:r>
      <w:r w:rsidRPr="00C03ED7">
        <w:rPr>
          <w:rFonts w:ascii="Times New Roman" w:hAnsi="Times New Roman"/>
          <w:lang w:val="sk-SK"/>
        </w:rPr>
        <w:t xml:space="preserve">Inštitút finančnej politiky. 2020. Makroekonomická prognóza (jún 2020). Dostupné na: </w:t>
      </w:r>
      <w:r w:rsidRPr="0015762B">
        <w:rPr>
          <w:rFonts w:ascii="Times New Roman" w:hAnsi="Times New Roman"/>
          <w:lang w:val="sk-SK"/>
        </w:rPr>
        <w:t>https://www.mfsr.sk/sk/financie/institut-financnej-politiky/ekonomicke-prognozy/makroekonomicke-prognozy/52-zasadnutie-vyboru-makroekonomicke-prognozy-jun-2020.html</w:t>
      </w:r>
    </w:p>
  </w:footnote>
  <w:footnote w:id="2">
    <w:p w:rsidR="004F35AA" w:rsidRPr="00C03ED7" w:rsidRDefault="004F35AA">
      <w:pPr>
        <w:pStyle w:val="Textpoznmkypodiarou"/>
        <w:rPr>
          <w:rFonts w:ascii="Times New Roman" w:hAnsi="Times New Roman"/>
          <w:lang w:val="sk-SK"/>
        </w:rPr>
      </w:pPr>
      <w:r w:rsidRPr="00C03ED7">
        <w:rPr>
          <w:rStyle w:val="Odkaznapoznmkupodiarou"/>
          <w:rFonts w:ascii="Times New Roman" w:hAnsi="Times New Roman"/>
        </w:rPr>
        <w:footnoteRef/>
      </w:r>
      <w:r w:rsidRPr="00AA411B">
        <w:rPr>
          <w:rFonts w:ascii="Times New Roman" w:hAnsi="Times New Roman"/>
          <w:lang w:val="sk-SK"/>
        </w:rPr>
        <w:t xml:space="preserve"> </w:t>
      </w:r>
      <w:r w:rsidRPr="00C03ED7">
        <w:rPr>
          <w:rFonts w:ascii="Times New Roman" w:hAnsi="Times New Roman"/>
          <w:lang w:val="sk-SK"/>
        </w:rPr>
        <w:t xml:space="preserve">Inštitút finančnej politiky. 2020. Makroekonomická prognóza (jún 2020). Dostupné na: </w:t>
      </w:r>
      <w:r w:rsidRPr="0015762B">
        <w:rPr>
          <w:rFonts w:ascii="Times New Roman" w:hAnsi="Times New Roman"/>
          <w:lang w:val="sk-SK"/>
        </w:rPr>
        <w:t>https://www.mfsr.sk/sk/financie/institut-financnej-politiky/ekonomicke-prognozy/makroekonomicke-prognozy/52-zasadnutie-vyboru-makroekonomicke-prognozy-jun-2020.html</w:t>
      </w:r>
    </w:p>
  </w:footnote>
  <w:footnote w:id="3">
    <w:p w:rsidR="004F35AA" w:rsidRPr="00CE6C3D" w:rsidRDefault="004F35AA" w:rsidP="006661A3">
      <w:pPr>
        <w:pStyle w:val="Textpoznmkypodiarou"/>
        <w:rPr>
          <w:lang w:val="sk-SK"/>
        </w:rPr>
      </w:pPr>
      <w:r w:rsidRPr="00C03ED7">
        <w:rPr>
          <w:rStyle w:val="Odkaznapoznmkupodiarou"/>
          <w:rFonts w:ascii="Times New Roman" w:hAnsi="Times New Roman"/>
        </w:rPr>
        <w:footnoteRef/>
      </w:r>
      <w:r w:rsidRPr="00C03ED7">
        <w:rPr>
          <w:rFonts w:ascii="Times New Roman" w:hAnsi="Times New Roman"/>
          <w:lang w:val="sk-SK"/>
        </w:rPr>
        <w:t xml:space="preserve"> Bukovina, J. &amp; Paur, D. 2020 Koronavírus v štátnej peňaženke: Prognóza daňových a odvodových príjmov na roky 2019 – 2023. IFP Komentár 2020/07. Bratislava: Inštitút finančnej politiky. Str. 4.</w:t>
      </w:r>
    </w:p>
  </w:footnote>
  <w:footnote w:id="4">
    <w:p w:rsidR="00C25D1A" w:rsidRDefault="00C25D1A" w:rsidP="00C25D1A">
      <w:pPr>
        <w:jc w:val="both"/>
        <w:rPr>
          <w:rFonts w:ascii="Times New Roman" w:eastAsia="Times New Roman" w:hAnsi="Times New Roman" w:cs="Times New Roman"/>
          <w:sz w:val="24"/>
          <w:szCs w:val="24"/>
        </w:rPr>
      </w:pPr>
      <w:r>
        <w:rPr>
          <w:rStyle w:val="Odkaznapoznmkupodiarou"/>
        </w:rPr>
        <w:footnoteRef/>
      </w:r>
      <w:r>
        <w:t xml:space="preserve"> </w:t>
      </w:r>
      <w:r w:rsidRPr="006003E2">
        <w:rPr>
          <w:rFonts w:ascii="Times New Roman" w:eastAsia="Times New Roman" w:hAnsi="Times New Roman" w:cs="Times New Roman"/>
          <w:sz w:val="20"/>
          <w:szCs w:val="20"/>
        </w:rPr>
        <w:t>Suma odvodov na zdravotné poistenie je príjmom zdravotných poisťovní a zároveň sa v danom roku uvádzajú aj ako výdavky zdravotných poisťovní. Ako prostriedky zdravotných poisťovní sú tak súčasťou celkových výdavkov zdravotných poisťovní v prospech zdravotníckych zariadení.</w:t>
      </w:r>
    </w:p>
    <w:p w:rsidR="00C25D1A" w:rsidRPr="006003E2" w:rsidRDefault="00C25D1A" w:rsidP="00C25D1A">
      <w:pPr>
        <w:pStyle w:val="Textpoznmkypodiarou"/>
        <w:rPr>
          <w:lang w:val="sk-S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A" w:rsidRDefault="004F35AA" w:rsidP="0051724E">
    <w:pPr>
      <w:pStyle w:val="Hlavika"/>
      <w:jc w:val="right"/>
      <w:rPr>
        <w:sz w:val="24"/>
        <w:szCs w:val="24"/>
      </w:rPr>
    </w:pPr>
    <w:r>
      <w:rPr>
        <w:sz w:val="24"/>
        <w:szCs w:val="24"/>
      </w:rPr>
      <w:t>Príloha č. 2</w:t>
    </w:r>
  </w:p>
  <w:p w:rsidR="004F35AA" w:rsidRPr="00EB59C8" w:rsidRDefault="004F35AA" w:rsidP="0051724E">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A" w:rsidRDefault="004F35A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A" w:rsidRPr="000A15AE" w:rsidRDefault="004F35AA" w:rsidP="0051724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nsid w:val="1F717281"/>
    <w:multiLevelType w:val="hybridMultilevel"/>
    <w:tmpl w:val="13E208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28C37A35"/>
    <w:multiLevelType w:val="hybridMultilevel"/>
    <w:tmpl w:val="32544E1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nsid w:val="2C5C0ABF"/>
    <w:multiLevelType w:val="hybridMultilevel"/>
    <w:tmpl w:val="E80841DA"/>
    <w:lvl w:ilvl="0" w:tplc="85B620E2">
      <w:start w:val="61"/>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3D580EBE"/>
    <w:multiLevelType w:val="hybridMultilevel"/>
    <w:tmpl w:val="FD6EFD6C"/>
    <w:lvl w:ilvl="0" w:tplc="331291B2">
      <w:start w:val="2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35735BC"/>
    <w:multiLevelType w:val="hybridMultilevel"/>
    <w:tmpl w:val="41C0D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F4F6211"/>
    <w:multiLevelType w:val="hybridMultilevel"/>
    <w:tmpl w:val="FFD8950E"/>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8784C"/>
    <w:multiLevelType w:val="hybridMultilevel"/>
    <w:tmpl w:val="831E8E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9"/>
  </w:num>
  <w:num w:numId="5">
    <w:abstractNumId w:val="3"/>
  </w:num>
  <w:num w:numId="6">
    <w:abstractNumId w:val="1"/>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EC"/>
    <w:rsid w:val="000049D7"/>
    <w:rsid w:val="00007824"/>
    <w:rsid w:val="00007EA1"/>
    <w:rsid w:val="00011952"/>
    <w:rsid w:val="000130C0"/>
    <w:rsid w:val="000142A9"/>
    <w:rsid w:val="00015E5F"/>
    <w:rsid w:val="00017068"/>
    <w:rsid w:val="000203A1"/>
    <w:rsid w:val="000203F8"/>
    <w:rsid w:val="00020ACC"/>
    <w:rsid w:val="000233E5"/>
    <w:rsid w:val="000267EC"/>
    <w:rsid w:val="00034298"/>
    <w:rsid w:val="00035EB6"/>
    <w:rsid w:val="00040767"/>
    <w:rsid w:val="00041507"/>
    <w:rsid w:val="00045303"/>
    <w:rsid w:val="000458CC"/>
    <w:rsid w:val="00047D6C"/>
    <w:rsid w:val="00051C80"/>
    <w:rsid w:val="000521D7"/>
    <w:rsid w:val="0005313A"/>
    <w:rsid w:val="00056127"/>
    <w:rsid w:val="00057135"/>
    <w:rsid w:val="0007038D"/>
    <w:rsid w:val="000736D1"/>
    <w:rsid w:val="000737C6"/>
    <w:rsid w:val="0008462A"/>
    <w:rsid w:val="00086365"/>
    <w:rsid w:val="0009031B"/>
    <w:rsid w:val="00091A4C"/>
    <w:rsid w:val="00092D7C"/>
    <w:rsid w:val="00092D89"/>
    <w:rsid w:val="00095651"/>
    <w:rsid w:val="00096D41"/>
    <w:rsid w:val="00097A4D"/>
    <w:rsid w:val="000C4B15"/>
    <w:rsid w:val="000D051D"/>
    <w:rsid w:val="000D3256"/>
    <w:rsid w:val="000F1438"/>
    <w:rsid w:val="000F5A04"/>
    <w:rsid w:val="0010121F"/>
    <w:rsid w:val="00101242"/>
    <w:rsid w:val="00101D4A"/>
    <w:rsid w:val="00102A8D"/>
    <w:rsid w:val="00106747"/>
    <w:rsid w:val="00111923"/>
    <w:rsid w:val="00112753"/>
    <w:rsid w:val="001127A8"/>
    <w:rsid w:val="001142D2"/>
    <w:rsid w:val="00114A69"/>
    <w:rsid w:val="001211AC"/>
    <w:rsid w:val="001212F8"/>
    <w:rsid w:val="001274D6"/>
    <w:rsid w:val="001353CB"/>
    <w:rsid w:val="001354ED"/>
    <w:rsid w:val="0014509F"/>
    <w:rsid w:val="00151256"/>
    <w:rsid w:val="0015762B"/>
    <w:rsid w:val="001576F5"/>
    <w:rsid w:val="0016578C"/>
    <w:rsid w:val="00167440"/>
    <w:rsid w:val="00170D2B"/>
    <w:rsid w:val="00170DE1"/>
    <w:rsid w:val="00172ED3"/>
    <w:rsid w:val="0017340A"/>
    <w:rsid w:val="00176F52"/>
    <w:rsid w:val="00180134"/>
    <w:rsid w:val="00184F37"/>
    <w:rsid w:val="00184F4A"/>
    <w:rsid w:val="00192E67"/>
    <w:rsid w:val="00194D0E"/>
    <w:rsid w:val="001A12DC"/>
    <w:rsid w:val="001A209F"/>
    <w:rsid w:val="001A5D2E"/>
    <w:rsid w:val="001C4C3E"/>
    <w:rsid w:val="001C7640"/>
    <w:rsid w:val="001D7D3F"/>
    <w:rsid w:val="001E4C91"/>
    <w:rsid w:val="001E6659"/>
    <w:rsid w:val="001F29D2"/>
    <w:rsid w:val="001F3439"/>
    <w:rsid w:val="001F349B"/>
    <w:rsid w:val="001F67F0"/>
    <w:rsid w:val="00200898"/>
    <w:rsid w:val="002036A1"/>
    <w:rsid w:val="0020382E"/>
    <w:rsid w:val="00203A73"/>
    <w:rsid w:val="00212894"/>
    <w:rsid w:val="00213D57"/>
    <w:rsid w:val="00214F52"/>
    <w:rsid w:val="00215DD3"/>
    <w:rsid w:val="00223F10"/>
    <w:rsid w:val="0022620D"/>
    <w:rsid w:val="00232363"/>
    <w:rsid w:val="002378A0"/>
    <w:rsid w:val="00242001"/>
    <w:rsid w:val="002439B0"/>
    <w:rsid w:val="00247A59"/>
    <w:rsid w:val="0025180D"/>
    <w:rsid w:val="002531B7"/>
    <w:rsid w:val="002567EA"/>
    <w:rsid w:val="00257910"/>
    <w:rsid w:val="00263184"/>
    <w:rsid w:val="00263772"/>
    <w:rsid w:val="002637EF"/>
    <w:rsid w:val="0026481F"/>
    <w:rsid w:val="00270104"/>
    <w:rsid w:val="002723FA"/>
    <w:rsid w:val="002743B8"/>
    <w:rsid w:val="0027540B"/>
    <w:rsid w:val="00283F88"/>
    <w:rsid w:val="00285F21"/>
    <w:rsid w:val="00290C7A"/>
    <w:rsid w:val="00290DEA"/>
    <w:rsid w:val="00293049"/>
    <w:rsid w:val="002951C1"/>
    <w:rsid w:val="002A3FDE"/>
    <w:rsid w:val="002B28AA"/>
    <w:rsid w:val="002B4578"/>
    <w:rsid w:val="002C0CCB"/>
    <w:rsid w:val="002C0D94"/>
    <w:rsid w:val="002C6587"/>
    <w:rsid w:val="002C7E48"/>
    <w:rsid w:val="002D3A1B"/>
    <w:rsid w:val="002D51EB"/>
    <w:rsid w:val="002D731A"/>
    <w:rsid w:val="002E2BE2"/>
    <w:rsid w:val="002E63F5"/>
    <w:rsid w:val="002F34D7"/>
    <w:rsid w:val="002F566A"/>
    <w:rsid w:val="00302CD0"/>
    <w:rsid w:val="0030440F"/>
    <w:rsid w:val="00304B65"/>
    <w:rsid w:val="00306A57"/>
    <w:rsid w:val="00307164"/>
    <w:rsid w:val="003126D3"/>
    <w:rsid w:val="003162D5"/>
    <w:rsid w:val="00317B90"/>
    <w:rsid w:val="0032561F"/>
    <w:rsid w:val="0032768E"/>
    <w:rsid w:val="00334068"/>
    <w:rsid w:val="0034747F"/>
    <w:rsid w:val="003611E5"/>
    <w:rsid w:val="00375847"/>
    <w:rsid w:val="00377C39"/>
    <w:rsid w:val="003837E9"/>
    <w:rsid w:val="00390633"/>
    <w:rsid w:val="00394973"/>
    <w:rsid w:val="00394B54"/>
    <w:rsid w:val="003A05D9"/>
    <w:rsid w:val="003A183D"/>
    <w:rsid w:val="003A331E"/>
    <w:rsid w:val="003A3765"/>
    <w:rsid w:val="003A388D"/>
    <w:rsid w:val="003A4B8C"/>
    <w:rsid w:val="003A5363"/>
    <w:rsid w:val="003B3C84"/>
    <w:rsid w:val="003B7413"/>
    <w:rsid w:val="003C2519"/>
    <w:rsid w:val="003D444F"/>
    <w:rsid w:val="003E24F9"/>
    <w:rsid w:val="003E33D5"/>
    <w:rsid w:val="003E504C"/>
    <w:rsid w:val="003E6C46"/>
    <w:rsid w:val="00402E1D"/>
    <w:rsid w:val="00403EDC"/>
    <w:rsid w:val="00406F31"/>
    <w:rsid w:val="004071A3"/>
    <w:rsid w:val="00413EA8"/>
    <w:rsid w:val="004165B2"/>
    <w:rsid w:val="00432070"/>
    <w:rsid w:val="004323E0"/>
    <w:rsid w:val="00432DD4"/>
    <w:rsid w:val="00436870"/>
    <w:rsid w:val="004466DD"/>
    <w:rsid w:val="00450EE5"/>
    <w:rsid w:val="00453AC7"/>
    <w:rsid w:val="00453C9E"/>
    <w:rsid w:val="004602FF"/>
    <w:rsid w:val="0048020F"/>
    <w:rsid w:val="00480FFF"/>
    <w:rsid w:val="0048630B"/>
    <w:rsid w:val="00487203"/>
    <w:rsid w:val="00496A9D"/>
    <w:rsid w:val="004A14B0"/>
    <w:rsid w:val="004A14CE"/>
    <w:rsid w:val="004A7B08"/>
    <w:rsid w:val="004C42DE"/>
    <w:rsid w:val="004C47FE"/>
    <w:rsid w:val="004C4C00"/>
    <w:rsid w:val="004D25A0"/>
    <w:rsid w:val="004D2ED6"/>
    <w:rsid w:val="004D7E47"/>
    <w:rsid w:val="004E5485"/>
    <w:rsid w:val="004E6AB2"/>
    <w:rsid w:val="004F35AA"/>
    <w:rsid w:val="004F5A28"/>
    <w:rsid w:val="004F5CD6"/>
    <w:rsid w:val="004F6A62"/>
    <w:rsid w:val="005005EC"/>
    <w:rsid w:val="0050303F"/>
    <w:rsid w:val="00507678"/>
    <w:rsid w:val="005145FE"/>
    <w:rsid w:val="0051724E"/>
    <w:rsid w:val="00520452"/>
    <w:rsid w:val="0052058F"/>
    <w:rsid w:val="0052067C"/>
    <w:rsid w:val="00524D2F"/>
    <w:rsid w:val="005370DD"/>
    <w:rsid w:val="0054234E"/>
    <w:rsid w:val="00544A66"/>
    <w:rsid w:val="00557A3C"/>
    <w:rsid w:val="00560960"/>
    <w:rsid w:val="00562D43"/>
    <w:rsid w:val="005658F0"/>
    <w:rsid w:val="00567A1C"/>
    <w:rsid w:val="00573ADA"/>
    <w:rsid w:val="005747C4"/>
    <w:rsid w:val="005747E0"/>
    <w:rsid w:val="00582CBC"/>
    <w:rsid w:val="005846C9"/>
    <w:rsid w:val="00586CB7"/>
    <w:rsid w:val="0059386A"/>
    <w:rsid w:val="005940E4"/>
    <w:rsid w:val="00597118"/>
    <w:rsid w:val="005A3CBE"/>
    <w:rsid w:val="005B0824"/>
    <w:rsid w:val="005B236E"/>
    <w:rsid w:val="005B41E4"/>
    <w:rsid w:val="005B5AF5"/>
    <w:rsid w:val="005B6B08"/>
    <w:rsid w:val="005C617E"/>
    <w:rsid w:val="005D0F6E"/>
    <w:rsid w:val="005E0539"/>
    <w:rsid w:val="005F5966"/>
    <w:rsid w:val="006003E2"/>
    <w:rsid w:val="00606D8F"/>
    <w:rsid w:val="00614BAC"/>
    <w:rsid w:val="00623247"/>
    <w:rsid w:val="00631D94"/>
    <w:rsid w:val="00645898"/>
    <w:rsid w:val="006474C3"/>
    <w:rsid w:val="00651155"/>
    <w:rsid w:val="00651213"/>
    <w:rsid w:val="00665748"/>
    <w:rsid w:val="006661A3"/>
    <w:rsid w:val="00677D91"/>
    <w:rsid w:val="00685841"/>
    <w:rsid w:val="00692F4F"/>
    <w:rsid w:val="006967B1"/>
    <w:rsid w:val="006A17B2"/>
    <w:rsid w:val="006A33A5"/>
    <w:rsid w:val="006A4036"/>
    <w:rsid w:val="006C5605"/>
    <w:rsid w:val="006D36CE"/>
    <w:rsid w:val="006D4656"/>
    <w:rsid w:val="006D574C"/>
    <w:rsid w:val="006F1358"/>
    <w:rsid w:val="0070388F"/>
    <w:rsid w:val="00721FA7"/>
    <w:rsid w:val="00723EAF"/>
    <w:rsid w:val="00724098"/>
    <w:rsid w:val="007244C5"/>
    <w:rsid w:val="007246BD"/>
    <w:rsid w:val="00736031"/>
    <w:rsid w:val="00744477"/>
    <w:rsid w:val="00752BFE"/>
    <w:rsid w:val="00761700"/>
    <w:rsid w:val="00762A3F"/>
    <w:rsid w:val="007863C0"/>
    <w:rsid w:val="007957E6"/>
    <w:rsid w:val="00797BD3"/>
    <w:rsid w:val="007B33D3"/>
    <w:rsid w:val="007C0616"/>
    <w:rsid w:val="007C6B16"/>
    <w:rsid w:val="007D5748"/>
    <w:rsid w:val="007D64A4"/>
    <w:rsid w:val="007E4FFB"/>
    <w:rsid w:val="007E5287"/>
    <w:rsid w:val="007E74C7"/>
    <w:rsid w:val="007E7BF0"/>
    <w:rsid w:val="00801807"/>
    <w:rsid w:val="008144ED"/>
    <w:rsid w:val="0081789C"/>
    <w:rsid w:val="008210AC"/>
    <w:rsid w:val="00821D83"/>
    <w:rsid w:val="0082585A"/>
    <w:rsid w:val="00834505"/>
    <w:rsid w:val="00836A01"/>
    <w:rsid w:val="0085097D"/>
    <w:rsid w:val="00854DAD"/>
    <w:rsid w:val="00857518"/>
    <w:rsid w:val="00863A90"/>
    <w:rsid w:val="00866554"/>
    <w:rsid w:val="0086701E"/>
    <w:rsid w:val="00872995"/>
    <w:rsid w:val="00885F10"/>
    <w:rsid w:val="00890F15"/>
    <w:rsid w:val="008919A0"/>
    <w:rsid w:val="0089416D"/>
    <w:rsid w:val="008A2AD4"/>
    <w:rsid w:val="008A5CE2"/>
    <w:rsid w:val="008B3A67"/>
    <w:rsid w:val="008B6A9F"/>
    <w:rsid w:val="008B7CC6"/>
    <w:rsid w:val="008D339D"/>
    <w:rsid w:val="008D660F"/>
    <w:rsid w:val="008D6F3E"/>
    <w:rsid w:val="008D7015"/>
    <w:rsid w:val="008E2736"/>
    <w:rsid w:val="008E5C3D"/>
    <w:rsid w:val="008F4995"/>
    <w:rsid w:val="008F5058"/>
    <w:rsid w:val="00902080"/>
    <w:rsid w:val="00903DAD"/>
    <w:rsid w:val="00905B22"/>
    <w:rsid w:val="00912A37"/>
    <w:rsid w:val="00924D8D"/>
    <w:rsid w:val="009368FB"/>
    <w:rsid w:val="00942604"/>
    <w:rsid w:val="009557B4"/>
    <w:rsid w:val="009603BB"/>
    <w:rsid w:val="00960EB9"/>
    <w:rsid w:val="00961DF3"/>
    <w:rsid w:val="0096244C"/>
    <w:rsid w:val="00962F79"/>
    <w:rsid w:val="009706B7"/>
    <w:rsid w:val="0097332F"/>
    <w:rsid w:val="00974A3A"/>
    <w:rsid w:val="00981C56"/>
    <w:rsid w:val="00990CCA"/>
    <w:rsid w:val="009A78DA"/>
    <w:rsid w:val="009B4ECC"/>
    <w:rsid w:val="009B750E"/>
    <w:rsid w:val="009C0431"/>
    <w:rsid w:val="009C7B31"/>
    <w:rsid w:val="009D01A0"/>
    <w:rsid w:val="009E11CB"/>
    <w:rsid w:val="009E2092"/>
    <w:rsid w:val="009E4084"/>
    <w:rsid w:val="00A0254A"/>
    <w:rsid w:val="00A02A33"/>
    <w:rsid w:val="00A02BA7"/>
    <w:rsid w:val="00A0384E"/>
    <w:rsid w:val="00A05CF1"/>
    <w:rsid w:val="00A06126"/>
    <w:rsid w:val="00A067FA"/>
    <w:rsid w:val="00A1056A"/>
    <w:rsid w:val="00A1201D"/>
    <w:rsid w:val="00A135C9"/>
    <w:rsid w:val="00A15120"/>
    <w:rsid w:val="00A20072"/>
    <w:rsid w:val="00A22F33"/>
    <w:rsid w:val="00A23BBD"/>
    <w:rsid w:val="00A4042C"/>
    <w:rsid w:val="00A41389"/>
    <w:rsid w:val="00A61714"/>
    <w:rsid w:val="00A628B1"/>
    <w:rsid w:val="00A7599B"/>
    <w:rsid w:val="00A7711E"/>
    <w:rsid w:val="00A81D48"/>
    <w:rsid w:val="00A844DC"/>
    <w:rsid w:val="00A93B39"/>
    <w:rsid w:val="00AA1009"/>
    <w:rsid w:val="00AA378B"/>
    <w:rsid w:val="00AA411B"/>
    <w:rsid w:val="00AB0F99"/>
    <w:rsid w:val="00AB382B"/>
    <w:rsid w:val="00AB656A"/>
    <w:rsid w:val="00AC6CC6"/>
    <w:rsid w:val="00AD1C01"/>
    <w:rsid w:val="00AE0221"/>
    <w:rsid w:val="00AE0997"/>
    <w:rsid w:val="00AE15A4"/>
    <w:rsid w:val="00AF05FE"/>
    <w:rsid w:val="00AF764B"/>
    <w:rsid w:val="00B0195E"/>
    <w:rsid w:val="00B0464F"/>
    <w:rsid w:val="00B06758"/>
    <w:rsid w:val="00B108F1"/>
    <w:rsid w:val="00B246DB"/>
    <w:rsid w:val="00B260BE"/>
    <w:rsid w:val="00B26194"/>
    <w:rsid w:val="00B3607A"/>
    <w:rsid w:val="00B406D0"/>
    <w:rsid w:val="00B5307F"/>
    <w:rsid w:val="00B53725"/>
    <w:rsid w:val="00B5535C"/>
    <w:rsid w:val="00B66EBA"/>
    <w:rsid w:val="00B672D5"/>
    <w:rsid w:val="00B72F80"/>
    <w:rsid w:val="00B77B6A"/>
    <w:rsid w:val="00B81BB5"/>
    <w:rsid w:val="00B82013"/>
    <w:rsid w:val="00B833A0"/>
    <w:rsid w:val="00B8402F"/>
    <w:rsid w:val="00B8792C"/>
    <w:rsid w:val="00B92C5F"/>
    <w:rsid w:val="00B935A3"/>
    <w:rsid w:val="00BA1365"/>
    <w:rsid w:val="00BB2B49"/>
    <w:rsid w:val="00BB5633"/>
    <w:rsid w:val="00BB5D5A"/>
    <w:rsid w:val="00BC0FE0"/>
    <w:rsid w:val="00BC3E19"/>
    <w:rsid w:val="00BC6798"/>
    <w:rsid w:val="00BC6F87"/>
    <w:rsid w:val="00BD0484"/>
    <w:rsid w:val="00BE1F89"/>
    <w:rsid w:val="00C03ED7"/>
    <w:rsid w:val="00C07A77"/>
    <w:rsid w:val="00C15212"/>
    <w:rsid w:val="00C15497"/>
    <w:rsid w:val="00C1676E"/>
    <w:rsid w:val="00C20E40"/>
    <w:rsid w:val="00C2384C"/>
    <w:rsid w:val="00C25C67"/>
    <w:rsid w:val="00C25D1A"/>
    <w:rsid w:val="00C35651"/>
    <w:rsid w:val="00C42A15"/>
    <w:rsid w:val="00C439B3"/>
    <w:rsid w:val="00C51FD4"/>
    <w:rsid w:val="00C529EF"/>
    <w:rsid w:val="00C603C8"/>
    <w:rsid w:val="00C65C1F"/>
    <w:rsid w:val="00C81C45"/>
    <w:rsid w:val="00C820A3"/>
    <w:rsid w:val="00C965FE"/>
    <w:rsid w:val="00CA0672"/>
    <w:rsid w:val="00CA20AC"/>
    <w:rsid w:val="00CA2168"/>
    <w:rsid w:val="00CA272B"/>
    <w:rsid w:val="00CB22A7"/>
    <w:rsid w:val="00CB2E8D"/>
    <w:rsid w:val="00CB3623"/>
    <w:rsid w:val="00CB54F7"/>
    <w:rsid w:val="00CD0A02"/>
    <w:rsid w:val="00CD2466"/>
    <w:rsid w:val="00CD3408"/>
    <w:rsid w:val="00CD49C9"/>
    <w:rsid w:val="00CE11A7"/>
    <w:rsid w:val="00CE299A"/>
    <w:rsid w:val="00CF1CE5"/>
    <w:rsid w:val="00CF213A"/>
    <w:rsid w:val="00D01F04"/>
    <w:rsid w:val="00D03DEF"/>
    <w:rsid w:val="00D21142"/>
    <w:rsid w:val="00D27FE8"/>
    <w:rsid w:val="00D3359A"/>
    <w:rsid w:val="00D4629C"/>
    <w:rsid w:val="00D51173"/>
    <w:rsid w:val="00D51D3C"/>
    <w:rsid w:val="00D61AAD"/>
    <w:rsid w:val="00D75E86"/>
    <w:rsid w:val="00D806CB"/>
    <w:rsid w:val="00D80712"/>
    <w:rsid w:val="00D85622"/>
    <w:rsid w:val="00D94FFE"/>
    <w:rsid w:val="00DB4905"/>
    <w:rsid w:val="00DB4E90"/>
    <w:rsid w:val="00DB6F01"/>
    <w:rsid w:val="00DC2E0E"/>
    <w:rsid w:val="00DC6313"/>
    <w:rsid w:val="00DC675E"/>
    <w:rsid w:val="00DD2805"/>
    <w:rsid w:val="00DE5BF1"/>
    <w:rsid w:val="00DE63C8"/>
    <w:rsid w:val="00DF1544"/>
    <w:rsid w:val="00DF3712"/>
    <w:rsid w:val="00E003B8"/>
    <w:rsid w:val="00E07CE9"/>
    <w:rsid w:val="00E123B2"/>
    <w:rsid w:val="00E12502"/>
    <w:rsid w:val="00E14014"/>
    <w:rsid w:val="00E24A8D"/>
    <w:rsid w:val="00E26305"/>
    <w:rsid w:val="00E32693"/>
    <w:rsid w:val="00E438B9"/>
    <w:rsid w:val="00E4406B"/>
    <w:rsid w:val="00E45F02"/>
    <w:rsid w:val="00E46745"/>
    <w:rsid w:val="00E523ED"/>
    <w:rsid w:val="00E53873"/>
    <w:rsid w:val="00E601ED"/>
    <w:rsid w:val="00E713E8"/>
    <w:rsid w:val="00E731BC"/>
    <w:rsid w:val="00E81FB5"/>
    <w:rsid w:val="00E8460A"/>
    <w:rsid w:val="00E84620"/>
    <w:rsid w:val="00E84F2B"/>
    <w:rsid w:val="00E9239A"/>
    <w:rsid w:val="00E93BA1"/>
    <w:rsid w:val="00E959FF"/>
    <w:rsid w:val="00E963A3"/>
    <w:rsid w:val="00EA1E90"/>
    <w:rsid w:val="00EA2248"/>
    <w:rsid w:val="00EA2587"/>
    <w:rsid w:val="00EA2EE3"/>
    <w:rsid w:val="00EA6700"/>
    <w:rsid w:val="00EA7221"/>
    <w:rsid w:val="00EB2CED"/>
    <w:rsid w:val="00EB7CCA"/>
    <w:rsid w:val="00EC6989"/>
    <w:rsid w:val="00ED133F"/>
    <w:rsid w:val="00ED6E41"/>
    <w:rsid w:val="00ED7BC8"/>
    <w:rsid w:val="00EE04E8"/>
    <w:rsid w:val="00EE1A67"/>
    <w:rsid w:val="00EF1E2A"/>
    <w:rsid w:val="00EF579A"/>
    <w:rsid w:val="00F02D64"/>
    <w:rsid w:val="00F03634"/>
    <w:rsid w:val="00F04F5D"/>
    <w:rsid w:val="00F0652C"/>
    <w:rsid w:val="00F253D0"/>
    <w:rsid w:val="00F40136"/>
    <w:rsid w:val="00F44F48"/>
    <w:rsid w:val="00F61360"/>
    <w:rsid w:val="00F632EF"/>
    <w:rsid w:val="00F7071C"/>
    <w:rsid w:val="00F7091C"/>
    <w:rsid w:val="00F72BF1"/>
    <w:rsid w:val="00F757ED"/>
    <w:rsid w:val="00F77641"/>
    <w:rsid w:val="00F81227"/>
    <w:rsid w:val="00F83159"/>
    <w:rsid w:val="00F838ED"/>
    <w:rsid w:val="00F8451A"/>
    <w:rsid w:val="00F90F12"/>
    <w:rsid w:val="00FA27A0"/>
    <w:rsid w:val="00FA36A7"/>
    <w:rsid w:val="00FA690B"/>
    <w:rsid w:val="00FB10AB"/>
    <w:rsid w:val="00FB47C5"/>
    <w:rsid w:val="00FB5FC0"/>
    <w:rsid w:val="00FC2796"/>
    <w:rsid w:val="00FC2E87"/>
    <w:rsid w:val="00FC5253"/>
    <w:rsid w:val="00FC5EC4"/>
    <w:rsid w:val="00FC6B9F"/>
    <w:rsid w:val="00FD72D4"/>
    <w:rsid w:val="00FF2F23"/>
    <w:rsid w:val="00FF53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866554"/>
    <w:pPr>
      <w:ind w:left="720"/>
      <w:contextualSpacing/>
    </w:pPr>
    <w:rPr>
      <w:rFonts w:ascii="Calibri" w:eastAsia="Calibri" w:hAnsi="Calibri" w:cs="Times New Roman"/>
      <w:lang w:val="en-US"/>
    </w:rPr>
  </w:style>
  <w:style w:type="paragraph" w:styleId="Textpoznmkypodiarou">
    <w:name w:val="footnote text"/>
    <w:basedOn w:val="Normlny"/>
    <w:link w:val="TextpoznmkypodiarouChar"/>
    <w:uiPriority w:val="99"/>
    <w:semiHidden/>
    <w:unhideWhenUsed/>
    <w:rsid w:val="001C7640"/>
    <w:pPr>
      <w:spacing w:after="0" w:line="240" w:lineRule="auto"/>
    </w:pPr>
    <w:rPr>
      <w:rFonts w:ascii="Calibri" w:eastAsia="Calibri" w:hAnsi="Calibri" w:cs="Times New Roman"/>
      <w:sz w:val="20"/>
      <w:szCs w:val="20"/>
      <w:lang w:val="en-US"/>
    </w:rPr>
  </w:style>
  <w:style w:type="character" w:customStyle="1" w:styleId="TextpoznmkypodiarouChar">
    <w:name w:val="Text poznámky pod čiarou Char"/>
    <w:basedOn w:val="Predvolenpsmoodseku"/>
    <w:link w:val="Textpoznmkypodiarou"/>
    <w:uiPriority w:val="99"/>
    <w:semiHidden/>
    <w:rsid w:val="001C7640"/>
    <w:rPr>
      <w:rFonts w:ascii="Calibri" w:eastAsia="Calibri" w:hAnsi="Calibri" w:cs="Times New Roman"/>
      <w:sz w:val="20"/>
      <w:szCs w:val="20"/>
      <w:lang w:val="en-US"/>
    </w:rPr>
  </w:style>
  <w:style w:type="character" w:styleId="Odkaznapoznmkupodiarou">
    <w:name w:val="footnote reference"/>
    <w:basedOn w:val="Predvolenpsmoodseku"/>
    <w:uiPriority w:val="99"/>
    <w:semiHidden/>
    <w:unhideWhenUsed/>
    <w:rsid w:val="001C7640"/>
    <w:rPr>
      <w:vertAlign w:val="superscript"/>
    </w:rPr>
  </w:style>
  <w:style w:type="character" w:styleId="Hypertextovprepojenie">
    <w:name w:val="Hyperlink"/>
    <w:basedOn w:val="Predvolenpsmoodseku"/>
    <w:uiPriority w:val="99"/>
    <w:unhideWhenUsed/>
    <w:rsid w:val="001C7640"/>
    <w:rPr>
      <w:color w:val="0000FF" w:themeColor="hyperlink"/>
      <w:u w:val="single"/>
    </w:rPr>
  </w:style>
  <w:style w:type="character" w:styleId="Odkaznakomentr">
    <w:name w:val="annotation reference"/>
    <w:basedOn w:val="Predvolenpsmoodseku"/>
    <w:uiPriority w:val="99"/>
    <w:semiHidden/>
    <w:unhideWhenUsed/>
    <w:rsid w:val="00390633"/>
    <w:rPr>
      <w:sz w:val="16"/>
      <w:szCs w:val="16"/>
    </w:rPr>
  </w:style>
  <w:style w:type="paragraph" w:styleId="Textkomentra">
    <w:name w:val="annotation text"/>
    <w:basedOn w:val="Normlny"/>
    <w:link w:val="TextkomentraChar"/>
    <w:uiPriority w:val="99"/>
    <w:unhideWhenUsed/>
    <w:rsid w:val="00390633"/>
    <w:pPr>
      <w:spacing w:line="240" w:lineRule="auto"/>
    </w:pPr>
    <w:rPr>
      <w:sz w:val="20"/>
      <w:szCs w:val="20"/>
    </w:rPr>
  </w:style>
  <w:style w:type="character" w:customStyle="1" w:styleId="TextkomentraChar">
    <w:name w:val="Text komentára Char"/>
    <w:basedOn w:val="Predvolenpsmoodseku"/>
    <w:link w:val="Textkomentra"/>
    <w:uiPriority w:val="99"/>
    <w:rsid w:val="00390633"/>
    <w:rPr>
      <w:sz w:val="20"/>
      <w:szCs w:val="20"/>
    </w:rPr>
  </w:style>
  <w:style w:type="paragraph" w:styleId="Predmetkomentra">
    <w:name w:val="annotation subject"/>
    <w:basedOn w:val="Textkomentra"/>
    <w:next w:val="Textkomentra"/>
    <w:link w:val="PredmetkomentraChar"/>
    <w:uiPriority w:val="99"/>
    <w:semiHidden/>
    <w:unhideWhenUsed/>
    <w:rsid w:val="00390633"/>
    <w:rPr>
      <w:b/>
      <w:bCs/>
    </w:rPr>
  </w:style>
  <w:style w:type="character" w:customStyle="1" w:styleId="PredmetkomentraChar">
    <w:name w:val="Predmet komentára Char"/>
    <w:basedOn w:val="TextkomentraChar"/>
    <w:link w:val="Predmetkomentra"/>
    <w:uiPriority w:val="99"/>
    <w:semiHidden/>
    <w:rsid w:val="00390633"/>
    <w:rPr>
      <w:b/>
      <w:bCs/>
      <w:sz w:val="20"/>
      <w:szCs w:val="20"/>
    </w:rPr>
  </w:style>
  <w:style w:type="paragraph" w:styleId="Revzia">
    <w:name w:val="Revision"/>
    <w:hidden/>
    <w:uiPriority w:val="99"/>
    <w:semiHidden/>
    <w:rsid w:val="0048020F"/>
    <w:pPr>
      <w:spacing w:after="0" w:line="240" w:lineRule="auto"/>
    </w:pPr>
  </w:style>
  <w:style w:type="paragraph" w:styleId="Normlnywebov">
    <w:name w:val="Normal (Web)"/>
    <w:basedOn w:val="Normlny"/>
    <w:uiPriority w:val="99"/>
    <w:unhideWhenUsed/>
    <w:rsid w:val="00285F21"/>
    <w:pPr>
      <w:spacing w:before="100" w:beforeAutospacing="1" w:after="100" w:afterAutospacing="1" w:line="240" w:lineRule="auto"/>
    </w:pPr>
    <w:rPr>
      <w:rFonts w:ascii="Times New Roman" w:hAnsi="Times New Roman" w:cs="Times New Roman"/>
      <w:sz w:val="24"/>
      <w:szCs w:val="24"/>
    </w:rPr>
  </w:style>
  <w:style w:type="paragraph" w:styleId="Nzov">
    <w:name w:val="Title"/>
    <w:basedOn w:val="Normlny"/>
    <w:link w:val="NzovChar"/>
    <w:uiPriority w:val="10"/>
    <w:qFormat/>
    <w:rsid w:val="00450EE5"/>
    <w:pPr>
      <w:spacing w:after="0" w:line="240" w:lineRule="auto"/>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uiPriority w:val="10"/>
    <w:rsid w:val="00450EE5"/>
    <w:rPr>
      <w:rFonts w:ascii="Times New Roman" w:eastAsia="Times New Roman" w:hAnsi="Times New Roman" w:cs="Times New Roman"/>
      <w:sz w:val="28"/>
      <w:szCs w:val="20"/>
    </w:rPr>
  </w:style>
  <w:style w:type="table" w:styleId="Mriekatabuky">
    <w:name w:val="Table Grid"/>
    <w:basedOn w:val="Normlnatabuka"/>
    <w:uiPriority w:val="59"/>
    <w:rsid w:val="00E5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C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866554"/>
    <w:pPr>
      <w:ind w:left="720"/>
      <w:contextualSpacing/>
    </w:pPr>
    <w:rPr>
      <w:rFonts w:ascii="Calibri" w:eastAsia="Calibri" w:hAnsi="Calibri" w:cs="Times New Roman"/>
      <w:lang w:val="en-US"/>
    </w:rPr>
  </w:style>
  <w:style w:type="paragraph" w:styleId="Textpoznmkypodiarou">
    <w:name w:val="footnote text"/>
    <w:basedOn w:val="Normlny"/>
    <w:link w:val="TextpoznmkypodiarouChar"/>
    <w:uiPriority w:val="99"/>
    <w:semiHidden/>
    <w:unhideWhenUsed/>
    <w:rsid w:val="001C7640"/>
    <w:pPr>
      <w:spacing w:after="0" w:line="240" w:lineRule="auto"/>
    </w:pPr>
    <w:rPr>
      <w:rFonts w:ascii="Calibri" w:eastAsia="Calibri" w:hAnsi="Calibri" w:cs="Times New Roman"/>
      <w:sz w:val="20"/>
      <w:szCs w:val="20"/>
      <w:lang w:val="en-US"/>
    </w:rPr>
  </w:style>
  <w:style w:type="character" w:customStyle="1" w:styleId="TextpoznmkypodiarouChar">
    <w:name w:val="Text poznámky pod čiarou Char"/>
    <w:basedOn w:val="Predvolenpsmoodseku"/>
    <w:link w:val="Textpoznmkypodiarou"/>
    <w:uiPriority w:val="99"/>
    <w:semiHidden/>
    <w:rsid w:val="001C7640"/>
    <w:rPr>
      <w:rFonts w:ascii="Calibri" w:eastAsia="Calibri" w:hAnsi="Calibri" w:cs="Times New Roman"/>
      <w:sz w:val="20"/>
      <w:szCs w:val="20"/>
      <w:lang w:val="en-US"/>
    </w:rPr>
  </w:style>
  <w:style w:type="character" w:styleId="Odkaznapoznmkupodiarou">
    <w:name w:val="footnote reference"/>
    <w:basedOn w:val="Predvolenpsmoodseku"/>
    <w:uiPriority w:val="99"/>
    <w:semiHidden/>
    <w:unhideWhenUsed/>
    <w:rsid w:val="001C7640"/>
    <w:rPr>
      <w:vertAlign w:val="superscript"/>
    </w:rPr>
  </w:style>
  <w:style w:type="character" w:styleId="Hypertextovprepojenie">
    <w:name w:val="Hyperlink"/>
    <w:basedOn w:val="Predvolenpsmoodseku"/>
    <w:uiPriority w:val="99"/>
    <w:unhideWhenUsed/>
    <w:rsid w:val="001C7640"/>
    <w:rPr>
      <w:color w:val="0000FF" w:themeColor="hyperlink"/>
      <w:u w:val="single"/>
    </w:rPr>
  </w:style>
  <w:style w:type="character" w:styleId="Odkaznakomentr">
    <w:name w:val="annotation reference"/>
    <w:basedOn w:val="Predvolenpsmoodseku"/>
    <w:uiPriority w:val="99"/>
    <w:semiHidden/>
    <w:unhideWhenUsed/>
    <w:rsid w:val="00390633"/>
    <w:rPr>
      <w:sz w:val="16"/>
      <w:szCs w:val="16"/>
    </w:rPr>
  </w:style>
  <w:style w:type="paragraph" w:styleId="Textkomentra">
    <w:name w:val="annotation text"/>
    <w:basedOn w:val="Normlny"/>
    <w:link w:val="TextkomentraChar"/>
    <w:uiPriority w:val="99"/>
    <w:unhideWhenUsed/>
    <w:rsid w:val="00390633"/>
    <w:pPr>
      <w:spacing w:line="240" w:lineRule="auto"/>
    </w:pPr>
    <w:rPr>
      <w:sz w:val="20"/>
      <w:szCs w:val="20"/>
    </w:rPr>
  </w:style>
  <w:style w:type="character" w:customStyle="1" w:styleId="TextkomentraChar">
    <w:name w:val="Text komentára Char"/>
    <w:basedOn w:val="Predvolenpsmoodseku"/>
    <w:link w:val="Textkomentra"/>
    <w:uiPriority w:val="99"/>
    <w:rsid w:val="00390633"/>
    <w:rPr>
      <w:sz w:val="20"/>
      <w:szCs w:val="20"/>
    </w:rPr>
  </w:style>
  <w:style w:type="paragraph" w:styleId="Predmetkomentra">
    <w:name w:val="annotation subject"/>
    <w:basedOn w:val="Textkomentra"/>
    <w:next w:val="Textkomentra"/>
    <w:link w:val="PredmetkomentraChar"/>
    <w:uiPriority w:val="99"/>
    <w:semiHidden/>
    <w:unhideWhenUsed/>
    <w:rsid w:val="00390633"/>
    <w:rPr>
      <w:b/>
      <w:bCs/>
    </w:rPr>
  </w:style>
  <w:style w:type="character" w:customStyle="1" w:styleId="PredmetkomentraChar">
    <w:name w:val="Predmet komentára Char"/>
    <w:basedOn w:val="TextkomentraChar"/>
    <w:link w:val="Predmetkomentra"/>
    <w:uiPriority w:val="99"/>
    <w:semiHidden/>
    <w:rsid w:val="00390633"/>
    <w:rPr>
      <w:b/>
      <w:bCs/>
      <w:sz w:val="20"/>
      <w:szCs w:val="20"/>
    </w:rPr>
  </w:style>
  <w:style w:type="paragraph" w:styleId="Revzia">
    <w:name w:val="Revision"/>
    <w:hidden/>
    <w:uiPriority w:val="99"/>
    <w:semiHidden/>
    <w:rsid w:val="0048020F"/>
    <w:pPr>
      <w:spacing w:after="0" w:line="240" w:lineRule="auto"/>
    </w:pPr>
  </w:style>
  <w:style w:type="paragraph" w:styleId="Normlnywebov">
    <w:name w:val="Normal (Web)"/>
    <w:basedOn w:val="Normlny"/>
    <w:uiPriority w:val="99"/>
    <w:unhideWhenUsed/>
    <w:rsid w:val="00285F21"/>
    <w:pPr>
      <w:spacing w:before="100" w:beforeAutospacing="1" w:after="100" w:afterAutospacing="1" w:line="240" w:lineRule="auto"/>
    </w:pPr>
    <w:rPr>
      <w:rFonts w:ascii="Times New Roman" w:hAnsi="Times New Roman" w:cs="Times New Roman"/>
      <w:sz w:val="24"/>
      <w:szCs w:val="24"/>
    </w:rPr>
  </w:style>
  <w:style w:type="paragraph" w:styleId="Nzov">
    <w:name w:val="Title"/>
    <w:basedOn w:val="Normlny"/>
    <w:link w:val="NzovChar"/>
    <w:uiPriority w:val="10"/>
    <w:qFormat/>
    <w:rsid w:val="00450EE5"/>
    <w:pPr>
      <w:spacing w:after="0" w:line="240" w:lineRule="auto"/>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uiPriority w:val="10"/>
    <w:rsid w:val="00450EE5"/>
    <w:rPr>
      <w:rFonts w:ascii="Times New Roman" w:eastAsia="Times New Roman" w:hAnsi="Times New Roman" w:cs="Times New Roman"/>
      <w:sz w:val="28"/>
      <w:szCs w:val="20"/>
    </w:rPr>
  </w:style>
  <w:style w:type="table" w:styleId="Mriekatabuky">
    <w:name w:val="Table Grid"/>
    <w:basedOn w:val="Normlnatabuka"/>
    <w:uiPriority w:val="59"/>
    <w:rsid w:val="00E5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C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364">
      <w:bodyDiv w:val="1"/>
      <w:marLeft w:val="0"/>
      <w:marRight w:val="0"/>
      <w:marTop w:val="0"/>
      <w:marBottom w:val="0"/>
      <w:divBdr>
        <w:top w:val="none" w:sz="0" w:space="0" w:color="auto"/>
        <w:left w:val="none" w:sz="0" w:space="0" w:color="auto"/>
        <w:bottom w:val="none" w:sz="0" w:space="0" w:color="auto"/>
        <w:right w:val="none" w:sz="0" w:space="0" w:color="auto"/>
      </w:divBdr>
    </w:div>
    <w:div w:id="104885355">
      <w:bodyDiv w:val="1"/>
      <w:marLeft w:val="0"/>
      <w:marRight w:val="0"/>
      <w:marTop w:val="0"/>
      <w:marBottom w:val="0"/>
      <w:divBdr>
        <w:top w:val="none" w:sz="0" w:space="0" w:color="auto"/>
        <w:left w:val="none" w:sz="0" w:space="0" w:color="auto"/>
        <w:bottom w:val="none" w:sz="0" w:space="0" w:color="auto"/>
        <w:right w:val="none" w:sz="0" w:space="0" w:color="auto"/>
      </w:divBdr>
    </w:div>
    <w:div w:id="187530236">
      <w:bodyDiv w:val="1"/>
      <w:marLeft w:val="0"/>
      <w:marRight w:val="0"/>
      <w:marTop w:val="0"/>
      <w:marBottom w:val="0"/>
      <w:divBdr>
        <w:top w:val="none" w:sz="0" w:space="0" w:color="auto"/>
        <w:left w:val="none" w:sz="0" w:space="0" w:color="auto"/>
        <w:bottom w:val="none" w:sz="0" w:space="0" w:color="auto"/>
        <w:right w:val="none" w:sz="0" w:space="0" w:color="auto"/>
      </w:divBdr>
    </w:div>
    <w:div w:id="338236025">
      <w:bodyDiv w:val="1"/>
      <w:marLeft w:val="0"/>
      <w:marRight w:val="0"/>
      <w:marTop w:val="0"/>
      <w:marBottom w:val="0"/>
      <w:divBdr>
        <w:top w:val="none" w:sz="0" w:space="0" w:color="auto"/>
        <w:left w:val="none" w:sz="0" w:space="0" w:color="auto"/>
        <w:bottom w:val="none" w:sz="0" w:space="0" w:color="auto"/>
        <w:right w:val="none" w:sz="0" w:space="0" w:color="auto"/>
      </w:divBdr>
    </w:div>
    <w:div w:id="357777757">
      <w:bodyDiv w:val="1"/>
      <w:marLeft w:val="0"/>
      <w:marRight w:val="0"/>
      <w:marTop w:val="0"/>
      <w:marBottom w:val="0"/>
      <w:divBdr>
        <w:top w:val="none" w:sz="0" w:space="0" w:color="auto"/>
        <w:left w:val="none" w:sz="0" w:space="0" w:color="auto"/>
        <w:bottom w:val="none" w:sz="0" w:space="0" w:color="auto"/>
        <w:right w:val="none" w:sz="0" w:space="0" w:color="auto"/>
      </w:divBdr>
    </w:div>
    <w:div w:id="358160717">
      <w:bodyDiv w:val="1"/>
      <w:marLeft w:val="0"/>
      <w:marRight w:val="0"/>
      <w:marTop w:val="0"/>
      <w:marBottom w:val="0"/>
      <w:divBdr>
        <w:top w:val="none" w:sz="0" w:space="0" w:color="auto"/>
        <w:left w:val="none" w:sz="0" w:space="0" w:color="auto"/>
        <w:bottom w:val="none" w:sz="0" w:space="0" w:color="auto"/>
        <w:right w:val="none" w:sz="0" w:space="0" w:color="auto"/>
      </w:divBdr>
    </w:div>
    <w:div w:id="620720631">
      <w:bodyDiv w:val="1"/>
      <w:marLeft w:val="0"/>
      <w:marRight w:val="0"/>
      <w:marTop w:val="0"/>
      <w:marBottom w:val="0"/>
      <w:divBdr>
        <w:top w:val="none" w:sz="0" w:space="0" w:color="auto"/>
        <w:left w:val="none" w:sz="0" w:space="0" w:color="auto"/>
        <w:bottom w:val="none" w:sz="0" w:space="0" w:color="auto"/>
        <w:right w:val="none" w:sz="0" w:space="0" w:color="auto"/>
      </w:divBdr>
    </w:div>
    <w:div w:id="623270862">
      <w:bodyDiv w:val="1"/>
      <w:marLeft w:val="0"/>
      <w:marRight w:val="0"/>
      <w:marTop w:val="0"/>
      <w:marBottom w:val="0"/>
      <w:divBdr>
        <w:top w:val="none" w:sz="0" w:space="0" w:color="auto"/>
        <w:left w:val="none" w:sz="0" w:space="0" w:color="auto"/>
        <w:bottom w:val="none" w:sz="0" w:space="0" w:color="auto"/>
        <w:right w:val="none" w:sz="0" w:space="0" w:color="auto"/>
      </w:divBdr>
    </w:div>
    <w:div w:id="645740249">
      <w:bodyDiv w:val="1"/>
      <w:marLeft w:val="0"/>
      <w:marRight w:val="0"/>
      <w:marTop w:val="0"/>
      <w:marBottom w:val="0"/>
      <w:divBdr>
        <w:top w:val="none" w:sz="0" w:space="0" w:color="auto"/>
        <w:left w:val="none" w:sz="0" w:space="0" w:color="auto"/>
        <w:bottom w:val="none" w:sz="0" w:space="0" w:color="auto"/>
        <w:right w:val="none" w:sz="0" w:space="0" w:color="auto"/>
      </w:divBdr>
    </w:div>
    <w:div w:id="655689738">
      <w:bodyDiv w:val="1"/>
      <w:marLeft w:val="0"/>
      <w:marRight w:val="0"/>
      <w:marTop w:val="0"/>
      <w:marBottom w:val="0"/>
      <w:divBdr>
        <w:top w:val="none" w:sz="0" w:space="0" w:color="auto"/>
        <w:left w:val="none" w:sz="0" w:space="0" w:color="auto"/>
        <w:bottom w:val="none" w:sz="0" w:space="0" w:color="auto"/>
        <w:right w:val="none" w:sz="0" w:space="0" w:color="auto"/>
      </w:divBdr>
    </w:div>
    <w:div w:id="689338250">
      <w:bodyDiv w:val="1"/>
      <w:marLeft w:val="0"/>
      <w:marRight w:val="0"/>
      <w:marTop w:val="0"/>
      <w:marBottom w:val="0"/>
      <w:divBdr>
        <w:top w:val="none" w:sz="0" w:space="0" w:color="auto"/>
        <w:left w:val="none" w:sz="0" w:space="0" w:color="auto"/>
        <w:bottom w:val="none" w:sz="0" w:space="0" w:color="auto"/>
        <w:right w:val="none" w:sz="0" w:space="0" w:color="auto"/>
      </w:divBdr>
    </w:div>
    <w:div w:id="717819611">
      <w:bodyDiv w:val="1"/>
      <w:marLeft w:val="0"/>
      <w:marRight w:val="0"/>
      <w:marTop w:val="0"/>
      <w:marBottom w:val="0"/>
      <w:divBdr>
        <w:top w:val="none" w:sz="0" w:space="0" w:color="auto"/>
        <w:left w:val="none" w:sz="0" w:space="0" w:color="auto"/>
        <w:bottom w:val="none" w:sz="0" w:space="0" w:color="auto"/>
        <w:right w:val="none" w:sz="0" w:space="0" w:color="auto"/>
      </w:divBdr>
    </w:div>
    <w:div w:id="862744858">
      <w:bodyDiv w:val="1"/>
      <w:marLeft w:val="0"/>
      <w:marRight w:val="0"/>
      <w:marTop w:val="0"/>
      <w:marBottom w:val="0"/>
      <w:divBdr>
        <w:top w:val="none" w:sz="0" w:space="0" w:color="auto"/>
        <w:left w:val="none" w:sz="0" w:space="0" w:color="auto"/>
        <w:bottom w:val="none" w:sz="0" w:space="0" w:color="auto"/>
        <w:right w:val="none" w:sz="0" w:space="0" w:color="auto"/>
      </w:divBdr>
    </w:div>
    <w:div w:id="904149073">
      <w:bodyDiv w:val="1"/>
      <w:marLeft w:val="0"/>
      <w:marRight w:val="0"/>
      <w:marTop w:val="0"/>
      <w:marBottom w:val="0"/>
      <w:divBdr>
        <w:top w:val="none" w:sz="0" w:space="0" w:color="auto"/>
        <w:left w:val="none" w:sz="0" w:space="0" w:color="auto"/>
        <w:bottom w:val="none" w:sz="0" w:space="0" w:color="auto"/>
        <w:right w:val="none" w:sz="0" w:space="0" w:color="auto"/>
      </w:divBdr>
    </w:div>
    <w:div w:id="936863500">
      <w:bodyDiv w:val="1"/>
      <w:marLeft w:val="0"/>
      <w:marRight w:val="0"/>
      <w:marTop w:val="0"/>
      <w:marBottom w:val="0"/>
      <w:divBdr>
        <w:top w:val="none" w:sz="0" w:space="0" w:color="auto"/>
        <w:left w:val="none" w:sz="0" w:space="0" w:color="auto"/>
        <w:bottom w:val="none" w:sz="0" w:space="0" w:color="auto"/>
        <w:right w:val="none" w:sz="0" w:space="0" w:color="auto"/>
      </w:divBdr>
    </w:div>
    <w:div w:id="1021664181">
      <w:bodyDiv w:val="1"/>
      <w:marLeft w:val="0"/>
      <w:marRight w:val="0"/>
      <w:marTop w:val="0"/>
      <w:marBottom w:val="0"/>
      <w:divBdr>
        <w:top w:val="none" w:sz="0" w:space="0" w:color="auto"/>
        <w:left w:val="none" w:sz="0" w:space="0" w:color="auto"/>
        <w:bottom w:val="none" w:sz="0" w:space="0" w:color="auto"/>
        <w:right w:val="none" w:sz="0" w:space="0" w:color="auto"/>
      </w:divBdr>
    </w:div>
    <w:div w:id="1044140690">
      <w:bodyDiv w:val="1"/>
      <w:marLeft w:val="0"/>
      <w:marRight w:val="0"/>
      <w:marTop w:val="0"/>
      <w:marBottom w:val="0"/>
      <w:divBdr>
        <w:top w:val="none" w:sz="0" w:space="0" w:color="auto"/>
        <w:left w:val="none" w:sz="0" w:space="0" w:color="auto"/>
        <w:bottom w:val="none" w:sz="0" w:space="0" w:color="auto"/>
        <w:right w:val="none" w:sz="0" w:space="0" w:color="auto"/>
      </w:divBdr>
    </w:div>
    <w:div w:id="1174956777">
      <w:bodyDiv w:val="1"/>
      <w:marLeft w:val="0"/>
      <w:marRight w:val="0"/>
      <w:marTop w:val="0"/>
      <w:marBottom w:val="0"/>
      <w:divBdr>
        <w:top w:val="none" w:sz="0" w:space="0" w:color="auto"/>
        <w:left w:val="none" w:sz="0" w:space="0" w:color="auto"/>
        <w:bottom w:val="none" w:sz="0" w:space="0" w:color="auto"/>
        <w:right w:val="none" w:sz="0" w:space="0" w:color="auto"/>
      </w:divBdr>
    </w:div>
    <w:div w:id="1202479851">
      <w:bodyDiv w:val="1"/>
      <w:marLeft w:val="0"/>
      <w:marRight w:val="0"/>
      <w:marTop w:val="0"/>
      <w:marBottom w:val="0"/>
      <w:divBdr>
        <w:top w:val="none" w:sz="0" w:space="0" w:color="auto"/>
        <w:left w:val="none" w:sz="0" w:space="0" w:color="auto"/>
        <w:bottom w:val="none" w:sz="0" w:space="0" w:color="auto"/>
        <w:right w:val="none" w:sz="0" w:space="0" w:color="auto"/>
      </w:divBdr>
    </w:div>
    <w:div w:id="1253658448">
      <w:bodyDiv w:val="1"/>
      <w:marLeft w:val="0"/>
      <w:marRight w:val="0"/>
      <w:marTop w:val="0"/>
      <w:marBottom w:val="0"/>
      <w:divBdr>
        <w:top w:val="none" w:sz="0" w:space="0" w:color="auto"/>
        <w:left w:val="none" w:sz="0" w:space="0" w:color="auto"/>
        <w:bottom w:val="none" w:sz="0" w:space="0" w:color="auto"/>
        <w:right w:val="none" w:sz="0" w:space="0" w:color="auto"/>
      </w:divBdr>
    </w:div>
    <w:div w:id="1279218509">
      <w:bodyDiv w:val="1"/>
      <w:marLeft w:val="0"/>
      <w:marRight w:val="0"/>
      <w:marTop w:val="0"/>
      <w:marBottom w:val="0"/>
      <w:divBdr>
        <w:top w:val="none" w:sz="0" w:space="0" w:color="auto"/>
        <w:left w:val="none" w:sz="0" w:space="0" w:color="auto"/>
        <w:bottom w:val="none" w:sz="0" w:space="0" w:color="auto"/>
        <w:right w:val="none" w:sz="0" w:space="0" w:color="auto"/>
      </w:divBdr>
    </w:div>
    <w:div w:id="1313945415">
      <w:bodyDiv w:val="1"/>
      <w:marLeft w:val="0"/>
      <w:marRight w:val="0"/>
      <w:marTop w:val="0"/>
      <w:marBottom w:val="0"/>
      <w:divBdr>
        <w:top w:val="none" w:sz="0" w:space="0" w:color="auto"/>
        <w:left w:val="none" w:sz="0" w:space="0" w:color="auto"/>
        <w:bottom w:val="none" w:sz="0" w:space="0" w:color="auto"/>
        <w:right w:val="none" w:sz="0" w:space="0" w:color="auto"/>
      </w:divBdr>
    </w:div>
    <w:div w:id="1358001917">
      <w:bodyDiv w:val="1"/>
      <w:marLeft w:val="0"/>
      <w:marRight w:val="0"/>
      <w:marTop w:val="0"/>
      <w:marBottom w:val="0"/>
      <w:divBdr>
        <w:top w:val="none" w:sz="0" w:space="0" w:color="auto"/>
        <w:left w:val="none" w:sz="0" w:space="0" w:color="auto"/>
        <w:bottom w:val="none" w:sz="0" w:space="0" w:color="auto"/>
        <w:right w:val="none" w:sz="0" w:space="0" w:color="auto"/>
      </w:divBdr>
    </w:div>
    <w:div w:id="1422752194">
      <w:bodyDiv w:val="1"/>
      <w:marLeft w:val="0"/>
      <w:marRight w:val="0"/>
      <w:marTop w:val="0"/>
      <w:marBottom w:val="0"/>
      <w:divBdr>
        <w:top w:val="none" w:sz="0" w:space="0" w:color="auto"/>
        <w:left w:val="none" w:sz="0" w:space="0" w:color="auto"/>
        <w:bottom w:val="none" w:sz="0" w:space="0" w:color="auto"/>
        <w:right w:val="none" w:sz="0" w:space="0" w:color="auto"/>
      </w:divBdr>
    </w:div>
    <w:div w:id="1564410726">
      <w:bodyDiv w:val="1"/>
      <w:marLeft w:val="0"/>
      <w:marRight w:val="0"/>
      <w:marTop w:val="0"/>
      <w:marBottom w:val="0"/>
      <w:divBdr>
        <w:top w:val="none" w:sz="0" w:space="0" w:color="auto"/>
        <w:left w:val="none" w:sz="0" w:space="0" w:color="auto"/>
        <w:bottom w:val="none" w:sz="0" w:space="0" w:color="auto"/>
        <w:right w:val="none" w:sz="0" w:space="0" w:color="auto"/>
      </w:divBdr>
    </w:div>
    <w:div w:id="1580410424">
      <w:bodyDiv w:val="1"/>
      <w:marLeft w:val="0"/>
      <w:marRight w:val="0"/>
      <w:marTop w:val="0"/>
      <w:marBottom w:val="0"/>
      <w:divBdr>
        <w:top w:val="none" w:sz="0" w:space="0" w:color="auto"/>
        <w:left w:val="none" w:sz="0" w:space="0" w:color="auto"/>
        <w:bottom w:val="none" w:sz="0" w:space="0" w:color="auto"/>
        <w:right w:val="none" w:sz="0" w:space="0" w:color="auto"/>
      </w:divBdr>
    </w:div>
    <w:div w:id="1592079499">
      <w:bodyDiv w:val="1"/>
      <w:marLeft w:val="0"/>
      <w:marRight w:val="0"/>
      <w:marTop w:val="0"/>
      <w:marBottom w:val="0"/>
      <w:divBdr>
        <w:top w:val="none" w:sz="0" w:space="0" w:color="auto"/>
        <w:left w:val="none" w:sz="0" w:space="0" w:color="auto"/>
        <w:bottom w:val="none" w:sz="0" w:space="0" w:color="auto"/>
        <w:right w:val="none" w:sz="0" w:space="0" w:color="auto"/>
      </w:divBdr>
    </w:div>
    <w:div w:id="1661301514">
      <w:bodyDiv w:val="1"/>
      <w:marLeft w:val="0"/>
      <w:marRight w:val="0"/>
      <w:marTop w:val="0"/>
      <w:marBottom w:val="0"/>
      <w:divBdr>
        <w:top w:val="none" w:sz="0" w:space="0" w:color="auto"/>
        <w:left w:val="none" w:sz="0" w:space="0" w:color="auto"/>
        <w:bottom w:val="none" w:sz="0" w:space="0" w:color="auto"/>
        <w:right w:val="none" w:sz="0" w:space="0" w:color="auto"/>
      </w:divBdr>
    </w:div>
    <w:div w:id="1689213173">
      <w:bodyDiv w:val="1"/>
      <w:marLeft w:val="0"/>
      <w:marRight w:val="0"/>
      <w:marTop w:val="0"/>
      <w:marBottom w:val="0"/>
      <w:divBdr>
        <w:top w:val="none" w:sz="0" w:space="0" w:color="auto"/>
        <w:left w:val="none" w:sz="0" w:space="0" w:color="auto"/>
        <w:bottom w:val="none" w:sz="0" w:space="0" w:color="auto"/>
        <w:right w:val="none" w:sz="0" w:space="0" w:color="auto"/>
      </w:divBdr>
    </w:div>
    <w:div w:id="1721394815">
      <w:bodyDiv w:val="1"/>
      <w:marLeft w:val="0"/>
      <w:marRight w:val="0"/>
      <w:marTop w:val="0"/>
      <w:marBottom w:val="0"/>
      <w:divBdr>
        <w:top w:val="none" w:sz="0" w:space="0" w:color="auto"/>
        <w:left w:val="none" w:sz="0" w:space="0" w:color="auto"/>
        <w:bottom w:val="none" w:sz="0" w:space="0" w:color="auto"/>
        <w:right w:val="none" w:sz="0" w:space="0" w:color="auto"/>
      </w:divBdr>
    </w:div>
    <w:div w:id="1753315808">
      <w:bodyDiv w:val="1"/>
      <w:marLeft w:val="0"/>
      <w:marRight w:val="0"/>
      <w:marTop w:val="0"/>
      <w:marBottom w:val="0"/>
      <w:divBdr>
        <w:top w:val="none" w:sz="0" w:space="0" w:color="auto"/>
        <w:left w:val="none" w:sz="0" w:space="0" w:color="auto"/>
        <w:bottom w:val="none" w:sz="0" w:space="0" w:color="auto"/>
        <w:right w:val="none" w:sz="0" w:space="0" w:color="auto"/>
      </w:divBdr>
    </w:div>
    <w:div w:id="1787773068">
      <w:bodyDiv w:val="1"/>
      <w:marLeft w:val="0"/>
      <w:marRight w:val="0"/>
      <w:marTop w:val="0"/>
      <w:marBottom w:val="0"/>
      <w:divBdr>
        <w:top w:val="none" w:sz="0" w:space="0" w:color="auto"/>
        <w:left w:val="none" w:sz="0" w:space="0" w:color="auto"/>
        <w:bottom w:val="none" w:sz="0" w:space="0" w:color="auto"/>
        <w:right w:val="none" w:sz="0" w:space="0" w:color="auto"/>
      </w:divBdr>
    </w:div>
    <w:div w:id="1811365430">
      <w:bodyDiv w:val="1"/>
      <w:marLeft w:val="0"/>
      <w:marRight w:val="0"/>
      <w:marTop w:val="0"/>
      <w:marBottom w:val="0"/>
      <w:divBdr>
        <w:top w:val="none" w:sz="0" w:space="0" w:color="auto"/>
        <w:left w:val="none" w:sz="0" w:space="0" w:color="auto"/>
        <w:bottom w:val="none" w:sz="0" w:space="0" w:color="auto"/>
        <w:right w:val="none" w:sz="0" w:space="0" w:color="auto"/>
      </w:divBdr>
    </w:div>
    <w:div w:id="1829859560">
      <w:bodyDiv w:val="1"/>
      <w:marLeft w:val="0"/>
      <w:marRight w:val="0"/>
      <w:marTop w:val="0"/>
      <w:marBottom w:val="0"/>
      <w:divBdr>
        <w:top w:val="none" w:sz="0" w:space="0" w:color="auto"/>
        <w:left w:val="none" w:sz="0" w:space="0" w:color="auto"/>
        <w:bottom w:val="none" w:sz="0" w:space="0" w:color="auto"/>
        <w:right w:val="none" w:sz="0" w:space="0" w:color="auto"/>
      </w:divBdr>
    </w:div>
    <w:div w:id="1865628236">
      <w:bodyDiv w:val="1"/>
      <w:marLeft w:val="0"/>
      <w:marRight w:val="0"/>
      <w:marTop w:val="0"/>
      <w:marBottom w:val="0"/>
      <w:divBdr>
        <w:top w:val="none" w:sz="0" w:space="0" w:color="auto"/>
        <w:left w:val="none" w:sz="0" w:space="0" w:color="auto"/>
        <w:bottom w:val="none" w:sz="0" w:space="0" w:color="auto"/>
        <w:right w:val="none" w:sz="0" w:space="0" w:color="auto"/>
      </w:divBdr>
    </w:div>
    <w:div w:id="1963337498">
      <w:bodyDiv w:val="1"/>
      <w:marLeft w:val="0"/>
      <w:marRight w:val="0"/>
      <w:marTop w:val="0"/>
      <w:marBottom w:val="0"/>
      <w:divBdr>
        <w:top w:val="none" w:sz="0" w:space="0" w:color="auto"/>
        <w:left w:val="none" w:sz="0" w:space="0" w:color="auto"/>
        <w:bottom w:val="none" w:sz="0" w:space="0" w:color="auto"/>
        <w:right w:val="none" w:sz="0" w:space="0" w:color="auto"/>
      </w:divBdr>
    </w:div>
    <w:div w:id="2022585408">
      <w:bodyDiv w:val="1"/>
      <w:marLeft w:val="0"/>
      <w:marRight w:val="0"/>
      <w:marTop w:val="0"/>
      <w:marBottom w:val="0"/>
      <w:divBdr>
        <w:top w:val="none" w:sz="0" w:space="0" w:color="auto"/>
        <w:left w:val="none" w:sz="0" w:space="0" w:color="auto"/>
        <w:bottom w:val="none" w:sz="0" w:space="0" w:color="auto"/>
        <w:right w:val="none" w:sz="0" w:space="0" w:color="auto"/>
      </w:divBdr>
    </w:div>
    <w:div w:id="2028557318">
      <w:bodyDiv w:val="1"/>
      <w:marLeft w:val="0"/>
      <w:marRight w:val="0"/>
      <w:marTop w:val="0"/>
      <w:marBottom w:val="0"/>
      <w:divBdr>
        <w:top w:val="none" w:sz="0" w:space="0" w:color="auto"/>
        <w:left w:val="none" w:sz="0" w:space="0" w:color="auto"/>
        <w:bottom w:val="none" w:sz="0" w:space="0" w:color="auto"/>
        <w:right w:val="none" w:sz="0" w:space="0" w:color="auto"/>
      </w:divBdr>
    </w:div>
    <w:div w:id="2035307004">
      <w:bodyDiv w:val="1"/>
      <w:marLeft w:val="0"/>
      <w:marRight w:val="0"/>
      <w:marTop w:val="0"/>
      <w:marBottom w:val="0"/>
      <w:divBdr>
        <w:top w:val="none" w:sz="0" w:space="0" w:color="auto"/>
        <w:left w:val="none" w:sz="0" w:space="0" w:color="auto"/>
        <w:bottom w:val="none" w:sz="0" w:space="0" w:color="auto"/>
        <w:right w:val="none" w:sz="0" w:space="0" w:color="auto"/>
      </w:divBdr>
    </w:div>
    <w:div w:id="2039350076">
      <w:bodyDiv w:val="1"/>
      <w:marLeft w:val="0"/>
      <w:marRight w:val="0"/>
      <w:marTop w:val="0"/>
      <w:marBottom w:val="0"/>
      <w:divBdr>
        <w:top w:val="none" w:sz="0" w:space="0" w:color="auto"/>
        <w:left w:val="none" w:sz="0" w:space="0" w:color="auto"/>
        <w:bottom w:val="none" w:sz="0" w:space="0" w:color="auto"/>
        <w:right w:val="none" w:sz="0" w:space="0" w:color="auto"/>
      </w:divBdr>
    </w:div>
    <w:div w:id="2043818044">
      <w:bodyDiv w:val="1"/>
      <w:marLeft w:val="0"/>
      <w:marRight w:val="0"/>
      <w:marTop w:val="0"/>
      <w:marBottom w:val="0"/>
      <w:divBdr>
        <w:top w:val="none" w:sz="0" w:space="0" w:color="auto"/>
        <w:left w:val="none" w:sz="0" w:space="0" w:color="auto"/>
        <w:bottom w:val="none" w:sz="0" w:space="0" w:color="auto"/>
        <w:right w:val="none" w:sz="0" w:space="0" w:color="auto"/>
      </w:divBdr>
    </w:div>
    <w:div w:id="20563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new_http_browser_jscript('?MOD=html&amp;FIR=demo&amp;JEL=n&amp;AGE=zak&amp;TNU=n&amp;IDC=79%2F2008%20Z.z.')"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Vas19</b:Tag>
    <b:SourceType>Report</b:SourceType>
    <b:Guid>{F45F6A30-6741-4BA9-AF2C-A6AFB68E0616}</b:Guid>
    <b:Title>Jeseň je tu: Prognóza daňových a odvodových príjmov na roky 2019 - 2022</b:Title>
    <b:Year>2019</b:Year>
    <b:Author>
      <b:Author>
        <b:NameList>
          <b:Person>
            <b:Last>Vasiľ</b:Last>
            <b:First>Roman</b:First>
          </b:Person>
          <b:Person>
            <b:Last>Havlát</b:Last>
            <b:First>Michal</b:First>
          </b:Person>
        </b:NameList>
      </b:Author>
    </b:Author>
    <b:Publisher>IFP</b:Publisher>
    <b:City>Bratislava</b:City>
    <b:StandardNumber>Komentár 2019/13</b:StandardNumber>
    <b:RefOrder>1</b:RefOrder>
  </b:Source>
</b:Sources>
</file>

<file path=customXml/itemProps1.xml><?xml version="1.0" encoding="utf-8"?>
<ds:datastoreItem xmlns:ds="http://schemas.openxmlformats.org/officeDocument/2006/customXml" ds:itemID="{79CBE5FC-A834-45D7-8886-0A478BB7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3277</Words>
  <Characters>18683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2020-08-26T09:27:00Z</dcterms:created>
  <dcterms:modified xsi:type="dcterms:W3CDTF">2020-08-26T09:27:00Z</dcterms:modified>
</cp:coreProperties>
</file>