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BA" w:rsidRPr="00380774" w:rsidRDefault="00F319BA" w:rsidP="001A7716">
      <w:pPr>
        <w:jc w:val="both"/>
        <w:rPr>
          <w:rFonts w:ascii="Book Antiqua" w:hAnsi="Book Antiqua" w:cs="Arial"/>
          <w:b/>
        </w:rPr>
      </w:pPr>
      <w:bookmarkStart w:id="0" w:name="_GoBack"/>
      <w:bookmarkEnd w:id="0"/>
      <w:r w:rsidRPr="00380774">
        <w:rPr>
          <w:rFonts w:ascii="Book Antiqua" w:hAnsi="Book Antiqua" w:cs="Arial"/>
          <w:b/>
        </w:rPr>
        <w:t>Dôvodová správa</w:t>
      </w:r>
    </w:p>
    <w:p w:rsidR="00F319BA" w:rsidRPr="00430035" w:rsidRDefault="00F319BA" w:rsidP="001A7716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F319BA" w:rsidRPr="00AC7C7A" w:rsidRDefault="00C921A0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34925</wp:posOffset>
                </wp:positionV>
                <wp:extent cx="5778500" cy="0"/>
                <wp:effectExtent l="13335" t="8255" r="8890" b="1079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C39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35pt;margin-top:2.75pt;width:4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7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E8QzGFRBVqa0NDdKjejXPmn53SOmqI6rlMfjtZCA3CxnJu5RwcQaK7IYvmkEMAfw4&#10;q2Nj+wAJU0DHKMnpJgk/ekTh4/ThYT5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z3ROyR4CAAA7BAAADgAAAAAAAAAAAAAAAAAuAgAAZHJzL2Uyb0RvYy54bWxQSwECLQAU&#10;AAYACAAAACEAOu+oydoAAAAFAQAADwAAAAAAAAAAAAAAAAB4BAAAZHJzL2Rvd25yZXYueG1sUEsF&#10;BgAAAAAEAAQA8wAAAH8FAAAAAA==&#10;"/>
            </w:pict>
          </mc:Fallback>
        </mc:AlternateContent>
      </w:r>
    </w:p>
    <w:p w:rsidR="002E4558" w:rsidRDefault="002E4558" w:rsidP="007E2599">
      <w:pPr>
        <w:ind w:firstLine="426"/>
        <w:jc w:val="both"/>
        <w:rPr>
          <w:rFonts w:ascii="Book Antiqua" w:hAnsi="Book Antiqua" w:cs="Book Antiqua"/>
        </w:rPr>
      </w:pPr>
      <w:r w:rsidRPr="002E4558">
        <w:rPr>
          <w:rFonts w:ascii="Book Antiqua" w:hAnsi="Book Antiqua" w:cs="Book Antiqua"/>
        </w:rPr>
        <w:t xml:space="preserve">Poslanci za stranu </w:t>
      </w:r>
      <w:r w:rsidR="009A4836">
        <w:rPr>
          <w:rFonts w:ascii="Book Antiqua" w:hAnsi="Book Antiqua" w:cs="Book Antiqua"/>
        </w:rPr>
        <w:t>Kotlebovci</w:t>
      </w:r>
      <w:r w:rsidRPr="002E4558">
        <w:rPr>
          <w:rFonts w:ascii="Book Antiqua" w:hAnsi="Book Antiqua" w:cs="Book Antiqua"/>
        </w:rPr>
        <w:t xml:space="preserve"> – Ľudová strana Naše Slovensko </w:t>
      </w:r>
      <w:r w:rsidR="00AF4A8E">
        <w:rPr>
          <w:rFonts w:ascii="Book Antiqua" w:hAnsi="Book Antiqua" w:cs="Book Antiqua"/>
        </w:rPr>
        <w:t>Martin Beluský, Rastislav Schlosá</w:t>
      </w:r>
      <w:r w:rsidR="00E457C1">
        <w:rPr>
          <w:rFonts w:ascii="Book Antiqua" w:hAnsi="Book Antiqua" w:cs="Book Antiqua"/>
        </w:rPr>
        <w:t xml:space="preserve">r, Miroslav Suja </w:t>
      </w:r>
      <w:r w:rsidR="00AF4A8E">
        <w:rPr>
          <w:rFonts w:ascii="Book Antiqua" w:hAnsi="Book Antiqua" w:cs="Book Antiqua"/>
        </w:rPr>
        <w:t>a Miroslav Urban</w:t>
      </w:r>
      <w:r w:rsidRPr="002E4558">
        <w:rPr>
          <w:rFonts w:ascii="Book Antiqua" w:hAnsi="Book Antiqua" w:cs="Book Antiqua"/>
        </w:rPr>
        <w:t xml:space="preserve"> predkladajú do Národnej rady Slovenskej republiky návrh zákona, ktorým sa mení a dopĺňa zákon </w:t>
      </w:r>
      <w:r w:rsidR="00B1023A" w:rsidRPr="00B1023A">
        <w:rPr>
          <w:rFonts w:ascii="Book Antiqua" w:hAnsi="Book Antiqua" w:cs="Book Antiqua"/>
        </w:rPr>
        <w:t>č. 583/2004 Z. z. o rozpočtových pravidlách územnej samosprávy</w:t>
      </w:r>
      <w:r w:rsidR="00B1023A">
        <w:rPr>
          <w:rFonts w:ascii="Book Antiqua" w:hAnsi="Book Antiqua" w:cs="Book Antiqua"/>
        </w:rPr>
        <w:t xml:space="preserve"> </w:t>
      </w:r>
      <w:r w:rsidRPr="002E4558">
        <w:rPr>
          <w:rFonts w:ascii="Book Antiqua" w:hAnsi="Book Antiqua" w:cs="Book Antiqua"/>
        </w:rPr>
        <w:t xml:space="preserve">a o zmene </w:t>
      </w:r>
      <w:r w:rsidR="00796E5B">
        <w:rPr>
          <w:rFonts w:ascii="Book Antiqua" w:hAnsi="Book Antiqua" w:cs="Book Antiqua"/>
        </w:rPr>
        <w:t>a</w:t>
      </w:r>
      <w:r w:rsidR="004233CA">
        <w:rPr>
          <w:rFonts w:ascii="Book Antiqua" w:hAnsi="Book Antiqua" w:cs="Book Antiqua"/>
        </w:rPr>
        <w:t xml:space="preserve"> </w:t>
      </w:r>
      <w:r w:rsidR="00796E5B">
        <w:rPr>
          <w:rFonts w:ascii="Book Antiqua" w:hAnsi="Book Antiqua" w:cs="Book Antiqua"/>
        </w:rPr>
        <w:t xml:space="preserve">doplnení niektorých zákonov </w:t>
      </w:r>
      <w:r w:rsidRPr="002E4558">
        <w:rPr>
          <w:rFonts w:ascii="Book Antiqua" w:hAnsi="Book Antiqua" w:cs="Book Antiqua"/>
        </w:rPr>
        <w:t>v znení neskorších predpisov.</w:t>
      </w:r>
    </w:p>
    <w:p w:rsidR="009712CF" w:rsidRDefault="00AF4538" w:rsidP="007E2599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Cieľom uvedenej novely zákona je </w:t>
      </w:r>
      <w:r w:rsidR="005A6AB9">
        <w:rPr>
          <w:rFonts w:ascii="Book Antiqua" w:hAnsi="Book Antiqua" w:cs="Book Antiqua"/>
        </w:rPr>
        <w:t>stanoviť maximálnu výšku výdavkov, ktoré môže vyšší územný celok</w:t>
      </w:r>
      <w:r w:rsidR="00623683">
        <w:rPr>
          <w:rFonts w:ascii="Book Antiqua" w:hAnsi="Book Antiqua" w:cs="Book Antiqua"/>
        </w:rPr>
        <w:t xml:space="preserve"> (VÚC)</w:t>
      </w:r>
      <w:r w:rsidR="005A6AB9">
        <w:rPr>
          <w:rFonts w:ascii="Book Antiqua" w:hAnsi="Book Antiqua" w:cs="Book Antiqua"/>
        </w:rPr>
        <w:t xml:space="preserve"> vynaloži</w:t>
      </w:r>
      <w:r w:rsidR="009712CF">
        <w:rPr>
          <w:rFonts w:ascii="Book Antiqua" w:hAnsi="Book Antiqua" w:cs="Book Antiqua"/>
        </w:rPr>
        <w:t>ť na</w:t>
      </w:r>
      <w:r w:rsidR="00E43784">
        <w:rPr>
          <w:rFonts w:ascii="Book Antiqua" w:hAnsi="Book Antiqua" w:cs="Book Antiqua"/>
        </w:rPr>
        <w:t xml:space="preserve"> bežnú</w:t>
      </w:r>
      <w:r w:rsidR="009712CF">
        <w:rPr>
          <w:rFonts w:ascii="Book Antiqua" w:hAnsi="Book Antiqua" w:cs="Book Antiqua"/>
        </w:rPr>
        <w:t xml:space="preserve"> prevádzk</w:t>
      </w:r>
      <w:r w:rsidR="00E43784">
        <w:rPr>
          <w:rFonts w:ascii="Book Antiqua" w:hAnsi="Book Antiqua" w:cs="Book Antiqua"/>
        </w:rPr>
        <w:t>u samotného</w:t>
      </w:r>
      <w:r w:rsidR="009712CF">
        <w:rPr>
          <w:rFonts w:ascii="Book Antiqua" w:hAnsi="Book Antiqua" w:cs="Book Antiqua"/>
        </w:rPr>
        <w:t xml:space="preserve"> úradu (</w:t>
      </w:r>
      <w:r w:rsidR="00E43784">
        <w:rPr>
          <w:rFonts w:ascii="Book Antiqua" w:hAnsi="Book Antiqua" w:cs="Book Antiqua"/>
        </w:rPr>
        <w:t xml:space="preserve">t.j. na </w:t>
      </w:r>
      <w:r w:rsidR="0057301D">
        <w:rPr>
          <w:rFonts w:ascii="Book Antiqua" w:hAnsi="Book Antiqua" w:cs="Book Antiqua"/>
        </w:rPr>
        <w:t xml:space="preserve">vlastnú réžiu). </w:t>
      </w:r>
      <w:r w:rsidR="00E43784">
        <w:rPr>
          <w:rFonts w:ascii="Book Antiqua" w:hAnsi="Book Antiqua" w:cs="Book Antiqua"/>
        </w:rPr>
        <w:t>Zavedenie takýchto finančných stropov posilní roz</w:t>
      </w:r>
      <w:r w:rsidR="0057301D">
        <w:rPr>
          <w:rFonts w:ascii="Book Antiqua" w:hAnsi="Book Antiqua" w:cs="Book Antiqua"/>
        </w:rPr>
        <w:t xml:space="preserve">počtovú zodpovednosť a povedie </w:t>
      </w:r>
      <w:r w:rsidR="0057301D">
        <w:rPr>
          <w:rFonts w:ascii="Book Antiqua" w:hAnsi="Book Antiqua" w:cs="Book Antiqua"/>
        </w:rPr>
        <w:br/>
        <w:t xml:space="preserve">k </w:t>
      </w:r>
      <w:r w:rsidR="00E43784">
        <w:rPr>
          <w:rFonts w:ascii="Book Antiqua" w:hAnsi="Book Antiqua" w:cs="Book Antiqua"/>
        </w:rPr>
        <w:t xml:space="preserve">hospodárnejšiemu a uváženejšiemu prerozdeľovaniu finančných prostriedkov </w:t>
      </w:r>
      <w:r w:rsidR="0057301D">
        <w:rPr>
          <w:rFonts w:ascii="Book Antiqua" w:hAnsi="Book Antiqua" w:cs="Book Antiqua"/>
        </w:rPr>
        <w:br/>
      </w:r>
      <w:r w:rsidR="00E43784">
        <w:rPr>
          <w:rFonts w:ascii="Book Antiqua" w:hAnsi="Book Antiqua" w:cs="Book Antiqua"/>
        </w:rPr>
        <w:t>v</w:t>
      </w:r>
      <w:r w:rsidR="0057301D">
        <w:rPr>
          <w:rFonts w:ascii="Book Antiqua" w:hAnsi="Book Antiqua" w:cs="Book Antiqua"/>
        </w:rPr>
        <w:t xml:space="preserve"> </w:t>
      </w:r>
      <w:r w:rsidR="00E43784">
        <w:rPr>
          <w:rFonts w:ascii="Book Antiqua" w:hAnsi="Book Antiqua" w:cs="Book Antiqua"/>
        </w:rPr>
        <w:t>územnej samospráve.</w:t>
      </w:r>
    </w:p>
    <w:p w:rsidR="00EA67F9" w:rsidRDefault="0044484A" w:rsidP="007E2599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Hlavným dôvodom na predloženie tejto novely </w:t>
      </w:r>
      <w:r w:rsidR="00DC61CF">
        <w:rPr>
          <w:rFonts w:ascii="Book Antiqua" w:hAnsi="Book Antiqua" w:cs="Book Antiqua"/>
        </w:rPr>
        <w:t xml:space="preserve">zákona </w:t>
      </w:r>
      <w:r>
        <w:rPr>
          <w:rFonts w:ascii="Book Antiqua" w:hAnsi="Book Antiqua" w:cs="Book Antiqua"/>
        </w:rPr>
        <w:t xml:space="preserve">a na zavedenie výdavkových stropov je fakt, že </w:t>
      </w:r>
      <w:r w:rsidR="00623683">
        <w:rPr>
          <w:rFonts w:ascii="Book Antiqua" w:hAnsi="Book Antiqua" w:cs="Book Antiqua"/>
        </w:rPr>
        <w:t>vo viacerých VÚC zlyhal</w:t>
      </w:r>
      <w:r>
        <w:rPr>
          <w:rFonts w:ascii="Book Antiqua" w:hAnsi="Book Antiqua" w:cs="Book Antiqua"/>
        </w:rPr>
        <w:t xml:space="preserve"> prirodzený samoregulačný mechanizmus a</w:t>
      </w:r>
      <w:r w:rsidR="00623683">
        <w:rPr>
          <w:rFonts w:ascii="Book Antiqua" w:hAnsi="Book Antiqua" w:cs="Book Antiqua"/>
        </w:rPr>
        <w:t xml:space="preserve"> zástupcovia VÚC </w:t>
      </w:r>
      <w:r w:rsidR="00623683">
        <w:rPr>
          <w:rFonts w:ascii="Book Antiqua" w:hAnsi="Book Antiqua" w:cs="Book Antiqua"/>
        </w:rPr>
        <w:br/>
        <w:t xml:space="preserve">si schvaľujú na svoje vlastné mzdy, odmeny a osobné benefity neúmerne vysoké percento z celkového rozpočtu VÚC. </w:t>
      </w:r>
      <w:r w:rsidR="00CC4418">
        <w:rPr>
          <w:rFonts w:ascii="Book Antiqua" w:hAnsi="Book Antiqua" w:cs="Book Antiqua"/>
        </w:rPr>
        <w:t xml:space="preserve">Výdavky na celkovú prevádzku úradov VÚC sa za posledných </w:t>
      </w:r>
      <w:r w:rsidR="00CC4418">
        <w:rPr>
          <w:rFonts w:ascii="Book Antiqua" w:hAnsi="Book Antiqua" w:cs="Book Antiqua"/>
        </w:rPr>
        <w:br/>
      </w:r>
      <w:r w:rsidR="0014306B">
        <w:rPr>
          <w:rFonts w:ascii="Book Antiqua" w:hAnsi="Book Antiqua" w:cs="Book Antiqua"/>
        </w:rPr>
        <w:t xml:space="preserve">5 rokov významne zvýšili a trend </w:t>
      </w:r>
      <w:r w:rsidR="004000E4">
        <w:rPr>
          <w:rFonts w:ascii="Book Antiqua" w:hAnsi="Book Antiqua" w:cs="Book Antiqua"/>
        </w:rPr>
        <w:t xml:space="preserve">ukazuje, že </w:t>
      </w:r>
      <w:r w:rsidR="00C977C8">
        <w:rPr>
          <w:rFonts w:ascii="Book Antiqua" w:hAnsi="Book Antiqua" w:cs="Book Antiqua"/>
        </w:rPr>
        <w:t>toto</w:t>
      </w:r>
      <w:r w:rsidR="00D655AD">
        <w:rPr>
          <w:rFonts w:ascii="Book Antiqua" w:hAnsi="Book Antiqua" w:cs="Book Antiqua"/>
        </w:rPr>
        <w:t xml:space="preserve"> zvyšovanie bude pokračovať aj</w:t>
      </w:r>
      <w:r w:rsidR="00C977C8">
        <w:rPr>
          <w:rFonts w:ascii="Book Antiqua" w:hAnsi="Book Antiqua" w:cs="Book Antiqua"/>
        </w:rPr>
        <w:t> ďalšie roky.</w:t>
      </w:r>
    </w:p>
    <w:p w:rsidR="0057301D" w:rsidRDefault="00355F44" w:rsidP="0057301D">
      <w:pPr>
        <w:jc w:val="both"/>
        <w:rPr>
          <w:rFonts w:ascii="Book Antiqua" w:hAnsi="Book Antiqua" w:cs="Book Antiqua"/>
        </w:rPr>
      </w:pPr>
      <w:r w:rsidRPr="008849B5">
        <w:rPr>
          <w:noProof/>
          <w:lang w:eastAsia="sk-SK"/>
        </w:rPr>
        <w:drawing>
          <wp:inline distT="0" distB="0" distL="0" distR="0">
            <wp:extent cx="6111240" cy="3218815"/>
            <wp:effectExtent l="0" t="0" r="0" b="0"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574A9" w:rsidRDefault="005574A9" w:rsidP="0057301D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>Ekonomická situácia na Slovensku sa od poslednej krízy výrazne zlepšila, čo sa odrazilo aj na bežných príjmoch VÚC, ktorých hlavným zdrojom je daň z príjmu fyzických osôb.</w:t>
      </w:r>
      <w:r w:rsidR="00170DA2">
        <w:rPr>
          <w:rFonts w:ascii="Book Antiqua" w:hAnsi="Book Antiqua" w:cs="Book Antiqua"/>
        </w:rPr>
        <w:t xml:space="preserve"> Tempo rastu bežných príjmov je však pomalšie ako tempo rastu výdavkov na pr</w:t>
      </w:r>
      <w:r w:rsidR="009C4757">
        <w:rPr>
          <w:rFonts w:ascii="Book Antiqua" w:hAnsi="Book Antiqua" w:cs="Book Antiqua"/>
        </w:rPr>
        <w:t xml:space="preserve">evádzku úradov VÚC. </w:t>
      </w:r>
      <w:r w:rsidR="00A13BB6">
        <w:rPr>
          <w:rFonts w:ascii="Book Antiqua" w:hAnsi="Book Antiqua" w:cs="Book Antiqua"/>
        </w:rPr>
        <w:br/>
      </w:r>
      <w:r w:rsidR="009C4757">
        <w:rPr>
          <w:rFonts w:ascii="Book Antiqua" w:hAnsi="Book Antiqua" w:cs="Book Antiqua"/>
        </w:rPr>
        <w:t>T</w:t>
      </w:r>
      <w:r w:rsidR="00A616D4">
        <w:rPr>
          <w:rFonts w:ascii="Book Antiqua" w:hAnsi="Book Antiqua" w:cs="Book Antiqua"/>
        </w:rPr>
        <w:t xml:space="preserve">o znamená, že </w:t>
      </w:r>
      <w:r w:rsidR="00BC2972">
        <w:rPr>
          <w:rFonts w:ascii="Book Antiqua" w:hAnsi="Book Antiqua" w:cs="Book Antiqua"/>
        </w:rPr>
        <w:t xml:space="preserve">vedenie úradov VÚC využíva zlepšujúce sa ekonomické prostredie na míňanie peňazí tam, kde to daňoví poplatníci vidia najmenej, a teda na </w:t>
      </w:r>
      <w:r w:rsidR="009C4757">
        <w:rPr>
          <w:rFonts w:ascii="Book Antiqua" w:hAnsi="Book Antiqua" w:cs="Book Antiqua"/>
        </w:rPr>
        <w:t xml:space="preserve">mzdy a </w:t>
      </w:r>
      <w:r w:rsidR="00BC2972">
        <w:rPr>
          <w:rFonts w:ascii="Book Antiqua" w:hAnsi="Book Antiqua" w:cs="Book Antiqua"/>
        </w:rPr>
        <w:t>prevádzku úradov.</w:t>
      </w:r>
    </w:p>
    <w:p w:rsidR="008E4D39" w:rsidRDefault="00355F44" w:rsidP="008E4D39">
      <w:pPr>
        <w:jc w:val="both"/>
        <w:rPr>
          <w:rFonts w:ascii="Book Antiqua" w:hAnsi="Book Antiqua" w:cs="Book Antiqua"/>
        </w:rPr>
      </w:pPr>
      <w:r w:rsidRPr="008849B5">
        <w:rPr>
          <w:noProof/>
          <w:lang w:eastAsia="sk-SK"/>
        </w:rPr>
        <w:lastRenderedPageBreak/>
        <w:drawing>
          <wp:inline distT="0" distB="0" distL="0" distR="0">
            <wp:extent cx="6111240" cy="3865245"/>
            <wp:effectExtent l="0" t="0" r="0" b="0"/>
            <wp:docPr id="2" name="Graf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7301D" w:rsidRDefault="0057301D" w:rsidP="0057301D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Účelom zriadenia VÚC však nebolo vytvorenie samotných úradov, </w:t>
      </w:r>
      <w:r>
        <w:rPr>
          <w:rFonts w:ascii="Book Antiqua" w:hAnsi="Book Antiqua" w:cs="Book Antiqua"/>
        </w:rPr>
        <w:br/>
        <w:t xml:space="preserve">ani vytvorenie priestoru na zriadenie množstva lukratívnych pracovných pozícií, ale zavedenie a posilnenie princípu subsidiarity, t.j. riešenia problémov na tej úrovni, na ktorej vznikajú. </w:t>
      </w:r>
      <w:r>
        <w:rPr>
          <w:rFonts w:ascii="Book Antiqua" w:hAnsi="Book Antiqua" w:cs="Book Antiqua"/>
        </w:rPr>
        <w:br/>
        <w:t xml:space="preserve">Prax však ukazuje, že viaceré VÚC svoje kompetencie využívajú len formálne a príliš veľké množstvo financií míňajú na svoju vlastnú spotrebu a réžiu. </w:t>
      </w:r>
    </w:p>
    <w:p w:rsidR="00333983" w:rsidRDefault="004B56C8" w:rsidP="007E2599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Takýmto</w:t>
      </w:r>
      <w:r w:rsidR="00C415E0">
        <w:rPr>
          <w:rFonts w:ascii="Book Antiqua" w:hAnsi="Book Antiqua" w:cs="Book Antiqua"/>
        </w:rPr>
        <w:t xml:space="preserve"> p</w:t>
      </w:r>
      <w:r w:rsidR="00EA67F9">
        <w:rPr>
          <w:rFonts w:ascii="Book Antiqua" w:hAnsi="Book Antiqua" w:cs="Book Antiqua"/>
        </w:rPr>
        <w:t xml:space="preserve">ríkladom </w:t>
      </w:r>
      <w:r w:rsidR="00C415E0">
        <w:rPr>
          <w:rFonts w:ascii="Book Antiqua" w:hAnsi="Book Antiqua" w:cs="Book Antiqua"/>
        </w:rPr>
        <w:t xml:space="preserve">neriadeného plytvania na úrovni VÚC bolo </w:t>
      </w:r>
      <w:r>
        <w:rPr>
          <w:rFonts w:ascii="Book Antiqua" w:hAnsi="Book Antiqua" w:cs="Book Antiqua"/>
        </w:rPr>
        <w:t xml:space="preserve">napríklad </w:t>
      </w:r>
      <w:r w:rsidR="00C415E0">
        <w:rPr>
          <w:rFonts w:ascii="Book Antiqua" w:hAnsi="Book Antiqua" w:cs="Book Antiqua"/>
        </w:rPr>
        <w:t>predloženie návrhu nového poriadku odmeňovania pre zamestnancov pracujúcich na Úrade Banskobystrického samosprávneho kraja</w:t>
      </w:r>
      <w:r w:rsidR="00DC61CF">
        <w:rPr>
          <w:rFonts w:ascii="Book Antiqua" w:hAnsi="Book Antiqua" w:cs="Book Antiqua"/>
        </w:rPr>
        <w:t xml:space="preserve"> vedeného predsedom Lunterom</w:t>
      </w:r>
      <w:r w:rsidR="00C415E0">
        <w:rPr>
          <w:rFonts w:ascii="Book Antiqua" w:hAnsi="Book Antiqua" w:cs="Book Antiqua"/>
        </w:rPr>
        <w:t xml:space="preserve">. Návrh poriadku odmeňovania, ktorý do Zastupiteľstva Banskobystrického samosprávneho kraja predkladal riaditeľ tohto úradu predpokladal dramatické navýšenie miezd pre najvyšších funkcionárov úradu rádovo až o tisíce eur mesačne. </w:t>
      </w:r>
      <w:r w:rsidR="002F7794">
        <w:rPr>
          <w:rFonts w:ascii="Book Antiqua" w:hAnsi="Book Antiqua" w:cs="Book Antiqua"/>
        </w:rPr>
        <w:t>Samotný riaditeľ</w:t>
      </w:r>
      <w:r w:rsidR="00DC61CF">
        <w:rPr>
          <w:rFonts w:ascii="Book Antiqua" w:hAnsi="Book Antiqua" w:cs="Book Antiqua"/>
        </w:rPr>
        <w:t xml:space="preserve"> úradu</w:t>
      </w:r>
      <w:r w:rsidR="002F7794">
        <w:rPr>
          <w:rFonts w:ascii="Book Antiqua" w:hAnsi="Book Antiqua" w:cs="Book Antiqua"/>
        </w:rPr>
        <w:t xml:space="preserve"> napríklad požadoval pre seba navýšenie platového stropu (vrátane odmien a príplatkov) až na závratných 7241 eur mesačne. Extrémne vysoké platy žiadalo vedenie úradu aj pre ostatných vedúcich zamestnancov na Úrade Banskobystrického samosprávneho kraja.</w:t>
      </w:r>
    </w:p>
    <w:p w:rsidR="00D36078" w:rsidRDefault="00D36078" w:rsidP="007E2599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Neprimerane vysoké mzdové a prevádzkové náklady na úrad</w:t>
      </w:r>
      <w:r w:rsidR="0065631C">
        <w:rPr>
          <w:rFonts w:ascii="Book Antiqua" w:hAnsi="Book Antiqua" w:cs="Book Antiqua"/>
        </w:rPr>
        <w:t>y</w:t>
      </w:r>
      <w:r>
        <w:rPr>
          <w:rFonts w:ascii="Book Antiqua" w:hAnsi="Book Antiqua" w:cs="Book Antiqua"/>
        </w:rPr>
        <w:t xml:space="preserve"> VÚC sú takisto aj v iných samosprávnych krajoch, napríklad v</w:t>
      </w:r>
      <w:r w:rsidR="0065631C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Trnavskom samosprávnom kraji</w:t>
      </w:r>
      <w:r w:rsidR="002C1745"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</w:rPr>
        <w:t xml:space="preserve"> v</w:t>
      </w:r>
      <w:r w:rsidR="0065631C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Nitrianskom samosprávnom kraji</w:t>
      </w:r>
      <w:r w:rsidR="002C1745">
        <w:rPr>
          <w:rFonts w:ascii="Book Antiqua" w:hAnsi="Book Antiqua" w:cs="Book Antiqua"/>
        </w:rPr>
        <w:t xml:space="preserve"> alebo v Košickom samosprávnom kraji</w:t>
      </w:r>
      <w:r>
        <w:rPr>
          <w:rFonts w:ascii="Book Antiqua" w:hAnsi="Book Antiqua" w:cs="Book Antiqua"/>
        </w:rPr>
        <w:t xml:space="preserve">. Tie </w:t>
      </w:r>
      <w:r w:rsidR="0065631C">
        <w:rPr>
          <w:rFonts w:ascii="Book Antiqua" w:hAnsi="Book Antiqua" w:cs="Book Antiqua"/>
        </w:rPr>
        <w:t>vynaložia</w:t>
      </w:r>
      <w:r>
        <w:rPr>
          <w:rFonts w:ascii="Book Antiqua" w:hAnsi="Book Antiqua" w:cs="Book Antiqua"/>
        </w:rPr>
        <w:t xml:space="preserve"> na mzdy a odmeny pre nadpriemerne vysok</w:t>
      </w:r>
      <w:r w:rsidR="00D73D50">
        <w:rPr>
          <w:rFonts w:ascii="Book Antiqua" w:hAnsi="Book Antiqua" w:cs="Book Antiqua"/>
        </w:rPr>
        <w:t xml:space="preserve">ý počet úradníkov </w:t>
      </w:r>
      <w:r w:rsidR="005926C7">
        <w:rPr>
          <w:rFonts w:ascii="Book Antiqua" w:hAnsi="Book Antiqua" w:cs="Book Antiqua"/>
        </w:rPr>
        <w:t>aj viac ako 5 miliónov</w:t>
      </w:r>
      <w:r>
        <w:rPr>
          <w:rFonts w:ascii="Book Antiqua" w:hAnsi="Book Antiqua" w:cs="Book Antiqua"/>
        </w:rPr>
        <w:t xml:space="preserve"> eur ročne. </w:t>
      </w:r>
    </w:p>
    <w:p w:rsidR="00ED73DA" w:rsidRDefault="00D36078" w:rsidP="00AC18F4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Aby sme</w:t>
      </w:r>
      <w:r w:rsidR="00ED73DA">
        <w:rPr>
          <w:rFonts w:ascii="Book Antiqua" w:hAnsi="Book Antiqua" w:cs="Book Antiqua"/>
        </w:rPr>
        <w:t xml:space="preserve"> do budúcna zamedzili vynakladaniu neprimerane vysokých</w:t>
      </w:r>
      <w:r>
        <w:rPr>
          <w:rFonts w:ascii="Book Antiqua" w:hAnsi="Book Antiqua" w:cs="Book Antiqua"/>
        </w:rPr>
        <w:t xml:space="preserve"> </w:t>
      </w:r>
      <w:r w:rsidR="00ED73DA">
        <w:rPr>
          <w:rFonts w:ascii="Book Antiqua" w:hAnsi="Book Antiqua" w:cs="Book Antiqua"/>
        </w:rPr>
        <w:t xml:space="preserve">prostriedkov </w:t>
      </w:r>
      <w:r w:rsidR="00ED73DA">
        <w:rPr>
          <w:rFonts w:ascii="Book Antiqua" w:hAnsi="Book Antiqua" w:cs="Book Antiqua"/>
        </w:rPr>
        <w:br/>
        <w:t xml:space="preserve">na prevádzku úradov </w:t>
      </w:r>
      <w:r w:rsidR="0065631C">
        <w:rPr>
          <w:rFonts w:ascii="Book Antiqua" w:hAnsi="Book Antiqua" w:cs="Book Antiqua"/>
        </w:rPr>
        <w:t>VÚC</w:t>
      </w:r>
      <w:r w:rsidR="00ED73DA">
        <w:rPr>
          <w:rFonts w:ascii="Book Antiqua" w:hAnsi="Book Antiqua" w:cs="Book Antiqua"/>
        </w:rPr>
        <w:t>, tak v predkladanej novele zákona navrhujeme stanoviť</w:t>
      </w:r>
      <w:r w:rsidR="009201CE">
        <w:rPr>
          <w:rFonts w:ascii="Book Antiqua" w:hAnsi="Book Antiqua" w:cs="Book Antiqua"/>
        </w:rPr>
        <w:t xml:space="preserve"> maximálnu výšku na </w:t>
      </w:r>
      <w:r w:rsidR="0058492B">
        <w:rPr>
          <w:rFonts w:ascii="Book Antiqua" w:hAnsi="Book Antiqua" w:cs="Book Antiqua"/>
        </w:rPr>
        <w:t xml:space="preserve">ročné </w:t>
      </w:r>
      <w:r w:rsidR="009201CE">
        <w:rPr>
          <w:rFonts w:ascii="Book Antiqua" w:hAnsi="Book Antiqua" w:cs="Book Antiqua"/>
        </w:rPr>
        <w:t>prevádzkové výdavky úradu</w:t>
      </w:r>
      <w:r w:rsidR="0065631C">
        <w:rPr>
          <w:rFonts w:ascii="Book Antiqua" w:hAnsi="Book Antiqua" w:cs="Book Antiqua"/>
        </w:rPr>
        <w:t xml:space="preserve"> VÚC</w:t>
      </w:r>
      <w:r w:rsidR="009201CE">
        <w:rPr>
          <w:rFonts w:ascii="Book Antiqua" w:hAnsi="Book Antiqua" w:cs="Book Antiqua"/>
        </w:rPr>
        <w:t xml:space="preserve"> </w:t>
      </w:r>
      <w:r w:rsidR="009201CE" w:rsidRPr="00984D42">
        <w:rPr>
          <w:rFonts w:ascii="Book Antiqua" w:hAnsi="Book Antiqua" w:cs="Book Antiqua"/>
          <w:color w:val="000000" w:themeColor="text1"/>
        </w:rPr>
        <w:t xml:space="preserve">na </w:t>
      </w:r>
      <w:r w:rsidR="00AC18F4" w:rsidRPr="00984D42">
        <w:rPr>
          <w:rFonts w:ascii="Book Antiqua" w:hAnsi="Book Antiqua" w:cs="Book Antiqua"/>
          <w:color w:val="000000" w:themeColor="text1"/>
        </w:rPr>
        <w:t>5</w:t>
      </w:r>
      <w:r w:rsidR="009201CE" w:rsidRPr="00984D42">
        <w:rPr>
          <w:rFonts w:ascii="Book Antiqua" w:hAnsi="Book Antiqua" w:cs="Book Antiqua"/>
          <w:color w:val="000000" w:themeColor="text1"/>
        </w:rPr>
        <w:t xml:space="preserve"> % z</w:t>
      </w:r>
      <w:r w:rsidR="009201CE">
        <w:rPr>
          <w:rFonts w:ascii="Book Antiqua" w:hAnsi="Book Antiqua" w:cs="Book Antiqua"/>
        </w:rPr>
        <w:t xml:space="preserve"> bežných </w:t>
      </w:r>
      <w:r w:rsidR="0058492B">
        <w:rPr>
          <w:rFonts w:ascii="Book Antiqua" w:hAnsi="Book Antiqua" w:cs="Book Antiqua"/>
        </w:rPr>
        <w:t xml:space="preserve">príjmov samosprávneho kraja v tom istom kalendárnom roku. </w:t>
      </w:r>
      <w:r w:rsidR="00003EA6">
        <w:rPr>
          <w:rFonts w:ascii="Book Antiqua" w:hAnsi="Book Antiqua" w:cs="Book Antiqua"/>
        </w:rPr>
        <w:t xml:space="preserve">Toto obmedzenie sa týka bežných </w:t>
      </w:r>
      <w:r w:rsidR="00BE45C8">
        <w:rPr>
          <w:rFonts w:ascii="Book Antiqua" w:hAnsi="Book Antiqua" w:cs="Book Antiqua"/>
        </w:rPr>
        <w:t xml:space="preserve">výdavkov </w:t>
      </w:r>
      <w:r w:rsidR="0065631C">
        <w:rPr>
          <w:rFonts w:ascii="Book Antiqua" w:hAnsi="Book Antiqua" w:cs="Book Antiqua"/>
        </w:rPr>
        <w:br/>
      </w:r>
      <w:r w:rsidR="00BE45C8">
        <w:rPr>
          <w:rFonts w:ascii="Book Antiqua" w:hAnsi="Book Antiqua" w:cs="Book Antiqua"/>
        </w:rPr>
        <w:t>na prevádzkové činnosti úradu</w:t>
      </w:r>
      <w:r w:rsidR="00003EA6">
        <w:rPr>
          <w:rFonts w:ascii="Book Antiqua" w:hAnsi="Book Antiqua" w:cs="Book Antiqua"/>
        </w:rPr>
        <w:t>, medzi ktoré</w:t>
      </w:r>
      <w:r w:rsidR="00BE45C8">
        <w:rPr>
          <w:rFonts w:ascii="Book Antiqua" w:hAnsi="Book Antiqua" w:cs="Book Antiqua"/>
        </w:rPr>
        <w:t xml:space="preserve"> podľa</w:t>
      </w:r>
      <w:r w:rsidR="00003EA6">
        <w:rPr>
          <w:rFonts w:ascii="Book Antiqua" w:hAnsi="Book Antiqua" w:cs="Book Antiqua"/>
        </w:rPr>
        <w:t xml:space="preserve"> všeobecne</w:t>
      </w:r>
      <w:r w:rsidR="00BE45C8">
        <w:rPr>
          <w:rFonts w:ascii="Book Antiqua" w:hAnsi="Book Antiqua" w:cs="Book Antiqua"/>
        </w:rPr>
        <w:t xml:space="preserve"> zaužívanej ekonomickej klasifikácie</w:t>
      </w:r>
      <w:r w:rsidR="00003EA6">
        <w:rPr>
          <w:rFonts w:ascii="Book Antiqua" w:hAnsi="Book Antiqua" w:cs="Book Antiqua"/>
        </w:rPr>
        <w:t xml:space="preserve"> patria</w:t>
      </w:r>
      <w:r w:rsidR="00AC18F4">
        <w:rPr>
          <w:rFonts w:ascii="Book Antiqua" w:hAnsi="Book Antiqua" w:cs="Book Antiqua"/>
        </w:rPr>
        <w:t>:</w:t>
      </w:r>
    </w:p>
    <w:p w:rsidR="00BE45C8" w:rsidRPr="00BB0515" w:rsidRDefault="00BE45C8" w:rsidP="007E2599">
      <w:pPr>
        <w:pStyle w:val="Odsekzoznamu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lastRenderedPageBreak/>
        <w:t xml:space="preserve">610: </w:t>
      </w:r>
      <w:r w:rsidRPr="00BB0515">
        <w:rPr>
          <w:rFonts w:ascii="Book Antiqua" w:hAnsi="Book Antiqua" w:cs="Book Antiqua"/>
        </w:rPr>
        <w:t>Mzdy, platy, služobné príjmy a</w:t>
      </w:r>
      <w:r w:rsidR="00984D42">
        <w:rPr>
          <w:rFonts w:ascii="Book Antiqua" w:hAnsi="Book Antiqua" w:cs="Book Antiqua"/>
        </w:rPr>
        <w:t> ostatné osobné vyrovnania</w:t>
      </w:r>
    </w:p>
    <w:p w:rsidR="00BE45C8" w:rsidRPr="00516164" w:rsidRDefault="00BE45C8" w:rsidP="007E2599">
      <w:pPr>
        <w:pStyle w:val="Odsekzoznamu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620: </w:t>
      </w:r>
      <w:r w:rsidRPr="00516164">
        <w:rPr>
          <w:rFonts w:ascii="Book Antiqua" w:hAnsi="Book Antiqua" w:cs="Book Antiqua"/>
        </w:rPr>
        <w:t>Poistné a príspevk</w:t>
      </w:r>
      <w:r w:rsidR="005033C4">
        <w:rPr>
          <w:rFonts w:ascii="Book Antiqua" w:hAnsi="Book Antiqua" w:cs="Book Antiqua"/>
        </w:rPr>
        <w:t>y</w:t>
      </w:r>
      <w:r w:rsidRPr="00516164">
        <w:rPr>
          <w:rFonts w:ascii="Book Antiqua" w:hAnsi="Book Antiqua" w:cs="Book Antiqua"/>
        </w:rPr>
        <w:t xml:space="preserve"> do poisťovní</w:t>
      </w:r>
    </w:p>
    <w:p w:rsidR="00BE45C8" w:rsidRPr="00516164" w:rsidRDefault="00BE45C8" w:rsidP="007E2599">
      <w:pPr>
        <w:pStyle w:val="Odsekzoznamu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630: </w:t>
      </w:r>
      <w:r w:rsidRPr="00516164">
        <w:rPr>
          <w:rFonts w:ascii="Book Antiqua" w:hAnsi="Book Antiqua" w:cs="Book Antiqua"/>
        </w:rPr>
        <w:t>Tovary a</w:t>
      </w:r>
      <w:r>
        <w:rPr>
          <w:rFonts w:ascii="Book Antiqua" w:hAnsi="Book Antiqua" w:cs="Book Antiqua"/>
        </w:rPr>
        <w:t> </w:t>
      </w:r>
      <w:r w:rsidRPr="00516164">
        <w:rPr>
          <w:rFonts w:ascii="Book Antiqua" w:hAnsi="Book Antiqua" w:cs="Book Antiqua"/>
        </w:rPr>
        <w:t>služby</w:t>
      </w:r>
    </w:p>
    <w:p w:rsidR="00BE45C8" w:rsidRPr="00516164" w:rsidRDefault="00BE45C8" w:rsidP="007E2599">
      <w:pPr>
        <w:pStyle w:val="Odsekzoznamu"/>
        <w:numPr>
          <w:ilvl w:val="0"/>
          <w:numId w:val="8"/>
        </w:numPr>
        <w:spacing w:after="0"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640: </w:t>
      </w:r>
      <w:r w:rsidRPr="00516164">
        <w:rPr>
          <w:rFonts w:ascii="Book Antiqua" w:hAnsi="Book Antiqua" w:cs="Book Antiqua"/>
        </w:rPr>
        <w:t>Bežné transfery</w:t>
      </w:r>
    </w:p>
    <w:p w:rsidR="00BE45C8" w:rsidRDefault="00BE45C8" w:rsidP="007E2599">
      <w:pPr>
        <w:pStyle w:val="Odsekzoznamu"/>
        <w:numPr>
          <w:ilvl w:val="0"/>
          <w:numId w:val="8"/>
        </w:numPr>
        <w:spacing w:line="276" w:lineRule="auto"/>
        <w:ind w:left="851" w:hanging="425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650: </w:t>
      </w:r>
      <w:r w:rsidRPr="00516164">
        <w:rPr>
          <w:rFonts w:ascii="Book Antiqua" w:hAnsi="Book Antiqua" w:cs="Book Antiqua"/>
        </w:rPr>
        <w:t>Splácanie úrokov a os</w:t>
      </w:r>
      <w:r w:rsidR="005033C4">
        <w:rPr>
          <w:rFonts w:ascii="Book Antiqua" w:hAnsi="Book Antiqua" w:cs="Book Antiqua"/>
        </w:rPr>
        <w:t>tatné platby súvisiace s úvermi</w:t>
      </w:r>
    </w:p>
    <w:p w:rsidR="0016350D" w:rsidRDefault="00ED6FC6" w:rsidP="0016350D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Zavedenie </w:t>
      </w:r>
      <w:r w:rsidRPr="00984D42">
        <w:rPr>
          <w:rFonts w:ascii="Book Antiqua" w:hAnsi="Book Antiqua" w:cs="Book Antiqua"/>
          <w:color w:val="000000" w:themeColor="text1"/>
        </w:rPr>
        <w:t>5 %</w:t>
      </w:r>
      <w:r w:rsidR="00841D5C">
        <w:rPr>
          <w:rFonts w:ascii="Book Antiqua" w:hAnsi="Book Antiqua" w:cs="Book Antiqua"/>
        </w:rPr>
        <w:t>-</w:t>
      </w:r>
      <w:r>
        <w:rPr>
          <w:rFonts w:ascii="Book Antiqua" w:hAnsi="Book Antiqua" w:cs="Book Antiqua"/>
        </w:rPr>
        <w:t xml:space="preserve">ného stropu ušetrilo </w:t>
      </w:r>
      <w:r w:rsidR="004C6F28">
        <w:rPr>
          <w:rFonts w:ascii="Book Antiqua" w:hAnsi="Book Antiqua" w:cs="Book Antiqua"/>
        </w:rPr>
        <w:t xml:space="preserve">ročne </w:t>
      </w:r>
      <w:r>
        <w:rPr>
          <w:rFonts w:ascii="Book Antiqua" w:hAnsi="Book Antiqua" w:cs="Book Antiqua"/>
        </w:rPr>
        <w:t xml:space="preserve">viac ako </w:t>
      </w:r>
      <w:r w:rsidR="004C6F28">
        <w:rPr>
          <w:rFonts w:ascii="Book Antiqua" w:hAnsi="Book Antiqua" w:cs="Book Antiqua"/>
        </w:rPr>
        <w:t>30</w:t>
      </w:r>
      <w:r>
        <w:rPr>
          <w:rFonts w:ascii="Book Antiqua" w:hAnsi="Book Antiqua" w:cs="Book Antiqua"/>
        </w:rPr>
        <w:t xml:space="preserve"> miliónov eur iba na prevádzke úradov, čo by znamenalo vytvorenie nových zdrojov, ktoré by sa dali využiť napríklad v školstve, sociálnych zariadeniach alebo na opravy ciest II. a III. triedy. </w:t>
      </w:r>
      <w:r w:rsidR="0016350D">
        <w:rPr>
          <w:rFonts w:ascii="Book Antiqua" w:hAnsi="Book Antiqua" w:cs="Book Antiqua"/>
        </w:rPr>
        <w:t xml:space="preserve">Vďaka relatívnemu </w:t>
      </w:r>
      <w:r w:rsidR="0065631C">
        <w:rPr>
          <w:rFonts w:ascii="Book Antiqua" w:hAnsi="Book Antiqua" w:cs="Book Antiqua"/>
        </w:rPr>
        <w:t>za</w:t>
      </w:r>
      <w:r w:rsidR="0016350D">
        <w:rPr>
          <w:rFonts w:ascii="Book Antiqua" w:hAnsi="Book Antiqua" w:cs="Book Antiqua"/>
        </w:rPr>
        <w:t>definovaniu výdavkového stropu na činnosť úradov budú mať úrady VÚC v čase ekonomického rastu priestor pre zvýšenie bežných výdavkov ako aj na valorizáciu miezd. V prípade poklesu daňových príjmov</w:t>
      </w:r>
      <w:r w:rsidR="0065631C">
        <w:rPr>
          <w:rFonts w:ascii="Book Antiqua" w:hAnsi="Book Antiqua" w:cs="Book Antiqua"/>
        </w:rPr>
        <w:t>, napríklad</w:t>
      </w:r>
      <w:r w:rsidR="0016350D">
        <w:rPr>
          <w:rFonts w:ascii="Book Antiqua" w:hAnsi="Book Antiqua" w:cs="Book Antiqua"/>
        </w:rPr>
        <w:t xml:space="preserve"> z dôvodu nepriaznivej ekonomickej situácie</w:t>
      </w:r>
      <w:r w:rsidR="0065631C">
        <w:rPr>
          <w:rFonts w:ascii="Book Antiqua" w:hAnsi="Book Antiqua" w:cs="Book Antiqua"/>
        </w:rPr>
        <w:t>,</w:t>
      </w:r>
      <w:r w:rsidR="0016350D">
        <w:rPr>
          <w:rFonts w:ascii="Book Antiqua" w:hAnsi="Book Antiqua" w:cs="Book Antiqua"/>
        </w:rPr>
        <w:t xml:space="preserve"> budú musieť aj vyššie územné celky svoje výdavky na prevádzku prirodzene </w:t>
      </w:r>
      <w:r w:rsidR="0065631C">
        <w:rPr>
          <w:rFonts w:ascii="Book Antiqua" w:hAnsi="Book Antiqua" w:cs="Book Antiqua"/>
        </w:rPr>
        <w:t xml:space="preserve">a racionálne </w:t>
      </w:r>
      <w:r w:rsidR="0016350D">
        <w:rPr>
          <w:rFonts w:ascii="Book Antiqua" w:hAnsi="Book Antiqua" w:cs="Book Antiqua"/>
        </w:rPr>
        <w:t>optimalizovať.</w:t>
      </w:r>
    </w:p>
    <w:p w:rsidR="0016350D" w:rsidRDefault="00A661CC" w:rsidP="0016350D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Zavedenie regulovaných stropov pre výdavky na vlastnú réžiu nie </w:t>
      </w:r>
      <w:r w:rsidR="0016350D">
        <w:rPr>
          <w:rFonts w:ascii="Book Antiqua" w:hAnsi="Book Antiqua" w:cs="Book Antiqua"/>
        </w:rPr>
        <w:t>je</w:t>
      </w:r>
      <w:r>
        <w:rPr>
          <w:rFonts w:ascii="Book Antiqua" w:hAnsi="Book Antiqua" w:cs="Book Antiqua"/>
        </w:rPr>
        <w:t xml:space="preserve"> v</w:t>
      </w:r>
      <w:r w:rsidR="0016350D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 xml:space="preserve">inštitúciách napojených na verejný rozpočet ničím výnimočným. </w:t>
      </w:r>
      <w:r w:rsidR="0016350D">
        <w:rPr>
          <w:rFonts w:ascii="Book Antiqua" w:hAnsi="Book Antiqua" w:cs="Book Antiqua"/>
        </w:rPr>
        <w:t xml:space="preserve">Napríklad </w:t>
      </w:r>
      <w:r w:rsidR="00052984">
        <w:rPr>
          <w:rFonts w:ascii="Book Antiqua" w:hAnsi="Book Antiqua" w:cs="Book Antiqua"/>
        </w:rPr>
        <w:t>zákon</w:t>
      </w:r>
      <w:r w:rsidR="006F095E" w:rsidRPr="006F095E">
        <w:t xml:space="preserve"> </w:t>
      </w:r>
      <w:r w:rsidR="006F095E" w:rsidRPr="006F095E">
        <w:rPr>
          <w:rFonts w:ascii="Book Antiqua" w:hAnsi="Book Antiqua" w:cs="Book Antiqua"/>
        </w:rPr>
        <w:t xml:space="preserve">č. 581/2004 Z. z. </w:t>
      </w:r>
      <w:r w:rsidR="0016350D">
        <w:rPr>
          <w:rFonts w:ascii="Book Antiqua" w:hAnsi="Book Antiqua" w:cs="Book Antiqua"/>
        </w:rPr>
        <w:br/>
      </w:r>
      <w:r w:rsidR="006F095E" w:rsidRPr="006F095E">
        <w:rPr>
          <w:rFonts w:ascii="Book Antiqua" w:hAnsi="Book Antiqua" w:cs="Book Antiqua"/>
        </w:rPr>
        <w:t>o zdravotných poisťovniach, dohľade nad zdravotnou starostlivosťou a o zmene a doplnení niektorých zákonov</w:t>
      </w:r>
      <w:r w:rsidR="006F095E">
        <w:rPr>
          <w:rFonts w:ascii="Book Antiqua" w:hAnsi="Book Antiqua" w:cs="Book Antiqua"/>
        </w:rPr>
        <w:t xml:space="preserve"> </w:t>
      </w:r>
      <w:r w:rsidR="00052984">
        <w:rPr>
          <w:rFonts w:ascii="Book Antiqua" w:hAnsi="Book Antiqua" w:cs="Book Antiqua"/>
        </w:rPr>
        <w:t>stanovuje</w:t>
      </w:r>
      <w:r w:rsidR="00D3235D">
        <w:rPr>
          <w:rFonts w:ascii="Book Antiqua" w:hAnsi="Book Antiqua" w:cs="Book Antiqua"/>
        </w:rPr>
        <w:t xml:space="preserve"> obdobným spôsobom</w:t>
      </w:r>
      <w:r w:rsidR="00052984">
        <w:rPr>
          <w:rFonts w:ascii="Book Antiqua" w:hAnsi="Book Antiqua" w:cs="Book Antiqua"/>
        </w:rPr>
        <w:t xml:space="preserve"> </w:t>
      </w:r>
      <w:r w:rsidR="006F095E">
        <w:rPr>
          <w:rFonts w:ascii="Book Antiqua" w:hAnsi="Book Antiqua" w:cs="Book Antiqua"/>
        </w:rPr>
        <w:t xml:space="preserve">maximálnu výšku </w:t>
      </w:r>
      <w:r w:rsidR="00D3235D">
        <w:rPr>
          <w:rFonts w:ascii="Book Antiqua" w:hAnsi="Book Antiqua" w:cs="Book Antiqua"/>
        </w:rPr>
        <w:t xml:space="preserve">nákladov </w:t>
      </w:r>
      <w:r w:rsidR="006F095E">
        <w:rPr>
          <w:rFonts w:ascii="Book Antiqua" w:hAnsi="Book Antiqua" w:cs="Book Antiqua"/>
        </w:rPr>
        <w:t>na prevádzkové činnosti</w:t>
      </w:r>
      <w:r w:rsidR="00D3235D">
        <w:rPr>
          <w:rFonts w:ascii="Book Antiqua" w:hAnsi="Book Antiqua" w:cs="Book Antiqua"/>
        </w:rPr>
        <w:t xml:space="preserve"> pre zdravotné poisťovne.</w:t>
      </w:r>
    </w:p>
    <w:p w:rsidR="007E5C7C" w:rsidRPr="00DA52E1" w:rsidRDefault="007C07FD" w:rsidP="00DA52E1">
      <w:pPr>
        <w:ind w:firstLine="426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Predložený návrh novely zákona bude mať okrem priaznivého finančného dopadu na verejné financie aj pozitívny dopad na znižovanie rozdielov medzi jednotlivými VÚC.</w:t>
      </w:r>
      <w:r w:rsidR="000C35D0">
        <w:rPr>
          <w:rFonts w:ascii="Book Antiqua" w:hAnsi="Book Antiqua" w:cs="Book Antiqua"/>
        </w:rPr>
        <w:t xml:space="preserve"> Treba zdôrazniť, </w:t>
      </w:r>
      <w:r w:rsidR="000C35D0">
        <w:rPr>
          <w:rFonts w:ascii="Book Antiqua" w:hAnsi="Book Antiqua" w:cs="Book Antiqua"/>
        </w:rPr>
        <w:br/>
        <w:t>že všetky VÚC majú zo zákona rovnaké</w:t>
      </w:r>
      <w:r w:rsidR="00E1110B">
        <w:rPr>
          <w:rFonts w:ascii="Book Antiqua" w:hAnsi="Book Antiqua" w:cs="Book Antiqua"/>
        </w:rPr>
        <w:t xml:space="preserve"> originálne aj</w:t>
      </w:r>
      <w:r w:rsidR="000C35D0">
        <w:rPr>
          <w:rFonts w:ascii="Book Antiqua" w:hAnsi="Book Antiqua" w:cs="Book Antiqua"/>
        </w:rPr>
        <w:t xml:space="preserve"> prenesené kompetencie, ktoré sa už viac ako 10 rokov nezmenili, a teda neexistuje objektívny dôvod na tak vysoké rozdiely v prevádzkových nákladoch úradov jednotlivých VÚC. </w:t>
      </w:r>
      <w:r>
        <w:rPr>
          <w:rFonts w:ascii="Book Antiqua" w:hAnsi="Book Antiqua" w:cs="Book Antiqua"/>
        </w:rPr>
        <w:t xml:space="preserve">Samosprávne kraje, ktoré nedbajú na rozpočtovú zodpovednosť a príliš veľa finančných prostriedkov vynakladajú na svoju vlastnú réžiu budú </w:t>
      </w:r>
      <w:r w:rsidR="000C35D0">
        <w:rPr>
          <w:rFonts w:ascii="Book Antiqua" w:hAnsi="Book Antiqua" w:cs="Book Antiqua"/>
        </w:rPr>
        <w:t xml:space="preserve">prostredníctvom tejto novely zákona </w:t>
      </w:r>
      <w:r>
        <w:rPr>
          <w:rFonts w:ascii="Book Antiqua" w:hAnsi="Book Antiqua" w:cs="Book Antiqua"/>
        </w:rPr>
        <w:t>prinútené hospodáriť zodpovednejšie</w:t>
      </w:r>
      <w:r w:rsidR="000C35D0">
        <w:rPr>
          <w:rFonts w:ascii="Book Antiqua" w:hAnsi="Book Antiqua" w:cs="Book Antiqua"/>
        </w:rPr>
        <w:t>,</w:t>
      </w:r>
      <w:r>
        <w:rPr>
          <w:rFonts w:ascii="Book Antiqua" w:hAnsi="Book Antiqua" w:cs="Book Antiqua"/>
        </w:rPr>
        <w:t xml:space="preserve"> </w:t>
      </w:r>
      <w:r w:rsidR="000C35D0">
        <w:rPr>
          <w:rFonts w:ascii="Book Antiqua" w:hAnsi="Book Antiqua" w:cs="Book Antiqua"/>
        </w:rPr>
        <w:t>v</w:t>
      </w:r>
      <w:r>
        <w:rPr>
          <w:rFonts w:ascii="Book Antiqua" w:hAnsi="Book Antiqua" w:cs="Book Antiqua"/>
        </w:rPr>
        <w:t xml:space="preserve">ďaka </w:t>
      </w:r>
      <w:r w:rsidR="000C35D0">
        <w:rPr>
          <w:rFonts w:ascii="Book Antiqua" w:hAnsi="Book Antiqua" w:cs="Book Antiqua"/>
        </w:rPr>
        <w:t>č</w:t>
      </w:r>
      <w:r>
        <w:rPr>
          <w:rFonts w:ascii="Book Antiqua" w:hAnsi="Book Antiqua" w:cs="Book Antiqua"/>
        </w:rPr>
        <w:t>omu im zostane viac finančných prostriedkov na podporu zmysluplnejších aktivít a napĺňanie skutočných cieľov, p</w:t>
      </w:r>
      <w:r w:rsidR="00DA52E1">
        <w:rPr>
          <w:rFonts w:ascii="Book Antiqua" w:hAnsi="Book Antiqua" w:cs="Book Antiqua"/>
        </w:rPr>
        <w:t>re ktorý boli ako VÚC zriadené.</w:t>
      </w:r>
      <w:r w:rsidR="007E5C7C">
        <w:rPr>
          <w:rFonts w:ascii="Book Antiqua" w:hAnsi="Book Antiqua" w:cs="Arial"/>
          <w:b/>
          <w:i/>
        </w:rPr>
        <w:br w:type="page"/>
      </w:r>
    </w:p>
    <w:p w:rsidR="00F319BA" w:rsidRPr="00DB0F83" w:rsidRDefault="00F319BA" w:rsidP="002E4558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b/>
          <w:i/>
        </w:rPr>
        <w:lastRenderedPageBreak/>
        <w:t xml:space="preserve">II. </w:t>
      </w:r>
      <w:r w:rsidRPr="00430035">
        <w:rPr>
          <w:rFonts w:ascii="Book Antiqua" w:hAnsi="Book Antiqua" w:cs="Arial"/>
          <w:b/>
          <w:i/>
        </w:rPr>
        <w:t>Osobitná časť</w:t>
      </w:r>
    </w:p>
    <w:p w:rsidR="00F319BA" w:rsidRPr="00AC7C7A" w:rsidRDefault="00C921A0" w:rsidP="001A7716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34925</wp:posOffset>
                </wp:positionV>
                <wp:extent cx="5778500" cy="0"/>
                <wp:effectExtent l="13335" t="11430" r="8890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0ABB4" id="AutoShape 3" o:spid="_x0000_s1026" type="#_x0000_t32" style="position:absolute;margin-left:-.35pt;margin-top:2.75pt;width:4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dG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"/>
            </w:pict>
          </mc:Fallback>
        </mc:AlternateContent>
      </w:r>
    </w:p>
    <w:p w:rsidR="00F319BA" w:rsidRDefault="00F319BA" w:rsidP="001A7716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</w:t>
      </w:r>
    </w:p>
    <w:p w:rsidR="00F319BA" w:rsidRPr="00CC1B81" w:rsidRDefault="00F319BA" w:rsidP="001A7716">
      <w:pPr>
        <w:jc w:val="both"/>
        <w:rPr>
          <w:rFonts w:ascii="Book Antiqua" w:hAnsi="Book Antiqua" w:cs="Book Antiqua"/>
        </w:rPr>
      </w:pPr>
      <w:r w:rsidRPr="00CC1B81">
        <w:rPr>
          <w:rFonts w:ascii="Book Antiqua" w:hAnsi="Book Antiqua" w:cs="Book Antiqua"/>
        </w:rPr>
        <w:t>K bodu 1</w:t>
      </w:r>
    </w:p>
    <w:p w:rsidR="001110DC" w:rsidRDefault="001110DC" w:rsidP="001110DC">
      <w:pPr>
        <w:jc w:val="both"/>
        <w:rPr>
          <w:rFonts w:ascii="Book Antiqua" w:hAnsi="Book Antiqua" w:cs="Book Antiqua"/>
        </w:rPr>
      </w:pPr>
      <w:r w:rsidRPr="001110DC">
        <w:rPr>
          <w:rFonts w:ascii="Book Antiqua" w:hAnsi="Book Antiqua" w:cs="Book Antiqua"/>
        </w:rPr>
        <w:tab/>
      </w:r>
      <w:r w:rsidR="007E5C7C">
        <w:rPr>
          <w:rFonts w:ascii="Book Antiqua" w:hAnsi="Book Antiqua" w:cs="Book Antiqua"/>
        </w:rPr>
        <w:t xml:space="preserve">Zavádza sa stanovenie výdavkového stropu, ktoré môže úrad samosprávneho kraja </w:t>
      </w:r>
      <w:r w:rsidR="00724BAD">
        <w:rPr>
          <w:rFonts w:ascii="Book Antiqua" w:hAnsi="Book Antiqua" w:cs="Book Antiqua"/>
        </w:rPr>
        <w:br/>
      </w:r>
      <w:r w:rsidR="007E5C7C">
        <w:rPr>
          <w:rFonts w:ascii="Book Antiqua" w:hAnsi="Book Antiqua" w:cs="Book Antiqua"/>
        </w:rPr>
        <w:t>(resp. vyššieho územného celku) vynaložiť ročne na svoju vlastnú prevádzku.</w:t>
      </w:r>
    </w:p>
    <w:p w:rsidR="007E5C7C" w:rsidRPr="00782DFC" w:rsidRDefault="007E5C7C" w:rsidP="001110DC">
      <w:pPr>
        <w:jc w:val="both"/>
        <w:rPr>
          <w:rFonts w:ascii="Book Antiqua" w:hAnsi="Book Antiqua" w:cs="Book Antiqua"/>
          <w:bCs/>
        </w:rPr>
      </w:pPr>
    </w:p>
    <w:p w:rsidR="001110DC" w:rsidRPr="001D6065" w:rsidRDefault="001110DC" w:rsidP="001110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Čl. II</w:t>
      </w:r>
    </w:p>
    <w:p w:rsidR="001110DC" w:rsidRDefault="001110DC" w:rsidP="001110DC">
      <w:pPr>
        <w:jc w:val="both"/>
        <w:rPr>
          <w:rFonts w:ascii="Book Antiqua" w:hAnsi="Book Antiqua" w:cs="Book Antiqua"/>
          <w:b/>
          <w:bCs/>
          <w:caps/>
          <w:spacing w:val="30"/>
          <w:sz w:val="24"/>
          <w:szCs w:val="24"/>
        </w:rPr>
      </w:pPr>
      <w:r>
        <w:rPr>
          <w:rFonts w:ascii="Book Antiqua" w:hAnsi="Book Antiqua" w:cs="Book Antiqua"/>
        </w:rPr>
        <w:tab/>
        <w:t xml:space="preserve">Navrhuje sa účinnosť zákona od 1. </w:t>
      </w:r>
      <w:r w:rsidR="004C6F28">
        <w:rPr>
          <w:rFonts w:ascii="Book Antiqua" w:hAnsi="Book Antiqua" w:cs="Book Antiqua"/>
        </w:rPr>
        <w:t>januára 2021</w:t>
      </w:r>
      <w:r>
        <w:rPr>
          <w:rFonts w:ascii="Book Antiqua" w:hAnsi="Book Antiqua" w:cs="Book Antiqua"/>
        </w:rPr>
        <w:t>.</w:t>
      </w:r>
    </w:p>
    <w:p w:rsidR="001110DC" w:rsidRPr="001110DC" w:rsidRDefault="001110DC" w:rsidP="001110DC">
      <w:pPr>
        <w:jc w:val="both"/>
        <w:rPr>
          <w:rFonts w:ascii="Book Antiqua" w:hAnsi="Book Antiqua" w:cs="Book Antiqua"/>
        </w:rPr>
      </w:pPr>
    </w:p>
    <w:sectPr w:rsidR="001110DC" w:rsidRPr="001110DC" w:rsidSect="00F319BA">
      <w:pgSz w:w="11906" w:h="16838"/>
      <w:pgMar w:top="1138" w:right="1138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9A62937"/>
    <w:multiLevelType w:val="hybridMultilevel"/>
    <w:tmpl w:val="261C669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0AB4B75"/>
    <w:multiLevelType w:val="hybridMultilevel"/>
    <w:tmpl w:val="F7C263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4882736B"/>
    <w:multiLevelType w:val="hybridMultilevel"/>
    <w:tmpl w:val="3656E45C"/>
    <w:lvl w:ilvl="0" w:tplc="9EB85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DE33F6"/>
    <w:multiLevelType w:val="hybridMultilevel"/>
    <w:tmpl w:val="2B945A9C"/>
    <w:lvl w:ilvl="0" w:tplc="9EB85F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0378A"/>
    <w:rsid w:val="00003EA6"/>
    <w:rsid w:val="00011AEB"/>
    <w:rsid w:val="0001450F"/>
    <w:rsid w:val="00014DFD"/>
    <w:rsid w:val="00015E2D"/>
    <w:rsid w:val="000229FD"/>
    <w:rsid w:val="00024802"/>
    <w:rsid w:val="00040046"/>
    <w:rsid w:val="00040665"/>
    <w:rsid w:val="00045362"/>
    <w:rsid w:val="0005102A"/>
    <w:rsid w:val="0005206B"/>
    <w:rsid w:val="00052984"/>
    <w:rsid w:val="00061547"/>
    <w:rsid w:val="00070965"/>
    <w:rsid w:val="0008540B"/>
    <w:rsid w:val="00096089"/>
    <w:rsid w:val="000B1D0F"/>
    <w:rsid w:val="000B2CEC"/>
    <w:rsid w:val="000B2FAE"/>
    <w:rsid w:val="000C35D0"/>
    <w:rsid w:val="000C67DC"/>
    <w:rsid w:val="000D2D6F"/>
    <w:rsid w:val="000E1111"/>
    <w:rsid w:val="000E6793"/>
    <w:rsid w:val="00105F0A"/>
    <w:rsid w:val="001110DC"/>
    <w:rsid w:val="00114D93"/>
    <w:rsid w:val="00120394"/>
    <w:rsid w:val="00126CC1"/>
    <w:rsid w:val="0014306B"/>
    <w:rsid w:val="00146001"/>
    <w:rsid w:val="00146E42"/>
    <w:rsid w:val="001517C7"/>
    <w:rsid w:val="00160B32"/>
    <w:rsid w:val="001632E7"/>
    <w:rsid w:val="0016350D"/>
    <w:rsid w:val="00165BA6"/>
    <w:rsid w:val="00170248"/>
    <w:rsid w:val="00170DA2"/>
    <w:rsid w:val="00172725"/>
    <w:rsid w:val="001817CB"/>
    <w:rsid w:val="00183DEC"/>
    <w:rsid w:val="001A7716"/>
    <w:rsid w:val="001B7D07"/>
    <w:rsid w:val="001C329B"/>
    <w:rsid w:val="001D35A9"/>
    <w:rsid w:val="001D6065"/>
    <w:rsid w:val="001E30BA"/>
    <w:rsid w:val="001F16FA"/>
    <w:rsid w:val="001F271E"/>
    <w:rsid w:val="001F7023"/>
    <w:rsid w:val="001F7790"/>
    <w:rsid w:val="00207D48"/>
    <w:rsid w:val="0023374A"/>
    <w:rsid w:val="00265C56"/>
    <w:rsid w:val="00267E91"/>
    <w:rsid w:val="00270F84"/>
    <w:rsid w:val="002725B8"/>
    <w:rsid w:val="002A1FAD"/>
    <w:rsid w:val="002A5962"/>
    <w:rsid w:val="002B412C"/>
    <w:rsid w:val="002C1745"/>
    <w:rsid w:val="002E4558"/>
    <w:rsid w:val="002F7794"/>
    <w:rsid w:val="003118FF"/>
    <w:rsid w:val="003233BB"/>
    <w:rsid w:val="003324F1"/>
    <w:rsid w:val="00333983"/>
    <w:rsid w:val="00333AB8"/>
    <w:rsid w:val="00334AA1"/>
    <w:rsid w:val="003405A2"/>
    <w:rsid w:val="00341796"/>
    <w:rsid w:val="0034232A"/>
    <w:rsid w:val="00350B12"/>
    <w:rsid w:val="00352542"/>
    <w:rsid w:val="00355F44"/>
    <w:rsid w:val="0037594C"/>
    <w:rsid w:val="00377562"/>
    <w:rsid w:val="0037789D"/>
    <w:rsid w:val="00380774"/>
    <w:rsid w:val="003823E7"/>
    <w:rsid w:val="003A1215"/>
    <w:rsid w:val="003B4B11"/>
    <w:rsid w:val="003B4EE1"/>
    <w:rsid w:val="003F100D"/>
    <w:rsid w:val="003F2A78"/>
    <w:rsid w:val="004000E4"/>
    <w:rsid w:val="00410E61"/>
    <w:rsid w:val="00422E02"/>
    <w:rsid w:val="004233CA"/>
    <w:rsid w:val="0042757B"/>
    <w:rsid w:val="00430035"/>
    <w:rsid w:val="00434E7D"/>
    <w:rsid w:val="0044484A"/>
    <w:rsid w:val="0045562C"/>
    <w:rsid w:val="00462133"/>
    <w:rsid w:val="00465DA3"/>
    <w:rsid w:val="004760CA"/>
    <w:rsid w:val="00487B99"/>
    <w:rsid w:val="00490AD6"/>
    <w:rsid w:val="0049415A"/>
    <w:rsid w:val="004A2C28"/>
    <w:rsid w:val="004B56C8"/>
    <w:rsid w:val="004B6815"/>
    <w:rsid w:val="004B7350"/>
    <w:rsid w:val="004B7A1D"/>
    <w:rsid w:val="004C6F28"/>
    <w:rsid w:val="004D2B56"/>
    <w:rsid w:val="004F09B2"/>
    <w:rsid w:val="004F1E9B"/>
    <w:rsid w:val="004F5495"/>
    <w:rsid w:val="00501778"/>
    <w:rsid w:val="00502B44"/>
    <w:rsid w:val="005033C4"/>
    <w:rsid w:val="00516164"/>
    <w:rsid w:val="005226EF"/>
    <w:rsid w:val="00522A65"/>
    <w:rsid w:val="005574A9"/>
    <w:rsid w:val="00564779"/>
    <w:rsid w:val="0057301D"/>
    <w:rsid w:val="00581359"/>
    <w:rsid w:val="0058492B"/>
    <w:rsid w:val="005926C7"/>
    <w:rsid w:val="005939EE"/>
    <w:rsid w:val="005A6AB9"/>
    <w:rsid w:val="005B0AE1"/>
    <w:rsid w:val="005B4FBA"/>
    <w:rsid w:val="005E18E5"/>
    <w:rsid w:val="005E3ACF"/>
    <w:rsid w:val="005F29A1"/>
    <w:rsid w:val="0060509C"/>
    <w:rsid w:val="006144EE"/>
    <w:rsid w:val="00623270"/>
    <w:rsid w:val="00623683"/>
    <w:rsid w:val="00634B93"/>
    <w:rsid w:val="00637ACE"/>
    <w:rsid w:val="00637DA9"/>
    <w:rsid w:val="006524C7"/>
    <w:rsid w:val="0065631C"/>
    <w:rsid w:val="006728FA"/>
    <w:rsid w:val="00687D5E"/>
    <w:rsid w:val="006974DD"/>
    <w:rsid w:val="006A08F8"/>
    <w:rsid w:val="006A3B14"/>
    <w:rsid w:val="006C1AE0"/>
    <w:rsid w:val="006D453F"/>
    <w:rsid w:val="006E67C6"/>
    <w:rsid w:val="006F095E"/>
    <w:rsid w:val="0070655B"/>
    <w:rsid w:val="007109B4"/>
    <w:rsid w:val="00714934"/>
    <w:rsid w:val="00724BAD"/>
    <w:rsid w:val="00724F13"/>
    <w:rsid w:val="00731F72"/>
    <w:rsid w:val="00766F6E"/>
    <w:rsid w:val="00770F2B"/>
    <w:rsid w:val="00771C80"/>
    <w:rsid w:val="00774B9F"/>
    <w:rsid w:val="00781F28"/>
    <w:rsid w:val="00782DFC"/>
    <w:rsid w:val="00786005"/>
    <w:rsid w:val="00786DCC"/>
    <w:rsid w:val="00793840"/>
    <w:rsid w:val="00796E5B"/>
    <w:rsid w:val="007A2A45"/>
    <w:rsid w:val="007B60D0"/>
    <w:rsid w:val="007C07FD"/>
    <w:rsid w:val="007C172E"/>
    <w:rsid w:val="007D04B2"/>
    <w:rsid w:val="007D1949"/>
    <w:rsid w:val="007E2599"/>
    <w:rsid w:val="007E5C7C"/>
    <w:rsid w:val="007E73C0"/>
    <w:rsid w:val="0080073A"/>
    <w:rsid w:val="00803840"/>
    <w:rsid w:val="008039C4"/>
    <w:rsid w:val="00812A8A"/>
    <w:rsid w:val="00812F93"/>
    <w:rsid w:val="008156E4"/>
    <w:rsid w:val="00820496"/>
    <w:rsid w:val="008209EC"/>
    <w:rsid w:val="00841D5C"/>
    <w:rsid w:val="00846BEF"/>
    <w:rsid w:val="00883FE2"/>
    <w:rsid w:val="008849B5"/>
    <w:rsid w:val="008977E9"/>
    <w:rsid w:val="008B5E0B"/>
    <w:rsid w:val="008D4FF3"/>
    <w:rsid w:val="008E3D87"/>
    <w:rsid w:val="008E4D39"/>
    <w:rsid w:val="008E63F3"/>
    <w:rsid w:val="008F0F51"/>
    <w:rsid w:val="0090156B"/>
    <w:rsid w:val="0091451A"/>
    <w:rsid w:val="00914DA3"/>
    <w:rsid w:val="009201CE"/>
    <w:rsid w:val="00923346"/>
    <w:rsid w:val="009242A7"/>
    <w:rsid w:val="00926E41"/>
    <w:rsid w:val="00941E7C"/>
    <w:rsid w:val="009450F3"/>
    <w:rsid w:val="00957E5D"/>
    <w:rsid w:val="00967D77"/>
    <w:rsid w:val="009712CF"/>
    <w:rsid w:val="009765D0"/>
    <w:rsid w:val="0098178F"/>
    <w:rsid w:val="00983126"/>
    <w:rsid w:val="00984D42"/>
    <w:rsid w:val="00996FD9"/>
    <w:rsid w:val="00997F90"/>
    <w:rsid w:val="009A4836"/>
    <w:rsid w:val="009B79C9"/>
    <w:rsid w:val="009B7C7E"/>
    <w:rsid w:val="009C4757"/>
    <w:rsid w:val="009D3370"/>
    <w:rsid w:val="009E2AC6"/>
    <w:rsid w:val="009E713A"/>
    <w:rsid w:val="009F1DD7"/>
    <w:rsid w:val="00A13BB6"/>
    <w:rsid w:val="00A15A43"/>
    <w:rsid w:val="00A215B8"/>
    <w:rsid w:val="00A33CA0"/>
    <w:rsid w:val="00A56406"/>
    <w:rsid w:val="00A616D4"/>
    <w:rsid w:val="00A661CC"/>
    <w:rsid w:val="00A740AB"/>
    <w:rsid w:val="00A83278"/>
    <w:rsid w:val="00A95782"/>
    <w:rsid w:val="00A975CB"/>
    <w:rsid w:val="00AB31D0"/>
    <w:rsid w:val="00AC1244"/>
    <w:rsid w:val="00AC18F4"/>
    <w:rsid w:val="00AC7C7A"/>
    <w:rsid w:val="00AF4538"/>
    <w:rsid w:val="00AF4A8E"/>
    <w:rsid w:val="00B010A2"/>
    <w:rsid w:val="00B1023A"/>
    <w:rsid w:val="00B105A0"/>
    <w:rsid w:val="00B26570"/>
    <w:rsid w:val="00B41921"/>
    <w:rsid w:val="00B46365"/>
    <w:rsid w:val="00B46CFA"/>
    <w:rsid w:val="00B53019"/>
    <w:rsid w:val="00B5595C"/>
    <w:rsid w:val="00B67881"/>
    <w:rsid w:val="00B7005C"/>
    <w:rsid w:val="00B7651C"/>
    <w:rsid w:val="00B8182C"/>
    <w:rsid w:val="00B845D6"/>
    <w:rsid w:val="00B90931"/>
    <w:rsid w:val="00BA1399"/>
    <w:rsid w:val="00BA258F"/>
    <w:rsid w:val="00BA7515"/>
    <w:rsid w:val="00BB0515"/>
    <w:rsid w:val="00BB0DF3"/>
    <w:rsid w:val="00BC22DB"/>
    <w:rsid w:val="00BC2972"/>
    <w:rsid w:val="00BC758D"/>
    <w:rsid w:val="00BD7803"/>
    <w:rsid w:val="00BE45C8"/>
    <w:rsid w:val="00C13B69"/>
    <w:rsid w:val="00C278EC"/>
    <w:rsid w:val="00C415E0"/>
    <w:rsid w:val="00C43470"/>
    <w:rsid w:val="00C44AA3"/>
    <w:rsid w:val="00C5238B"/>
    <w:rsid w:val="00C707C0"/>
    <w:rsid w:val="00C75DD4"/>
    <w:rsid w:val="00C83B35"/>
    <w:rsid w:val="00C84EED"/>
    <w:rsid w:val="00C921A0"/>
    <w:rsid w:val="00C977C8"/>
    <w:rsid w:val="00CB0BBF"/>
    <w:rsid w:val="00CB2903"/>
    <w:rsid w:val="00CC1B81"/>
    <w:rsid w:val="00CC4418"/>
    <w:rsid w:val="00CC69AA"/>
    <w:rsid w:val="00CD55B4"/>
    <w:rsid w:val="00CE284D"/>
    <w:rsid w:val="00CF0ECB"/>
    <w:rsid w:val="00CF6858"/>
    <w:rsid w:val="00D02AC5"/>
    <w:rsid w:val="00D213B0"/>
    <w:rsid w:val="00D21602"/>
    <w:rsid w:val="00D2356B"/>
    <w:rsid w:val="00D3235D"/>
    <w:rsid w:val="00D3341D"/>
    <w:rsid w:val="00D36078"/>
    <w:rsid w:val="00D36F97"/>
    <w:rsid w:val="00D3747D"/>
    <w:rsid w:val="00D56DA8"/>
    <w:rsid w:val="00D63EA2"/>
    <w:rsid w:val="00D6509C"/>
    <w:rsid w:val="00D655AD"/>
    <w:rsid w:val="00D6790F"/>
    <w:rsid w:val="00D707DE"/>
    <w:rsid w:val="00D70F0C"/>
    <w:rsid w:val="00D73D50"/>
    <w:rsid w:val="00D80366"/>
    <w:rsid w:val="00D83BEF"/>
    <w:rsid w:val="00D87B4F"/>
    <w:rsid w:val="00D90E2D"/>
    <w:rsid w:val="00D93BED"/>
    <w:rsid w:val="00DA52E1"/>
    <w:rsid w:val="00DA623A"/>
    <w:rsid w:val="00DB0049"/>
    <w:rsid w:val="00DB0B22"/>
    <w:rsid w:val="00DB0F83"/>
    <w:rsid w:val="00DC0A3C"/>
    <w:rsid w:val="00DC61CF"/>
    <w:rsid w:val="00DD023E"/>
    <w:rsid w:val="00DE26F8"/>
    <w:rsid w:val="00DE537D"/>
    <w:rsid w:val="00DF579D"/>
    <w:rsid w:val="00E10180"/>
    <w:rsid w:val="00E1110B"/>
    <w:rsid w:val="00E11BAA"/>
    <w:rsid w:val="00E14DEF"/>
    <w:rsid w:val="00E23512"/>
    <w:rsid w:val="00E24988"/>
    <w:rsid w:val="00E26219"/>
    <w:rsid w:val="00E37328"/>
    <w:rsid w:val="00E43784"/>
    <w:rsid w:val="00E457C1"/>
    <w:rsid w:val="00E53457"/>
    <w:rsid w:val="00E54C31"/>
    <w:rsid w:val="00E61A22"/>
    <w:rsid w:val="00E63291"/>
    <w:rsid w:val="00E651ED"/>
    <w:rsid w:val="00E65931"/>
    <w:rsid w:val="00E866BF"/>
    <w:rsid w:val="00E8727B"/>
    <w:rsid w:val="00E92958"/>
    <w:rsid w:val="00E93245"/>
    <w:rsid w:val="00E93C27"/>
    <w:rsid w:val="00EA1E00"/>
    <w:rsid w:val="00EA4D0A"/>
    <w:rsid w:val="00EA5884"/>
    <w:rsid w:val="00EA67F9"/>
    <w:rsid w:val="00EB6560"/>
    <w:rsid w:val="00EC2594"/>
    <w:rsid w:val="00EC3DE4"/>
    <w:rsid w:val="00ED368F"/>
    <w:rsid w:val="00ED6FC6"/>
    <w:rsid w:val="00ED73DA"/>
    <w:rsid w:val="00EE281C"/>
    <w:rsid w:val="00EE2E98"/>
    <w:rsid w:val="00EE7763"/>
    <w:rsid w:val="00EF4EF8"/>
    <w:rsid w:val="00F11ECA"/>
    <w:rsid w:val="00F249D5"/>
    <w:rsid w:val="00F319BA"/>
    <w:rsid w:val="00F34106"/>
    <w:rsid w:val="00F445F3"/>
    <w:rsid w:val="00F450DA"/>
    <w:rsid w:val="00F668EC"/>
    <w:rsid w:val="00F76667"/>
    <w:rsid w:val="00F85B69"/>
    <w:rsid w:val="00FA155D"/>
    <w:rsid w:val="00FA3976"/>
    <w:rsid w:val="00FA678C"/>
    <w:rsid w:val="00FB2EEB"/>
    <w:rsid w:val="00FC508D"/>
    <w:rsid w:val="00FE374E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B96E97-4652-48E5-A5D7-9EF33796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312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31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3126"/>
    <w:rPr>
      <w:rFonts w:ascii="Calibri" w:hAnsi="Calibri" w:cs="Times New Roman"/>
      <w:sz w:val="20"/>
      <w:szCs w:val="20"/>
      <w:lang w:val="x-none"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3126"/>
    <w:rPr>
      <w:b/>
      <w:bCs/>
    </w:rPr>
  </w:style>
  <w:style w:type="character" w:customStyle="1" w:styleId="PredmetkomentraChar">
    <w:name w:val="Predmet komentára Char"/>
    <w:basedOn w:val="Predvolenpsmoodseku"/>
    <w:link w:val="Predmetkomentra"/>
    <w:uiPriority w:val="99"/>
    <w:semiHidden/>
    <w:locked/>
    <w:rPr>
      <w:rFonts w:ascii="Calibri" w:hAnsi="Calibri" w:cs="Times New Roman"/>
      <w:b/>
      <w:bCs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martin_belusky\Dropbox\&#317;SNS\NR%20SR\Z&#225;kony\_VIII.%20volebn&#233;%20odbobie\04%20Mzdov&#233;%20stropy%20pre%20V&#218;C\Anal&#253;z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tin_belusky\Dropbox\&#317;SNS\NR%20SR\Z&#225;kony\_VIII.%20volebn&#233;%20odbobie\04%20Mzdov&#233;%20stropy%20pre%20V&#218;C\Anal&#253;z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k-SK"/>
              <a:t>Výdavky na mzdy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'Graf - mzdy'!$A$3</c:f>
              <c:strCache>
                <c:ptCount val="1"/>
                <c:pt idx="0">
                  <c:v>BBSK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mzdy'!$B$3:$H$3</c:f>
              <c:numCache>
                <c:formatCode>"€"#,##0.00_);[Red]\("€"#,##0.00\)</c:formatCode>
                <c:ptCount val="7"/>
                <c:pt idx="0">
                  <c:v>1948853.52</c:v>
                </c:pt>
                <c:pt idx="1">
                  <c:v>1616757.22</c:v>
                </c:pt>
                <c:pt idx="2">
                  <c:v>1935588.79</c:v>
                </c:pt>
                <c:pt idx="3">
                  <c:v>2160055.91</c:v>
                </c:pt>
                <c:pt idx="4">
                  <c:v>3320903</c:v>
                </c:pt>
                <c:pt idx="5">
                  <c:v>3710088</c:v>
                </c:pt>
                <c:pt idx="6">
                  <c:v>3710088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0C-4CB5-9393-919C66E964F1}"/>
            </c:ext>
          </c:extLst>
        </c:ser>
        <c:ser>
          <c:idx val="1"/>
          <c:order val="1"/>
          <c:tx>
            <c:strRef>
              <c:f>'Graf - mzdy'!$A$4</c:f>
              <c:strCache>
                <c:ptCount val="1"/>
                <c:pt idx="0">
                  <c:v>BSK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mzdy'!$B$4:$H$4</c:f>
              <c:numCache>
                <c:formatCode>"€"#,##0.00_);[Red]\("€"#,##0.00\)</c:formatCode>
                <c:ptCount val="7"/>
                <c:pt idx="0">
                  <c:v>1166758.81</c:v>
                </c:pt>
                <c:pt idx="1">
                  <c:v>1370773.22</c:v>
                </c:pt>
                <c:pt idx="2">
                  <c:v>4292476.49</c:v>
                </c:pt>
                <c:pt idx="3">
                  <c:v>5930979.8499999996</c:v>
                </c:pt>
                <c:pt idx="4">
                  <c:v>6391428.3700000001</c:v>
                </c:pt>
                <c:pt idx="5">
                  <c:v>7022486.0999999996</c:v>
                </c:pt>
                <c:pt idx="6">
                  <c:v>7099081.5099999998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0C-4CB5-9393-919C66E964F1}"/>
            </c:ext>
          </c:extLst>
        </c:ser>
        <c:ser>
          <c:idx val="2"/>
          <c:order val="2"/>
          <c:tx>
            <c:strRef>
              <c:f>'Graf - mzdy'!$A$5</c:f>
              <c:strCache>
                <c:ptCount val="1"/>
                <c:pt idx="0">
                  <c:v>TTSK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mzdy'!$B$5:$H$5</c:f>
              <c:numCache>
                <c:formatCode>"€"#,##0.00_);[Red]\("€"#,##0.00\)</c:formatCode>
                <c:ptCount val="7"/>
                <c:pt idx="0">
                  <c:v>4697000</c:v>
                </c:pt>
                <c:pt idx="1">
                  <c:v>4848800</c:v>
                </c:pt>
                <c:pt idx="2">
                  <c:v>4981600</c:v>
                </c:pt>
                <c:pt idx="3">
                  <c:v>5136600</c:v>
                </c:pt>
                <c:pt idx="4">
                  <c:v>6616600</c:v>
                </c:pt>
                <c:pt idx="5">
                  <c:v>7649294</c:v>
                </c:pt>
                <c:pt idx="6">
                  <c:v>7649294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0C-4CB5-9393-919C66E964F1}"/>
            </c:ext>
          </c:extLst>
        </c:ser>
        <c:ser>
          <c:idx val="3"/>
          <c:order val="3"/>
          <c:tx>
            <c:strRef>
              <c:f>'Graf - mzdy'!$A$6</c:f>
              <c:strCache>
                <c:ptCount val="1"/>
                <c:pt idx="0">
                  <c:v>NSK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mzdy'!$B$6:$H$6</c:f>
              <c:numCache>
                <c:formatCode>"€"#,##0.00_);[Red]\("€"#,##0.00\)</c:formatCode>
                <c:ptCount val="7"/>
                <c:pt idx="0">
                  <c:v>3083600</c:v>
                </c:pt>
                <c:pt idx="1">
                  <c:v>3806029</c:v>
                </c:pt>
                <c:pt idx="2">
                  <c:v>4268000</c:v>
                </c:pt>
                <c:pt idx="3">
                  <c:v>4953300</c:v>
                </c:pt>
                <c:pt idx="4">
                  <c:v>5340886.2</c:v>
                </c:pt>
                <c:pt idx="5">
                  <c:v>6059900</c:v>
                </c:pt>
                <c:pt idx="6">
                  <c:v>6059900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70C-4CB5-9393-919C66E964F1}"/>
            </c:ext>
          </c:extLst>
        </c:ser>
        <c:ser>
          <c:idx val="4"/>
          <c:order val="4"/>
          <c:tx>
            <c:strRef>
              <c:f>'Graf - mzdy'!$A$7</c:f>
              <c:strCache>
                <c:ptCount val="1"/>
                <c:pt idx="0">
                  <c:v>TSK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mzdy'!$B$7:$H$7</c:f>
              <c:numCache>
                <c:formatCode>"€"#,##0.00_);[Red]\("€"#,##0.00\)</c:formatCode>
                <c:ptCount val="7"/>
                <c:pt idx="0">
                  <c:v>2229590</c:v>
                </c:pt>
                <c:pt idx="1">
                  <c:v>1746554</c:v>
                </c:pt>
                <c:pt idx="2">
                  <c:v>1994227</c:v>
                </c:pt>
                <c:pt idx="3">
                  <c:v>2149959</c:v>
                </c:pt>
                <c:pt idx="4">
                  <c:v>2502621</c:v>
                </c:pt>
                <c:pt idx="5">
                  <c:v>2818254</c:v>
                </c:pt>
                <c:pt idx="6">
                  <c:v>2818254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70C-4CB5-9393-919C66E964F1}"/>
            </c:ext>
          </c:extLst>
        </c:ser>
        <c:ser>
          <c:idx val="5"/>
          <c:order val="5"/>
          <c:tx>
            <c:strRef>
              <c:f>'Graf - mzdy'!$A$8</c:f>
              <c:strCache>
                <c:ptCount val="1"/>
                <c:pt idx="0">
                  <c:v>ŽSK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mzdy'!$B$8:$H$8</c:f>
              <c:numCache>
                <c:formatCode>"€"#,##0.00_);[Red]\("€"#,##0.00\)</c:formatCode>
                <c:ptCount val="7"/>
                <c:pt idx="0">
                  <c:v>2520406</c:v>
                </c:pt>
                <c:pt idx="1">
                  <c:v>2772223</c:v>
                </c:pt>
                <c:pt idx="2">
                  <c:v>2971340</c:v>
                </c:pt>
                <c:pt idx="3">
                  <c:v>3422569</c:v>
                </c:pt>
                <c:pt idx="4">
                  <c:v>4226846</c:v>
                </c:pt>
                <c:pt idx="5">
                  <c:v>4350000</c:v>
                </c:pt>
                <c:pt idx="6">
                  <c:v>4400000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70C-4CB5-9393-919C66E964F1}"/>
            </c:ext>
          </c:extLst>
        </c:ser>
        <c:ser>
          <c:idx val="6"/>
          <c:order val="6"/>
          <c:tx>
            <c:strRef>
              <c:f>'Graf - mzdy'!$A$9</c:f>
              <c:strCache>
                <c:ptCount val="1"/>
                <c:pt idx="0">
                  <c:v>PSK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mzdy'!$B$9:$H$9</c:f>
              <c:numCache>
                <c:formatCode>"€"#,##0.00_);[Red]\("€"#,##0.00\)</c:formatCode>
                <c:ptCount val="7"/>
                <c:pt idx="0">
                  <c:v>2410636</c:v>
                </c:pt>
                <c:pt idx="1">
                  <c:v>2352848</c:v>
                </c:pt>
                <c:pt idx="2">
                  <c:v>2691439</c:v>
                </c:pt>
                <c:pt idx="3">
                  <c:v>2982092</c:v>
                </c:pt>
                <c:pt idx="4">
                  <c:v>3700000</c:v>
                </c:pt>
                <c:pt idx="5">
                  <c:v>3600000</c:v>
                </c:pt>
                <c:pt idx="6">
                  <c:v>3794000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70C-4CB5-9393-919C66E964F1}"/>
            </c:ext>
          </c:extLst>
        </c:ser>
        <c:ser>
          <c:idx val="7"/>
          <c:order val="7"/>
          <c:tx>
            <c:strRef>
              <c:f>'Graf - mzdy'!$A$10</c:f>
              <c:strCache>
                <c:ptCount val="1"/>
                <c:pt idx="0">
                  <c:v>KSK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'Graf - mzdy'!$B$2:$H$2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mzdy'!$B$10:$H$10</c:f>
              <c:numCache>
                <c:formatCode>"€"#,##0.00_);[Red]\("€"#,##0.00\)</c:formatCode>
                <c:ptCount val="7"/>
                <c:pt idx="0">
                  <c:v>3019493</c:v>
                </c:pt>
                <c:pt idx="1">
                  <c:v>3317465</c:v>
                </c:pt>
                <c:pt idx="2">
                  <c:v>3543803</c:v>
                </c:pt>
                <c:pt idx="3">
                  <c:v>3389961</c:v>
                </c:pt>
                <c:pt idx="4">
                  <c:v>4284996</c:v>
                </c:pt>
                <c:pt idx="5">
                  <c:v>4835115</c:v>
                </c:pt>
                <c:pt idx="6">
                  <c:v>5028520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70C-4CB5-9393-919C66E96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1325576"/>
        <c:axId val="521326560"/>
      </c:lineChart>
      <c:catAx>
        <c:axId val="521325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21326560"/>
        <c:crosses val="autoZero"/>
        <c:auto val="1"/>
        <c:lblAlgn val="ctr"/>
        <c:lblOffset val="100"/>
        <c:noMultiLvlLbl val="0"/>
      </c:catAx>
      <c:valAx>
        <c:axId val="52132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521325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Trend výdavkov na </a:t>
            </a:r>
            <a:r>
              <a:rPr lang="sk-SK" sz="1800" b="0" i="0" baseline="0">
                <a:effectLst/>
              </a:rPr>
              <a:t>mzdy ako % z bežných príjmov</a:t>
            </a:r>
            <a:endParaRPr lang="sk-S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'Graf - %'!$A$3</c:f>
              <c:strCache>
                <c:ptCount val="1"/>
                <c:pt idx="0">
                  <c:v>BBSK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%'!$B$3:$H$3</c:f>
              <c:numCache>
                <c:formatCode>0.00%</c:formatCode>
                <c:ptCount val="7"/>
                <c:pt idx="0">
                  <c:v>1.3145779478965749E-2</c:v>
                </c:pt>
                <c:pt idx="1">
                  <c:v>1.0264779970841515E-2</c:v>
                </c:pt>
                <c:pt idx="2">
                  <c:v>1.1970523682522013E-2</c:v>
                </c:pt>
                <c:pt idx="3">
                  <c:v>1.2911967230753598E-2</c:v>
                </c:pt>
                <c:pt idx="4">
                  <c:v>1.822504199400625E-2</c:v>
                </c:pt>
                <c:pt idx="5">
                  <c:v>1.7987869384984607E-2</c:v>
                </c:pt>
                <c:pt idx="6">
                  <c:v>1.7987869384984607E-2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DE-41FB-ACA5-42589234C87B}"/>
            </c:ext>
          </c:extLst>
        </c:ser>
        <c:ser>
          <c:idx val="1"/>
          <c:order val="1"/>
          <c:tx>
            <c:strRef>
              <c:f>'Graf - %'!$A$4</c:f>
              <c:strCache>
                <c:ptCount val="1"/>
                <c:pt idx="0">
                  <c:v>BSK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%'!$B$4:$H$4</c:f>
              <c:numCache>
                <c:formatCode>0.00%</c:formatCode>
                <c:ptCount val="7"/>
                <c:pt idx="0">
                  <c:v>9.3454485157191923E-3</c:v>
                </c:pt>
                <c:pt idx="1">
                  <c:v>1.058963481088899E-2</c:v>
                </c:pt>
                <c:pt idx="2">
                  <c:v>3.1338090193101811E-2</c:v>
                </c:pt>
                <c:pt idx="3">
                  <c:v>4.0265961619571591E-2</c:v>
                </c:pt>
                <c:pt idx="4">
                  <c:v>3.902605536025993E-2</c:v>
                </c:pt>
                <c:pt idx="5">
                  <c:v>4.0086804472158399E-2</c:v>
                </c:pt>
                <c:pt idx="6">
                  <c:v>3.8565997357365857E-2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DE-41FB-ACA5-42589234C87B}"/>
            </c:ext>
          </c:extLst>
        </c:ser>
        <c:ser>
          <c:idx val="2"/>
          <c:order val="2"/>
          <c:tx>
            <c:strRef>
              <c:f>'Graf - %'!$A$5</c:f>
              <c:strCache>
                <c:ptCount val="1"/>
                <c:pt idx="0">
                  <c:v>TTSK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%'!$B$5:$H$5</c:f>
              <c:numCache>
                <c:formatCode>0.00%</c:formatCode>
                <c:ptCount val="7"/>
                <c:pt idx="0">
                  <c:v>4.2522991476245081E-2</c:v>
                </c:pt>
                <c:pt idx="1">
                  <c:v>4.3694014228237349E-2</c:v>
                </c:pt>
                <c:pt idx="2">
                  <c:v>3.791876867460918E-2</c:v>
                </c:pt>
                <c:pt idx="3">
                  <c:v>3.5600952619003631E-2</c:v>
                </c:pt>
                <c:pt idx="4">
                  <c:v>4.1534374688645986E-2</c:v>
                </c:pt>
                <c:pt idx="5">
                  <c:v>4.7073514138157947E-2</c:v>
                </c:pt>
                <c:pt idx="6">
                  <c:v>4.5796657103042961E-2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DE-41FB-ACA5-42589234C87B}"/>
            </c:ext>
          </c:extLst>
        </c:ser>
        <c:ser>
          <c:idx val="3"/>
          <c:order val="3"/>
          <c:tx>
            <c:strRef>
              <c:f>'Graf - %'!$A$6</c:f>
              <c:strCache>
                <c:ptCount val="1"/>
                <c:pt idx="0">
                  <c:v>NSK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%'!$B$6:$H$6</c:f>
              <c:numCache>
                <c:formatCode>0.00%</c:formatCode>
                <c:ptCount val="7"/>
                <c:pt idx="0">
                  <c:v>2.0902267743580755E-2</c:v>
                </c:pt>
                <c:pt idx="1">
                  <c:v>2.4565128573752992E-2</c:v>
                </c:pt>
                <c:pt idx="2">
                  <c:v>2.4394816727479968E-2</c:v>
                </c:pt>
                <c:pt idx="3">
                  <c:v>2.6542045697948866E-2</c:v>
                </c:pt>
                <c:pt idx="4">
                  <c:v>2.6000912821096536E-2</c:v>
                </c:pt>
                <c:pt idx="5">
                  <c:v>2.815554583431247E-2</c:v>
                </c:pt>
                <c:pt idx="6">
                  <c:v>2.7368142627458254E-2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7DE-41FB-ACA5-42589234C87B}"/>
            </c:ext>
          </c:extLst>
        </c:ser>
        <c:ser>
          <c:idx val="4"/>
          <c:order val="4"/>
          <c:tx>
            <c:strRef>
              <c:f>'Graf - %'!$A$7</c:f>
              <c:strCache>
                <c:ptCount val="1"/>
                <c:pt idx="0">
                  <c:v>TSK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%'!$B$7:$H$7</c:f>
              <c:numCache>
                <c:formatCode>0.00%</c:formatCode>
                <c:ptCount val="7"/>
                <c:pt idx="0">
                  <c:v>1.919974937566735E-2</c:v>
                </c:pt>
                <c:pt idx="1">
                  <c:v>1.2294054123911716E-2</c:v>
                </c:pt>
                <c:pt idx="2">
                  <c:v>1.1771324198196383E-2</c:v>
                </c:pt>
                <c:pt idx="3">
                  <c:v>1.2809712659498339E-2</c:v>
                </c:pt>
                <c:pt idx="4">
                  <c:v>1.6426013735671072E-2</c:v>
                </c:pt>
                <c:pt idx="5">
                  <c:v>1.6582803080091621E-2</c:v>
                </c:pt>
                <c:pt idx="6">
                  <c:v>1.6582803080091621E-2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7DE-41FB-ACA5-42589234C87B}"/>
            </c:ext>
          </c:extLst>
        </c:ser>
        <c:ser>
          <c:idx val="5"/>
          <c:order val="5"/>
          <c:tx>
            <c:strRef>
              <c:f>'Graf - %'!$A$8</c:f>
              <c:strCache>
                <c:ptCount val="1"/>
                <c:pt idx="0">
                  <c:v>ŽSK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%'!$B$8:$H$8</c:f>
              <c:numCache>
                <c:formatCode>0.00%</c:formatCode>
                <c:ptCount val="7"/>
                <c:pt idx="0">
                  <c:v>1.5917881509577958E-2</c:v>
                </c:pt>
                <c:pt idx="1">
                  <c:v>1.6954722392576362E-2</c:v>
                </c:pt>
                <c:pt idx="2">
                  <c:v>1.7371220367137639E-2</c:v>
                </c:pt>
                <c:pt idx="3">
                  <c:v>1.8313284066981787E-2</c:v>
                </c:pt>
                <c:pt idx="4">
                  <c:v>2.1546873089187374E-2</c:v>
                </c:pt>
                <c:pt idx="5">
                  <c:v>2.116632988116332E-2</c:v>
                </c:pt>
                <c:pt idx="6">
                  <c:v>2.0971693385358703E-2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7DE-41FB-ACA5-42589234C87B}"/>
            </c:ext>
          </c:extLst>
        </c:ser>
        <c:ser>
          <c:idx val="6"/>
          <c:order val="6"/>
          <c:tx>
            <c:strRef>
              <c:f>'Graf - %'!$A$9</c:f>
              <c:strCache>
                <c:ptCount val="1"/>
                <c:pt idx="0">
                  <c:v>PSK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%'!$B$9:$H$9</c:f>
              <c:numCache>
                <c:formatCode>0.00%</c:formatCode>
                <c:ptCount val="7"/>
                <c:pt idx="0">
                  <c:v>1.4019209228379731E-2</c:v>
                </c:pt>
                <c:pt idx="1">
                  <c:v>1.2852133377295967E-2</c:v>
                </c:pt>
                <c:pt idx="2">
                  <c:v>1.3662133630593716E-2</c:v>
                </c:pt>
                <c:pt idx="3">
                  <c:v>1.3646724085050388E-2</c:v>
                </c:pt>
                <c:pt idx="4">
                  <c:v>1.5720818655258168E-2</c:v>
                </c:pt>
                <c:pt idx="5">
                  <c:v>1.5740457347732936E-2</c:v>
                </c:pt>
                <c:pt idx="6">
                  <c:v>1.5914429530201342E-2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77DE-41FB-ACA5-42589234C87B}"/>
            </c:ext>
          </c:extLst>
        </c:ser>
        <c:ser>
          <c:idx val="7"/>
          <c:order val="7"/>
          <c:tx>
            <c:strRef>
              <c:f>'Graf - %'!$A$10</c:f>
              <c:strCache>
                <c:ptCount val="1"/>
                <c:pt idx="0">
                  <c:v>KSK</c:v>
                </c:pt>
              </c:strCache>
            </c:strRef>
          </c:tx>
          <c:spPr>
            <a:ln w="28575" cap="rnd">
              <a:solidFill>
                <a:schemeClr val="accent2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'Graf - %'!$B$2:$H$2</c:f>
              <c:strCache>
                <c:ptCount val="7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 OS</c:v>
                </c:pt>
                <c:pt idx="5">
                  <c:v>2020 R</c:v>
                </c:pt>
                <c:pt idx="6">
                  <c:v>2021 R</c:v>
                </c:pt>
              </c:strCache>
            </c:strRef>
          </c:cat>
          <c:val>
            <c:numRef>
              <c:f>'Graf - %'!$B$10:$H$10</c:f>
              <c:numCache>
                <c:formatCode>0.00%</c:formatCode>
                <c:ptCount val="7"/>
                <c:pt idx="0">
                  <c:v>1.8450931709439004E-2</c:v>
                </c:pt>
                <c:pt idx="1">
                  <c:v>1.9147102579945625E-2</c:v>
                </c:pt>
                <c:pt idx="2">
                  <c:v>1.9287686811685478E-2</c:v>
                </c:pt>
                <c:pt idx="3">
                  <c:v>1.8450378328543692E-2</c:v>
                </c:pt>
                <c:pt idx="4">
                  <c:v>1.9723097033042307E-2</c:v>
                </c:pt>
                <c:pt idx="5">
                  <c:v>2.1203022553822493E-2</c:v>
                </c:pt>
                <c:pt idx="6">
                  <c:v>2.1452093951103514E-2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77DE-41FB-ACA5-42589234C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6617248"/>
        <c:axId val="412265048"/>
      </c:lineChart>
      <c:catAx>
        <c:axId val="326617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412265048"/>
        <c:crosses val="autoZero"/>
        <c:auto val="1"/>
        <c:lblAlgn val="ctr"/>
        <c:lblOffset val="100"/>
        <c:noMultiLvlLbl val="0"/>
      </c:catAx>
      <c:valAx>
        <c:axId val="412265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k-SK"/>
          </a:p>
        </c:txPr>
        <c:crossAx val="326617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7A36-3536-483B-9C9D-2C8E2BC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Beluský, Martin</cp:lastModifiedBy>
  <cp:revision>2</cp:revision>
  <cp:lastPrinted>2017-01-11T17:32:00Z</cp:lastPrinted>
  <dcterms:created xsi:type="dcterms:W3CDTF">2020-08-27T06:15:00Z</dcterms:created>
  <dcterms:modified xsi:type="dcterms:W3CDTF">2020-08-27T06:15:00Z</dcterms:modified>
</cp:coreProperties>
</file>