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E6" w:rsidRPr="00180E77" w:rsidRDefault="00321DE6" w:rsidP="00321DE6">
      <w:pPr>
        <w:pBdr>
          <w:bottom w:val="single" w:sz="12" w:space="1" w:color="000001"/>
        </w:pBdr>
        <w:spacing w:before="120" w:line="276" w:lineRule="auto"/>
        <w:jc w:val="center"/>
        <w:rPr>
          <w:rFonts w:hAnsi="Times New Roman"/>
          <w:b/>
          <w:bCs/>
          <w:spacing w:val="20"/>
        </w:rPr>
      </w:pPr>
      <w:r w:rsidRPr="00180E77">
        <w:rPr>
          <w:rFonts w:hAnsi="Times New Roman"/>
          <w:b/>
          <w:bCs/>
          <w:spacing w:val="20"/>
        </w:rPr>
        <w:t>NÁRODNÁ  RADA  SLOVENSKEJ  REPUBLIKY</w:t>
      </w:r>
    </w:p>
    <w:p w:rsidR="00321DE6" w:rsidRPr="00180E77" w:rsidRDefault="00321DE6" w:rsidP="00321DE6">
      <w:pPr>
        <w:pBdr>
          <w:bottom w:val="single" w:sz="12" w:space="1" w:color="000001"/>
        </w:pBdr>
        <w:spacing w:before="120" w:line="276" w:lineRule="auto"/>
        <w:jc w:val="center"/>
        <w:rPr>
          <w:rFonts w:hAnsi="Times New Roman"/>
        </w:rPr>
      </w:pPr>
      <w:r w:rsidRPr="00180E77">
        <w:rPr>
          <w:rFonts w:hAnsi="Times New Roman"/>
        </w:rPr>
        <w:t>VIII. volebné obdobie</w:t>
      </w:r>
    </w:p>
    <w:p w:rsidR="00321DE6" w:rsidRPr="00180E77" w:rsidRDefault="00321DE6" w:rsidP="00321DE6">
      <w:pPr>
        <w:spacing w:before="120" w:line="276" w:lineRule="auto"/>
        <w:jc w:val="center"/>
        <w:rPr>
          <w:rFonts w:ascii="Book Antiqua" w:hAnsi="Book Antiqua"/>
          <w:b/>
          <w:spacing w:val="30"/>
          <w:sz w:val="22"/>
          <w:szCs w:val="22"/>
        </w:rPr>
      </w:pPr>
    </w:p>
    <w:p w:rsidR="00321DE6" w:rsidRPr="00180E77" w:rsidRDefault="00321DE6" w:rsidP="00321DE6">
      <w:pPr>
        <w:spacing w:before="120" w:line="276" w:lineRule="auto"/>
        <w:jc w:val="center"/>
        <w:rPr>
          <w:rFonts w:ascii="Book Antiqua" w:hAnsi="Book Antiqua"/>
          <w:b/>
          <w:spacing w:val="30"/>
          <w:sz w:val="22"/>
          <w:szCs w:val="22"/>
        </w:rPr>
      </w:pPr>
    </w:p>
    <w:p w:rsidR="00321DE6" w:rsidRPr="00180E77" w:rsidRDefault="00321DE6" w:rsidP="00321DE6">
      <w:pPr>
        <w:spacing w:before="120" w:line="276" w:lineRule="auto"/>
        <w:jc w:val="center"/>
        <w:rPr>
          <w:rFonts w:hAnsi="Times New Roman"/>
        </w:rPr>
      </w:pPr>
      <w:r w:rsidRPr="00180E77">
        <w:rPr>
          <w:rFonts w:hAnsi="Times New Roman"/>
          <w:spacing w:val="30"/>
        </w:rPr>
        <w:t xml:space="preserve">Návrh </w:t>
      </w:r>
    </w:p>
    <w:p w:rsidR="00321DE6" w:rsidRPr="00180E77" w:rsidRDefault="00321DE6" w:rsidP="00321DE6">
      <w:pPr>
        <w:spacing w:before="120" w:line="276" w:lineRule="auto"/>
        <w:jc w:val="center"/>
        <w:rPr>
          <w:rFonts w:hAnsi="Times New Roman"/>
          <w:b/>
          <w:spacing w:val="30"/>
        </w:rPr>
      </w:pPr>
    </w:p>
    <w:p w:rsidR="00321DE6" w:rsidRPr="00180E77" w:rsidRDefault="00321DE6" w:rsidP="00321DE6">
      <w:pPr>
        <w:spacing w:before="120" w:line="276" w:lineRule="auto"/>
        <w:jc w:val="center"/>
        <w:rPr>
          <w:rFonts w:hAnsi="Times New Roman"/>
        </w:rPr>
      </w:pPr>
      <w:r w:rsidRPr="00180E77">
        <w:rPr>
          <w:rFonts w:hAnsi="Times New Roman"/>
          <w:b/>
          <w:caps/>
          <w:spacing w:val="30"/>
        </w:rPr>
        <w:t>zákon</w:t>
      </w:r>
    </w:p>
    <w:p w:rsidR="00321DE6" w:rsidRPr="00180E77" w:rsidRDefault="00321DE6" w:rsidP="00321DE6">
      <w:pPr>
        <w:spacing w:before="120" w:line="276" w:lineRule="auto"/>
        <w:jc w:val="center"/>
        <w:rPr>
          <w:rFonts w:hAnsi="Times New Roman"/>
        </w:rPr>
      </w:pPr>
    </w:p>
    <w:p w:rsidR="00321DE6" w:rsidRPr="00180E77" w:rsidRDefault="00321DE6" w:rsidP="00321DE6">
      <w:pPr>
        <w:spacing w:before="120" w:line="276" w:lineRule="auto"/>
        <w:jc w:val="center"/>
        <w:rPr>
          <w:rFonts w:hAnsi="Times New Roman"/>
        </w:rPr>
      </w:pPr>
      <w:r w:rsidRPr="00180E77">
        <w:rPr>
          <w:rFonts w:hAnsi="Times New Roman"/>
        </w:rPr>
        <w:t>z ... 2020,</w:t>
      </w:r>
    </w:p>
    <w:p w:rsidR="00321DE6" w:rsidRPr="00180E77" w:rsidRDefault="00321DE6" w:rsidP="00321DE6">
      <w:pPr>
        <w:spacing w:before="120" w:line="276" w:lineRule="auto"/>
        <w:rPr>
          <w:rFonts w:hAnsi="Times New Roman"/>
        </w:rPr>
      </w:pPr>
    </w:p>
    <w:p w:rsidR="00321DE6" w:rsidRPr="00180E77" w:rsidRDefault="00321DE6" w:rsidP="00321DE6">
      <w:pPr>
        <w:spacing w:before="120" w:line="276" w:lineRule="auto"/>
        <w:ind w:left="360"/>
        <w:jc w:val="center"/>
        <w:rPr>
          <w:rFonts w:hAnsi="Times New Roman"/>
        </w:rPr>
      </w:pPr>
      <w:r w:rsidRPr="00180E77">
        <w:rPr>
          <w:rFonts w:hAnsi="Times New Roman"/>
          <w:b/>
        </w:rPr>
        <w:t>ktorým sa mení  zákon č. 281/2015 Z. z. o štátnej službe profesionálnych vojakov a o zmene a doplnení niektorých zákonov</w:t>
      </w:r>
      <w:r w:rsidRPr="00180E77">
        <w:rPr>
          <w:rFonts w:hAnsi="Times New Roman"/>
          <w:b/>
          <w:u w:color="000000"/>
        </w:rPr>
        <w:t xml:space="preserve"> v znení neskorších predpisov</w:t>
      </w:r>
    </w:p>
    <w:p w:rsidR="00321DE6" w:rsidRPr="00180E77" w:rsidRDefault="00321DE6" w:rsidP="00321DE6">
      <w:pPr>
        <w:spacing w:before="120" w:line="276" w:lineRule="auto"/>
        <w:ind w:left="360"/>
        <w:jc w:val="center"/>
        <w:rPr>
          <w:rFonts w:hAnsi="Times New Roman"/>
        </w:rPr>
      </w:pPr>
    </w:p>
    <w:p w:rsidR="00321DE6" w:rsidRPr="00180E77" w:rsidRDefault="00321DE6" w:rsidP="00321DE6">
      <w:pPr>
        <w:spacing w:before="120" w:line="276" w:lineRule="auto"/>
        <w:ind w:firstLine="708"/>
        <w:jc w:val="both"/>
        <w:rPr>
          <w:rFonts w:hAnsi="Times New Roman"/>
        </w:rPr>
      </w:pPr>
      <w:r w:rsidRPr="00180E77">
        <w:rPr>
          <w:rFonts w:hAnsi="Times New Roman"/>
        </w:rPr>
        <w:t>Národná rada Slovenskej republiky sa uzniesla na tomto zákone:</w:t>
      </w:r>
    </w:p>
    <w:p w:rsidR="00321DE6" w:rsidRPr="00180E77" w:rsidRDefault="00321DE6" w:rsidP="00321DE6">
      <w:pPr>
        <w:spacing w:before="120" w:line="276" w:lineRule="auto"/>
        <w:jc w:val="center"/>
        <w:rPr>
          <w:rFonts w:hAnsi="Times New Roman"/>
        </w:rPr>
      </w:pPr>
      <w:r w:rsidRPr="00180E77">
        <w:rPr>
          <w:rFonts w:hAnsi="Times New Roman"/>
          <w:b/>
        </w:rPr>
        <w:t>Čl. I</w:t>
      </w:r>
    </w:p>
    <w:p w:rsidR="00321DE6" w:rsidRPr="00180E77" w:rsidRDefault="00321DE6" w:rsidP="00321DE6">
      <w:pPr>
        <w:spacing w:before="120" w:line="276" w:lineRule="auto"/>
        <w:ind w:firstLine="426"/>
        <w:jc w:val="both"/>
        <w:rPr>
          <w:rFonts w:hAnsi="Times New Roman"/>
        </w:rPr>
      </w:pPr>
      <w:r w:rsidRPr="00180E77">
        <w:rPr>
          <w:rFonts w:hAnsi="Times New Roman"/>
          <w:bCs/>
        </w:rPr>
        <w:t xml:space="preserve">Zákon č. 281/2015 Z. z. o štátnej službe profesionálnych vojakov a o zmene a doplnení niektorých zákonov v znení zákona </w:t>
      </w:r>
      <w:r w:rsidRPr="00180E77">
        <w:rPr>
          <w:rFonts w:ascii="Helvetica" w:hAnsi="Helvetica"/>
          <w:sz w:val="21"/>
          <w:szCs w:val="21"/>
        </w:rPr>
        <w:t xml:space="preserve"> </w:t>
      </w:r>
      <w:r w:rsidRPr="00180E77">
        <w:rPr>
          <w:rFonts w:hAnsi="Times New Roman"/>
        </w:rPr>
        <w:t>č. 378/2015 Z. z., zákona č. 125/2016 Z. z., zákona                  č. 69/2018 Z. z., zákona č. 107/2018 Z. z., zákona č. 177/2018 Z. z., zákona č. 347/2018 Z. z., zákona č. 35/2019 Z. z., zákona č. 319/2019 Z. z., zákona č. 377/2019 Z. z., zákona č. 477/2019 Z. z. a zákona č.</w:t>
      </w:r>
      <w:r w:rsidRPr="00180E77">
        <w:rPr>
          <w:rFonts w:hAnsi="Times New Roman"/>
          <w:bCs/>
        </w:rPr>
        <w:t xml:space="preserve">  126/2020 Z. z. sa mení  takto:</w:t>
      </w:r>
    </w:p>
    <w:p w:rsidR="00321DE6" w:rsidRPr="00180E77" w:rsidRDefault="00321DE6" w:rsidP="00321DE6">
      <w:pPr>
        <w:pStyle w:val="Odsekzoznamu"/>
        <w:spacing w:before="120" w:line="276" w:lineRule="auto"/>
        <w:ind w:left="0"/>
        <w:jc w:val="both"/>
        <w:rPr>
          <w:rFonts w:hAnsi="Times New Roman"/>
        </w:rPr>
      </w:pPr>
    </w:p>
    <w:p w:rsidR="00321DE6" w:rsidRPr="00180E77" w:rsidRDefault="00321DE6" w:rsidP="00321DE6">
      <w:pPr>
        <w:jc w:val="both"/>
        <w:rPr>
          <w:rFonts w:hAnsi="Times New Roman"/>
        </w:rPr>
      </w:pPr>
      <w:r w:rsidRPr="00180E77">
        <w:rPr>
          <w:rFonts w:hAnsi="Times New Roman"/>
        </w:rPr>
        <w:t xml:space="preserve">§ 126 vrátane nadpisu nad paragrafom znie: </w:t>
      </w:r>
    </w:p>
    <w:p w:rsidR="00321DE6" w:rsidRPr="00180E77" w:rsidRDefault="00321DE6" w:rsidP="00321DE6">
      <w:pPr>
        <w:pStyle w:val="Odsekzoznamu"/>
        <w:ind w:left="284"/>
        <w:jc w:val="both"/>
        <w:rPr>
          <w:rFonts w:hAnsi="Times New Roman"/>
        </w:rPr>
      </w:pPr>
    </w:p>
    <w:p w:rsidR="00321DE6" w:rsidRPr="00180E77" w:rsidRDefault="00321DE6" w:rsidP="00321DE6">
      <w:pPr>
        <w:jc w:val="center"/>
        <w:rPr>
          <w:rFonts w:hAnsi="Times New Roman"/>
        </w:rPr>
      </w:pPr>
      <w:r w:rsidRPr="00180E77">
        <w:rPr>
          <w:rFonts w:hAnsi="Times New Roman"/>
        </w:rPr>
        <w:t>„P r e v e n t í v n a   r e h a b i l i t á c i a</w:t>
      </w:r>
    </w:p>
    <w:p w:rsidR="00321DE6" w:rsidRPr="00180E77" w:rsidRDefault="00321DE6" w:rsidP="00321DE6">
      <w:pPr>
        <w:jc w:val="center"/>
        <w:rPr>
          <w:rFonts w:hAnsi="Times New Roman"/>
        </w:rPr>
      </w:pPr>
      <w:r w:rsidRPr="00180E77">
        <w:rPr>
          <w:rFonts w:hAnsi="Times New Roman"/>
        </w:rPr>
        <w:t>§ 126</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(1) Preventívna rehabilitácia je súbor preventívnych, telovýchovno-športových a liečebných opatrení zameraných predovšetkým na posilnenie a upevnenie telesného a duševného zdravia profesionálneho vojaka.</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(2) Preventívna rehabilitácia sa vykonáva formou</w:t>
      </w:r>
    </w:p>
    <w:p w:rsidR="00321DE6" w:rsidRPr="00180E77" w:rsidRDefault="00321DE6" w:rsidP="00321DE6">
      <w:pPr>
        <w:widowControl/>
        <w:numPr>
          <w:ilvl w:val="0"/>
          <w:numId w:val="1"/>
        </w:numPr>
        <w:tabs>
          <w:tab w:val="left" w:pos="567"/>
        </w:tabs>
        <w:ind w:left="567" w:hanging="283"/>
        <w:contextualSpacing/>
        <w:jc w:val="both"/>
        <w:rPr>
          <w:rFonts w:hAnsi="Times New Roman"/>
        </w:rPr>
      </w:pPr>
      <w:r w:rsidRPr="00180E77">
        <w:rPr>
          <w:rFonts w:hAnsi="Times New Roman"/>
        </w:rPr>
        <w:t xml:space="preserve">rekondičného pobytu s kúpeľným režimom v trvaní 21 po sebe nasledujúcich dní v zariadeniach v pôsobnosti ministerstva alebo v zariadeniach určených ministerstvom, </w:t>
      </w:r>
    </w:p>
    <w:p w:rsidR="00321DE6" w:rsidRPr="00180E77" w:rsidRDefault="00321DE6" w:rsidP="00321DE6">
      <w:pPr>
        <w:widowControl/>
        <w:numPr>
          <w:ilvl w:val="0"/>
          <w:numId w:val="1"/>
        </w:numPr>
        <w:ind w:left="567" w:hanging="283"/>
        <w:contextualSpacing/>
        <w:jc w:val="both"/>
        <w:rPr>
          <w:rFonts w:hAnsi="Times New Roman"/>
        </w:rPr>
      </w:pPr>
      <w:r w:rsidRPr="00180E77">
        <w:rPr>
          <w:rFonts w:hAnsi="Times New Roman"/>
        </w:rPr>
        <w:t>rekondičného pobytu v trvaní 14 po sebe nasledujúcich dní v zariadeniach v pôsobnosti    ministerstva alebo v zariadeniach určených ministerstvom, alebo</w:t>
      </w:r>
    </w:p>
    <w:p w:rsidR="00321DE6" w:rsidRPr="00180E77" w:rsidRDefault="00321DE6" w:rsidP="00321DE6">
      <w:pPr>
        <w:widowControl/>
        <w:numPr>
          <w:ilvl w:val="0"/>
          <w:numId w:val="1"/>
        </w:numPr>
        <w:ind w:left="567" w:hanging="283"/>
        <w:contextualSpacing/>
        <w:jc w:val="both"/>
        <w:rPr>
          <w:rFonts w:hAnsi="Times New Roman"/>
        </w:rPr>
      </w:pPr>
      <w:r w:rsidRPr="00180E77">
        <w:rPr>
          <w:rFonts w:hAnsi="Times New Roman"/>
        </w:rPr>
        <w:t>aktívneho odpočinku v trvaní 14 po sebe nasledujúcich dní na území Slovenskej republiky.</w:t>
      </w:r>
    </w:p>
    <w:p w:rsidR="00321DE6" w:rsidRPr="00180E77" w:rsidRDefault="00321DE6" w:rsidP="00321DE6">
      <w:pPr>
        <w:ind w:left="567"/>
        <w:contextualSpacing/>
        <w:jc w:val="both"/>
        <w:rPr>
          <w:rFonts w:hAnsi="Times New Roman"/>
        </w:rPr>
      </w:pPr>
    </w:p>
    <w:p w:rsidR="00321DE6" w:rsidRPr="00180E77" w:rsidRDefault="00321DE6" w:rsidP="00321DE6">
      <w:pPr>
        <w:ind w:left="284"/>
        <w:jc w:val="both"/>
        <w:rPr>
          <w:rFonts w:hAnsi="Times New Roman"/>
        </w:rPr>
      </w:pPr>
      <w:r w:rsidRPr="00180E77">
        <w:rPr>
          <w:rFonts w:hAnsi="Times New Roman"/>
        </w:rPr>
        <w:lastRenderedPageBreak/>
        <w:t xml:space="preserve">      (3) Preventívna rehabilitácia sa poskytne profesionálnemu vojakovi jedenkrát ročne, ak</w:t>
      </w:r>
    </w:p>
    <w:p w:rsidR="00321DE6" w:rsidRPr="00180E77" w:rsidRDefault="00321DE6" w:rsidP="00321DE6">
      <w:pPr>
        <w:widowControl/>
        <w:numPr>
          <w:ilvl w:val="0"/>
          <w:numId w:val="2"/>
        </w:numPr>
        <w:ind w:left="284" w:firstLine="0"/>
        <w:contextualSpacing/>
        <w:jc w:val="both"/>
        <w:rPr>
          <w:rFonts w:hAnsi="Times New Roman"/>
        </w:rPr>
      </w:pPr>
      <w:r w:rsidRPr="00180E77">
        <w:rPr>
          <w:rFonts w:hAnsi="Times New Roman"/>
        </w:rPr>
        <w:t>je v stálej štátnej službe alebo</w:t>
      </w:r>
    </w:p>
    <w:p w:rsidR="00321DE6" w:rsidRPr="00180E77" w:rsidRDefault="00321DE6" w:rsidP="00321DE6">
      <w:pPr>
        <w:widowControl/>
        <w:numPr>
          <w:ilvl w:val="0"/>
          <w:numId w:val="2"/>
        </w:numPr>
        <w:ind w:left="284" w:firstLine="0"/>
        <w:contextualSpacing/>
        <w:jc w:val="both"/>
        <w:rPr>
          <w:rFonts w:hAnsi="Times New Roman"/>
        </w:rPr>
      </w:pPr>
      <w:r w:rsidRPr="00180E77">
        <w:rPr>
          <w:rFonts w:hAnsi="Times New Roman"/>
        </w:rPr>
        <w:t>vykonáva štátnu službu</w:t>
      </w:r>
    </w:p>
    <w:p w:rsidR="00321DE6" w:rsidRPr="00180E77" w:rsidRDefault="00321DE6" w:rsidP="00321DE6">
      <w:pPr>
        <w:widowControl/>
        <w:numPr>
          <w:ilvl w:val="0"/>
          <w:numId w:val="3"/>
        </w:numPr>
        <w:ind w:left="993" w:hanging="284"/>
        <w:contextualSpacing/>
        <w:jc w:val="both"/>
        <w:rPr>
          <w:rFonts w:hAnsi="Times New Roman"/>
        </w:rPr>
      </w:pPr>
      <w:r w:rsidRPr="00180E77">
        <w:rPr>
          <w:rFonts w:hAnsi="Times New Roman"/>
        </w:rPr>
        <w:t>ako odborník riadenia letovej prevádzky, výkonný letec, výkonný výsadkár, padákový odborník letectva, pyrotechnik alebo potápač alebo</w:t>
      </w:r>
    </w:p>
    <w:p w:rsidR="00321DE6" w:rsidRPr="00180E77" w:rsidRDefault="00321DE6" w:rsidP="00321DE6">
      <w:pPr>
        <w:ind w:left="142"/>
        <w:contextualSpacing/>
        <w:jc w:val="both"/>
        <w:rPr>
          <w:rFonts w:hAnsi="Times New Roman"/>
        </w:rPr>
      </w:pPr>
      <w:r w:rsidRPr="00180E77">
        <w:rPr>
          <w:rFonts w:hAnsi="Times New Roman"/>
        </w:rPr>
        <w:t xml:space="preserve">          2. vo Vojenskom spravodajstve alebo vo Vojenskej polícii.</w:t>
      </w:r>
    </w:p>
    <w:p w:rsidR="00321DE6" w:rsidRPr="00180E77" w:rsidRDefault="00321DE6" w:rsidP="00321DE6">
      <w:pPr>
        <w:ind w:left="567"/>
        <w:contextualSpacing/>
        <w:jc w:val="both"/>
        <w:rPr>
          <w:rFonts w:hAnsi="Times New Roman"/>
        </w:rPr>
      </w:pPr>
    </w:p>
    <w:p w:rsidR="00321DE6" w:rsidRPr="00180E77" w:rsidRDefault="00321DE6" w:rsidP="00321DE6">
      <w:pPr>
        <w:tabs>
          <w:tab w:val="left" w:pos="709"/>
        </w:tabs>
        <w:ind w:left="284"/>
        <w:jc w:val="both"/>
        <w:rPr>
          <w:rFonts w:hAnsi="Times New Roman"/>
        </w:rPr>
      </w:pPr>
      <w:r w:rsidRPr="00180E77">
        <w:rPr>
          <w:rFonts w:hAnsi="Times New Roman"/>
        </w:rPr>
        <w:t xml:space="preserve">       (4) Profesionálnemu vojakovi podľa odseku 3 písm. b)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rsidR="00321DE6" w:rsidRPr="00180E77" w:rsidRDefault="00321DE6" w:rsidP="00321DE6">
      <w:pPr>
        <w:tabs>
          <w:tab w:val="left" w:pos="709"/>
        </w:tabs>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(5)  Preventívna rehabilitácia podľa odseku 2 písm. a) sa poskytuje profesionálnemu vojakovi uvedenému v odseku 3 písm. a), a to na základe jeho žiadosti a na návrh ošetrujúceho lekára alebo iného lekára určeného služobným úradom.</w:t>
      </w:r>
    </w:p>
    <w:p w:rsidR="00321DE6" w:rsidRPr="00180E77" w:rsidRDefault="00321DE6" w:rsidP="00321DE6">
      <w:pPr>
        <w:ind w:left="284"/>
        <w:jc w:val="both"/>
        <w:rPr>
          <w:rFonts w:hAnsi="Times New Roman"/>
        </w:rPr>
      </w:pPr>
    </w:p>
    <w:p w:rsidR="00321DE6" w:rsidRPr="00180E77" w:rsidRDefault="00321DE6" w:rsidP="00321DE6">
      <w:pPr>
        <w:tabs>
          <w:tab w:val="left" w:pos="709"/>
        </w:tabs>
        <w:ind w:left="284"/>
        <w:jc w:val="both"/>
        <w:rPr>
          <w:rFonts w:hAnsi="Times New Roman"/>
        </w:rPr>
      </w:pPr>
      <w:r w:rsidRPr="00180E77">
        <w:rPr>
          <w:rFonts w:hAnsi="Times New Roman"/>
        </w:rPr>
        <w:t xml:space="preserve">      (6) Preventívna rehabilitácia podľa odseku 2 písm. b) sa poskytuje profesionálnemu vojakovi na základe jeho žiadosti.</w:t>
      </w:r>
    </w:p>
    <w:p w:rsidR="00321DE6" w:rsidRPr="00180E77" w:rsidRDefault="00321DE6" w:rsidP="00321DE6">
      <w:pPr>
        <w:ind w:left="284"/>
        <w:jc w:val="both"/>
        <w:rPr>
          <w:rFonts w:hAnsi="Times New Roman"/>
        </w:rPr>
      </w:pPr>
    </w:p>
    <w:p w:rsidR="00321DE6" w:rsidRPr="00180E77" w:rsidRDefault="00321DE6" w:rsidP="00321DE6">
      <w:pPr>
        <w:tabs>
          <w:tab w:val="left" w:pos="1134"/>
        </w:tabs>
        <w:ind w:left="284"/>
        <w:jc w:val="both"/>
        <w:rPr>
          <w:rFonts w:hAnsi="Times New Roman"/>
        </w:rPr>
      </w:pPr>
      <w:r w:rsidRPr="00180E77">
        <w:rPr>
          <w:rFonts w:hAnsi="Times New Roman"/>
        </w:rPr>
        <w:t xml:space="preserve">      (7) Preventívna rehabilitácia podľa odseku 2 písm. c) sa profesionálnemu vojakovi poskytne na základe jeho žiadosti, ak mu nebola poskytnutá preventívna rehabilitácia podľa odseku 2 písm. a) alebo písm. b). </w:t>
      </w:r>
    </w:p>
    <w:p w:rsidR="00321DE6" w:rsidRPr="00180E77" w:rsidRDefault="00321DE6" w:rsidP="00321DE6">
      <w:pPr>
        <w:ind w:left="284"/>
        <w:jc w:val="both"/>
        <w:rPr>
          <w:rFonts w:hAnsi="Times New Roman"/>
        </w:rPr>
      </w:pPr>
    </w:p>
    <w:p w:rsidR="00321DE6" w:rsidRPr="00180E77" w:rsidRDefault="00321DE6" w:rsidP="00321DE6">
      <w:pPr>
        <w:tabs>
          <w:tab w:val="left" w:pos="993"/>
        </w:tabs>
        <w:ind w:left="284"/>
        <w:jc w:val="both"/>
        <w:rPr>
          <w:rFonts w:hAnsi="Times New Roman"/>
        </w:rPr>
      </w:pPr>
      <w:r w:rsidRPr="00180E77">
        <w:rPr>
          <w:rFonts w:hAnsi="Times New Roman"/>
        </w:rPr>
        <w:t xml:space="preserve">      (8) Preventívna rehabilitácia sa v kalendárnom roku poskytuje profesionálnemu vojakovi iba v jednej forme.</w:t>
      </w:r>
    </w:p>
    <w:p w:rsidR="00321DE6" w:rsidRPr="00180E77" w:rsidRDefault="00321DE6" w:rsidP="00321DE6">
      <w:pPr>
        <w:ind w:left="284"/>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(9) Profesionálnemu vojakovi, ktorému bola v kalendárnom roku poskytnutá kúpeľná starostlivosť podľa osobitného predpisu,</w:t>
      </w:r>
      <w:r w:rsidRPr="00180E77">
        <w:rPr>
          <w:rFonts w:hAnsi="Times New Roman"/>
          <w:vertAlign w:val="superscript"/>
        </w:rPr>
        <w:t>91</w:t>
      </w:r>
      <w:r w:rsidRPr="00180E77">
        <w:rPr>
          <w:rFonts w:hAnsi="Times New Roman"/>
        </w:rPr>
        <w:t>) sa preventívna rehabilitácia neposkytne.</w:t>
      </w:r>
    </w:p>
    <w:p w:rsidR="00321DE6" w:rsidRPr="00180E77" w:rsidRDefault="00321DE6" w:rsidP="00321DE6">
      <w:pPr>
        <w:ind w:left="284"/>
        <w:jc w:val="both"/>
        <w:rPr>
          <w:rFonts w:hAnsi="Times New Roman"/>
        </w:rPr>
      </w:pPr>
    </w:p>
    <w:p w:rsidR="00321DE6" w:rsidRPr="00180E77" w:rsidRDefault="00321DE6" w:rsidP="00321DE6">
      <w:pPr>
        <w:ind w:left="567"/>
        <w:jc w:val="both"/>
        <w:rPr>
          <w:rFonts w:hAnsi="Times New Roman"/>
        </w:rPr>
      </w:pPr>
      <w:r w:rsidRPr="00180E77">
        <w:rPr>
          <w:rFonts w:hAnsi="Times New Roman"/>
        </w:rPr>
        <w:t xml:space="preserve"> (10) Preventívna rehabilitácia sa neposkytne ani profesionálnemu vojakovi</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zaradenia do personálnej zálohy podľa § 74 alebo § 75,</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vyslania na plnenie úloh mimo územia Slovenskej republiky,</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počas dočasného pozbavenia výkonu štátnej služby,</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po doručení personálneho rozkazu o prepustení,</w:t>
      </w:r>
    </w:p>
    <w:p w:rsidR="00321DE6" w:rsidRPr="00180E77" w:rsidRDefault="00321DE6" w:rsidP="00321DE6">
      <w:pPr>
        <w:widowControl/>
        <w:numPr>
          <w:ilvl w:val="0"/>
          <w:numId w:val="4"/>
        </w:numPr>
        <w:ind w:left="567" w:hanging="284"/>
        <w:contextualSpacing/>
        <w:jc w:val="both"/>
        <w:rPr>
          <w:rFonts w:hAnsi="Times New Roman"/>
        </w:rPr>
      </w:pPr>
      <w:r w:rsidRPr="00180E77">
        <w:rPr>
          <w:rFonts w:hAnsi="Times New Roman"/>
        </w:rPr>
        <w:t>v čase, keď to vylučuje jeho zdravotný stav.</w:t>
      </w:r>
    </w:p>
    <w:p w:rsidR="00321DE6" w:rsidRPr="00180E77" w:rsidRDefault="00321DE6" w:rsidP="00321DE6">
      <w:pPr>
        <w:widowControl/>
        <w:ind w:left="567"/>
        <w:contextualSpacing/>
        <w:jc w:val="both"/>
        <w:rPr>
          <w:rFonts w:hAnsi="Times New Roman"/>
        </w:rPr>
      </w:pPr>
    </w:p>
    <w:p w:rsidR="00321DE6" w:rsidRPr="00180E77" w:rsidRDefault="00321DE6" w:rsidP="00321DE6">
      <w:pPr>
        <w:ind w:left="284"/>
        <w:jc w:val="both"/>
        <w:rPr>
          <w:rFonts w:hAnsi="Times New Roman"/>
        </w:rPr>
      </w:pPr>
      <w:r w:rsidRPr="00180E77">
        <w:rPr>
          <w:rFonts w:hAnsi="Times New Roman"/>
        </w:rPr>
        <w:t xml:space="preserve">      (11) Preventívna rehabilitácia podľa odseku 2 písm. c) sa na účely náhrady škody podľa tohto zákona a náhrady škody podľa osobitného predpisu</w:t>
      </w:r>
      <w:r w:rsidRPr="00180E77">
        <w:rPr>
          <w:rFonts w:hAnsi="Times New Roman"/>
          <w:vertAlign w:val="superscript"/>
        </w:rPr>
        <w:t>91a</w:t>
      </w:r>
      <w:r w:rsidRPr="00180E77">
        <w:rPr>
          <w:rFonts w:hAnsi="Times New Roman"/>
        </w:rPr>
        <w:t>) nepovažuje za výkon štátnej služby alebo za priamu súvislosť s výkonom štátnej služby.“.</w:t>
      </w:r>
    </w:p>
    <w:p w:rsidR="00321DE6" w:rsidRPr="00180E77" w:rsidRDefault="00321DE6" w:rsidP="00321DE6">
      <w:pPr>
        <w:ind w:left="284" w:firstLine="708"/>
        <w:jc w:val="both"/>
        <w:rPr>
          <w:rFonts w:hAnsi="Times New Roman"/>
        </w:rPr>
      </w:pPr>
    </w:p>
    <w:p w:rsidR="00321DE6" w:rsidRPr="00180E77" w:rsidRDefault="00321DE6" w:rsidP="00321DE6">
      <w:pPr>
        <w:ind w:left="284"/>
        <w:jc w:val="both"/>
        <w:rPr>
          <w:rFonts w:hAnsi="Times New Roman"/>
        </w:rPr>
      </w:pPr>
      <w:r w:rsidRPr="00180E77">
        <w:rPr>
          <w:rFonts w:hAnsi="Times New Roman"/>
        </w:rPr>
        <w:t>Poznámka pod čiarou k odkazu 91a znie:</w:t>
      </w:r>
    </w:p>
    <w:p w:rsidR="00321DE6" w:rsidRPr="00180E77" w:rsidRDefault="00321DE6" w:rsidP="00321DE6">
      <w:pPr>
        <w:ind w:left="284"/>
        <w:contextualSpacing/>
        <w:jc w:val="both"/>
        <w:rPr>
          <w:rFonts w:hAnsi="Times New Roman"/>
        </w:rPr>
      </w:pPr>
      <w:r w:rsidRPr="00180E77">
        <w:rPr>
          <w:rFonts w:hAnsi="Times New Roman"/>
        </w:rPr>
        <w:t>„</w:t>
      </w:r>
      <w:r w:rsidRPr="00180E77">
        <w:rPr>
          <w:rFonts w:hAnsi="Times New Roman"/>
          <w:vertAlign w:val="superscript"/>
        </w:rPr>
        <w:t>91a</w:t>
      </w:r>
      <w:r w:rsidRPr="00180E77">
        <w:rPr>
          <w:rFonts w:hAnsi="Times New Roman"/>
        </w:rPr>
        <w:t xml:space="preserve">) § 20 a 29 zákona č. 328/2002 Z. z. v znení neskorších predpisov.“.  </w:t>
      </w:r>
    </w:p>
    <w:p w:rsidR="00321DE6" w:rsidRPr="00180E77" w:rsidRDefault="00321DE6" w:rsidP="00321DE6"/>
    <w:p w:rsidR="00321DE6" w:rsidRPr="00180E77" w:rsidRDefault="00321DE6" w:rsidP="00321DE6">
      <w:pPr>
        <w:spacing w:before="120" w:line="276" w:lineRule="auto"/>
        <w:ind w:left="851" w:hanging="1"/>
        <w:jc w:val="both"/>
        <w:rPr>
          <w:rFonts w:ascii="Book Antiqua" w:hAnsi="Book Antiqua" w:cs="Segoe UI"/>
          <w:sz w:val="22"/>
          <w:szCs w:val="22"/>
          <w:shd w:val="clear" w:color="auto" w:fill="FFFFFF"/>
        </w:rPr>
      </w:pPr>
    </w:p>
    <w:p w:rsidR="00321DE6" w:rsidRPr="00180E77" w:rsidRDefault="00321DE6" w:rsidP="00321DE6">
      <w:pPr>
        <w:spacing w:before="120" w:line="276" w:lineRule="auto"/>
        <w:jc w:val="center"/>
        <w:rPr>
          <w:rFonts w:hAnsi="Times New Roman"/>
        </w:rPr>
      </w:pPr>
      <w:r w:rsidRPr="00180E77">
        <w:rPr>
          <w:rFonts w:hAnsi="Times New Roman"/>
          <w:b/>
        </w:rPr>
        <w:t>Čl. II</w:t>
      </w:r>
    </w:p>
    <w:p w:rsidR="00D304B2" w:rsidRPr="00321DE6" w:rsidRDefault="00321DE6" w:rsidP="00321DE6">
      <w:pPr>
        <w:spacing w:before="120" w:line="276" w:lineRule="auto"/>
        <w:ind w:firstLine="851"/>
        <w:rPr>
          <w:rFonts w:hAnsi="Times New Roman"/>
        </w:rPr>
      </w:pPr>
      <w:r w:rsidRPr="00180E77">
        <w:rPr>
          <w:rFonts w:hAnsi="Times New Roman"/>
        </w:rPr>
        <w:t>Tento zákon nadobúda účinnosť 1. januára 2021.</w:t>
      </w:r>
      <w:bookmarkStart w:id="0" w:name="_GoBack"/>
      <w:bookmarkEnd w:id="0"/>
    </w:p>
    <w:sectPr w:rsidR="00D304B2" w:rsidRPr="00321DE6" w:rsidSect="00321DE6">
      <w:pgSz w:w="11906" w:h="16838"/>
      <w:pgMar w:top="1695" w:right="1418" w:bottom="1695" w:left="1418" w:header="708" w:footer="708" w:gutter="0"/>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7C6"/>
    <w:multiLevelType w:val="hybridMultilevel"/>
    <w:tmpl w:val="81948DD0"/>
    <w:lvl w:ilvl="0" w:tplc="4BECFE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D5FE8"/>
    <w:multiLevelType w:val="hybridMultilevel"/>
    <w:tmpl w:val="294CCF36"/>
    <w:lvl w:ilvl="0" w:tplc="7E26046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C7218D"/>
    <w:multiLevelType w:val="hybridMultilevel"/>
    <w:tmpl w:val="AA669D70"/>
    <w:lvl w:ilvl="0" w:tplc="041B0017">
      <w:start w:val="1"/>
      <w:numFmt w:val="lowerLetter"/>
      <w:lvlText w:val="%1)"/>
      <w:lvlJc w:val="left"/>
      <w:pPr>
        <w:ind w:left="1710" w:hanging="360"/>
      </w:pPr>
    </w:lvl>
    <w:lvl w:ilvl="1" w:tplc="041B0019" w:tentative="1">
      <w:start w:val="1"/>
      <w:numFmt w:val="lowerLetter"/>
      <w:lvlText w:val="%2."/>
      <w:lvlJc w:val="left"/>
      <w:pPr>
        <w:ind w:left="2430" w:hanging="360"/>
      </w:pPr>
    </w:lvl>
    <w:lvl w:ilvl="2" w:tplc="041B001B" w:tentative="1">
      <w:start w:val="1"/>
      <w:numFmt w:val="lowerRoman"/>
      <w:lvlText w:val="%3."/>
      <w:lvlJc w:val="right"/>
      <w:pPr>
        <w:ind w:left="3150" w:hanging="180"/>
      </w:pPr>
    </w:lvl>
    <w:lvl w:ilvl="3" w:tplc="041B000F" w:tentative="1">
      <w:start w:val="1"/>
      <w:numFmt w:val="decimal"/>
      <w:lvlText w:val="%4."/>
      <w:lvlJc w:val="left"/>
      <w:pPr>
        <w:ind w:left="3870" w:hanging="360"/>
      </w:pPr>
    </w:lvl>
    <w:lvl w:ilvl="4" w:tplc="041B0019" w:tentative="1">
      <w:start w:val="1"/>
      <w:numFmt w:val="lowerLetter"/>
      <w:lvlText w:val="%5."/>
      <w:lvlJc w:val="left"/>
      <w:pPr>
        <w:ind w:left="4590" w:hanging="360"/>
      </w:pPr>
    </w:lvl>
    <w:lvl w:ilvl="5" w:tplc="041B001B" w:tentative="1">
      <w:start w:val="1"/>
      <w:numFmt w:val="lowerRoman"/>
      <w:lvlText w:val="%6."/>
      <w:lvlJc w:val="right"/>
      <w:pPr>
        <w:ind w:left="5310" w:hanging="180"/>
      </w:pPr>
    </w:lvl>
    <w:lvl w:ilvl="6" w:tplc="041B000F" w:tentative="1">
      <w:start w:val="1"/>
      <w:numFmt w:val="decimal"/>
      <w:lvlText w:val="%7."/>
      <w:lvlJc w:val="left"/>
      <w:pPr>
        <w:ind w:left="6030" w:hanging="360"/>
      </w:pPr>
    </w:lvl>
    <w:lvl w:ilvl="7" w:tplc="041B0019" w:tentative="1">
      <w:start w:val="1"/>
      <w:numFmt w:val="lowerLetter"/>
      <w:lvlText w:val="%8."/>
      <w:lvlJc w:val="left"/>
      <w:pPr>
        <w:ind w:left="6750" w:hanging="360"/>
      </w:pPr>
    </w:lvl>
    <w:lvl w:ilvl="8" w:tplc="041B001B" w:tentative="1">
      <w:start w:val="1"/>
      <w:numFmt w:val="lowerRoman"/>
      <w:lvlText w:val="%9."/>
      <w:lvlJc w:val="right"/>
      <w:pPr>
        <w:ind w:left="7470" w:hanging="180"/>
      </w:pPr>
    </w:lvl>
  </w:abstractNum>
  <w:abstractNum w:abstractNumId="3" w15:restartNumberingAfterBreak="0">
    <w:nsid w:val="776068E6"/>
    <w:multiLevelType w:val="hybridMultilevel"/>
    <w:tmpl w:val="22242270"/>
    <w:lvl w:ilvl="0" w:tplc="99F825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E6"/>
    <w:rsid w:val="00211D46"/>
    <w:rsid w:val="00321DE6"/>
    <w:rsid w:val="00A13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211"/>
  <w15:chartTrackingRefBased/>
  <w15:docId w15:val="{CD116823-7D48-4BE7-BB0F-FB02C4BB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1DE6"/>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321DE6"/>
    <w:pPr>
      <w:ind w:left="720"/>
      <w:contextualSpacing/>
    </w:pPr>
    <w:rPr>
      <w:kern w:val="0"/>
    </w:rPr>
  </w:style>
  <w:style w:type="paragraph" w:styleId="Textbubliny">
    <w:name w:val="Balloon Text"/>
    <w:basedOn w:val="Normlny"/>
    <w:link w:val="TextbublinyChar"/>
    <w:uiPriority w:val="99"/>
    <w:semiHidden/>
    <w:unhideWhenUsed/>
    <w:rsid w:val="00321D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1DE6"/>
    <w:rPr>
      <w:rFonts w:ascii="Segoe UI" w:eastAsia="Times New Roman" w:hAnsi="Segoe UI" w:cs="Segoe UI"/>
      <w:kern w:val="1"/>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Krúpa, Juraj</dc:creator>
  <cp:keywords/>
  <dc:description/>
  <cp:lastModifiedBy>Krúpa, Juraj</cp:lastModifiedBy>
  <cp:revision>1</cp:revision>
  <cp:lastPrinted>2020-08-26T09:31:00Z</cp:lastPrinted>
  <dcterms:created xsi:type="dcterms:W3CDTF">2020-08-26T09:31:00Z</dcterms:created>
  <dcterms:modified xsi:type="dcterms:W3CDTF">2020-08-26T09:32:00Z</dcterms:modified>
</cp:coreProperties>
</file>