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BA" w:rsidRPr="000571E1" w:rsidRDefault="00023EBA" w:rsidP="00023EBA">
      <w:pPr>
        <w:jc w:val="center"/>
        <w:rPr>
          <w:rFonts w:ascii="Times New Roman" w:hAnsi="Times New Roman" w:cs="Times New Roman"/>
          <w:b/>
          <w:sz w:val="24"/>
          <w:szCs w:val="24"/>
        </w:rPr>
      </w:pPr>
      <w:r w:rsidRPr="000571E1">
        <w:rPr>
          <w:rFonts w:ascii="Times New Roman" w:hAnsi="Times New Roman" w:cs="Times New Roman"/>
          <w:b/>
          <w:sz w:val="24"/>
          <w:szCs w:val="24"/>
        </w:rPr>
        <w:t>Dôvodová správa</w:t>
      </w:r>
    </w:p>
    <w:p w:rsidR="00F362AF" w:rsidRDefault="00F362AF" w:rsidP="00023EBA">
      <w:pPr>
        <w:rPr>
          <w:rFonts w:ascii="Times New Roman" w:hAnsi="Times New Roman" w:cs="Times New Roman"/>
          <w:b/>
          <w:sz w:val="24"/>
          <w:szCs w:val="24"/>
        </w:rPr>
      </w:pPr>
    </w:p>
    <w:p w:rsidR="00F362AF" w:rsidRPr="000571E1" w:rsidRDefault="00023EBA" w:rsidP="00023EBA">
      <w:pPr>
        <w:rPr>
          <w:rFonts w:ascii="Times New Roman" w:hAnsi="Times New Roman" w:cs="Times New Roman"/>
          <w:b/>
          <w:sz w:val="24"/>
          <w:szCs w:val="24"/>
        </w:rPr>
      </w:pPr>
      <w:r w:rsidRPr="000571E1">
        <w:rPr>
          <w:rFonts w:ascii="Times New Roman" w:hAnsi="Times New Roman" w:cs="Times New Roman"/>
          <w:b/>
          <w:sz w:val="24"/>
          <w:szCs w:val="24"/>
        </w:rPr>
        <w:t>Všeobecná časť</w:t>
      </w:r>
    </w:p>
    <w:p w:rsidR="00023EBA" w:rsidRPr="000571E1" w:rsidRDefault="00023EBA" w:rsidP="00023EBA">
      <w:pPr>
        <w:pStyle w:val="Normlnywebov"/>
        <w:ind w:firstLine="708"/>
        <w:jc w:val="both"/>
        <w:rPr>
          <w:rFonts w:eastAsiaTheme="minorHAnsi"/>
          <w:lang w:eastAsia="en-US"/>
        </w:rPr>
      </w:pPr>
      <w:r w:rsidRPr="000571E1">
        <w:rPr>
          <w:rFonts w:eastAsiaTheme="minorHAnsi"/>
          <w:lang w:eastAsia="en-US"/>
        </w:rPr>
        <w:t>Návrhom zákona, ktorým sa </w:t>
      </w:r>
      <w:r>
        <w:rPr>
          <w:rFonts w:eastAsiaTheme="minorHAnsi"/>
          <w:lang w:eastAsia="en-US"/>
        </w:rPr>
        <w:t xml:space="preserve">mení a </w:t>
      </w:r>
      <w:r w:rsidRPr="000571E1">
        <w:rPr>
          <w:rFonts w:eastAsiaTheme="minorHAnsi"/>
          <w:lang w:eastAsia="en-US"/>
        </w:rPr>
        <w:t>dopĺňa zákon č. 513/2009 Z. z. o dráhach a o zmene a doplnení niektorých zákonov v znení neskorších predpisov sa zjednoduší proces prevádzkovania drezín, čím sa zároveň podporí cestovný ruch v špecifických lokalitách našej krajiny, ktoré v súčasnosti patria aj pre nedostatok pracovných príležitostí k tým menej rozvinutým. Dreziny sú prevádzkované a tešia sa záujmu verejnosti vo viacerých štátoch Európskej únie, napríklad v susednej Rakúskej republike či Českej republike, preto by sme tento druh voľnočasovej aktivity chceli podporiť aj u nás.</w:t>
      </w:r>
    </w:p>
    <w:p w:rsidR="00023EBA" w:rsidRPr="000571E1" w:rsidRDefault="00023EBA" w:rsidP="00023EBA">
      <w:pPr>
        <w:pStyle w:val="Normlnywebov"/>
        <w:ind w:firstLine="708"/>
        <w:jc w:val="both"/>
        <w:rPr>
          <w:rFonts w:eastAsiaTheme="minorHAnsi"/>
          <w:lang w:eastAsia="en-US"/>
        </w:rPr>
      </w:pPr>
      <w:r w:rsidRPr="000571E1">
        <w:rPr>
          <w:rFonts w:eastAsiaTheme="minorHAnsi"/>
          <w:lang w:eastAsia="en-US"/>
        </w:rPr>
        <w:t xml:space="preserve">S prihliadnutím na jednoduchosť </w:t>
      </w:r>
      <w:r w:rsidR="00527CD9">
        <w:rPr>
          <w:rFonts w:eastAsiaTheme="minorHAnsi"/>
          <w:lang w:eastAsia="en-US"/>
        </w:rPr>
        <w:t>obsluhy a nízku rýchlosť drezín, ktoré sú poháňané len</w:t>
      </w:r>
      <w:r w:rsidR="007727FE">
        <w:rPr>
          <w:rFonts w:eastAsiaTheme="minorHAnsi"/>
          <w:lang w:eastAsia="en-US"/>
        </w:rPr>
        <w:t xml:space="preserve"> ľudskou silou</w:t>
      </w:r>
      <w:r w:rsidR="00527CD9">
        <w:rPr>
          <w:rFonts w:eastAsiaTheme="minorHAnsi"/>
          <w:lang w:eastAsia="en-US"/>
        </w:rPr>
        <w:t xml:space="preserve">, </w:t>
      </w:r>
      <w:r w:rsidRPr="000571E1">
        <w:rPr>
          <w:rFonts w:eastAsiaTheme="minorHAnsi"/>
          <w:lang w:eastAsia="en-US"/>
        </w:rPr>
        <w:t>nie je potrebné, aby sa na ich vedenie uplatňovali také požiadavky, ako na vedenie hnacích dráhových vozidiel s motorovým pohonom. Bezpečnosť prevádzky bude zár</w:t>
      </w:r>
      <w:r w:rsidR="007727FE">
        <w:rPr>
          <w:rFonts w:eastAsiaTheme="minorHAnsi"/>
          <w:lang w:eastAsia="en-US"/>
        </w:rPr>
        <w:t>oveň zaistená podmienkou fyzického oddelenia</w:t>
      </w:r>
      <w:r w:rsidRPr="000571E1">
        <w:rPr>
          <w:rFonts w:eastAsiaTheme="minorHAnsi"/>
          <w:lang w:eastAsia="en-US"/>
        </w:rPr>
        <w:t xml:space="preserve"> úsek</w:t>
      </w:r>
      <w:r w:rsidR="007727FE">
        <w:rPr>
          <w:rFonts w:eastAsiaTheme="minorHAnsi"/>
          <w:lang w:eastAsia="en-US"/>
        </w:rPr>
        <w:t>u</w:t>
      </w:r>
      <w:r w:rsidRPr="000571E1">
        <w:rPr>
          <w:rFonts w:eastAsiaTheme="minorHAnsi"/>
          <w:lang w:eastAsia="en-US"/>
        </w:rPr>
        <w:t xml:space="preserve"> s prevádzkou drezín od úseku dráhy, na ktorom je prevádzkovaná iná doprava. Dreziny nie je vzhľadom na jednoduchosť ich konštrukcie potrebné podrobovať typovým skúškam ako iné dráhové vozidlá, analogicky ako v cestnej doprave sa nepodrobujú bicykle skúškam ako automobily či autobusy.</w:t>
      </w:r>
    </w:p>
    <w:p w:rsidR="00023EBA" w:rsidRPr="000571E1" w:rsidRDefault="00023EBA" w:rsidP="00023EBA">
      <w:pPr>
        <w:pStyle w:val="Normlnywebov"/>
        <w:ind w:firstLine="708"/>
        <w:jc w:val="both"/>
        <w:rPr>
          <w:rFonts w:eastAsiaTheme="minorHAnsi"/>
          <w:lang w:eastAsia="en-US"/>
        </w:rPr>
      </w:pPr>
      <w:r w:rsidRPr="000571E1">
        <w:rPr>
          <w:rFonts w:eastAsiaTheme="minorHAnsi"/>
          <w:lang w:eastAsia="en-US"/>
        </w:rPr>
        <w:t>Predmetnou novelizáciou zákona sa vytvoria podmienky k rozvoju nového unikátneho projektu, prostredníctvom ktorého sa zlepší celková ponuka doplnkových voľnočasových aktivít v atraktívnych, prírodne špecifických lokalitách našej krajiny, ktoré v súčasnosti patria aj pre nedostatok pracovných príležitostí k tým menej rozvinutým. Význam prevádzkovania drezín aj s ohľadom na svoju ekologickú nenáročnosť, využitie existujúcej infraštruktúry pri optimálnom rešpektovaní medzigeneračných historických kontextov a generovaní primeraných príjmov tak radíme medzi príkladné a udržateľné formy cestovného ruchu. Podpora udržateľných foriem cestovného ruchu je súčasťou aj vládou Slovenskej republiky schválenej agendy 2030 a zároveň sa radí medzi prioritné aj v zmysle poskytovania dotácie podľa zákona č. 91/2010 Z. z. o podpore cestovného ruchu v znení neskorších predpisov, ktorá je poskytovaná organizáciám cestovného ruchu.</w:t>
      </w:r>
    </w:p>
    <w:p w:rsidR="00023EBA" w:rsidRPr="000571E1" w:rsidRDefault="00023EBA" w:rsidP="00023EBA">
      <w:pPr>
        <w:ind w:firstLine="708"/>
        <w:jc w:val="both"/>
        <w:rPr>
          <w:rFonts w:ascii="Times New Roman" w:hAnsi="Times New Roman" w:cs="Times New Roman"/>
          <w:sz w:val="24"/>
          <w:szCs w:val="24"/>
        </w:rPr>
      </w:pPr>
      <w:r w:rsidRPr="000571E1">
        <w:rPr>
          <w:rFonts w:ascii="Times New Roman" w:hAnsi="Times New Roman" w:cs="Times New Roman"/>
          <w:sz w:val="24"/>
          <w:szCs w:val="24"/>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023EBA" w:rsidRDefault="00023EBA" w:rsidP="00023EBA">
      <w:pPr>
        <w:jc w:val="both"/>
        <w:rPr>
          <w:rFonts w:ascii="Times New Roman" w:hAnsi="Times New Roman" w:cs="Times New Roman"/>
          <w:sz w:val="24"/>
          <w:szCs w:val="24"/>
        </w:rPr>
      </w:pPr>
      <w:r w:rsidRPr="000571E1">
        <w:rPr>
          <w:rFonts w:ascii="Times New Roman" w:hAnsi="Times New Roman" w:cs="Times New Roman"/>
          <w:sz w:val="24"/>
          <w:szCs w:val="24"/>
        </w:rPr>
        <w:tab/>
        <w:t xml:space="preserve">Návrh zákona </w:t>
      </w:r>
      <w:r>
        <w:rPr>
          <w:rFonts w:ascii="Times New Roman" w:hAnsi="Times New Roman" w:cs="Times New Roman"/>
          <w:sz w:val="24"/>
          <w:szCs w:val="24"/>
        </w:rPr>
        <w:t xml:space="preserve">bude mať pozitívny vplyv na podnikateľské prostredie a </w:t>
      </w:r>
      <w:r w:rsidRPr="000571E1">
        <w:rPr>
          <w:rFonts w:ascii="Times New Roman" w:hAnsi="Times New Roman" w:cs="Times New Roman"/>
          <w:sz w:val="24"/>
          <w:szCs w:val="24"/>
        </w:rPr>
        <w:t>nebude mať vplyv na rozpočet verejnej správy, na služby verejnej správy pre občana, na informatizáciu spoločnosti, životné prostredie, sociálne vplyvy, ani na manželstvo, rodičovstvo a rodinu.</w:t>
      </w:r>
    </w:p>
    <w:p w:rsidR="003D6C58" w:rsidRDefault="003D6C58" w:rsidP="00023EBA">
      <w:pPr>
        <w:jc w:val="both"/>
        <w:rPr>
          <w:rFonts w:ascii="Times New Roman" w:hAnsi="Times New Roman" w:cs="Times New Roman"/>
          <w:sz w:val="24"/>
          <w:szCs w:val="24"/>
        </w:rPr>
      </w:pPr>
    </w:p>
    <w:p w:rsidR="003D6C58" w:rsidRDefault="003D6C58" w:rsidP="00023EBA">
      <w:pPr>
        <w:jc w:val="both"/>
        <w:rPr>
          <w:rFonts w:ascii="Times New Roman" w:hAnsi="Times New Roman" w:cs="Times New Roman"/>
          <w:sz w:val="24"/>
          <w:szCs w:val="24"/>
        </w:rPr>
      </w:pPr>
    </w:p>
    <w:p w:rsidR="003D6C58" w:rsidRDefault="003D6C58" w:rsidP="00023EBA">
      <w:pPr>
        <w:jc w:val="both"/>
        <w:rPr>
          <w:rFonts w:ascii="Times New Roman" w:hAnsi="Times New Roman" w:cs="Times New Roman"/>
          <w:sz w:val="24"/>
          <w:szCs w:val="24"/>
        </w:rPr>
      </w:pPr>
    </w:p>
    <w:p w:rsidR="00146428" w:rsidRDefault="00146428">
      <w:pPr>
        <w:rPr>
          <w:rFonts w:ascii="Times New Roman" w:hAnsi="Times New Roman" w:cs="Times New Roman"/>
          <w:sz w:val="24"/>
          <w:szCs w:val="24"/>
        </w:rPr>
      </w:pPr>
    </w:p>
    <w:p w:rsidR="001C538E" w:rsidRDefault="001C538E" w:rsidP="003D6C58">
      <w:pPr>
        <w:pStyle w:val="Normlnywebov"/>
        <w:spacing w:before="0" w:beforeAutospacing="0" w:after="0" w:afterAutospacing="0"/>
        <w:jc w:val="center"/>
        <w:rPr>
          <w:b/>
          <w:bCs/>
          <w:sz w:val="28"/>
          <w:szCs w:val="28"/>
        </w:rPr>
      </w:pPr>
    </w:p>
    <w:p w:rsidR="003D6C58" w:rsidRDefault="003D6C58" w:rsidP="003D6C58">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3D6C58" w:rsidRDefault="003D6C58" w:rsidP="003D6C5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D6C58" w:rsidTr="00B97FA8">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1.  Základné údaje</w:t>
            </w:r>
          </w:p>
        </w:tc>
      </w:tr>
      <w:tr w:rsidR="003D6C58" w:rsidTr="00B97FA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Názov materiálu</w:t>
            </w:r>
          </w:p>
        </w:tc>
      </w:tr>
      <w:tr w:rsidR="003D6C58" w:rsidTr="00B97FA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 xml:space="preserve">Zákon, ktorým sa mení a dopĺňa zákon </w:t>
            </w:r>
            <w:r w:rsidRPr="00056A48">
              <w:rPr>
                <w:rFonts w:ascii="Times" w:hAnsi="Times" w:cs="Times"/>
                <w:sz w:val="20"/>
                <w:szCs w:val="20"/>
              </w:rPr>
              <w:t xml:space="preserve">č. 513/2009 Z. z. o dráhach a o zmene a doplnení niektorých zákonov v znení neskorších predpisov </w:t>
            </w:r>
          </w:p>
        </w:tc>
      </w:tr>
      <w:tr w:rsidR="003D6C58" w:rsidTr="00B97FA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Predkladateľ (a spolupredkladateľ)</w:t>
            </w:r>
          </w:p>
        </w:tc>
      </w:tr>
      <w:tr w:rsidR="003D6C58" w:rsidTr="00B97FA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Ministerstvo dopravy a výstavby Slovenskej republiky</w:t>
            </w:r>
          </w:p>
        </w:tc>
      </w:tr>
      <w:tr w:rsidR="003D6C58" w:rsidTr="00B97FA8">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D6C58" w:rsidTr="00B97FA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D6C58" w:rsidTr="00B97FA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Wingdings 2" w:hAnsi="Wingdings 2" w:cs="Times"/>
                <w:sz w:val="28"/>
                <w:szCs w:val="28"/>
              </w:rPr>
              <w:t></w:t>
            </w:r>
            <w:r>
              <w:rPr>
                <w:rFonts w:ascii="Times" w:hAnsi="Times" w:cs="Times"/>
                <w:sz w:val="20"/>
                <w:szCs w:val="20"/>
              </w:rPr>
              <w:t xml:space="preserve">  Transpozícia práva EÚ </w:t>
            </w:r>
          </w:p>
        </w:tc>
      </w:tr>
      <w:tr w:rsidR="003D6C58" w:rsidTr="00B97FA8">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D6C58" w:rsidRDefault="003D6C58" w:rsidP="001C538E">
            <w:pPr>
              <w:rPr>
                <w:rFonts w:ascii="Times" w:hAnsi="Times" w:cs="Times"/>
                <w:sz w:val="20"/>
                <w:szCs w:val="20"/>
              </w:rPr>
            </w:pPr>
            <w:r w:rsidRPr="008B6928">
              <w:rPr>
                <w:i/>
              </w:rPr>
              <w:t>V prípade transpozície uveďte zo</w:t>
            </w:r>
            <w:r>
              <w:rPr>
                <w:i/>
              </w:rPr>
              <w:t>znam transponovaných predpisov:</w:t>
            </w:r>
          </w:p>
        </w:tc>
      </w:tr>
      <w:tr w:rsidR="003D6C58" w:rsidTr="00B97FA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 xml:space="preserve">Začiatok:     </w:t>
            </w:r>
            <w:r>
              <w:rPr>
                <w:rFonts w:ascii="Times" w:hAnsi="Times" w:cs="Times"/>
                <w:sz w:val="20"/>
                <w:szCs w:val="20"/>
              </w:rPr>
              <w:br/>
              <w:t>Ukončenie: </w:t>
            </w:r>
          </w:p>
        </w:tc>
      </w:tr>
      <w:tr w:rsidR="003D6C58" w:rsidTr="00B97FA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Máj 2020</w:t>
            </w:r>
          </w:p>
        </w:tc>
      </w:tr>
      <w:tr w:rsidR="003D6C58" w:rsidTr="00B97FA8">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Jún 2020</w:t>
            </w:r>
          </w:p>
        </w:tc>
      </w:tr>
    </w:tbl>
    <w:p w:rsidR="003D6C58" w:rsidRDefault="003D6C58" w:rsidP="003D6C58">
      <w:pPr>
        <w:pStyle w:val="Normlnywebov"/>
        <w:spacing w:before="0" w:beforeAutospacing="0" w:after="0" w:afterAutospacing="0"/>
        <w:rPr>
          <w:bCs/>
          <w:sz w:val="22"/>
          <w:szCs w:val="22"/>
        </w:rPr>
      </w:pPr>
    </w:p>
    <w:p w:rsidR="003D6C58" w:rsidRDefault="003D6C58" w:rsidP="003D6C5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2.  Definícia problému</w:t>
            </w:r>
          </w:p>
        </w:tc>
      </w:tr>
      <w:tr w:rsidR="003D6C58" w:rsidTr="001C538E">
        <w:trPr>
          <w:trHeight w:val="2116"/>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Default="003D6C58" w:rsidP="001C538E">
            <w:pPr>
              <w:rPr>
                <w:rFonts w:ascii="Times" w:hAnsi="Times" w:cs="Times"/>
                <w:sz w:val="20"/>
                <w:szCs w:val="20"/>
              </w:rPr>
            </w:pPr>
            <w:r w:rsidRPr="00A179AE">
              <w:rPr>
                <w:i/>
              </w:rPr>
              <w:t>Uveďte základné problémy, na ktor</w:t>
            </w:r>
            <w:r>
              <w:rPr>
                <w:i/>
              </w:rPr>
              <w:t>é navrhovaná regulácia reaguje.</w:t>
            </w:r>
          </w:p>
          <w:p w:rsidR="003D6C58" w:rsidRDefault="003D6C58" w:rsidP="001C538E">
            <w:pPr>
              <w:jc w:val="both"/>
              <w:rPr>
                <w:rFonts w:ascii="Times" w:hAnsi="Times" w:cs="Times"/>
                <w:sz w:val="20"/>
                <w:szCs w:val="20"/>
              </w:rPr>
            </w:pPr>
            <w:r w:rsidRPr="0095662A">
              <w:rPr>
                <w:rFonts w:ascii="Times" w:hAnsi="Times" w:cs="Times"/>
                <w:sz w:val="20"/>
                <w:szCs w:val="20"/>
              </w:rPr>
              <w:t>Platná legislatí</w:t>
            </w:r>
            <w:r>
              <w:rPr>
                <w:rFonts w:ascii="Times" w:hAnsi="Times" w:cs="Times"/>
                <w:sz w:val="20"/>
                <w:szCs w:val="20"/>
              </w:rPr>
              <w:t>va konkrétne podmienky prevádzkovania</w:t>
            </w:r>
            <w:r w:rsidRPr="0095662A">
              <w:rPr>
                <w:rFonts w:ascii="Times" w:hAnsi="Times" w:cs="Times"/>
                <w:sz w:val="20"/>
                <w:szCs w:val="20"/>
              </w:rPr>
              <w:t xml:space="preserve"> drezín nestanovuje. </w:t>
            </w:r>
            <w:r>
              <w:rPr>
                <w:rFonts w:ascii="Times" w:hAnsi="Times" w:cs="Times"/>
                <w:sz w:val="20"/>
                <w:szCs w:val="20"/>
              </w:rPr>
              <w:t>Podľa platnej legislatívy sú d</w:t>
            </w:r>
            <w:r w:rsidRPr="0095662A">
              <w:rPr>
                <w:rFonts w:ascii="Times" w:hAnsi="Times" w:cs="Times"/>
                <w:sz w:val="20"/>
                <w:szCs w:val="20"/>
              </w:rPr>
              <w:t xml:space="preserve">reziny </w:t>
            </w:r>
            <w:r>
              <w:rPr>
                <w:rFonts w:ascii="Times" w:hAnsi="Times" w:cs="Times"/>
                <w:sz w:val="20"/>
                <w:szCs w:val="20"/>
              </w:rPr>
              <w:t xml:space="preserve">považované za dráhové vozidlá a podliehajú prísnym požiadavkám na ich schvaľovanie a obsluhu, čo je neprimeraná a zbytočná záťaž pre ich prevádzkovateľov. Prevádzkovanie drezín za podstatne jednoduchších podmienok pri súčasnom zaručení bezpečnosti ich prevádzkovania významne  podporí aj cestovný ruch. </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3.  Ciele a výsledný stav</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Default="003D6C58" w:rsidP="001C538E">
            <w:pPr>
              <w:rPr>
                <w:rFonts w:ascii="Times" w:hAnsi="Times" w:cs="Times"/>
                <w:sz w:val="20"/>
                <w:szCs w:val="20"/>
              </w:rPr>
            </w:pPr>
            <w:r w:rsidRPr="00A179AE">
              <w:rPr>
                <w:i/>
              </w:rPr>
              <w:t>Uveďte hlavné ciele navrhovaného predpisu (aký výsledný sta</w:t>
            </w:r>
            <w:r>
              <w:rPr>
                <w:i/>
              </w:rPr>
              <w:t>v chcete reguláciou dosiahnuť).</w:t>
            </w:r>
          </w:p>
          <w:p w:rsidR="003D6C58" w:rsidRDefault="003D6C58" w:rsidP="001C538E">
            <w:pPr>
              <w:pStyle w:val="Odsekzoznamu"/>
              <w:jc w:val="both"/>
              <w:rPr>
                <w:rFonts w:ascii="Times" w:hAnsi="Times" w:cs="Times"/>
                <w:sz w:val="20"/>
                <w:szCs w:val="20"/>
              </w:rPr>
            </w:pPr>
            <w:r>
              <w:rPr>
                <w:rFonts w:ascii="Times" w:hAnsi="Times" w:cs="Times"/>
                <w:sz w:val="20"/>
                <w:szCs w:val="20"/>
              </w:rPr>
              <w:t xml:space="preserve">Schválenie a prevádzkovanie drezín za podstatne jednoduchších podmienok za súčasného zaručenia bezpečnosti ich prevádzkovania. </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4.  Dotknuté subjekty</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sidRPr="00A179AE">
              <w:rPr>
                <w:i/>
              </w:rPr>
              <w:t>Uveďte subjekty, ktorých sa zmeny návrhu dotknú priamo aj nepriamo:</w:t>
            </w:r>
          </w:p>
          <w:p w:rsidR="003D6C58" w:rsidRDefault="003D6C58" w:rsidP="00B97FA8">
            <w:pPr>
              <w:rPr>
                <w:rFonts w:ascii="Times" w:hAnsi="Times" w:cs="Times"/>
                <w:sz w:val="20"/>
                <w:szCs w:val="20"/>
              </w:rPr>
            </w:pPr>
            <w:r>
              <w:rPr>
                <w:rFonts w:ascii="Times" w:hAnsi="Times" w:cs="Times"/>
                <w:sz w:val="20"/>
                <w:szCs w:val="20"/>
              </w:rPr>
              <w:t xml:space="preserve">Zmeny v predkladanom návrhu zákona sa dotknú predovšetkým prevádzkovateľov špeciálnych dráh a širokej verejnosti.  </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5.  Alternatívne riešenia</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Pr="00EB4C68" w:rsidRDefault="003D6C58" w:rsidP="00B97FA8">
            <w:pPr>
              <w:rPr>
                <w:i/>
              </w:rPr>
            </w:pPr>
            <w:r w:rsidRPr="00EB4C68">
              <w:rPr>
                <w:i/>
              </w:rPr>
              <w:lastRenderedPageBreak/>
              <w:t>Aké alternatívne riešenia boli posudzované?</w:t>
            </w:r>
          </w:p>
          <w:p w:rsidR="003D6C58" w:rsidRDefault="003D6C58" w:rsidP="00B97FA8">
            <w:pPr>
              <w:rPr>
                <w:rFonts w:ascii="Times" w:hAnsi="Times" w:cs="Times"/>
                <w:sz w:val="20"/>
                <w:szCs w:val="20"/>
              </w:rPr>
            </w:pPr>
            <w:r w:rsidRPr="00EB4C68">
              <w:rPr>
                <w:i/>
              </w:rPr>
              <w:t>Uveďte, aké alternatívne spôsoby na odstránenie definovaného problému boli identifikované a posudzované.</w:t>
            </w:r>
          </w:p>
          <w:p w:rsidR="003D6C58" w:rsidRDefault="003D6C58" w:rsidP="00B97FA8">
            <w:pPr>
              <w:rPr>
                <w:rFonts w:ascii="Times" w:hAnsi="Times" w:cs="Times"/>
                <w:sz w:val="20"/>
                <w:szCs w:val="20"/>
              </w:rPr>
            </w:pPr>
            <w:r>
              <w:rPr>
                <w:rFonts w:ascii="Times" w:hAnsi="Times" w:cs="Times"/>
                <w:sz w:val="20"/>
                <w:szCs w:val="20"/>
              </w:rPr>
              <w:t xml:space="preserve">Skúmali sa rôzne varianty upravenia podmienok na schválenie a prevádzkovanie drezín. Po konzultácií s Dopravným úradom ako bezpečnostným orgánom bol vybraný predmetný návrh za podmienky zaručenia bezpečnosti prevádzkovania drezín. </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6.  Vykonávacie predpisy</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p w:rsidR="003D6C58" w:rsidRDefault="003D6C58" w:rsidP="001C538E">
            <w:pPr>
              <w:rPr>
                <w:rFonts w:ascii="Times" w:hAnsi="Times" w:cs="Times"/>
                <w:sz w:val="20"/>
                <w:szCs w:val="20"/>
              </w:rPr>
            </w:pPr>
            <w:r w:rsidRPr="00A179AE">
              <w:rPr>
                <w:i/>
              </w:rPr>
              <w:t>Ak áno, uveďte ktoré oblasti budú nimi upravené, resp. ktorých vykonávacích predpisov sa zmena dotkne:</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xml:space="preserve">  7.  Transpozícia práva EÚ </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C538E" w:rsidRDefault="003D6C58" w:rsidP="00B97FA8">
            <w:pPr>
              <w:rPr>
                <w:i/>
              </w:rPr>
            </w:pPr>
            <w:r w:rsidRPr="00A179AE">
              <w:rPr>
                <w:i/>
              </w:rPr>
              <w:t>Uveďte, v ktorých ustanoveniach ide národná právna úprava nad rámec minimálnych požiadaviek EÚ spolu s odôvodnením.</w:t>
            </w:r>
          </w:p>
          <w:p w:rsidR="003D6C58" w:rsidRDefault="003D6C58" w:rsidP="001C538E">
            <w:pPr>
              <w:rPr>
                <w:rFonts w:ascii="Times" w:hAnsi="Times" w:cs="Times"/>
                <w:b/>
                <w:bCs/>
              </w:rPr>
            </w:pPr>
            <w:r w:rsidRPr="008D6F88">
              <w:t>V žiadnom.</w:t>
            </w:r>
          </w:p>
        </w:tc>
      </w:tr>
      <w:tr w:rsidR="003D6C58" w:rsidTr="00B97FA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8.  Preskúmanie účelnosti**</w:t>
            </w:r>
          </w:p>
        </w:tc>
      </w:tr>
      <w:tr w:rsidR="003D6C58" w:rsidTr="00B97FA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D6C58" w:rsidRPr="00A179AE" w:rsidRDefault="003D6C58" w:rsidP="00B97FA8">
            <w:pPr>
              <w:rPr>
                <w:i/>
              </w:rPr>
            </w:pPr>
            <w:r w:rsidRPr="00A179AE">
              <w:rPr>
                <w:i/>
              </w:rPr>
              <w:t>Uveďte termín, kedy by malo dôjsť k preskúmaniu účinnosti a účelnosti navrhovaného predpisu.</w:t>
            </w:r>
          </w:p>
          <w:p w:rsidR="003D6C58" w:rsidRDefault="003D6C58" w:rsidP="00B97FA8">
            <w:pPr>
              <w:rPr>
                <w:i/>
              </w:rPr>
            </w:pPr>
            <w:r w:rsidRPr="00A179AE">
              <w:rPr>
                <w:i/>
              </w:rPr>
              <w:t>Uveďte kritériá, na základe ktorých bude preskúmanie vykonané.</w:t>
            </w:r>
          </w:p>
          <w:p w:rsidR="003D6C58" w:rsidRDefault="003D6C58" w:rsidP="00B97FA8">
            <w:pPr>
              <w:rPr>
                <w:rFonts w:ascii="Times" w:hAnsi="Times" w:cs="Times"/>
                <w:b/>
                <w:bCs/>
              </w:rPr>
            </w:pPr>
            <w:r w:rsidRPr="00E6177D">
              <w:rPr>
                <w:rFonts w:ascii="Times" w:hAnsi="Times" w:cs="Times"/>
                <w:sz w:val="20"/>
                <w:szCs w:val="20"/>
              </w:rPr>
              <w:t>Aplikáciou zákona po nadobudnutí jeho účinnosti.</w:t>
            </w:r>
            <w:r>
              <w:rPr>
                <w:rFonts w:ascii="Times" w:hAnsi="Times" w:cs="Times"/>
                <w:b/>
                <w:bCs/>
              </w:rPr>
              <w:t xml:space="preserve"> </w:t>
            </w:r>
          </w:p>
        </w:tc>
      </w:tr>
    </w:tbl>
    <w:p w:rsidR="003D6C58" w:rsidRDefault="003D6C58" w:rsidP="003D6C58">
      <w:pPr>
        <w:pStyle w:val="Normlnywebov"/>
        <w:spacing w:before="0" w:beforeAutospacing="0" w:after="0" w:afterAutospacing="0"/>
        <w:rPr>
          <w:bCs/>
          <w:sz w:val="22"/>
          <w:szCs w:val="22"/>
        </w:rPr>
      </w:pPr>
    </w:p>
    <w:p w:rsidR="003D6C58" w:rsidRPr="00543B8E" w:rsidRDefault="003D6C58" w:rsidP="003D6C58">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3D6C58" w:rsidRDefault="003D6C58" w:rsidP="003D6C58">
      <w:pPr>
        <w:pStyle w:val="Normlnywebov"/>
        <w:spacing w:before="0" w:beforeAutospacing="0" w:after="0" w:afterAutospacing="0"/>
        <w:rPr>
          <w:sz w:val="20"/>
          <w:szCs w:val="20"/>
        </w:rPr>
      </w:pPr>
      <w:r w:rsidRPr="00543B8E">
        <w:rPr>
          <w:sz w:val="20"/>
          <w:szCs w:val="20"/>
        </w:rPr>
        <w:t>** nepovinné</w:t>
      </w:r>
    </w:p>
    <w:p w:rsidR="003D6C58" w:rsidRDefault="003D6C58" w:rsidP="003D6C5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D6C58" w:rsidTr="00B97FA8">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sz w:val="20"/>
                <w:szCs w:val="20"/>
              </w:rPr>
            </w:pPr>
            <w:r>
              <w:rPr>
                <w:rFonts w:ascii="Times" w:hAnsi="Times" w:cs="Times"/>
                <w:b/>
                <w:bCs/>
                <w:sz w:val="20"/>
                <w:szCs w:val="20"/>
              </w:rPr>
              <w:t>  9.   Vplyvy navrhovaného materiálu</w:t>
            </w:r>
          </w:p>
        </w:tc>
      </w:tr>
      <w:tr w:rsidR="003D6C58" w:rsidTr="00B97FA8">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D6C58" w:rsidTr="00B97FA8">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D6C58" w:rsidRDefault="003D6C58" w:rsidP="00B97FA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b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b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br/>
              <w:t> </w:t>
            </w:r>
            <w:r>
              <w:rPr>
                <w:rFonts w:ascii="Wingdings 2" w:hAnsi="Wingdings 2" w:cs="Times"/>
                <w:sz w:val="28"/>
                <w:szCs w:val="28"/>
              </w:rPr>
              <w:t></w:t>
            </w:r>
            <w:r>
              <w:rPr>
                <w:rFonts w:ascii="Times" w:hAnsi="Times" w:cs="Times"/>
                <w:sz w:val="20"/>
                <w:szCs w:val="20"/>
              </w:rPr>
              <w:t xml:space="preserve">    Negatívne</w:t>
            </w:r>
          </w:p>
        </w:tc>
      </w:tr>
      <w:tr w:rsidR="003D6C58" w:rsidTr="00B97FA8">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6C58" w:rsidRDefault="003D6C58" w:rsidP="00B97FA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Negatívne</w:t>
            </w:r>
          </w:p>
        </w:tc>
      </w:tr>
      <w:tr w:rsidR="003D6C58" w:rsidTr="00B97FA8">
        <w:trPr>
          <w:trHeight w:val="150"/>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D6C58" w:rsidRDefault="003D6C58" w:rsidP="00B97FA8">
            <w:pPr>
              <w:rPr>
                <w:rFonts w:ascii="Times" w:hAnsi="Times" w:cs="Times"/>
                <w:sz w:val="20"/>
                <w:szCs w:val="20"/>
              </w:rPr>
            </w:pPr>
            <w:r>
              <w:rPr>
                <w:rFonts w:ascii="Times" w:hAnsi="Times" w:cs="Times"/>
                <w:b/>
                <w:bCs/>
                <w:sz w:val="20"/>
                <w:szCs w:val="20"/>
              </w:rPr>
              <w:lastRenderedPageBreak/>
              <w:t>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rsidR="003D6C58" w:rsidRDefault="003D6C58" w:rsidP="00B97FA8">
            <w:pPr>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D6C58" w:rsidRDefault="003D6C58" w:rsidP="00B97FA8">
            <w:pPr>
              <w:rPr>
                <w:rFonts w:ascii="Times" w:hAnsi="Times" w:cs="Times"/>
                <w:sz w:val="20"/>
                <w:szCs w:val="20"/>
              </w:rPr>
            </w:pP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tcPr>
          <w:p w:rsidR="003D6C58" w:rsidRDefault="003D6C58" w:rsidP="00B97FA8">
            <w:pPr>
              <w:rPr>
                <w:rFonts w:ascii="Times" w:hAnsi="Times" w:cs="Times"/>
                <w:sz w:val="20"/>
                <w:szCs w:val="20"/>
              </w:rPr>
            </w:pPr>
            <w:r>
              <w:rPr>
                <w:rFonts w:ascii="Wingdings 2" w:hAnsi="Wingdings 2" w:cs="Times"/>
                <w:sz w:val="28"/>
                <w:szCs w:val="28"/>
              </w:rPr>
              <w:t></w:t>
            </w:r>
            <w:r>
              <w:rPr>
                <w:rFonts w:ascii="Times" w:hAnsi="Times" w:cs="Times"/>
                <w:sz w:val="20"/>
                <w:szCs w:val="20"/>
              </w:rPr>
              <w:t>  Negatívne</w:t>
            </w:r>
          </w:p>
        </w:tc>
      </w:tr>
    </w:tbl>
    <w:p w:rsidR="003D6C58" w:rsidRDefault="003D6C58" w:rsidP="003D6C58">
      <w:pPr>
        <w:pStyle w:val="Normlnywebov"/>
        <w:spacing w:before="0" w:beforeAutospacing="0" w:after="0" w:afterAutospacing="0"/>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D6C58" w:rsidTr="001C538E">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10.  Poznámky</w:t>
            </w:r>
          </w:p>
        </w:tc>
      </w:tr>
      <w:tr w:rsidR="003D6C58" w:rsidTr="001C538E">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sidRPr="00A179AE">
              <w:rPr>
                <w:i/>
              </w:rPr>
              <w:t>V prípade potreby uveďte doplňujúce informácie k návrhu.</w:t>
            </w:r>
          </w:p>
          <w:p w:rsidR="003D6C58" w:rsidRDefault="003D6C58" w:rsidP="00B97FA8">
            <w:pPr>
              <w:rPr>
                <w:rFonts w:ascii="Times" w:hAnsi="Times" w:cs="Times"/>
                <w:sz w:val="20"/>
                <w:szCs w:val="20"/>
              </w:rPr>
            </w:pPr>
            <w:r>
              <w:rPr>
                <w:rFonts w:ascii="Times" w:hAnsi="Times" w:cs="Times"/>
                <w:sz w:val="20"/>
                <w:szCs w:val="20"/>
              </w:rPr>
              <w:t xml:space="preserve">Predpokladá sa  pozitívny vplyv na cestovný ruch. </w:t>
            </w:r>
          </w:p>
        </w:tc>
      </w:tr>
      <w:tr w:rsidR="003D6C58" w:rsidTr="001C538E">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11.  Kontakt na spracovateľa</w:t>
            </w:r>
          </w:p>
        </w:tc>
      </w:tr>
      <w:tr w:rsidR="003D6C58" w:rsidTr="001C538E">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rFonts w:ascii="Times" w:hAnsi="Times" w:cs="Times"/>
                <w:sz w:val="20"/>
                <w:szCs w:val="20"/>
              </w:rPr>
            </w:pPr>
            <w:r>
              <w:rPr>
                <w:i/>
              </w:rPr>
              <w:t>Uveďte</w:t>
            </w:r>
            <w:r w:rsidRPr="00D13B6F">
              <w:rPr>
                <w:i/>
              </w:rPr>
              <w:t xml:space="preserve"> údaje na kontaktnú osobu, ktorú je možné kontaktovať v súvislosti s posúdením vybraných vplyvov</w:t>
            </w:r>
          </w:p>
          <w:p w:rsidR="003D6C58" w:rsidRDefault="003D6C58" w:rsidP="00B97FA8">
            <w:pPr>
              <w:rPr>
                <w:rFonts w:ascii="Times" w:hAnsi="Times" w:cs="Times"/>
                <w:sz w:val="20"/>
                <w:szCs w:val="20"/>
              </w:rPr>
            </w:pPr>
            <w:r>
              <w:rPr>
                <w:rFonts w:ascii="Times" w:hAnsi="Times" w:cs="Times"/>
                <w:sz w:val="20"/>
                <w:szCs w:val="20"/>
              </w:rPr>
              <w:t>JUDr. Andrea Horváthová, odbor štátnej železničnej správy, andrea.horvathova@mindop.sk, tel.: 02/59494479</w:t>
            </w:r>
          </w:p>
          <w:p w:rsidR="003D6C58" w:rsidRDefault="003D6C58" w:rsidP="00B97FA8">
            <w:pPr>
              <w:rPr>
                <w:rFonts w:ascii="Times" w:hAnsi="Times" w:cs="Times"/>
                <w:sz w:val="20"/>
                <w:szCs w:val="20"/>
              </w:rPr>
            </w:pPr>
            <w:r>
              <w:rPr>
                <w:rFonts w:ascii="Times" w:hAnsi="Times" w:cs="Times"/>
                <w:sz w:val="20"/>
                <w:szCs w:val="20"/>
              </w:rPr>
              <w:t>Ing. Mário Kováč, odbor štátnej železničnej správy, mario.kovac@mindop.sk, tel.: 02/59494414</w:t>
            </w:r>
          </w:p>
        </w:tc>
      </w:tr>
      <w:tr w:rsidR="003D6C58" w:rsidTr="001C538E">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12.  Zdroje</w:t>
            </w:r>
          </w:p>
        </w:tc>
      </w:tr>
      <w:tr w:rsidR="003D6C58" w:rsidTr="001C538E">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D6C58" w:rsidRDefault="003D6C58" w:rsidP="00B97FA8">
            <w:pPr>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3D6C58" w:rsidRDefault="003D6C58" w:rsidP="001C538E">
            <w:pPr>
              <w:rPr>
                <w:rFonts w:ascii="Times" w:hAnsi="Times" w:cs="Times"/>
                <w:sz w:val="20"/>
                <w:szCs w:val="20"/>
              </w:rPr>
            </w:pPr>
            <w:r>
              <w:rPr>
                <w:rFonts w:ascii="Times" w:hAnsi="Times" w:cs="Times"/>
                <w:sz w:val="20"/>
                <w:szCs w:val="20"/>
              </w:rPr>
              <w:t>Spolupráca s bezpečnostným orgánom</w:t>
            </w:r>
            <w:r w:rsidRPr="00E6177D">
              <w:rPr>
                <w:rFonts w:ascii="Times" w:hAnsi="Times" w:cs="Times"/>
                <w:sz w:val="20"/>
                <w:szCs w:val="20"/>
              </w:rPr>
              <w:t xml:space="preserve">. </w:t>
            </w:r>
          </w:p>
        </w:tc>
      </w:tr>
      <w:tr w:rsidR="003D6C58" w:rsidTr="001C538E">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D6C58" w:rsidRDefault="003D6C58" w:rsidP="00B97FA8">
            <w:pPr>
              <w:rPr>
                <w:rFonts w:ascii="Times" w:hAnsi="Times" w:cs="Times"/>
                <w:b/>
                <w:bCs/>
              </w:rPr>
            </w:pPr>
            <w:r>
              <w:rPr>
                <w:rFonts w:ascii="Times" w:hAnsi="Times" w:cs="Times"/>
                <w:b/>
                <w:bCs/>
              </w:rPr>
              <w:t>  13.  Stanovisko Komisie pre posudzovanie vybraných vplyvov z PPK</w:t>
            </w:r>
          </w:p>
        </w:tc>
      </w:tr>
      <w:tr w:rsidR="003D6C58" w:rsidTr="001C538E">
        <w:trPr>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3D6C58" w:rsidRDefault="003D6C58" w:rsidP="001C538E">
            <w:pPr>
              <w:rPr>
                <w:rFonts w:ascii="Times" w:hAnsi="Times" w:cs="Times"/>
                <w:sz w:val="20"/>
                <w:szCs w:val="20"/>
              </w:rPr>
            </w:pPr>
            <w:r w:rsidRPr="00A179AE">
              <w:rPr>
                <w:i/>
              </w:rPr>
              <w:t xml:space="preserve">Uveďte stanovisko </w:t>
            </w:r>
            <w:r>
              <w:rPr>
                <w:i/>
              </w:rPr>
              <w:t>Komisie pre posudzovanie vybraných vplyvov</w:t>
            </w:r>
            <w:r w:rsidRPr="00A179AE">
              <w:rPr>
                <w:i/>
              </w:rPr>
              <w:t>, ktoré Vám bolo zaslané v rámci predbežného pripomienkového konania</w:t>
            </w:r>
            <w:r w:rsidR="001C538E">
              <w:rPr>
                <w:i/>
              </w:rPr>
              <w:t>.</w:t>
            </w:r>
          </w:p>
        </w:tc>
      </w:tr>
    </w:tbl>
    <w:p w:rsidR="003D6C58" w:rsidRDefault="003D6C58" w:rsidP="003D6C58">
      <w:pPr>
        <w:pStyle w:val="Normlnywebov"/>
        <w:spacing w:before="0" w:beforeAutospacing="0" w:after="0" w:afterAutospacing="0"/>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6C58" w:rsidRPr="00F04CCD" w:rsidTr="001C538E">
        <w:trPr>
          <w:trHeight w:val="567"/>
        </w:trPr>
        <w:tc>
          <w:tcPr>
            <w:tcW w:w="9062" w:type="dxa"/>
            <w:shd w:val="clear" w:color="auto" w:fill="D9D9D9"/>
          </w:tcPr>
          <w:p w:rsidR="003D6C58" w:rsidRPr="006840E7" w:rsidRDefault="003D6C58" w:rsidP="00B97FA8">
            <w:pPr>
              <w:jc w:val="center"/>
              <w:rPr>
                <w:b/>
                <w:sz w:val="24"/>
              </w:rPr>
            </w:pPr>
            <w:r w:rsidRPr="006840E7">
              <w:rPr>
                <w:b/>
                <w:sz w:val="28"/>
              </w:rPr>
              <w:t xml:space="preserve">Analýza vplyvov na podnikateľské prostredie </w:t>
            </w:r>
          </w:p>
          <w:p w:rsidR="003D6C58" w:rsidRPr="006840E7" w:rsidRDefault="003D6C58" w:rsidP="00B97FA8">
            <w:pPr>
              <w:jc w:val="center"/>
              <w:rPr>
                <w:b/>
              </w:rPr>
            </w:pPr>
            <w:r w:rsidRPr="006840E7">
              <w:rPr>
                <w:b/>
                <w:sz w:val="24"/>
              </w:rPr>
              <w:t>(vrátane testu MSP)</w:t>
            </w:r>
          </w:p>
        </w:tc>
      </w:tr>
      <w:tr w:rsidR="003D6C58" w:rsidRPr="00F04CCD" w:rsidTr="001C538E">
        <w:trPr>
          <w:trHeight w:val="567"/>
        </w:trPr>
        <w:tc>
          <w:tcPr>
            <w:tcW w:w="9062" w:type="dxa"/>
            <w:shd w:val="clear" w:color="auto" w:fill="D9D9D9"/>
          </w:tcPr>
          <w:p w:rsidR="003D6C58" w:rsidRPr="006840E7" w:rsidRDefault="003D6C58" w:rsidP="00B97FA8">
            <w:pPr>
              <w:rPr>
                <w:b/>
                <w:sz w:val="24"/>
              </w:rPr>
            </w:pPr>
            <w:r w:rsidRPr="006840E7">
              <w:rPr>
                <w:b/>
                <w:sz w:val="24"/>
              </w:rPr>
              <w:t>Materiál bude mať vplyv s ohľadom na veľkostnú kategóriu podnikov:</w:t>
            </w:r>
          </w:p>
        </w:tc>
      </w:tr>
      <w:tr w:rsidR="003D6C58" w:rsidRPr="00F04CCD" w:rsidTr="001C538E">
        <w:trPr>
          <w:trHeight w:val="567"/>
        </w:trPr>
        <w:tc>
          <w:tcPr>
            <w:tcW w:w="9062" w:type="dxa"/>
            <w:shd w:val="clear" w:color="auto" w:fill="auto"/>
          </w:tcPr>
          <w:tbl>
            <w:tblPr>
              <w:tblW w:w="0" w:type="auto"/>
              <w:tblLook w:val="04A0" w:firstRow="1" w:lastRow="0" w:firstColumn="1" w:lastColumn="0" w:noHBand="0" w:noVBand="1"/>
            </w:tblPr>
            <w:tblGrid>
              <w:gridCol w:w="436"/>
              <w:gridCol w:w="8410"/>
            </w:tblGrid>
            <w:tr w:rsidR="003D6C58" w:rsidRPr="00F04CCD" w:rsidTr="00B97FA8">
              <w:tc>
                <w:tcPr>
                  <w:tcW w:w="436" w:type="dxa"/>
                  <w:shd w:val="clear" w:color="auto" w:fill="auto"/>
                </w:tcPr>
                <w:p w:rsidR="003D6C58" w:rsidRPr="00F04CCD" w:rsidRDefault="003D6C58" w:rsidP="00B97FA8">
                  <w:pPr>
                    <w:jc w:val="center"/>
                  </w:pPr>
                  <w:r w:rsidRPr="006840E7">
                    <w:rPr>
                      <w:rFonts w:ascii="MS Mincho" w:eastAsia="MS Mincho" w:hAnsi="MS Mincho" w:cs="MS Mincho" w:hint="eastAsia"/>
                    </w:rPr>
                    <w:t>☐</w:t>
                  </w:r>
                </w:p>
              </w:tc>
              <w:tc>
                <w:tcPr>
                  <w:tcW w:w="8545" w:type="dxa"/>
                  <w:shd w:val="clear" w:color="auto" w:fill="auto"/>
                </w:tcPr>
                <w:p w:rsidR="003D6C58" w:rsidRPr="006840E7" w:rsidRDefault="003D6C58" w:rsidP="00B97FA8">
                  <w:pPr>
                    <w:rPr>
                      <w:b/>
                    </w:rPr>
                  </w:pPr>
                  <w:r w:rsidRPr="006840E7">
                    <w:rPr>
                      <w:b/>
                    </w:rPr>
                    <w:t xml:space="preserve">iba na MSP (0 - 249 zamestnancov) </w:t>
                  </w:r>
                </w:p>
              </w:tc>
            </w:tr>
            <w:tr w:rsidR="003D6C58" w:rsidRPr="00F04CCD" w:rsidTr="00B97FA8">
              <w:tc>
                <w:tcPr>
                  <w:tcW w:w="436" w:type="dxa"/>
                  <w:shd w:val="clear" w:color="auto" w:fill="auto"/>
                </w:tcPr>
                <w:p w:rsidR="003D6C58" w:rsidRPr="00F04CCD" w:rsidRDefault="003D6C58" w:rsidP="00B97FA8">
                  <w:pPr>
                    <w:jc w:val="center"/>
                  </w:pPr>
                  <w:r w:rsidRPr="006840E7">
                    <w:rPr>
                      <w:rFonts w:ascii="MS Mincho" w:eastAsia="MS Mincho" w:hAnsi="MS Mincho" w:cs="MS Mincho" w:hint="eastAsia"/>
                    </w:rPr>
                    <w:t>☐</w:t>
                  </w:r>
                </w:p>
              </w:tc>
              <w:tc>
                <w:tcPr>
                  <w:tcW w:w="8545" w:type="dxa"/>
                  <w:shd w:val="clear" w:color="auto" w:fill="auto"/>
                </w:tcPr>
                <w:p w:rsidR="003D6C58" w:rsidRPr="006840E7" w:rsidRDefault="003D6C58" w:rsidP="00B97FA8">
                  <w:pPr>
                    <w:rPr>
                      <w:b/>
                    </w:rPr>
                  </w:pPr>
                  <w:r w:rsidRPr="006840E7">
                    <w:rPr>
                      <w:b/>
                    </w:rPr>
                    <w:t>iba na veľké podniky (250 a viac zamestnancov)</w:t>
                  </w:r>
                </w:p>
              </w:tc>
            </w:tr>
            <w:tr w:rsidR="003D6C58" w:rsidRPr="00F04CCD" w:rsidTr="00B97FA8">
              <w:tc>
                <w:tcPr>
                  <w:tcW w:w="436" w:type="dxa"/>
                  <w:shd w:val="clear" w:color="auto" w:fill="auto"/>
                </w:tcPr>
                <w:p w:rsidR="003D6C58" w:rsidRPr="00F04CCD" w:rsidRDefault="003D6C58" w:rsidP="00B97FA8">
                  <w:pPr>
                    <w:jc w:val="center"/>
                  </w:pPr>
                  <w:r w:rsidRPr="006840E7">
                    <w:rPr>
                      <w:rFonts w:ascii="MS Gothic" w:eastAsia="MS Gothic" w:hAnsi="MS Gothic" w:hint="eastAsia"/>
                    </w:rPr>
                    <w:t>☒</w:t>
                  </w:r>
                </w:p>
              </w:tc>
              <w:tc>
                <w:tcPr>
                  <w:tcW w:w="8545" w:type="dxa"/>
                  <w:shd w:val="clear" w:color="auto" w:fill="auto"/>
                </w:tcPr>
                <w:p w:rsidR="003D6C58" w:rsidRPr="00F04CCD" w:rsidRDefault="003D6C58" w:rsidP="00B97FA8">
                  <w:r w:rsidRPr="006840E7">
                    <w:rPr>
                      <w:b/>
                    </w:rPr>
                    <w:t>na všetky kategórie podnikov</w:t>
                  </w:r>
                </w:p>
              </w:tc>
            </w:tr>
          </w:tbl>
          <w:p w:rsidR="003D6C58" w:rsidRPr="006840E7" w:rsidRDefault="003D6C58" w:rsidP="00B97FA8">
            <w:pPr>
              <w:rPr>
                <w:b/>
              </w:rPr>
            </w:pPr>
          </w:p>
        </w:tc>
      </w:tr>
      <w:tr w:rsidR="003D6C58" w:rsidRPr="00F04CCD" w:rsidTr="001C538E">
        <w:tc>
          <w:tcPr>
            <w:tcW w:w="9062" w:type="dxa"/>
            <w:shd w:val="clear" w:color="auto" w:fill="D9D9D9"/>
          </w:tcPr>
          <w:p w:rsidR="003D6C58" w:rsidRPr="006840E7" w:rsidRDefault="003D6C58" w:rsidP="00B97FA8">
            <w:pPr>
              <w:rPr>
                <w:b/>
                <w:sz w:val="24"/>
              </w:rPr>
            </w:pPr>
            <w:r w:rsidRPr="006840E7">
              <w:rPr>
                <w:b/>
                <w:sz w:val="24"/>
              </w:rPr>
              <w:t>3.1 Dotknuté podnikateľské subjekty</w:t>
            </w:r>
          </w:p>
          <w:p w:rsidR="003D6C58" w:rsidRPr="006840E7" w:rsidRDefault="003D6C58" w:rsidP="00B97FA8">
            <w:pPr>
              <w:ind w:left="284"/>
              <w:rPr>
                <w:b/>
              </w:rPr>
            </w:pPr>
            <w:r w:rsidRPr="006840E7">
              <w:rPr>
                <w:sz w:val="24"/>
              </w:rPr>
              <w:t xml:space="preserve"> - </w:t>
            </w:r>
            <w:r w:rsidRPr="006840E7">
              <w:rPr>
                <w:b/>
                <w:sz w:val="24"/>
              </w:rPr>
              <w:t>z toho MSP</w:t>
            </w:r>
          </w:p>
        </w:tc>
      </w:tr>
      <w:tr w:rsidR="003D6C58" w:rsidRPr="00F04CCD" w:rsidTr="001C538E">
        <w:tc>
          <w:tcPr>
            <w:tcW w:w="9062" w:type="dxa"/>
            <w:tcBorders>
              <w:bottom w:val="single" w:sz="4" w:space="0" w:color="auto"/>
            </w:tcBorders>
            <w:shd w:val="clear" w:color="auto" w:fill="auto"/>
          </w:tcPr>
          <w:p w:rsidR="003D6C58" w:rsidRPr="006840E7" w:rsidRDefault="003D6C58" w:rsidP="00B97FA8">
            <w:pPr>
              <w:rPr>
                <w:i/>
              </w:rPr>
            </w:pPr>
            <w:r w:rsidRPr="006840E7">
              <w:rPr>
                <w:i/>
              </w:rPr>
              <w:t>Uveďte, aké podnikateľské subjekty budú predkladaným návrhom ovplyvnené.</w:t>
            </w:r>
          </w:p>
          <w:p w:rsidR="003D6C58" w:rsidRPr="006840E7" w:rsidRDefault="003D6C58" w:rsidP="00B97FA8">
            <w:pPr>
              <w:rPr>
                <w:i/>
              </w:rPr>
            </w:pPr>
            <w:r w:rsidRPr="006840E7">
              <w:rPr>
                <w:i/>
              </w:rPr>
              <w:t>Aký je ich počet?</w:t>
            </w:r>
          </w:p>
        </w:tc>
      </w:tr>
      <w:tr w:rsidR="003D6C58" w:rsidRPr="00F04CCD" w:rsidTr="001C538E">
        <w:trPr>
          <w:trHeight w:val="699"/>
        </w:trPr>
        <w:tc>
          <w:tcPr>
            <w:tcW w:w="9062" w:type="dxa"/>
            <w:tcBorders>
              <w:bottom w:val="single" w:sz="4" w:space="0" w:color="auto"/>
            </w:tcBorders>
            <w:shd w:val="clear" w:color="auto" w:fill="auto"/>
          </w:tcPr>
          <w:p w:rsidR="003D6C58" w:rsidRPr="006840E7" w:rsidRDefault="003D6C58" w:rsidP="00B97FA8">
            <w:pPr>
              <w:rPr>
                <w:b/>
                <w:i/>
              </w:rPr>
            </w:pPr>
            <w:r w:rsidRPr="006840E7">
              <w:rPr>
                <w:rFonts w:ascii="Times" w:hAnsi="Times" w:cs="Times"/>
                <w:b/>
              </w:rPr>
              <w:t>Zmeny v predkladanom návrhu zákona sa dotknú prevádzkovateľov špeciálnych dráh</w:t>
            </w:r>
            <w:r>
              <w:rPr>
                <w:rFonts w:ascii="Times" w:hAnsi="Times" w:cs="Times"/>
                <w:b/>
              </w:rPr>
              <w:t>.</w:t>
            </w:r>
          </w:p>
        </w:tc>
      </w:tr>
      <w:tr w:rsidR="003D6C58" w:rsidRPr="00F04CCD" w:rsidTr="001C538E">
        <w:trPr>
          <w:trHeight w:val="339"/>
        </w:trPr>
        <w:tc>
          <w:tcPr>
            <w:tcW w:w="9062" w:type="dxa"/>
            <w:tcBorders>
              <w:bottom w:val="single" w:sz="4" w:space="0" w:color="auto"/>
            </w:tcBorders>
            <w:shd w:val="clear" w:color="auto" w:fill="D9D9D9"/>
          </w:tcPr>
          <w:p w:rsidR="003D6C58" w:rsidRPr="006840E7" w:rsidRDefault="003D6C58" w:rsidP="00B97FA8">
            <w:pPr>
              <w:rPr>
                <w:b/>
                <w:sz w:val="24"/>
              </w:rPr>
            </w:pPr>
            <w:r w:rsidRPr="006840E7">
              <w:rPr>
                <w:b/>
                <w:sz w:val="24"/>
              </w:rPr>
              <w:t>3.2 Vyhodnotenie konzultácií</w:t>
            </w:r>
          </w:p>
          <w:p w:rsidR="003D6C58" w:rsidRPr="006840E7" w:rsidRDefault="003D6C58" w:rsidP="00B97FA8">
            <w:pPr>
              <w:rPr>
                <w:b/>
              </w:rPr>
            </w:pPr>
            <w:r w:rsidRPr="006840E7">
              <w:rPr>
                <w:sz w:val="24"/>
              </w:rPr>
              <w:lastRenderedPageBreak/>
              <w:t xml:space="preserve">       - </w:t>
            </w:r>
            <w:r w:rsidRPr="006840E7">
              <w:rPr>
                <w:b/>
                <w:sz w:val="24"/>
              </w:rPr>
              <w:t>z toho MSP</w:t>
            </w:r>
          </w:p>
        </w:tc>
      </w:tr>
      <w:tr w:rsidR="003D6C58" w:rsidRPr="00F04CCD" w:rsidTr="001C538E">
        <w:trPr>
          <w:trHeight w:val="557"/>
        </w:trPr>
        <w:tc>
          <w:tcPr>
            <w:tcW w:w="9062" w:type="dxa"/>
            <w:tcBorders>
              <w:bottom w:val="single" w:sz="4" w:space="0" w:color="auto"/>
            </w:tcBorders>
            <w:shd w:val="clear" w:color="auto" w:fill="auto"/>
          </w:tcPr>
          <w:p w:rsidR="003D6C58" w:rsidRPr="006840E7" w:rsidRDefault="003D6C58" w:rsidP="00B97FA8">
            <w:pPr>
              <w:rPr>
                <w:i/>
              </w:rPr>
            </w:pPr>
            <w:r w:rsidRPr="006840E7">
              <w:rPr>
                <w:i/>
              </w:rPr>
              <w:lastRenderedPageBreak/>
              <w:t>Uveďte, akou formou (verejné alebo cielené konzultácie a prečo) a s kým bol návrh konzultovaný.</w:t>
            </w:r>
          </w:p>
          <w:p w:rsidR="003D6C58" w:rsidRPr="006840E7" w:rsidRDefault="003D6C58" w:rsidP="00B97FA8">
            <w:pPr>
              <w:rPr>
                <w:i/>
              </w:rPr>
            </w:pPr>
            <w:r w:rsidRPr="006840E7">
              <w:rPr>
                <w:i/>
              </w:rPr>
              <w:t>Ako dlho trvali konzultácie?</w:t>
            </w:r>
          </w:p>
          <w:p w:rsidR="003D6C58" w:rsidRPr="006840E7" w:rsidRDefault="003D6C58" w:rsidP="00B97FA8">
            <w:pPr>
              <w:rPr>
                <w:i/>
              </w:rPr>
            </w:pPr>
            <w:r w:rsidRPr="006840E7">
              <w:rPr>
                <w:i/>
              </w:rPr>
              <w:t xml:space="preserve">Uveďte hlavné body konzultácií a výsledky konzultácií. </w:t>
            </w:r>
          </w:p>
        </w:tc>
      </w:tr>
      <w:tr w:rsidR="003D6C58" w:rsidRPr="00F04CCD" w:rsidTr="001C538E">
        <w:trPr>
          <w:trHeight w:val="1440"/>
        </w:trPr>
        <w:tc>
          <w:tcPr>
            <w:tcW w:w="9062" w:type="dxa"/>
            <w:tcBorders>
              <w:bottom w:val="single" w:sz="4" w:space="0" w:color="auto"/>
            </w:tcBorders>
            <w:shd w:val="clear" w:color="auto" w:fill="auto"/>
          </w:tcPr>
          <w:p w:rsidR="003D6C58" w:rsidRPr="006840E7" w:rsidRDefault="003D6C58" w:rsidP="001C538E">
            <w:pPr>
              <w:rPr>
                <w:i/>
              </w:rPr>
            </w:pPr>
            <w:r w:rsidRPr="00A347A3">
              <w:rPr>
                <w:b/>
                <w:i/>
              </w:rPr>
              <w:t>Návrh zákona bol pripravený aj na základe dopytu verejnosti po takomto projekte</w:t>
            </w:r>
            <w:r>
              <w:rPr>
                <w:b/>
                <w:i/>
              </w:rPr>
              <w:t>. Tlmočený bol</w:t>
            </w:r>
            <w:r w:rsidRPr="00A347A3">
              <w:rPr>
                <w:b/>
                <w:i/>
              </w:rPr>
              <w:t xml:space="preserve"> prostredníctvom prevádzkovateľov špeciálnych dráh. </w:t>
            </w:r>
            <w:r>
              <w:rPr>
                <w:b/>
                <w:i/>
              </w:rPr>
              <w:t>N</w:t>
            </w:r>
            <w:r w:rsidRPr="00A347A3">
              <w:rPr>
                <w:b/>
                <w:i/>
              </w:rPr>
              <w:t xml:space="preserve">ávrh zákona bol predložený do legislatívneho procesu  v nadväznosti na aktuálnu mimoriadnu situáciu ako jedno z opatrení na zmiernenie ekonomického dopadu pandémie </w:t>
            </w:r>
            <w:proofErr w:type="spellStart"/>
            <w:r w:rsidRPr="00A347A3">
              <w:rPr>
                <w:b/>
                <w:i/>
              </w:rPr>
              <w:t>Covid</w:t>
            </w:r>
            <w:proofErr w:type="spellEnd"/>
            <w:r w:rsidRPr="00A347A3">
              <w:rPr>
                <w:b/>
                <w:i/>
              </w:rPr>
              <w:t xml:space="preserve"> </w:t>
            </w:r>
            <w:r>
              <w:rPr>
                <w:b/>
                <w:i/>
              </w:rPr>
              <w:t>– 19 a podporu cestovného ruchu. Z uvedených dôvodov</w:t>
            </w:r>
            <w:r w:rsidRPr="00A347A3">
              <w:rPr>
                <w:b/>
                <w:i/>
              </w:rPr>
              <w:t xml:space="preserve"> nebol časový priestor na zverejnenie predbežnej informácie o príprave návrhu zákona.</w:t>
            </w:r>
          </w:p>
        </w:tc>
      </w:tr>
      <w:tr w:rsidR="003D6C58" w:rsidRPr="00F04CCD" w:rsidTr="001C538E">
        <w:tc>
          <w:tcPr>
            <w:tcW w:w="9062" w:type="dxa"/>
            <w:shd w:val="clear" w:color="auto" w:fill="D9D9D9"/>
          </w:tcPr>
          <w:p w:rsidR="003D6C58" w:rsidRPr="006840E7" w:rsidRDefault="003D6C58" w:rsidP="00B97FA8">
            <w:pPr>
              <w:rPr>
                <w:b/>
                <w:sz w:val="24"/>
              </w:rPr>
            </w:pPr>
            <w:r w:rsidRPr="006840E7">
              <w:rPr>
                <w:b/>
                <w:sz w:val="24"/>
              </w:rPr>
              <w:t>3.3 Náklady regulácie</w:t>
            </w:r>
          </w:p>
          <w:p w:rsidR="003D6C58" w:rsidRPr="006840E7" w:rsidRDefault="003D6C58" w:rsidP="00B97FA8">
            <w:pPr>
              <w:rPr>
                <w:b/>
              </w:rPr>
            </w:pPr>
            <w:r w:rsidRPr="006840E7">
              <w:rPr>
                <w:sz w:val="24"/>
              </w:rPr>
              <w:t xml:space="preserve">      - </w:t>
            </w:r>
            <w:r w:rsidRPr="006840E7">
              <w:rPr>
                <w:b/>
                <w:sz w:val="24"/>
              </w:rPr>
              <w:t>z toho MSP</w:t>
            </w:r>
          </w:p>
        </w:tc>
      </w:tr>
      <w:tr w:rsidR="003D6C58" w:rsidRPr="00F04CCD" w:rsidTr="001C538E">
        <w:tc>
          <w:tcPr>
            <w:tcW w:w="9062" w:type="dxa"/>
            <w:tcBorders>
              <w:bottom w:val="single" w:sz="4" w:space="0" w:color="auto"/>
            </w:tcBorders>
            <w:shd w:val="clear" w:color="auto" w:fill="auto"/>
          </w:tcPr>
          <w:p w:rsidR="003D6C58" w:rsidRPr="006840E7" w:rsidRDefault="003D6C58" w:rsidP="00B97FA8">
            <w:pPr>
              <w:rPr>
                <w:b/>
                <w:i/>
              </w:rPr>
            </w:pPr>
            <w:r w:rsidRPr="006840E7">
              <w:rPr>
                <w:b/>
                <w:i/>
              </w:rPr>
              <w:t>3.3.1 Priame finančné náklady</w:t>
            </w:r>
          </w:p>
          <w:p w:rsidR="003D6C58" w:rsidRPr="006840E7" w:rsidRDefault="003D6C58" w:rsidP="00B97FA8">
            <w:pPr>
              <w:rPr>
                <w:i/>
              </w:rPr>
            </w:pPr>
            <w:r w:rsidRPr="006840E7">
              <w:rPr>
                <w:i/>
              </w:rPr>
              <w:t xml:space="preserve">Dochádza k zvýšeniu/zníženiu priamych finančných nákladov (poplatky, odvody, dane clá...)? Ak áno, popíšte a vyčíslite ich. Uveďte tiež spôsob ich výpočtu. </w:t>
            </w:r>
          </w:p>
        </w:tc>
      </w:tr>
      <w:tr w:rsidR="003D6C58" w:rsidRPr="00F04CCD" w:rsidTr="001C538E">
        <w:tc>
          <w:tcPr>
            <w:tcW w:w="9062" w:type="dxa"/>
            <w:tcBorders>
              <w:bottom w:val="single" w:sz="4" w:space="0" w:color="auto"/>
            </w:tcBorders>
            <w:shd w:val="clear" w:color="auto" w:fill="auto"/>
          </w:tcPr>
          <w:p w:rsidR="003D6C58" w:rsidRPr="006840E7" w:rsidRDefault="003D6C58" w:rsidP="001C538E">
            <w:pPr>
              <w:rPr>
                <w:b/>
                <w:i/>
              </w:rPr>
            </w:pPr>
            <w:r w:rsidRPr="006840E7">
              <w:rPr>
                <w:b/>
                <w:i/>
              </w:rPr>
              <w:t>Zmenou dochádza k zníženiu priamych finančných nákladov, najmä poplatkov spojených so s</w:t>
            </w:r>
            <w:r>
              <w:rPr>
                <w:b/>
                <w:i/>
              </w:rPr>
              <w:t>chvaľovaním dráhových vozidiel. Uvedené poplatky sú závislé na rozmanitosti jednotlivých dráhových vozidiel, z toho dôvodu nie je možné vyčísliť znížené náklady.</w:t>
            </w:r>
          </w:p>
        </w:tc>
      </w:tr>
      <w:tr w:rsidR="003D6C58" w:rsidRPr="00F04CCD" w:rsidTr="001C538E">
        <w:tc>
          <w:tcPr>
            <w:tcW w:w="9062" w:type="dxa"/>
            <w:tcBorders>
              <w:bottom w:val="single" w:sz="4" w:space="0" w:color="auto"/>
            </w:tcBorders>
            <w:shd w:val="clear" w:color="auto" w:fill="auto"/>
          </w:tcPr>
          <w:p w:rsidR="003D6C58" w:rsidRPr="006840E7" w:rsidRDefault="003D6C58" w:rsidP="00B97FA8">
            <w:pPr>
              <w:rPr>
                <w:b/>
                <w:i/>
              </w:rPr>
            </w:pPr>
            <w:r w:rsidRPr="006840E7">
              <w:rPr>
                <w:b/>
                <w:i/>
              </w:rPr>
              <w:t>3.3.2 Nepriame finančné náklady</w:t>
            </w:r>
          </w:p>
          <w:p w:rsidR="003D6C58" w:rsidRPr="006840E7" w:rsidRDefault="003D6C58" w:rsidP="00B97FA8">
            <w:pPr>
              <w:rPr>
                <w:i/>
              </w:rPr>
            </w:pPr>
            <w:r w:rsidRPr="006840E7">
              <w:rPr>
                <w:i/>
              </w:rPr>
              <w:t>Vyžaduje si predkladaný návrh dodatočné náklady na nákup tovarov alebo služieb? Zvyšuje predkladaný návrh náklady súvisiace so zamestnávaním? Ak áno, popíšte a vyčíslite ich. Uveďte tiež spôsob ich výpočtu.</w:t>
            </w:r>
          </w:p>
        </w:tc>
      </w:tr>
      <w:tr w:rsidR="003D6C58" w:rsidRPr="00F04CCD" w:rsidTr="001C538E">
        <w:tc>
          <w:tcPr>
            <w:tcW w:w="9062" w:type="dxa"/>
            <w:tcBorders>
              <w:bottom w:val="single" w:sz="4" w:space="0" w:color="auto"/>
            </w:tcBorders>
            <w:shd w:val="clear" w:color="auto" w:fill="auto"/>
          </w:tcPr>
          <w:p w:rsidR="003D6C58" w:rsidRPr="006840E7" w:rsidRDefault="003D6C58" w:rsidP="001C538E">
            <w:pPr>
              <w:rPr>
                <w:b/>
                <w:i/>
              </w:rPr>
            </w:pPr>
            <w:r w:rsidRPr="006840E7">
              <w:rPr>
                <w:b/>
                <w:i/>
              </w:rPr>
              <w:t>Zmenou dochádza k zníženiu nep</w:t>
            </w:r>
            <w:r>
              <w:rPr>
                <w:b/>
                <w:i/>
              </w:rPr>
              <w:t>riamych finančných nákladov spojených so schvaľovaním dráhových vozidiel, ktoré sú závislé od konkrétneho typu dráhového vozidla a z toho vyplývajúcej náročnosti procesu posudzovania zhody s požiadavkami vyplývajúcimi z platných právnych predpisov. Na základe uvedeného nie je možné vyčísliť znížené náklady.</w:t>
            </w:r>
          </w:p>
        </w:tc>
      </w:tr>
      <w:tr w:rsidR="003D6C58" w:rsidRPr="00F04CCD" w:rsidTr="001C538E">
        <w:tc>
          <w:tcPr>
            <w:tcW w:w="9062" w:type="dxa"/>
            <w:tcBorders>
              <w:bottom w:val="single" w:sz="4" w:space="0" w:color="auto"/>
            </w:tcBorders>
            <w:shd w:val="clear" w:color="auto" w:fill="auto"/>
          </w:tcPr>
          <w:p w:rsidR="003D6C58" w:rsidRPr="006840E7" w:rsidRDefault="003D6C58" w:rsidP="00B97FA8">
            <w:pPr>
              <w:rPr>
                <w:b/>
                <w:i/>
              </w:rPr>
            </w:pPr>
            <w:r w:rsidRPr="006840E7">
              <w:rPr>
                <w:b/>
                <w:i/>
              </w:rPr>
              <w:t>3.3.3 Administratívne náklady</w:t>
            </w:r>
          </w:p>
          <w:p w:rsidR="003D6C58" w:rsidRPr="006840E7" w:rsidRDefault="003D6C58" w:rsidP="00B97FA8">
            <w:pPr>
              <w:rPr>
                <w:i/>
              </w:rPr>
            </w:pPr>
            <w:r w:rsidRPr="006840E7">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D6C58" w:rsidRPr="00F04CCD" w:rsidTr="001C538E">
        <w:tc>
          <w:tcPr>
            <w:tcW w:w="9062" w:type="dxa"/>
            <w:tcBorders>
              <w:bottom w:val="single" w:sz="4" w:space="0" w:color="auto"/>
            </w:tcBorders>
            <w:shd w:val="clear" w:color="auto" w:fill="auto"/>
          </w:tcPr>
          <w:p w:rsidR="003D6C58" w:rsidRPr="006840E7" w:rsidRDefault="003D6C58" w:rsidP="001C538E">
            <w:pPr>
              <w:rPr>
                <w:b/>
                <w:i/>
              </w:rPr>
            </w:pPr>
            <w:r>
              <w:rPr>
                <w:b/>
                <w:i/>
              </w:rPr>
              <w:t>Odpadla povinnosť predkladania dokumentácie schvaľovaciemu orgánu, nakoľko dreziny poháňané ľudskou silou s prihliadnutím na jednoduchosť ich konštrukcie nie je potrebné schvaľovať. Vzhľadom na rozmanitosť dráhových vozidiel a z toho vyplývajúcimi nákladmi na dokumentáciu nie je možné vyčísliť znížené náklady.</w:t>
            </w:r>
          </w:p>
        </w:tc>
      </w:tr>
      <w:tr w:rsidR="003D6C58" w:rsidRPr="00F04CCD" w:rsidTr="001C538E">
        <w:trPr>
          <w:trHeight w:val="2318"/>
        </w:trPr>
        <w:tc>
          <w:tcPr>
            <w:tcW w:w="9062" w:type="dxa"/>
            <w:tcBorders>
              <w:bottom w:val="single" w:sz="4" w:space="0" w:color="auto"/>
            </w:tcBorders>
            <w:shd w:val="clear" w:color="auto" w:fill="auto"/>
          </w:tcPr>
          <w:p w:rsidR="003D6C58" w:rsidRPr="006840E7" w:rsidRDefault="003D6C58" w:rsidP="00B97FA8">
            <w:pPr>
              <w:rPr>
                <w:i/>
              </w:rPr>
            </w:pPr>
            <w:r w:rsidRPr="006840E7">
              <w:rPr>
                <w:b/>
                <w:i/>
              </w:rPr>
              <w:lastRenderedPageBreak/>
              <w:t>3.3.4 Súhrnná tabuľka nákladov regulácie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0"/>
              <w:gridCol w:w="2946"/>
            </w:tblGrid>
            <w:tr w:rsidR="003D6C58" w:rsidRPr="00F04CCD" w:rsidTr="001C538E">
              <w:trPr>
                <w:trHeight w:val="531"/>
              </w:trPr>
              <w:tc>
                <w:tcPr>
                  <w:tcW w:w="2993" w:type="dxa"/>
                  <w:shd w:val="clear" w:color="auto" w:fill="auto"/>
                </w:tcPr>
                <w:p w:rsidR="003D6C58" w:rsidRPr="006840E7" w:rsidRDefault="003D6C58" w:rsidP="00B97FA8">
                  <w:pPr>
                    <w:rPr>
                      <w:i/>
                    </w:rPr>
                  </w:pPr>
                </w:p>
              </w:tc>
              <w:tc>
                <w:tcPr>
                  <w:tcW w:w="2994" w:type="dxa"/>
                  <w:shd w:val="clear" w:color="auto" w:fill="auto"/>
                </w:tcPr>
                <w:p w:rsidR="003D6C58" w:rsidRPr="006840E7" w:rsidRDefault="003D6C58" w:rsidP="00B97FA8">
                  <w:pPr>
                    <w:jc w:val="center"/>
                    <w:rPr>
                      <w:i/>
                    </w:rPr>
                  </w:pPr>
                  <w:r w:rsidRPr="006840E7">
                    <w:rPr>
                      <w:i/>
                    </w:rPr>
                    <w:t>Náklady na 1 podnikateľa</w:t>
                  </w:r>
                </w:p>
              </w:tc>
              <w:tc>
                <w:tcPr>
                  <w:tcW w:w="2994" w:type="dxa"/>
                  <w:shd w:val="clear" w:color="auto" w:fill="auto"/>
                </w:tcPr>
                <w:p w:rsidR="003D6C58" w:rsidRPr="006840E7" w:rsidRDefault="003D6C58" w:rsidP="00B97FA8">
                  <w:pPr>
                    <w:jc w:val="center"/>
                    <w:rPr>
                      <w:i/>
                    </w:rPr>
                  </w:pPr>
                  <w:r w:rsidRPr="006840E7">
                    <w:rPr>
                      <w:i/>
                    </w:rPr>
                    <w:t>Náklady na celé podnikateľské prostredie</w:t>
                  </w:r>
                </w:p>
              </w:tc>
            </w:tr>
            <w:tr w:rsidR="003D6C58" w:rsidRPr="00F04CCD" w:rsidTr="00B97FA8">
              <w:tc>
                <w:tcPr>
                  <w:tcW w:w="2993" w:type="dxa"/>
                  <w:shd w:val="clear" w:color="auto" w:fill="auto"/>
                </w:tcPr>
                <w:p w:rsidR="003D6C58" w:rsidRPr="006840E7" w:rsidRDefault="003D6C58" w:rsidP="00B97FA8">
                  <w:pPr>
                    <w:rPr>
                      <w:i/>
                    </w:rPr>
                  </w:pPr>
                  <w:r w:rsidRPr="006840E7">
                    <w:rPr>
                      <w:i/>
                    </w:rPr>
                    <w:t>Priame finančné náklady</w:t>
                  </w:r>
                </w:p>
              </w:tc>
              <w:tc>
                <w:tcPr>
                  <w:tcW w:w="2994" w:type="dxa"/>
                  <w:shd w:val="clear" w:color="auto" w:fill="auto"/>
                </w:tcPr>
                <w:p w:rsidR="003D6C58" w:rsidRPr="006840E7" w:rsidRDefault="003D6C58" w:rsidP="00B97FA8">
                  <w:pPr>
                    <w:jc w:val="center"/>
                    <w:rPr>
                      <w:i/>
                    </w:rPr>
                  </w:pPr>
                  <w:r w:rsidRPr="006840E7">
                    <w:rPr>
                      <w:i/>
                    </w:rPr>
                    <w:t>0</w:t>
                  </w:r>
                </w:p>
              </w:tc>
              <w:tc>
                <w:tcPr>
                  <w:tcW w:w="2994" w:type="dxa"/>
                  <w:shd w:val="clear" w:color="auto" w:fill="auto"/>
                </w:tcPr>
                <w:p w:rsidR="003D6C58" w:rsidRPr="006840E7" w:rsidRDefault="003D6C58" w:rsidP="00B97FA8">
                  <w:pPr>
                    <w:jc w:val="center"/>
                    <w:rPr>
                      <w:i/>
                    </w:rPr>
                  </w:pPr>
                  <w:r w:rsidRPr="006840E7">
                    <w:rPr>
                      <w:i/>
                    </w:rPr>
                    <w:t>0</w:t>
                  </w:r>
                </w:p>
              </w:tc>
            </w:tr>
            <w:tr w:rsidR="003D6C58" w:rsidRPr="00F04CCD" w:rsidTr="00B97FA8">
              <w:tc>
                <w:tcPr>
                  <w:tcW w:w="2993" w:type="dxa"/>
                  <w:shd w:val="clear" w:color="auto" w:fill="auto"/>
                </w:tcPr>
                <w:p w:rsidR="003D6C58" w:rsidRPr="006840E7" w:rsidRDefault="003D6C58" w:rsidP="00B97FA8">
                  <w:pPr>
                    <w:rPr>
                      <w:i/>
                    </w:rPr>
                  </w:pPr>
                  <w:r w:rsidRPr="006840E7">
                    <w:rPr>
                      <w:i/>
                    </w:rPr>
                    <w:t>Nepriame finančné náklady</w:t>
                  </w:r>
                </w:p>
              </w:tc>
              <w:tc>
                <w:tcPr>
                  <w:tcW w:w="2994" w:type="dxa"/>
                  <w:shd w:val="clear" w:color="auto" w:fill="auto"/>
                </w:tcPr>
                <w:p w:rsidR="003D6C58" w:rsidRPr="006840E7" w:rsidRDefault="003D6C58" w:rsidP="00B97FA8">
                  <w:pPr>
                    <w:jc w:val="center"/>
                    <w:rPr>
                      <w:i/>
                    </w:rPr>
                  </w:pPr>
                  <w:r w:rsidRPr="006840E7">
                    <w:rPr>
                      <w:i/>
                    </w:rPr>
                    <w:t>0</w:t>
                  </w:r>
                </w:p>
              </w:tc>
              <w:tc>
                <w:tcPr>
                  <w:tcW w:w="2994" w:type="dxa"/>
                  <w:shd w:val="clear" w:color="auto" w:fill="auto"/>
                </w:tcPr>
                <w:p w:rsidR="003D6C58" w:rsidRPr="006840E7" w:rsidRDefault="003D6C58" w:rsidP="00B97FA8">
                  <w:pPr>
                    <w:jc w:val="center"/>
                    <w:rPr>
                      <w:i/>
                    </w:rPr>
                  </w:pPr>
                  <w:r w:rsidRPr="006840E7">
                    <w:rPr>
                      <w:i/>
                    </w:rPr>
                    <w:t>0</w:t>
                  </w:r>
                </w:p>
              </w:tc>
            </w:tr>
            <w:tr w:rsidR="003D6C58" w:rsidRPr="00F04CCD" w:rsidTr="00B97FA8">
              <w:tc>
                <w:tcPr>
                  <w:tcW w:w="2993" w:type="dxa"/>
                  <w:shd w:val="clear" w:color="auto" w:fill="auto"/>
                </w:tcPr>
                <w:p w:rsidR="003D6C58" w:rsidRPr="006840E7" w:rsidRDefault="003D6C58" w:rsidP="00B97FA8">
                  <w:pPr>
                    <w:rPr>
                      <w:i/>
                    </w:rPr>
                  </w:pPr>
                  <w:r w:rsidRPr="006840E7">
                    <w:rPr>
                      <w:i/>
                    </w:rPr>
                    <w:t>Administratívne náklady</w:t>
                  </w:r>
                </w:p>
              </w:tc>
              <w:tc>
                <w:tcPr>
                  <w:tcW w:w="2994" w:type="dxa"/>
                  <w:shd w:val="clear" w:color="auto" w:fill="auto"/>
                </w:tcPr>
                <w:p w:rsidR="003D6C58" w:rsidRPr="006840E7" w:rsidRDefault="003D6C58" w:rsidP="00B97FA8">
                  <w:pPr>
                    <w:jc w:val="center"/>
                    <w:rPr>
                      <w:i/>
                    </w:rPr>
                  </w:pPr>
                  <w:r w:rsidRPr="006840E7">
                    <w:rPr>
                      <w:i/>
                    </w:rPr>
                    <w:t>0</w:t>
                  </w:r>
                </w:p>
              </w:tc>
              <w:tc>
                <w:tcPr>
                  <w:tcW w:w="2994" w:type="dxa"/>
                  <w:shd w:val="clear" w:color="auto" w:fill="auto"/>
                </w:tcPr>
                <w:p w:rsidR="003D6C58" w:rsidRPr="006840E7" w:rsidRDefault="003D6C58" w:rsidP="00B97FA8">
                  <w:pPr>
                    <w:jc w:val="center"/>
                    <w:rPr>
                      <w:i/>
                    </w:rPr>
                  </w:pPr>
                  <w:r w:rsidRPr="006840E7">
                    <w:rPr>
                      <w:i/>
                    </w:rPr>
                    <w:t>0</w:t>
                  </w:r>
                </w:p>
              </w:tc>
            </w:tr>
            <w:tr w:rsidR="003D6C58" w:rsidRPr="00F04CCD" w:rsidTr="00B97FA8">
              <w:tc>
                <w:tcPr>
                  <w:tcW w:w="2993" w:type="dxa"/>
                  <w:shd w:val="clear" w:color="auto" w:fill="auto"/>
                </w:tcPr>
                <w:p w:rsidR="003D6C58" w:rsidRPr="006840E7" w:rsidRDefault="003D6C58" w:rsidP="00B97FA8">
                  <w:pPr>
                    <w:rPr>
                      <w:b/>
                      <w:i/>
                    </w:rPr>
                  </w:pPr>
                  <w:r w:rsidRPr="006840E7">
                    <w:rPr>
                      <w:b/>
                      <w:i/>
                    </w:rPr>
                    <w:t>Celkové náklady regulácie</w:t>
                  </w:r>
                </w:p>
              </w:tc>
              <w:tc>
                <w:tcPr>
                  <w:tcW w:w="2994" w:type="dxa"/>
                  <w:shd w:val="clear" w:color="auto" w:fill="auto"/>
                </w:tcPr>
                <w:p w:rsidR="003D6C58" w:rsidRPr="006840E7" w:rsidRDefault="003D6C58" w:rsidP="00B97FA8">
                  <w:pPr>
                    <w:jc w:val="center"/>
                    <w:rPr>
                      <w:b/>
                      <w:i/>
                    </w:rPr>
                  </w:pPr>
                  <w:r w:rsidRPr="006840E7">
                    <w:rPr>
                      <w:b/>
                      <w:i/>
                    </w:rPr>
                    <w:t>0</w:t>
                  </w:r>
                </w:p>
              </w:tc>
              <w:tc>
                <w:tcPr>
                  <w:tcW w:w="2994" w:type="dxa"/>
                  <w:shd w:val="clear" w:color="auto" w:fill="auto"/>
                </w:tcPr>
                <w:p w:rsidR="003D6C58" w:rsidRPr="006840E7" w:rsidRDefault="003D6C58" w:rsidP="00B97FA8">
                  <w:pPr>
                    <w:jc w:val="center"/>
                    <w:rPr>
                      <w:b/>
                      <w:i/>
                    </w:rPr>
                  </w:pPr>
                  <w:r w:rsidRPr="006840E7">
                    <w:rPr>
                      <w:b/>
                      <w:i/>
                    </w:rPr>
                    <w:t>0</w:t>
                  </w:r>
                </w:p>
              </w:tc>
            </w:tr>
          </w:tbl>
          <w:p w:rsidR="003D6C58" w:rsidRPr="006840E7" w:rsidRDefault="003D6C58" w:rsidP="00B97FA8">
            <w:pPr>
              <w:rPr>
                <w:i/>
              </w:rPr>
            </w:pPr>
          </w:p>
        </w:tc>
      </w:tr>
      <w:tr w:rsidR="003D6C58" w:rsidRPr="00F04CCD" w:rsidTr="001C538E">
        <w:tc>
          <w:tcPr>
            <w:tcW w:w="9062" w:type="dxa"/>
            <w:shd w:val="clear" w:color="auto" w:fill="D9D9D9"/>
          </w:tcPr>
          <w:p w:rsidR="003D6C58" w:rsidRPr="006840E7" w:rsidRDefault="003D6C58" w:rsidP="00B97FA8">
            <w:pPr>
              <w:rPr>
                <w:b/>
                <w:sz w:val="24"/>
              </w:rPr>
            </w:pPr>
            <w:r w:rsidRPr="006840E7">
              <w:rPr>
                <w:b/>
                <w:sz w:val="24"/>
              </w:rPr>
              <w:t>3.4 Konkurencieschopnosť a správanie sa podnikov na trhu</w:t>
            </w:r>
          </w:p>
          <w:p w:rsidR="003D6C58" w:rsidRPr="00F04CCD" w:rsidRDefault="003D6C58" w:rsidP="00B97FA8">
            <w:r w:rsidRPr="006840E7">
              <w:rPr>
                <w:b/>
                <w:sz w:val="24"/>
              </w:rPr>
              <w:t xml:space="preserve">       </w:t>
            </w:r>
            <w:r w:rsidRPr="006840E7">
              <w:rPr>
                <w:sz w:val="24"/>
              </w:rPr>
              <w:t xml:space="preserve">- </w:t>
            </w:r>
            <w:r w:rsidRPr="006840E7">
              <w:rPr>
                <w:b/>
                <w:sz w:val="24"/>
              </w:rPr>
              <w:t>z toho MSP</w:t>
            </w:r>
          </w:p>
        </w:tc>
      </w:tr>
      <w:tr w:rsidR="003D6C58" w:rsidRPr="00F04CCD" w:rsidTr="001C538E">
        <w:tc>
          <w:tcPr>
            <w:tcW w:w="9062" w:type="dxa"/>
            <w:tcBorders>
              <w:bottom w:val="single" w:sz="4" w:space="0" w:color="auto"/>
            </w:tcBorders>
            <w:shd w:val="clear" w:color="auto" w:fill="auto"/>
          </w:tcPr>
          <w:p w:rsidR="003D6C58" w:rsidRPr="006840E7" w:rsidRDefault="003D6C58" w:rsidP="00B97FA8">
            <w:pPr>
              <w:rPr>
                <w:i/>
              </w:rPr>
            </w:pPr>
            <w:r w:rsidRPr="006840E7">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6840E7">
              <w:rPr>
                <w:i/>
              </w:rPr>
              <w:t>mikro</w:t>
            </w:r>
            <w:proofErr w:type="spellEnd"/>
            <w:r w:rsidRPr="006840E7">
              <w:rPr>
                <w:i/>
              </w:rPr>
              <w:t>, malé a stredné podniky tzv. MSP)? Ak áno, popíšte.</w:t>
            </w:r>
          </w:p>
          <w:p w:rsidR="003D6C58" w:rsidRPr="006840E7" w:rsidRDefault="003D6C58" w:rsidP="00B97FA8">
            <w:pPr>
              <w:rPr>
                <w:i/>
              </w:rPr>
            </w:pPr>
            <w:r w:rsidRPr="006840E7">
              <w:rPr>
                <w:i/>
              </w:rPr>
              <w:t>Aký vplyv bude mať navrhovaná zmena na obchodné bariéry? Bude mať vplyv na vyvolanie cezhraničných investícií (príliv /odliv zahraničných investícií resp. uplatnenie slovenských podnikov na zahraničných trhoch)? Ak áno, popíšte.</w:t>
            </w:r>
          </w:p>
          <w:p w:rsidR="003D6C58" w:rsidRPr="006840E7" w:rsidRDefault="003D6C58" w:rsidP="00B97FA8">
            <w:pPr>
              <w:rPr>
                <w:i/>
              </w:rPr>
            </w:pPr>
            <w:r w:rsidRPr="006840E7">
              <w:rPr>
                <w:i/>
              </w:rPr>
              <w:t>Ako ovplyvní cenu alebo dostupnosť základných zdrojov (suroviny, mechanizmy, pracovná sila, energie atď.)?</w:t>
            </w:r>
          </w:p>
          <w:p w:rsidR="003D6C58" w:rsidRPr="006840E7" w:rsidRDefault="003D6C58" w:rsidP="00B97FA8">
            <w:pPr>
              <w:rPr>
                <w:i/>
              </w:rPr>
            </w:pPr>
            <w:r w:rsidRPr="006840E7">
              <w:rPr>
                <w:i/>
              </w:rPr>
              <w:t>Ovplyvňuje prístup k financiám? Ak áno, ako?</w:t>
            </w:r>
          </w:p>
        </w:tc>
      </w:tr>
      <w:tr w:rsidR="003D6C58" w:rsidRPr="00F04CCD" w:rsidTr="001C538E">
        <w:trPr>
          <w:trHeight w:val="452"/>
        </w:trPr>
        <w:tc>
          <w:tcPr>
            <w:tcW w:w="9062" w:type="dxa"/>
            <w:tcBorders>
              <w:bottom w:val="single" w:sz="4" w:space="0" w:color="auto"/>
            </w:tcBorders>
            <w:shd w:val="clear" w:color="auto" w:fill="auto"/>
          </w:tcPr>
          <w:p w:rsidR="003D6C58" w:rsidRPr="006840E7" w:rsidRDefault="003D6C58" w:rsidP="00B97FA8">
            <w:pPr>
              <w:rPr>
                <w:b/>
                <w:i/>
              </w:rPr>
            </w:pPr>
            <w:r w:rsidRPr="006840E7">
              <w:rPr>
                <w:b/>
                <w:i/>
              </w:rPr>
              <w:t>Zmenou nedochádza k negatívnym vplyvom na podnikateľské prostredie.</w:t>
            </w:r>
          </w:p>
        </w:tc>
      </w:tr>
      <w:tr w:rsidR="003D6C58" w:rsidRPr="00F04CCD" w:rsidTr="001C538E">
        <w:tc>
          <w:tcPr>
            <w:tcW w:w="9062" w:type="dxa"/>
            <w:shd w:val="clear" w:color="auto" w:fill="D9D9D9"/>
          </w:tcPr>
          <w:p w:rsidR="003D6C58" w:rsidRPr="006840E7" w:rsidRDefault="003D6C58" w:rsidP="00B97FA8">
            <w:pPr>
              <w:rPr>
                <w:b/>
                <w:sz w:val="24"/>
              </w:rPr>
            </w:pPr>
            <w:r w:rsidRPr="006840E7">
              <w:rPr>
                <w:b/>
                <w:sz w:val="24"/>
              </w:rPr>
              <w:t xml:space="preserve">3.5 Inovácie </w:t>
            </w:r>
          </w:p>
          <w:p w:rsidR="003D6C58" w:rsidRPr="006840E7" w:rsidRDefault="003D6C58" w:rsidP="00B97FA8">
            <w:pPr>
              <w:rPr>
                <w:b/>
              </w:rPr>
            </w:pPr>
            <w:r w:rsidRPr="006840E7">
              <w:rPr>
                <w:sz w:val="24"/>
              </w:rPr>
              <w:t xml:space="preserve">       - </w:t>
            </w:r>
            <w:r w:rsidRPr="006840E7">
              <w:rPr>
                <w:b/>
                <w:sz w:val="24"/>
              </w:rPr>
              <w:t>z toho MSP</w:t>
            </w:r>
          </w:p>
        </w:tc>
      </w:tr>
      <w:tr w:rsidR="003D6C58" w:rsidRPr="00F04CCD" w:rsidTr="001C538E">
        <w:tc>
          <w:tcPr>
            <w:tcW w:w="9062" w:type="dxa"/>
            <w:shd w:val="clear" w:color="auto" w:fill="auto"/>
          </w:tcPr>
          <w:p w:rsidR="003D6C58" w:rsidRPr="006840E7" w:rsidRDefault="003D6C58" w:rsidP="00B97FA8">
            <w:pPr>
              <w:rPr>
                <w:i/>
              </w:rPr>
            </w:pPr>
            <w:r w:rsidRPr="006840E7">
              <w:rPr>
                <w:i/>
              </w:rPr>
              <w:t>Uveďte, ako podporuje navrhovaná zmena inovácie.</w:t>
            </w:r>
          </w:p>
          <w:p w:rsidR="003D6C58" w:rsidRPr="006840E7" w:rsidRDefault="003D6C58" w:rsidP="00B97FA8">
            <w:pPr>
              <w:rPr>
                <w:i/>
              </w:rPr>
            </w:pPr>
            <w:r w:rsidRPr="006840E7">
              <w:rPr>
                <w:i/>
              </w:rPr>
              <w:t>Zjednodušuje uvedenie alebo rozšírenie nových výrobných metód, technológií a výrobkov na trh?</w:t>
            </w:r>
          </w:p>
          <w:p w:rsidR="003D6C58" w:rsidRPr="006840E7" w:rsidRDefault="003D6C58" w:rsidP="00B97FA8">
            <w:pPr>
              <w:rPr>
                <w:i/>
              </w:rPr>
            </w:pPr>
            <w:r w:rsidRPr="006840E7">
              <w:rPr>
                <w:i/>
              </w:rPr>
              <w:t>Uveďte, ako vplýva navrhovaná zmena na jednotlivé práva duševného vlastníctva (napr. patenty, ochranné známky, autorské práva, vlastníctvo know-how).</w:t>
            </w:r>
          </w:p>
          <w:p w:rsidR="003D6C58" w:rsidRPr="006840E7" w:rsidRDefault="003D6C58" w:rsidP="00B97FA8">
            <w:pPr>
              <w:rPr>
                <w:i/>
              </w:rPr>
            </w:pPr>
            <w:r w:rsidRPr="006840E7">
              <w:rPr>
                <w:i/>
              </w:rPr>
              <w:t>Podporuje vyššiu efektivitu výroby/využívania zdrojov? Ak áno, ako?</w:t>
            </w:r>
          </w:p>
          <w:p w:rsidR="003D6C58" w:rsidRPr="00F04CCD" w:rsidRDefault="003D6C58" w:rsidP="00B97FA8">
            <w:r w:rsidRPr="006840E7">
              <w:rPr>
                <w:i/>
              </w:rPr>
              <w:t>Vytvorí zmena nové pracovné miesta pre zamestnancov výskumu a vývoja v SR?</w:t>
            </w:r>
          </w:p>
        </w:tc>
      </w:tr>
      <w:tr w:rsidR="003D6C58" w:rsidRPr="00F04CCD" w:rsidTr="001C538E">
        <w:trPr>
          <w:trHeight w:val="699"/>
        </w:trPr>
        <w:tc>
          <w:tcPr>
            <w:tcW w:w="9062" w:type="dxa"/>
            <w:shd w:val="clear" w:color="auto" w:fill="auto"/>
          </w:tcPr>
          <w:p w:rsidR="003D6C58" w:rsidRPr="00EA0ACE" w:rsidRDefault="003D6C58" w:rsidP="00B97FA8">
            <w:pPr>
              <w:rPr>
                <w:b/>
                <w:i/>
              </w:rPr>
            </w:pPr>
            <w:r w:rsidRPr="00EA0ACE">
              <w:rPr>
                <w:b/>
                <w:i/>
              </w:rPr>
              <w:t>Zmena síce neprináša technické inovácie, ale otvára nové možnosti v segmente cestovného ruchu.</w:t>
            </w:r>
          </w:p>
        </w:tc>
      </w:tr>
    </w:tbl>
    <w:p w:rsidR="003D6C58" w:rsidRDefault="003D6C58" w:rsidP="003D6C58"/>
    <w:p w:rsidR="001C538E" w:rsidRDefault="001C538E" w:rsidP="003D6C58"/>
    <w:p w:rsidR="001C538E" w:rsidRDefault="001C538E"/>
    <w:p w:rsidR="001C538E" w:rsidRDefault="001C538E"/>
    <w:p w:rsidR="003D6C58" w:rsidRDefault="003D6C58" w:rsidP="001C538E">
      <w:pPr>
        <w:spacing w:after="0" w:line="240" w:lineRule="auto"/>
        <w:jc w:val="center"/>
        <w:rPr>
          <w:b/>
        </w:rPr>
      </w:pPr>
      <w:r>
        <w:rPr>
          <w:b/>
        </w:rPr>
        <w:lastRenderedPageBreak/>
        <w:t>Doložka zlučiteľnosti</w:t>
      </w:r>
    </w:p>
    <w:p w:rsidR="003D6C58" w:rsidRDefault="003D6C58" w:rsidP="001C538E">
      <w:pPr>
        <w:spacing w:after="0" w:line="240" w:lineRule="auto"/>
        <w:jc w:val="center"/>
        <w:rPr>
          <w:b/>
        </w:rPr>
      </w:pPr>
      <w:r>
        <w:rPr>
          <w:b/>
        </w:rPr>
        <w:t xml:space="preserve">návrhu zákona s právom Európskej únie </w:t>
      </w:r>
    </w:p>
    <w:p w:rsidR="003D6C58" w:rsidRDefault="003D6C58" w:rsidP="003D6C58">
      <w:pPr>
        <w:ind w:right="72"/>
        <w:jc w:val="both"/>
        <w:rPr>
          <w:b/>
        </w:rPr>
      </w:pPr>
    </w:p>
    <w:p w:rsidR="003D6C58" w:rsidRPr="001C538E" w:rsidRDefault="003D6C58" w:rsidP="003D6C58">
      <w:pPr>
        <w:numPr>
          <w:ilvl w:val="0"/>
          <w:numId w:val="2"/>
        </w:numPr>
        <w:spacing w:after="0" w:line="240" w:lineRule="auto"/>
        <w:ind w:right="72"/>
        <w:jc w:val="both"/>
        <w:rPr>
          <w:b/>
        </w:rPr>
      </w:pPr>
      <w:r>
        <w:rPr>
          <w:b/>
        </w:rPr>
        <w:t xml:space="preserve">Navrhovateľ zákona: </w:t>
      </w:r>
      <w:r>
        <w:t>Ministerstvo dopravy a výstavby Slovenskej republiky.</w:t>
      </w:r>
    </w:p>
    <w:p w:rsidR="003D6C58" w:rsidRPr="001C538E" w:rsidRDefault="003D6C58" w:rsidP="003D6C58">
      <w:pPr>
        <w:numPr>
          <w:ilvl w:val="0"/>
          <w:numId w:val="2"/>
        </w:numPr>
        <w:spacing w:after="0" w:line="240" w:lineRule="auto"/>
        <w:ind w:right="72"/>
        <w:jc w:val="both"/>
        <w:rPr>
          <w:rStyle w:val="Zstupntext"/>
          <w:b/>
        </w:rPr>
      </w:pPr>
      <w:r w:rsidRPr="00133A21">
        <w:rPr>
          <w:b/>
        </w:rPr>
        <w:t xml:space="preserve">Názov návrhu </w:t>
      </w:r>
      <w:r>
        <w:rPr>
          <w:b/>
        </w:rPr>
        <w:t>zákona</w:t>
      </w:r>
      <w:r w:rsidRPr="00133A21">
        <w:rPr>
          <w:b/>
        </w:rPr>
        <w:t xml:space="preserve">: </w:t>
      </w:r>
      <w:r>
        <w:t>Zákon</w:t>
      </w:r>
      <w:r w:rsidRPr="002762A2">
        <w:rPr>
          <w:color w:val="000000"/>
        </w:rPr>
        <w:t>, ktorým sa </w:t>
      </w:r>
      <w:r>
        <w:rPr>
          <w:color w:val="000000"/>
        </w:rPr>
        <w:t xml:space="preserve">mení a </w:t>
      </w:r>
      <w:r w:rsidRPr="002762A2">
        <w:rPr>
          <w:color w:val="000000"/>
        </w:rPr>
        <w:t>dopĺňa zákon</w:t>
      </w:r>
      <w:r w:rsidRPr="002762A2">
        <w:rPr>
          <w:rStyle w:val="Zstupntext"/>
          <w:b/>
          <w:color w:val="000000"/>
        </w:rPr>
        <w:t xml:space="preserve"> </w:t>
      </w:r>
      <w:r w:rsidRPr="002762A2">
        <w:rPr>
          <w:color w:val="000000"/>
        </w:rPr>
        <w:t>č. 513/2009 Z. z. o dráhach a o zmene a doplnení niektorých zákonov</w:t>
      </w:r>
      <w:r w:rsidRPr="001C538E">
        <w:t xml:space="preserve">  </w:t>
      </w:r>
      <w:r w:rsidRPr="001C538E">
        <w:rPr>
          <w:color w:val="000000"/>
        </w:rPr>
        <w:t>v znení neskorších predpisov.</w:t>
      </w:r>
      <w:r w:rsidRPr="001C538E">
        <w:t xml:space="preserve"> </w:t>
      </w:r>
    </w:p>
    <w:p w:rsidR="003D6C58" w:rsidRPr="001C538E" w:rsidRDefault="003D6C58" w:rsidP="003D6C58">
      <w:pPr>
        <w:numPr>
          <w:ilvl w:val="0"/>
          <w:numId w:val="2"/>
        </w:numPr>
        <w:spacing w:after="0" w:line="240" w:lineRule="auto"/>
        <w:ind w:right="72"/>
        <w:jc w:val="both"/>
        <w:rPr>
          <w:b/>
        </w:rPr>
      </w:pPr>
      <w:r>
        <w:rPr>
          <w:b/>
        </w:rPr>
        <w:t>Predmet</w:t>
      </w:r>
      <w:r w:rsidRPr="00133A21">
        <w:rPr>
          <w:b/>
        </w:rPr>
        <w:t xml:space="preserve"> návrhu </w:t>
      </w:r>
      <w:r>
        <w:rPr>
          <w:b/>
        </w:rPr>
        <w:t>zákona</w:t>
      </w:r>
      <w:r w:rsidRPr="00133A21">
        <w:rPr>
          <w:b/>
        </w:rPr>
        <w:t>:</w:t>
      </w:r>
    </w:p>
    <w:p w:rsidR="003D6C58" w:rsidRDefault="003D6C58" w:rsidP="003D6C58">
      <w:pPr>
        <w:ind w:left="644" w:right="72"/>
        <w:jc w:val="both"/>
      </w:pPr>
      <w:r w:rsidRPr="00A83C10">
        <w:t xml:space="preserve">a) </w:t>
      </w:r>
      <w:r>
        <w:t xml:space="preserve">je upravený </w:t>
      </w:r>
      <w:r w:rsidRPr="00A83C10">
        <w:t>v</w:t>
      </w:r>
      <w:r>
        <w:t xml:space="preserve"> primárnom práve Európskej únie v tretej časti Hlave VI čl. 90 a 91 a Hlave XVI Zmluvy o fungovaní Európskej únie </w:t>
      </w:r>
    </w:p>
    <w:p w:rsidR="003D6C58" w:rsidRDefault="003D6C58" w:rsidP="003D6C58">
      <w:pPr>
        <w:ind w:left="644" w:right="72"/>
        <w:jc w:val="both"/>
      </w:pPr>
      <w:r>
        <w:t>b) nie je upravený v sekundárnom práve Európske únie</w:t>
      </w:r>
    </w:p>
    <w:p w:rsidR="003D6C58" w:rsidRPr="00A83C10" w:rsidRDefault="003D6C58" w:rsidP="003D6C58">
      <w:pPr>
        <w:ind w:left="644" w:right="72"/>
        <w:jc w:val="both"/>
      </w:pPr>
      <w:r>
        <w:t>c) bezpredmetné</w:t>
      </w:r>
    </w:p>
    <w:p w:rsidR="003D6C58" w:rsidRPr="002550E1" w:rsidRDefault="003D6C58" w:rsidP="003D6C58">
      <w:pPr>
        <w:numPr>
          <w:ilvl w:val="0"/>
          <w:numId w:val="2"/>
        </w:numPr>
        <w:spacing w:after="0" w:line="240" w:lineRule="auto"/>
        <w:ind w:right="72"/>
        <w:jc w:val="both"/>
      </w:pPr>
      <w:r>
        <w:rPr>
          <w:b/>
        </w:rPr>
        <w:t xml:space="preserve">Záväzky Slovenskej republiky vo vzťahu  k Európskej únii: </w:t>
      </w:r>
      <w:r w:rsidRPr="002550E1">
        <w:t>Bezpredmetné</w:t>
      </w:r>
    </w:p>
    <w:p w:rsidR="003D6C58" w:rsidRDefault="003D6C58" w:rsidP="003D6C58">
      <w:pPr>
        <w:numPr>
          <w:ilvl w:val="0"/>
          <w:numId w:val="2"/>
        </w:numPr>
        <w:spacing w:after="0" w:line="240" w:lineRule="auto"/>
        <w:ind w:right="72"/>
        <w:jc w:val="both"/>
      </w:pPr>
      <w:r w:rsidRPr="002550E1">
        <w:rPr>
          <w:b/>
        </w:rPr>
        <w:t>Návrh zákona je zlučiteľný s právom Európskej únie:</w:t>
      </w:r>
      <w:r>
        <w:t xml:space="preserve"> Úplne</w:t>
      </w:r>
    </w:p>
    <w:p w:rsidR="003D6C58" w:rsidRDefault="003D6C58"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Default="001C538E" w:rsidP="003D6C58">
      <w:pPr>
        <w:ind w:left="644" w:right="72"/>
        <w:jc w:val="both"/>
      </w:pPr>
    </w:p>
    <w:p w:rsidR="001C538E" w:rsidRPr="00D41AF2" w:rsidRDefault="001C538E" w:rsidP="003D6C58">
      <w:pPr>
        <w:ind w:left="644" w:right="72"/>
        <w:jc w:val="both"/>
      </w:pPr>
    </w:p>
    <w:p w:rsidR="003D6C58" w:rsidRPr="006F2751" w:rsidRDefault="003D6C58" w:rsidP="003D6C58">
      <w:pPr>
        <w:jc w:val="center"/>
        <w:rPr>
          <w:rFonts w:ascii="Times New Roman" w:hAnsi="Times New Roman" w:cs="Times New Roman"/>
          <w:b/>
          <w:sz w:val="24"/>
          <w:szCs w:val="24"/>
        </w:rPr>
      </w:pPr>
      <w:r w:rsidRPr="000571E1">
        <w:rPr>
          <w:rFonts w:ascii="Times New Roman" w:hAnsi="Times New Roman" w:cs="Times New Roman"/>
          <w:b/>
          <w:sz w:val="24"/>
          <w:szCs w:val="24"/>
        </w:rPr>
        <w:lastRenderedPageBreak/>
        <w:t>Dôvodová správa</w:t>
      </w:r>
    </w:p>
    <w:p w:rsidR="001C538E" w:rsidRPr="001C538E" w:rsidRDefault="003D6C58" w:rsidP="001C538E">
      <w:pPr>
        <w:spacing w:after="0" w:line="240" w:lineRule="auto"/>
        <w:rPr>
          <w:rFonts w:ascii="Times New Roman" w:hAnsi="Times New Roman" w:cs="Times New Roman"/>
          <w:b/>
          <w:sz w:val="24"/>
          <w:szCs w:val="24"/>
        </w:rPr>
      </w:pPr>
      <w:r w:rsidRPr="0036074D">
        <w:rPr>
          <w:rFonts w:ascii="Times New Roman" w:hAnsi="Times New Roman" w:cs="Times New Roman"/>
          <w:b/>
          <w:sz w:val="24"/>
          <w:szCs w:val="24"/>
        </w:rPr>
        <w:t>Osobitná časť</w:t>
      </w:r>
      <w:r>
        <w:rPr>
          <w:rFonts w:ascii="Times New Roman" w:hAnsi="Times New Roman" w:cs="Times New Roman"/>
          <w:sz w:val="24"/>
          <w:szCs w:val="24"/>
        </w:rPr>
        <w:tab/>
      </w:r>
    </w:p>
    <w:p w:rsidR="003D6C58" w:rsidRDefault="003D6C58" w:rsidP="001C538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Čl. I</w:t>
      </w:r>
      <w:r w:rsidRPr="0036074D">
        <w:rPr>
          <w:rFonts w:ascii="Times New Roman" w:hAnsi="Times New Roman" w:cs="Times New Roman"/>
          <w:sz w:val="24"/>
          <w:szCs w:val="24"/>
        </w:rPr>
        <w:t>:</w:t>
      </w:r>
    </w:p>
    <w:p w:rsidR="001C538E" w:rsidRPr="0036074D" w:rsidRDefault="003D6C58" w:rsidP="001C538E">
      <w:pPr>
        <w:spacing w:after="0" w:line="240" w:lineRule="auto"/>
        <w:rPr>
          <w:rFonts w:ascii="Times New Roman" w:hAnsi="Times New Roman" w:cs="Times New Roman"/>
          <w:sz w:val="24"/>
          <w:szCs w:val="24"/>
        </w:rPr>
      </w:pPr>
      <w:r>
        <w:rPr>
          <w:rFonts w:ascii="Times New Roman" w:hAnsi="Times New Roman" w:cs="Times New Roman"/>
          <w:sz w:val="24"/>
          <w:szCs w:val="24"/>
        </w:rPr>
        <w:t>K bodu 1</w:t>
      </w:r>
      <w:r w:rsidRPr="0036074D">
        <w:rPr>
          <w:rFonts w:ascii="Times New Roman" w:hAnsi="Times New Roman" w:cs="Times New Roman"/>
          <w:sz w:val="24"/>
          <w:szCs w:val="24"/>
        </w:rPr>
        <w:t>:</w:t>
      </w:r>
    </w:p>
    <w:p w:rsidR="001C538E" w:rsidRDefault="003D6C58" w:rsidP="001C538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Doplnenie dreziny pod druhy koľajových vozidiel. </w:t>
      </w:r>
    </w:p>
    <w:p w:rsidR="001C538E" w:rsidRDefault="001C538E" w:rsidP="001C538E">
      <w:pPr>
        <w:spacing w:after="0" w:line="240" w:lineRule="auto"/>
        <w:rPr>
          <w:rFonts w:ascii="Times New Roman" w:hAnsi="Times New Roman" w:cs="Times New Roman"/>
          <w:sz w:val="24"/>
          <w:szCs w:val="24"/>
        </w:rPr>
      </w:pPr>
    </w:p>
    <w:p w:rsidR="001C538E" w:rsidRPr="0036074D" w:rsidRDefault="003D6C58" w:rsidP="001C538E">
      <w:pPr>
        <w:spacing w:after="0" w:line="240" w:lineRule="auto"/>
        <w:rPr>
          <w:rFonts w:ascii="Times New Roman" w:hAnsi="Times New Roman" w:cs="Times New Roman"/>
          <w:sz w:val="24"/>
          <w:szCs w:val="24"/>
        </w:rPr>
      </w:pPr>
      <w:r>
        <w:rPr>
          <w:rFonts w:ascii="Times New Roman" w:hAnsi="Times New Roman" w:cs="Times New Roman"/>
          <w:sz w:val="24"/>
          <w:szCs w:val="24"/>
        </w:rPr>
        <w:t>K bodu 2</w:t>
      </w:r>
      <w:r w:rsidRPr="0036074D">
        <w:rPr>
          <w:rFonts w:ascii="Times New Roman" w:hAnsi="Times New Roman" w:cs="Times New Roman"/>
          <w:sz w:val="24"/>
          <w:szCs w:val="24"/>
        </w:rPr>
        <w:t>:</w:t>
      </w:r>
    </w:p>
    <w:p w:rsidR="003D6C58" w:rsidRDefault="003D6C58" w:rsidP="001C538E">
      <w:pPr>
        <w:spacing w:after="0" w:line="240" w:lineRule="auto"/>
        <w:jc w:val="both"/>
        <w:rPr>
          <w:rFonts w:ascii="Times New Roman" w:hAnsi="Times New Roman" w:cs="Times New Roman"/>
          <w:sz w:val="24"/>
          <w:szCs w:val="24"/>
        </w:rPr>
      </w:pPr>
      <w:r w:rsidRPr="0036074D">
        <w:rPr>
          <w:rFonts w:ascii="Times New Roman" w:hAnsi="Times New Roman" w:cs="Times New Roman"/>
          <w:sz w:val="24"/>
          <w:szCs w:val="24"/>
        </w:rPr>
        <w:tab/>
        <w:t>Platná legislatíva podmienky výlučne na prevádzku drezín nestanovuje. Dreziny sú prevádzkované iba podľa podmienok platných pre hnacie dráhové vozidlá, čo ich prevádzku značne komplikuje. S prihliadnutím na jednoduchosť obsluhy a nízku rýchlosť drezín</w:t>
      </w:r>
      <w:r>
        <w:rPr>
          <w:rFonts w:ascii="Times New Roman" w:hAnsi="Times New Roman" w:cs="Times New Roman"/>
          <w:sz w:val="24"/>
          <w:szCs w:val="24"/>
        </w:rPr>
        <w:t>, ktoré sú poháňané len</w:t>
      </w:r>
      <w:r w:rsidRPr="0036074D">
        <w:rPr>
          <w:rFonts w:ascii="Times New Roman" w:hAnsi="Times New Roman" w:cs="Times New Roman"/>
          <w:sz w:val="24"/>
          <w:szCs w:val="24"/>
        </w:rPr>
        <w:t xml:space="preserve"> </w:t>
      </w:r>
      <w:r>
        <w:rPr>
          <w:rFonts w:ascii="Times New Roman" w:hAnsi="Times New Roman" w:cs="Times New Roman"/>
          <w:sz w:val="24"/>
          <w:szCs w:val="24"/>
        </w:rPr>
        <w:t xml:space="preserve">ľudskou silou, </w:t>
      </w:r>
      <w:r w:rsidRPr="0036074D">
        <w:rPr>
          <w:rFonts w:ascii="Times New Roman" w:hAnsi="Times New Roman" w:cs="Times New Roman"/>
          <w:sz w:val="24"/>
          <w:szCs w:val="24"/>
        </w:rPr>
        <w:t>nie je potrebné, aby sa na ich vedenie uplatňovali také požiadavky, ako na vedenie hnacích dráhových vozidiel s motorovým pohonom. Bezpečnosť prevádzky bude zár</w:t>
      </w:r>
      <w:r>
        <w:rPr>
          <w:rFonts w:ascii="Times New Roman" w:hAnsi="Times New Roman" w:cs="Times New Roman"/>
          <w:sz w:val="24"/>
          <w:szCs w:val="24"/>
        </w:rPr>
        <w:t>oveň zaistená podmienkou fyzického oddelenia</w:t>
      </w:r>
      <w:r w:rsidRPr="0036074D">
        <w:rPr>
          <w:rFonts w:ascii="Times New Roman" w:hAnsi="Times New Roman" w:cs="Times New Roman"/>
          <w:sz w:val="24"/>
          <w:szCs w:val="24"/>
        </w:rPr>
        <w:t xml:space="preserve"> úsek</w:t>
      </w:r>
      <w:r>
        <w:rPr>
          <w:rFonts w:ascii="Times New Roman" w:hAnsi="Times New Roman" w:cs="Times New Roman"/>
          <w:sz w:val="24"/>
          <w:szCs w:val="24"/>
        </w:rPr>
        <w:t>u</w:t>
      </w:r>
      <w:r w:rsidRPr="0036074D">
        <w:rPr>
          <w:rFonts w:ascii="Times New Roman" w:hAnsi="Times New Roman" w:cs="Times New Roman"/>
          <w:sz w:val="24"/>
          <w:szCs w:val="24"/>
        </w:rPr>
        <w:t xml:space="preserve"> s prevádzkou drezín od úseku dráhy, na ktorom je prevádzkovaná iná doprava. Dreziny nie je vzhľadom na jednoduchosť ich konštrukcie potrebné podrobovať typovým skúškam ako iné dráhové vozidlá. Zároveň za účelom zachovania bezpečnosti musí byť osoba, ktorá obsluhuje drezinu preukázateľne poučená o jej obsluhe </w:t>
      </w:r>
      <w:r>
        <w:rPr>
          <w:rFonts w:ascii="Times New Roman" w:hAnsi="Times New Roman" w:cs="Times New Roman"/>
          <w:sz w:val="24"/>
          <w:szCs w:val="24"/>
        </w:rPr>
        <w:t>zamestnancom prevádzkovateľa dreziny alebo ním určenej osoby</w:t>
      </w:r>
      <w:r w:rsidRPr="0036074D">
        <w:rPr>
          <w:rFonts w:ascii="Times New Roman" w:hAnsi="Times New Roman" w:cs="Times New Roman"/>
          <w:sz w:val="24"/>
          <w:szCs w:val="24"/>
        </w:rPr>
        <w:t xml:space="preserve">. </w:t>
      </w:r>
    </w:p>
    <w:p w:rsidR="001C538E" w:rsidRDefault="001C538E" w:rsidP="001C538E">
      <w:pPr>
        <w:spacing w:after="0" w:line="240" w:lineRule="auto"/>
        <w:jc w:val="both"/>
        <w:rPr>
          <w:rFonts w:ascii="Times New Roman" w:hAnsi="Times New Roman" w:cs="Times New Roman"/>
          <w:sz w:val="24"/>
          <w:szCs w:val="24"/>
        </w:rPr>
      </w:pPr>
    </w:p>
    <w:p w:rsidR="001C538E"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bodom 3 až 6:</w:t>
      </w:r>
    </w:p>
    <w:p w:rsidR="003D6C58"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Vzhľadom na skutočnosť, že vedenie dreziny bude vykonávané ako voľnočasová aktivita, je tu predpoklad výskytu alkoholu, prípadne inej návykovej látky. Z dôvodu zaručenia bezpečného prevádzkovania drezín je teda potrebné upraviť skutkovú podstatu priestupku, ako aj oprávnenie osobám, ktoré vykonávajú štátny dozor, vyzvať osobu, ktorá vedie drezinu, aby sa podrobila vyšetreniu, či nie je pod vplyvom alkoholu, inej návykovej látky alebo lieku, ktoré by mohli znížiť jej schopnosť bezpečne viesť drezinu. Predmetné ustanovenia majú hlavne preventívny charakter, zároveň však zabezpečujú vymožiteľnosť práva. </w:t>
      </w:r>
    </w:p>
    <w:p w:rsidR="001C538E" w:rsidRDefault="001C538E" w:rsidP="001C538E">
      <w:pPr>
        <w:spacing w:after="0" w:line="240" w:lineRule="auto"/>
        <w:jc w:val="both"/>
        <w:rPr>
          <w:rFonts w:ascii="Times New Roman" w:hAnsi="Times New Roman" w:cs="Times New Roman"/>
          <w:sz w:val="24"/>
          <w:szCs w:val="24"/>
        </w:rPr>
      </w:pPr>
    </w:p>
    <w:p w:rsidR="001C538E"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bodu 7:</w:t>
      </w:r>
    </w:p>
    <w:p w:rsidR="003D6C58"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Ustanovenie upravuje sankcie za porušenie povinností za účelom zaručenia bezpečnej prevádzky drezín. </w:t>
      </w:r>
    </w:p>
    <w:p w:rsidR="001C538E" w:rsidRDefault="001C538E" w:rsidP="001C538E">
      <w:pPr>
        <w:spacing w:after="0" w:line="240" w:lineRule="auto"/>
        <w:jc w:val="both"/>
        <w:rPr>
          <w:rFonts w:ascii="Times New Roman" w:hAnsi="Times New Roman" w:cs="Times New Roman"/>
          <w:sz w:val="24"/>
          <w:szCs w:val="24"/>
        </w:rPr>
      </w:pPr>
    </w:p>
    <w:p w:rsidR="001C538E"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bodom 8 a 9:</w:t>
      </w:r>
    </w:p>
    <w:p w:rsidR="003D6C58" w:rsidRPr="0036074D" w:rsidRDefault="003D6C58" w:rsidP="001C5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Legislatívno</w:t>
      </w:r>
      <w:proofErr w:type="spellEnd"/>
      <w:r>
        <w:rPr>
          <w:rFonts w:ascii="Times New Roman" w:hAnsi="Times New Roman" w:cs="Times New Roman"/>
          <w:sz w:val="24"/>
          <w:szCs w:val="24"/>
        </w:rPr>
        <w:t xml:space="preserve"> – technické úpravy. </w:t>
      </w:r>
    </w:p>
    <w:p w:rsidR="003D6C58" w:rsidRPr="0036074D" w:rsidRDefault="003D6C58" w:rsidP="001C538E">
      <w:pPr>
        <w:shd w:val="clear" w:color="auto" w:fill="FFFFFF"/>
        <w:spacing w:after="0" w:line="240" w:lineRule="auto"/>
        <w:jc w:val="both"/>
        <w:rPr>
          <w:rFonts w:ascii="Times New Roman" w:hAnsi="Times New Roman" w:cs="Times New Roman"/>
          <w:sz w:val="24"/>
          <w:szCs w:val="24"/>
        </w:rPr>
      </w:pPr>
    </w:p>
    <w:p w:rsidR="003D6C58" w:rsidRPr="0036074D" w:rsidRDefault="003D6C58" w:rsidP="001C538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Čl. II</w:t>
      </w:r>
      <w:r w:rsidRPr="0036074D">
        <w:rPr>
          <w:rFonts w:ascii="Times New Roman" w:hAnsi="Times New Roman" w:cs="Times New Roman"/>
          <w:sz w:val="24"/>
          <w:szCs w:val="24"/>
        </w:rPr>
        <w:t>:</w:t>
      </w:r>
    </w:p>
    <w:p w:rsidR="003D6C58" w:rsidRDefault="003D6C58" w:rsidP="001C538E">
      <w:pPr>
        <w:pStyle w:val="Zkladntext3"/>
        <w:rPr>
          <w:rFonts w:eastAsiaTheme="minorHAnsi"/>
          <w:lang w:eastAsia="en-US"/>
        </w:rPr>
      </w:pPr>
      <w:r w:rsidRPr="0036074D">
        <w:tab/>
      </w:r>
      <w:r w:rsidRPr="0036074D">
        <w:rPr>
          <w:rFonts w:eastAsiaTheme="minorHAnsi"/>
          <w:lang w:eastAsia="en-US"/>
        </w:rPr>
        <w:t xml:space="preserve">Účinnosť zákona sa navrhuje k 1. </w:t>
      </w:r>
      <w:r>
        <w:rPr>
          <w:rFonts w:eastAsiaTheme="minorHAnsi"/>
          <w:lang w:eastAsia="en-US"/>
        </w:rPr>
        <w:t>decembru</w:t>
      </w:r>
      <w:r w:rsidRPr="0036074D">
        <w:rPr>
          <w:rFonts w:eastAsiaTheme="minorHAnsi"/>
          <w:lang w:eastAsia="en-US"/>
        </w:rPr>
        <w:t xml:space="preserve"> 2020.</w:t>
      </w:r>
    </w:p>
    <w:p w:rsidR="001C538E" w:rsidRPr="001C538E" w:rsidRDefault="001C538E" w:rsidP="001C538E">
      <w:pPr>
        <w:pStyle w:val="Zkladntext3"/>
        <w:rPr>
          <w:rFonts w:eastAsiaTheme="minorHAnsi"/>
          <w:lang w:eastAsia="en-US"/>
        </w:rPr>
      </w:pPr>
    </w:p>
    <w:p w:rsidR="003D6C58" w:rsidRPr="00F100EE" w:rsidRDefault="003D6C58" w:rsidP="003D6C58">
      <w:pPr>
        <w:rPr>
          <w:rFonts w:ascii="Times New Roman" w:hAnsi="Times New Roman" w:cs="Times New Roman"/>
        </w:rPr>
      </w:pPr>
      <w:r>
        <w:rPr>
          <w:rFonts w:ascii="Times New Roman" w:hAnsi="Times New Roman" w:cs="Times New Roman"/>
        </w:rPr>
        <w:t>Bratislava 12</w:t>
      </w:r>
      <w:r w:rsidRPr="00F100EE">
        <w:rPr>
          <w:rFonts w:ascii="Times New Roman" w:hAnsi="Times New Roman" w:cs="Times New Roman"/>
        </w:rPr>
        <w:t xml:space="preserve">. </w:t>
      </w:r>
      <w:r>
        <w:rPr>
          <w:rFonts w:ascii="Times New Roman" w:hAnsi="Times New Roman" w:cs="Times New Roman"/>
        </w:rPr>
        <w:t>augusta 2020</w:t>
      </w:r>
    </w:p>
    <w:p w:rsidR="001C538E" w:rsidRDefault="001C538E" w:rsidP="003D6C58">
      <w:pPr>
        <w:rPr>
          <w:szCs w:val="24"/>
        </w:rPr>
      </w:pPr>
    </w:p>
    <w:p w:rsidR="003D6C58" w:rsidRPr="004810F6" w:rsidRDefault="003D6C58" w:rsidP="001C538E">
      <w:pPr>
        <w:spacing w:after="0" w:line="240" w:lineRule="auto"/>
        <w:jc w:val="center"/>
        <w:rPr>
          <w:rFonts w:ascii="Times New Roman" w:hAnsi="Times New Roman" w:cs="Times New Roman"/>
          <w:b/>
        </w:rPr>
      </w:pPr>
      <w:r>
        <w:rPr>
          <w:rFonts w:ascii="Times New Roman" w:hAnsi="Times New Roman" w:cs="Times New Roman"/>
          <w:b/>
        </w:rPr>
        <w:t>Igor</w:t>
      </w:r>
      <w:r w:rsidRPr="00F100EE">
        <w:rPr>
          <w:rFonts w:ascii="Times New Roman" w:hAnsi="Times New Roman" w:cs="Times New Roman"/>
          <w:b/>
        </w:rPr>
        <w:t xml:space="preserve"> </w:t>
      </w:r>
      <w:r>
        <w:rPr>
          <w:rFonts w:ascii="Times New Roman" w:hAnsi="Times New Roman" w:cs="Times New Roman"/>
          <w:b/>
        </w:rPr>
        <w:t>Matovič</w:t>
      </w:r>
      <w:r w:rsidR="001F1573">
        <w:rPr>
          <w:rFonts w:ascii="Times New Roman" w:hAnsi="Times New Roman" w:cs="Times New Roman"/>
          <w:b/>
        </w:rPr>
        <w:t xml:space="preserve"> </w:t>
      </w:r>
      <w:proofErr w:type="spellStart"/>
      <w:r w:rsidR="001F1573">
        <w:rPr>
          <w:rFonts w:ascii="Times New Roman" w:hAnsi="Times New Roman" w:cs="Times New Roman"/>
          <w:b/>
        </w:rPr>
        <w:t>v.r</w:t>
      </w:r>
      <w:proofErr w:type="spellEnd"/>
      <w:r w:rsidR="001F1573">
        <w:rPr>
          <w:rFonts w:ascii="Times New Roman" w:hAnsi="Times New Roman" w:cs="Times New Roman"/>
          <w:b/>
        </w:rPr>
        <w:t>.</w:t>
      </w:r>
    </w:p>
    <w:p w:rsidR="003D6C58" w:rsidRPr="00F100EE" w:rsidRDefault="003D6C58" w:rsidP="001C538E">
      <w:pPr>
        <w:spacing w:after="0" w:line="240" w:lineRule="auto"/>
        <w:jc w:val="center"/>
        <w:rPr>
          <w:rFonts w:ascii="Times New Roman" w:hAnsi="Times New Roman" w:cs="Times New Roman"/>
        </w:rPr>
      </w:pPr>
      <w:r w:rsidRPr="00F100EE">
        <w:rPr>
          <w:rFonts w:ascii="Times New Roman" w:hAnsi="Times New Roman" w:cs="Times New Roman"/>
        </w:rPr>
        <w:t>predseda vlády Slovenskej republiky</w:t>
      </w:r>
    </w:p>
    <w:p w:rsidR="003D6C58" w:rsidRDefault="003D6C58" w:rsidP="001C538E">
      <w:pPr>
        <w:spacing w:after="0" w:line="240" w:lineRule="auto"/>
        <w:rPr>
          <w:szCs w:val="24"/>
        </w:rPr>
      </w:pPr>
    </w:p>
    <w:p w:rsidR="003D6C58" w:rsidRDefault="003D6C58" w:rsidP="001C538E">
      <w:pPr>
        <w:spacing w:after="0" w:line="240" w:lineRule="auto"/>
        <w:rPr>
          <w:szCs w:val="24"/>
        </w:rPr>
      </w:pPr>
    </w:p>
    <w:p w:rsidR="001C538E" w:rsidRDefault="001C538E" w:rsidP="001C538E">
      <w:pPr>
        <w:spacing w:after="0" w:line="240" w:lineRule="auto"/>
        <w:rPr>
          <w:szCs w:val="24"/>
        </w:rPr>
      </w:pPr>
    </w:p>
    <w:p w:rsidR="001C538E" w:rsidRDefault="001C538E" w:rsidP="001C538E">
      <w:pPr>
        <w:spacing w:after="0" w:line="240" w:lineRule="auto"/>
        <w:rPr>
          <w:szCs w:val="24"/>
        </w:rPr>
      </w:pPr>
    </w:p>
    <w:p w:rsidR="003D6C58" w:rsidRPr="004810F6" w:rsidRDefault="003D6C58" w:rsidP="001C538E">
      <w:pPr>
        <w:spacing w:after="0" w:line="240" w:lineRule="auto"/>
        <w:jc w:val="center"/>
        <w:rPr>
          <w:rFonts w:ascii="Times New Roman" w:hAnsi="Times New Roman" w:cs="Times New Roman"/>
          <w:b/>
        </w:rPr>
      </w:pPr>
      <w:r>
        <w:rPr>
          <w:rFonts w:ascii="Times New Roman" w:hAnsi="Times New Roman" w:cs="Times New Roman"/>
          <w:b/>
        </w:rPr>
        <w:t>Andrej</w:t>
      </w:r>
      <w:r w:rsidRPr="00F100EE">
        <w:rPr>
          <w:rFonts w:ascii="Times New Roman" w:hAnsi="Times New Roman" w:cs="Times New Roman"/>
          <w:b/>
        </w:rPr>
        <w:t xml:space="preserve"> </w:t>
      </w:r>
      <w:r>
        <w:rPr>
          <w:rFonts w:ascii="Times New Roman" w:hAnsi="Times New Roman" w:cs="Times New Roman"/>
          <w:b/>
        </w:rPr>
        <w:t>Doležal</w:t>
      </w:r>
      <w:r w:rsidR="001F1573">
        <w:rPr>
          <w:rFonts w:ascii="Times New Roman" w:hAnsi="Times New Roman" w:cs="Times New Roman"/>
          <w:b/>
        </w:rPr>
        <w:t xml:space="preserve"> v.r.</w:t>
      </w:r>
      <w:bookmarkStart w:id="0" w:name="_GoBack"/>
      <w:bookmarkEnd w:id="0"/>
    </w:p>
    <w:p w:rsidR="003D6C58" w:rsidRPr="00F100EE" w:rsidRDefault="003D6C58" w:rsidP="001C538E">
      <w:pPr>
        <w:spacing w:after="0" w:line="240" w:lineRule="auto"/>
        <w:jc w:val="center"/>
        <w:rPr>
          <w:rFonts w:ascii="Times New Roman" w:hAnsi="Times New Roman" w:cs="Times New Roman"/>
        </w:rPr>
      </w:pPr>
      <w:r w:rsidRPr="00F100EE">
        <w:rPr>
          <w:rFonts w:ascii="Times New Roman" w:hAnsi="Times New Roman" w:cs="Times New Roman"/>
        </w:rPr>
        <w:t>minister dopravy a výstavby</w:t>
      </w:r>
    </w:p>
    <w:p w:rsidR="003D6C58" w:rsidRDefault="001C538E" w:rsidP="001C538E">
      <w:pPr>
        <w:spacing w:after="0" w:line="240" w:lineRule="auto"/>
        <w:jc w:val="center"/>
      </w:pPr>
      <w:r>
        <w:rPr>
          <w:rFonts w:ascii="Times New Roman" w:hAnsi="Times New Roman" w:cs="Times New Roman"/>
        </w:rPr>
        <w:t>Slovenskej republiky</w:t>
      </w:r>
    </w:p>
    <w:sectPr w:rsidR="003D6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5E"/>
    <w:multiLevelType w:val="hybridMultilevel"/>
    <w:tmpl w:val="D9BEED2E"/>
    <w:lvl w:ilvl="0" w:tplc="B90E0348">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1D0162C1"/>
    <w:multiLevelType w:val="hybridMultilevel"/>
    <w:tmpl w:val="03702330"/>
    <w:lvl w:ilvl="0" w:tplc="20FA7E34">
      <w:start w:val="3"/>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BA"/>
    <w:rsid w:val="000011A0"/>
    <w:rsid w:val="00023EBA"/>
    <w:rsid w:val="00024E2D"/>
    <w:rsid w:val="0003724D"/>
    <w:rsid w:val="000434D2"/>
    <w:rsid w:val="00044945"/>
    <w:rsid w:val="000516FB"/>
    <w:rsid w:val="00060F6F"/>
    <w:rsid w:val="00071F1D"/>
    <w:rsid w:val="00080D0E"/>
    <w:rsid w:val="000A0A6D"/>
    <w:rsid w:val="000A31E4"/>
    <w:rsid w:val="000B0F63"/>
    <w:rsid w:val="000C2478"/>
    <w:rsid w:val="000C7CF2"/>
    <w:rsid w:val="000E5BAE"/>
    <w:rsid w:val="00113486"/>
    <w:rsid w:val="001234CD"/>
    <w:rsid w:val="001250F2"/>
    <w:rsid w:val="00130FE0"/>
    <w:rsid w:val="00146428"/>
    <w:rsid w:val="0016434F"/>
    <w:rsid w:val="00195261"/>
    <w:rsid w:val="00197062"/>
    <w:rsid w:val="001A0BCA"/>
    <w:rsid w:val="001A2AB8"/>
    <w:rsid w:val="001C538E"/>
    <w:rsid w:val="001C7575"/>
    <w:rsid w:val="001F0422"/>
    <w:rsid w:val="001F1573"/>
    <w:rsid w:val="001F1A8A"/>
    <w:rsid w:val="002068AE"/>
    <w:rsid w:val="0021264E"/>
    <w:rsid w:val="00243478"/>
    <w:rsid w:val="0025566F"/>
    <w:rsid w:val="00262314"/>
    <w:rsid w:val="002A09BD"/>
    <w:rsid w:val="002A4146"/>
    <w:rsid w:val="002A7531"/>
    <w:rsid w:val="002A753E"/>
    <w:rsid w:val="002C36F4"/>
    <w:rsid w:val="002F71C9"/>
    <w:rsid w:val="003210B5"/>
    <w:rsid w:val="00321158"/>
    <w:rsid w:val="003332B2"/>
    <w:rsid w:val="00380159"/>
    <w:rsid w:val="003876CA"/>
    <w:rsid w:val="003926A8"/>
    <w:rsid w:val="00397B23"/>
    <w:rsid w:val="003A11B5"/>
    <w:rsid w:val="003B05AB"/>
    <w:rsid w:val="003D62C4"/>
    <w:rsid w:val="003D6330"/>
    <w:rsid w:val="003D6C58"/>
    <w:rsid w:val="003F04AE"/>
    <w:rsid w:val="00421C55"/>
    <w:rsid w:val="00431DE9"/>
    <w:rsid w:val="00444993"/>
    <w:rsid w:val="004516B8"/>
    <w:rsid w:val="004844B7"/>
    <w:rsid w:val="00487449"/>
    <w:rsid w:val="004E6E1A"/>
    <w:rsid w:val="004F1043"/>
    <w:rsid w:val="0051304D"/>
    <w:rsid w:val="00517BC2"/>
    <w:rsid w:val="00527CD9"/>
    <w:rsid w:val="00530D72"/>
    <w:rsid w:val="0053396A"/>
    <w:rsid w:val="0054385C"/>
    <w:rsid w:val="00547662"/>
    <w:rsid w:val="005913B9"/>
    <w:rsid w:val="00596185"/>
    <w:rsid w:val="005C140E"/>
    <w:rsid w:val="005C678E"/>
    <w:rsid w:val="00610ED4"/>
    <w:rsid w:val="006404E4"/>
    <w:rsid w:val="00664222"/>
    <w:rsid w:val="0067079C"/>
    <w:rsid w:val="0067476B"/>
    <w:rsid w:val="00677FC1"/>
    <w:rsid w:val="006A04A9"/>
    <w:rsid w:val="00700D1E"/>
    <w:rsid w:val="00703A32"/>
    <w:rsid w:val="007068E7"/>
    <w:rsid w:val="00730BF0"/>
    <w:rsid w:val="00733EEC"/>
    <w:rsid w:val="00742EC6"/>
    <w:rsid w:val="00744FC7"/>
    <w:rsid w:val="00750A30"/>
    <w:rsid w:val="0075589E"/>
    <w:rsid w:val="0076056C"/>
    <w:rsid w:val="007727FE"/>
    <w:rsid w:val="0079288F"/>
    <w:rsid w:val="007A0383"/>
    <w:rsid w:val="007A10E7"/>
    <w:rsid w:val="007A56F0"/>
    <w:rsid w:val="007A6269"/>
    <w:rsid w:val="007B1D17"/>
    <w:rsid w:val="007B7437"/>
    <w:rsid w:val="007F5A21"/>
    <w:rsid w:val="00841868"/>
    <w:rsid w:val="008541EC"/>
    <w:rsid w:val="00856F70"/>
    <w:rsid w:val="00861179"/>
    <w:rsid w:val="00883A4D"/>
    <w:rsid w:val="008A028B"/>
    <w:rsid w:val="008A5344"/>
    <w:rsid w:val="008B169E"/>
    <w:rsid w:val="008B43A6"/>
    <w:rsid w:val="008B4A0B"/>
    <w:rsid w:val="008C6A9F"/>
    <w:rsid w:val="009025EE"/>
    <w:rsid w:val="00913C5F"/>
    <w:rsid w:val="00915025"/>
    <w:rsid w:val="00947CAF"/>
    <w:rsid w:val="00950A03"/>
    <w:rsid w:val="00956E84"/>
    <w:rsid w:val="009615A9"/>
    <w:rsid w:val="0098121A"/>
    <w:rsid w:val="0099297B"/>
    <w:rsid w:val="00992B71"/>
    <w:rsid w:val="009A2EE0"/>
    <w:rsid w:val="009C04F2"/>
    <w:rsid w:val="009D55AD"/>
    <w:rsid w:val="009D65C2"/>
    <w:rsid w:val="009D6F1A"/>
    <w:rsid w:val="009F6708"/>
    <w:rsid w:val="00A0768D"/>
    <w:rsid w:val="00A10B18"/>
    <w:rsid w:val="00A9252C"/>
    <w:rsid w:val="00AB3635"/>
    <w:rsid w:val="00AB3F53"/>
    <w:rsid w:val="00AB4237"/>
    <w:rsid w:val="00AC6C7F"/>
    <w:rsid w:val="00AE20EC"/>
    <w:rsid w:val="00AE212D"/>
    <w:rsid w:val="00AE57C0"/>
    <w:rsid w:val="00AF3645"/>
    <w:rsid w:val="00B04CCB"/>
    <w:rsid w:val="00B071A0"/>
    <w:rsid w:val="00B23923"/>
    <w:rsid w:val="00B32963"/>
    <w:rsid w:val="00B40A40"/>
    <w:rsid w:val="00B41B1E"/>
    <w:rsid w:val="00B463EB"/>
    <w:rsid w:val="00B70A62"/>
    <w:rsid w:val="00BA10E5"/>
    <w:rsid w:val="00BB1147"/>
    <w:rsid w:val="00BC0F4F"/>
    <w:rsid w:val="00BE76CE"/>
    <w:rsid w:val="00BF60AD"/>
    <w:rsid w:val="00BF6BD9"/>
    <w:rsid w:val="00C0417E"/>
    <w:rsid w:val="00C04E85"/>
    <w:rsid w:val="00C15086"/>
    <w:rsid w:val="00C24395"/>
    <w:rsid w:val="00C374D6"/>
    <w:rsid w:val="00C42A04"/>
    <w:rsid w:val="00C62653"/>
    <w:rsid w:val="00C63727"/>
    <w:rsid w:val="00C7534D"/>
    <w:rsid w:val="00C8531E"/>
    <w:rsid w:val="00C873C7"/>
    <w:rsid w:val="00C87767"/>
    <w:rsid w:val="00CA7859"/>
    <w:rsid w:val="00CB7271"/>
    <w:rsid w:val="00CC5BAF"/>
    <w:rsid w:val="00CD6007"/>
    <w:rsid w:val="00CE147F"/>
    <w:rsid w:val="00CE3F35"/>
    <w:rsid w:val="00CE7F31"/>
    <w:rsid w:val="00D01F87"/>
    <w:rsid w:val="00D16D3B"/>
    <w:rsid w:val="00D21AFA"/>
    <w:rsid w:val="00D45F5F"/>
    <w:rsid w:val="00D648CC"/>
    <w:rsid w:val="00D65626"/>
    <w:rsid w:val="00D80904"/>
    <w:rsid w:val="00DA631A"/>
    <w:rsid w:val="00DA782D"/>
    <w:rsid w:val="00DB4895"/>
    <w:rsid w:val="00DC0A51"/>
    <w:rsid w:val="00DC7066"/>
    <w:rsid w:val="00DD2933"/>
    <w:rsid w:val="00DE203E"/>
    <w:rsid w:val="00DE49F4"/>
    <w:rsid w:val="00E0248B"/>
    <w:rsid w:val="00E3335D"/>
    <w:rsid w:val="00E34E0E"/>
    <w:rsid w:val="00E45635"/>
    <w:rsid w:val="00E748A9"/>
    <w:rsid w:val="00E77F00"/>
    <w:rsid w:val="00E84C40"/>
    <w:rsid w:val="00E90788"/>
    <w:rsid w:val="00EA1887"/>
    <w:rsid w:val="00EC1500"/>
    <w:rsid w:val="00EC63D2"/>
    <w:rsid w:val="00ED0A36"/>
    <w:rsid w:val="00ED485C"/>
    <w:rsid w:val="00EE1E53"/>
    <w:rsid w:val="00EE7355"/>
    <w:rsid w:val="00EF06E3"/>
    <w:rsid w:val="00F0571B"/>
    <w:rsid w:val="00F362AF"/>
    <w:rsid w:val="00F84FFB"/>
    <w:rsid w:val="00F85774"/>
    <w:rsid w:val="00F85EC1"/>
    <w:rsid w:val="00F87039"/>
    <w:rsid w:val="00FB3EBD"/>
    <w:rsid w:val="00FC0D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B8FD"/>
  <w15:chartTrackingRefBased/>
  <w15:docId w15:val="{8C3E0002-2936-4872-B7D0-4318AE3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E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23EB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362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62AF"/>
    <w:rPr>
      <w:rFonts w:ascii="Segoe UI" w:hAnsi="Segoe UI" w:cs="Segoe UI"/>
      <w:sz w:val="18"/>
      <w:szCs w:val="18"/>
    </w:rPr>
  </w:style>
  <w:style w:type="paragraph" w:styleId="Odsekzoznamu">
    <w:name w:val="List Paragraph"/>
    <w:basedOn w:val="Normlny"/>
    <w:uiPriority w:val="99"/>
    <w:qFormat/>
    <w:rsid w:val="003D6C58"/>
    <w:pPr>
      <w:spacing w:after="200" w:line="276" w:lineRule="auto"/>
      <w:ind w:left="720"/>
      <w:contextualSpacing/>
    </w:pPr>
    <w:rPr>
      <w:rFonts w:ascii="Calibri" w:eastAsia="Times New Roman" w:hAnsi="Calibri" w:cs="Times New Roman"/>
    </w:rPr>
  </w:style>
  <w:style w:type="character" w:styleId="Zstupntext">
    <w:name w:val="Placeholder Text"/>
    <w:basedOn w:val="Predvolenpsmoodseku"/>
    <w:uiPriority w:val="99"/>
    <w:rsid w:val="003D6C58"/>
    <w:rPr>
      <w:rFonts w:ascii="Times New Roman" w:hAnsi="Times New Roman" w:cs="Times New Roman"/>
      <w:color w:val="808080"/>
    </w:rPr>
  </w:style>
  <w:style w:type="paragraph" w:styleId="Zkladntext3">
    <w:name w:val="Body Text 3"/>
    <w:basedOn w:val="Normlny"/>
    <w:link w:val="Zkladntext3Char"/>
    <w:unhideWhenUsed/>
    <w:rsid w:val="003D6C58"/>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3D6C5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12387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Andrea</dc:creator>
  <cp:keywords/>
  <dc:description/>
  <cp:lastModifiedBy>Horváthová, Andrea</cp:lastModifiedBy>
  <cp:revision>2</cp:revision>
  <cp:lastPrinted>2020-08-17T05:47:00Z</cp:lastPrinted>
  <dcterms:created xsi:type="dcterms:W3CDTF">2020-08-17T05:48:00Z</dcterms:created>
  <dcterms:modified xsi:type="dcterms:W3CDTF">2020-08-17T05:48:00Z</dcterms:modified>
</cp:coreProperties>
</file>