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16C7" w:rsidRPr="00670A2A" w:rsidP="009416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0A2A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9416C7" w:rsidRPr="00670A2A" w:rsidP="009416C7">
      <w:pPr>
        <w:bidi w:val="0"/>
        <w:spacing w:after="200" w:line="276" w:lineRule="auto"/>
        <w:ind w:left="426"/>
        <w:contextualSpacing/>
        <w:rPr>
          <w:rFonts w:ascii="Calibri" w:hAnsi="Calibri"/>
          <w:b/>
          <w:sz w:val="22"/>
          <w:szCs w:val="22"/>
          <w:lang w:eastAsia="en-US"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9416C7">
            <w:pPr>
              <w:numPr>
                <w:numId w:val="2"/>
              </w:numPr>
              <w:bidi w:val="0"/>
              <w:spacing w:after="0" w:line="240" w:lineRule="auto"/>
              <w:ind w:left="426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DE78FA">
            <w:pPr>
              <w:bidi w:val="0"/>
              <w:spacing w:after="200" w:line="276" w:lineRule="auto"/>
              <w:ind w:left="142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16C7" w:rsidRPr="00400A29" w:rsidP="000E113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404" w:rsidR="00400A29">
              <w:rPr>
                <w:rFonts w:ascii="Times New Roman" w:hAnsi="Times New Roman"/>
              </w:rPr>
              <w:t xml:space="preserve">Návrh na schválenie zmien a doplnkov </w:t>
            </w:r>
            <w:r w:rsidRPr="00463D77" w:rsidR="004C5CAA">
              <w:rPr>
                <w:rFonts w:ascii="Times New Roman" w:hAnsi="Times New Roman"/>
              </w:rPr>
              <w:t xml:space="preserve">dohovoru COTIF v znení protokolu 1999 </w:t>
            </w:r>
            <w:r w:rsidRPr="005F5404" w:rsidR="00400A29">
              <w:rPr>
                <w:rFonts w:ascii="Times New Roman" w:hAnsi="Times New Roman"/>
              </w:rPr>
              <w:t>prijatých na 1</w:t>
            </w:r>
            <w:r w:rsidR="00501AD5">
              <w:rPr>
                <w:rFonts w:ascii="Times New Roman" w:hAnsi="Times New Roman"/>
              </w:rPr>
              <w:t>3</w:t>
            </w:r>
            <w:r w:rsidRPr="005F5404" w:rsidR="00400A29">
              <w:rPr>
                <w:rFonts w:ascii="Times New Roman" w:hAnsi="Times New Roman"/>
              </w:rPr>
              <w:t xml:space="preserve">. </w:t>
            </w:r>
            <w:r w:rsidR="000E1131">
              <w:rPr>
                <w:rFonts w:ascii="Times New Roman" w:hAnsi="Times New Roman"/>
              </w:rPr>
              <w:t>v</w:t>
            </w:r>
            <w:r w:rsidRPr="005F5404" w:rsidR="00400A29">
              <w:rPr>
                <w:rFonts w:ascii="Times New Roman" w:hAnsi="Times New Roman"/>
              </w:rPr>
              <w:t xml:space="preserve">alnom zhromaždení </w:t>
            </w:r>
            <w:r w:rsidRPr="00557FB0" w:rsidR="00400A29">
              <w:rPr>
                <w:rFonts w:ascii="Times New Roman" w:hAnsi="Times New Roman"/>
              </w:rPr>
              <w:t>Medzivládnej organizácie pre medzinárodnú železničnú prepravu (OTIF)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DE78FA">
            <w:pPr>
              <w:bidi w:val="0"/>
              <w:spacing w:after="200" w:line="276" w:lineRule="auto"/>
              <w:ind w:left="142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  <w:r w:rsidRPr="001C0C7D">
              <w:rPr>
                <w:rFonts w:ascii="Calibri" w:hAnsi="Calibri"/>
              </w:rPr>
              <w:t xml:space="preserve">Minister </w:t>
            </w:r>
            <w:r>
              <w:rPr>
                <w:rFonts w:ascii="Calibri" w:hAnsi="Calibri"/>
              </w:rPr>
              <w:t>dopravy a výstavby</w:t>
            </w:r>
            <w:r w:rsidRPr="001C0C7D">
              <w:rPr>
                <w:rFonts w:ascii="Calibri" w:hAnsi="Calibri"/>
              </w:rPr>
              <w:t xml:space="preserve"> Slovenskej republiky</w:t>
            </w:r>
          </w:p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9416C7" w:rsidRPr="001C0C7D" w:rsidP="00DE78FA">
            <w:pPr>
              <w:bidi w:val="0"/>
              <w:spacing w:after="200" w:line="276" w:lineRule="auto"/>
              <w:ind w:left="142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1C0C7D" w:rsidR="00773EEF">
              <w:rPr>
                <w:rFonts w:ascii="MS Gothic" w:eastAsia="MS Gothic" w:hAnsi="MS Gothic" w:cs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  <w:r w:rsidRPr="001C0C7D">
              <w:rPr>
                <w:rFonts w:ascii="Calibri" w:hAnsi="Calibri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1C0C7D" w:rsidR="00773EE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ind w:left="175" w:hanging="175"/>
              <w:rPr>
                <w:rFonts w:ascii="Calibri" w:hAnsi="Calibri"/>
              </w:rPr>
            </w:pPr>
            <w:r w:rsidRPr="001C0C7D">
              <w:rPr>
                <w:rFonts w:ascii="Calibri" w:hAnsi="Calibri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1C0C7D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  <w:r w:rsidRPr="001C0C7D">
              <w:rPr>
                <w:rFonts w:ascii="Calibri" w:hAnsi="Calibri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i/>
              </w:rPr>
            </w:pPr>
            <w:r w:rsidRPr="001C0C7D">
              <w:rPr>
                <w:rFonts w:ascii="Calibri" w:hAnsi="Calibri"/>
                <w:i/>
              </w:rPr>
              <w:t>V prípade transpozície uveďte zoznam transponovaných predpisov:</w:t>
            </w:r>
          </w:p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</w:p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DE78FA">
            <w:pPr>
              <w:bidi w:val="0"/>
              <w:spacing w:after="200" w:line="276" w:lineRule="auto"/>
              <w:ind w:left="142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i/>
                <w:highlight w:val="yellow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DE78FA">
            <w:pPr>
              <w:bidi w:val="0"/>
              <w:spacing w:after="200" w:line="276" w:lineRule="auto"/>
              <w:ind w:left="142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16C7" w:rsidRPr="001C0C7D" w:rsidP="00501AD5">
            <w:pPr>
              <w:bidi w:val="0"/>
              <w:spacing w:after="0" w:line="240" w:lineRule="auto"/>
              <w:rPr>
                <w:rFonts w:ascii="Calibri" w:hAnsi="Calibri"/>
                <w:i/>
                <w:highlight w:val="yellow"/>
              </w:rPr>
            </w:pPr>
            <w:r w:rsidR="00DA32B0">
              <w:rPr>
                <w:rFonts w:ascii="Calibri" w:hAnsi="Calibri"/>
                <w:i/>
              </w:rPr>
              <w:t>apríl</w:t>
            </w:r>
            <w:r w:rsidRPr="009416C7" w:rsidR="00400A29">
              <w:rPr>
                <w:rFonts w:ascii="Calibri" w:hAnsi="Calibri"/>
                <w:i/>
              </w:rPr>
              <w:t xml:space="preserve"> 201</w:t>
            </w:r>
            <w:r w:rsidR="00501AD5">
              <w:rPr>
                <w:rFonts w:ascii="Calibri" w:hAnsi="Calibri"/>
                <w:i/>
              </w:rPr>
              <w:t>9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501AD5" w:rsidRPr="001C0C7D" w:rsidP="00501AD5">
            <w:pPr>
              <w:bidi w:val="0"/>
              <w:spacing w:after="200" w:line="276" w:lineRule="auto"/>
              <w:ind w:left="142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1AD5" w:rsidRPr="001C0C7D" w:rsidP="00501AD5">
            <w:pPr>
              <w:bidi w:val="0"/>
              <w:spacing w:after="0" w:line="240" w:lineRule="auto"/>
              <w:rPr>
                <w:rFonts w:ascii="Calibri" w:hAnsi="Calibri"/>
                <w:i/>
                <w:highlight w:val="yellow"/>
              </w:rPr>
            </w:pPr>
            <w:r w:rsidR="00DA32B0">
              <w:rPr>
                <w:rFonts w:ascii="Calibri" w:hAnsi="Calibri"/>
                <w:i/>
              </w:rPr>
              <w:t>apríl</w:t>
            </w:r>
            <w:r w:rsidRPr="009416C7">
              <w:rPr>
                <w:rFonts w:ascii="Calibri" w:hAnsi="Calibri"/>
                <w:i/>
              </w:rPr>
              <w:t xml:space="preserve"> 201</w:t>
            </w:r>
            <w:r>
              <w:rPr>
                <w:rFonts w:ascii="Calibri" w:hAnsi="Calibri"/>
                <w:i/>
              </w:rPr>
              <w:t>9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9416C7">
            <w:pPr>
              <w:numPr>
                <w:numId w:val="2"/>
              </w:numPr>
              <w:bidi w:val="0"/>
              <w:spacing w:after="0" w:line="240" w:lineRule="auto"/>
              <w:ind w:left="426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Definovanie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400A29" w:rsidP="00DE78FA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</w:rPr>
            </w:pPr>
            <w:r w:rsidRPr="00400A29">
              <w:rPr>
                <w:rFonts w:ascii="Calibri" w:hAnsi="Calibri"/>
                <w:i/>
              </w:rPr>
              <w:t xml:space="preserve">Dohovor COTIF je mnohostrannou medzinárodnou zmluvou prezidentskej povahy a schválenie jej zmien a dodatkov vyžaduje schválenie členskými štátmi. </w:t>
            </w:r>
          </w:p>
          <w:p w:rsidR="009416C7" w:rsidRPr="001C0C7D" w:rsidP="00DE78FA">
            <w:pPr>
              <w:bidi w:val="0"/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9416C7">
            <w:pPr>
              <w:numPr>
                <w:numId w:val="2"/>
              </w:numPr>
              <w:bidi w:val="0"/>
              <w:spacing w:after="0" w:line="240" w:lineRule="auto"/>
              <w:ind w:left="426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400A29">
              <w:rPr>
                <w:rFonts w:ascii="Calibri" w:hAnsi="Calibri"/>
                <w:i/>
                <w:lang w:eastAsia="en-US"/>
              </w:rPr>
              <w:t xml:space="preserve">Materiál je </w:t>
            </w:r>
            <w:r w:rsidR="0086591F">
              <w:rPr>
                <w:rFonts w:ascii="Calibri" w:hAnsi="Calibri"/>
                <w:i/>
                <w:lang w:eastAsia="en-US"/>
              </w:rPr>
              <w:t>ne</w:t>
            </w:r>
            <w:r w:rsidRPr="00400A29">
              <w:rPr>
                <w:rFonts w:ascii="Calibri" w:hAnsi="Calibri"/>
                <w:i/>
                <w:lang w:eastAsia="en-US"/>
              </w:rPr>
              <w:t xml:space="preserve">legislatívnej povahy, </w:t>
            </w:r>
            <w:r w:rsidR="004558A1">
              <w:rPr>
                <w:rFonts w:ascii="Calibri" w:hAnsi="Calibri"/>
                <w:i/>
                <w:lang w:eastAsia="en-US"/>
              </w:rPr>
              <w:t xml:space="preserve">cieľom je dosiahnutie fungujúceho mechanizmu na prijímanie revízii a súladu s medzinárodnými právnymi pravidlami, </w:t>
            </w:r>
            <w:r w:rsidRPr="00400A29">
              <w:rPr>
                <w:rFonts w:ascii="Calibri" w:hAnsi="Calibri"/>
                <w:i/>
                <w:lang w:eastAsia="en-US"/>
              </w:rPr>
              <w:t>jeho prijatie nemá dopad na zvýšenie výdavkov verejných financií, a je v súlade so zahraničnými záujmami Slovenskej republiky.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9416C7">
            <w:pPr>
              <w:numPr>
                <w:numId w:val="2"/>
              </w:numPr>
              <w:bidi w:val="0"/>
              <w:spacing w:after="0" w:line="240" w:lineRule="auto"/>
              <w:ind w:left="426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416C7" w:rsidRPr="001C0C7D" w:rsidP="00B667E1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B667E1" w:rsidR="00B667E1">
              <w:rPr>
                <w:rFonts w:ascii="Calibri" w:hAnsi="Calibri"/>
                <w:i/>
                <w:lang w:eastAsia="en-US"/>
              </w:rPr>
              <w:t>Súkromné a verejné subjekty medzinárodnej železničnej dopravy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9416C7">
            <w:pPr>
              <w:numPr>
                <w:numId w:val="2"/>
              </w:numPr>
              <w:bidi w:val="0"/>
              <w:spacing w:after="0" w:line="240" w:lineRule="auto"/>
              <w:ind w:left="426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406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416C7" w:rsidRPr="001C0C7D" w:rsidP="004558A1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en-US"/>
              </w:rPr>
            </w:pPr>
            <w:r w:rsidR="004558A1">
              <w:rPr>
                <w:rFonts w:ascii="Calibri" w:hAnsi="Calibri"/>
                <w:i/>
                <w:lang w:eastAsia="en-US"/>
              </w:rPr>
              <w:t xml:space="preserve">Nultý variant - </w:t>
            </w:r>
            <w:r w:rsidRPr="004558A1" w:rsidR="004558A1">
              <w:rPr>
                <w:rFonts w:ascii="Calibri" w:hAnsi="Calibri"/>
                <w:i/>
                <w:lang w:eastAsia="en-US"/>
              </w:rPr>
              <w:t>nepriaznivý účinok súčasného zdĺhavého postupu revízie vrátane rizika vnútorného nesúladu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9416C7">
            <w:pPr>
              <w:numPr>
                <w:numId w:val="2"/>
              </w:numPr>
              <w:bidi w:val="0"/>
              <w:spacing w:after="0" w:line="240" w:lineRule="auto"/>
              <w:ind w:left="426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i/>
              </w:rPr>
            </w:pPr>
            <w:r w:rsidRPr="001C0C7D">
              <w:rPr>
                <w:rFonts w:ascii="Calibri" w:hAnsi="Calibri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1C0C7D">
              <w:rPr>
                <w:rFonts w:ascii="MS Gothic" w:eastAsia="MS Gothic" w:hAnsi="MS Gothic" w:cs="MS Gothic" w:hint="eastAsia"/>
              </w:rPr>
              <w:t>☐</w:t>
            </w:r>
            <w:r w:rsidRPr="001C0C7D">
              <w:rPr>
                <w:rFonts w:ascii="Calibri" w:hAnsi="Calibri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1C0C7D">
              <w:rPr>
                <w:rFonts w:ascii="MS Gothic" w:eastAsia="MS Gothic" w:hAnsi="MS Gothic" w:cs="MS Gothic" w:hint="eastAsia"/>
              </w:rPr>
              <w:t>☒</w:t>
            </w:r>
            <w:r w:rsidRPr="001C0C7D">
              <w:rPr>
                <w:rFonts w:ascii="Calibri" w:hAnsi="Calibri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i/>
              </w:rPr>
            </w:pPr>
            <w:r w:rsidRPr="001C0C7D">
              <w:rPr>
                <w:rFonts w:ascii="Calibri" w:hAnsi="Calibri"/>
                <w:i/>
              </w:rPr>
              <w:t>Ak áno, uveďte ktoré oblasti budú nimi upravené, resp. ktorých vykonávacích predpisov sa zmena dotkne:</w:t>
            </w:r>
          </w:p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9416C7">
            <w:pPr>
              <w:numPr>
                <w:numId w:val="2"/>
              </w:numPr>
              <w:bidi w:val="0"/>
              <w:spacing w:after="0" w:line="240" w:lineRule="auto"/>
              <w:ind w:left="426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9416C7">
            <w:pPr>
              <w:numPr>
                <w:numId w:val="2"/>
              </w:numPr>
              <w:bidi w:val="0"/>
              <w:spacing w:after="0" w:line="240" w:lineRule="auto"/>
              <w:ind w:left="426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Preskúmanie účelnosti**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</w:p>
          <w:p w:rsidR="009416C7" w:rsidRPr="001C0C7D" w:rsidP="00DE78FA">
            <w:pPr>
              <w:bidi w:val="0"/>
              <w:spacing w:after="0" w:line="240" w:lineRule="auto"/>
              <w:ind w:left="142" w:hanging="142"/>
              <w:rPr>
                <w:rFonts w:ascii="Calibri" w:hAnsi="Calibri"/>
              </w:rPr>
            </w:pPr>
            <w:r w:rsidRPr="001C0C7D">
              <w:rPr>
                <w:rFonts w:ascii="Calibri" w:hAnsi="Calibri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  <w:r w:rsidRPr="001C0C7D">
              <w:rPr>
                <w:rFonts w:ascii="Calibri" w:hAnsi="Calibri"/>
              </w:rPr>
              <w:t>** nepovinné</w:t>
            </w:r>
          </w:p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</w:p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9416C7" w:rsidRPr="001C0C7D" w:rsidP="009416C7">
            <w:pPr>
              <w:numPr>
                <w:numId w:val="2"/>
              </w:numPr>
              <w:bidi w:val="0"/>
              <w:spacing w:after="0" w:line="240" w:lineRule="auto"/>
              <w:ind w:left="426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>
              <w:rPr>
                <w:rFonts w:ascii="MS Gothic" w:eastAsia="MS Gothic" w:hAnsi="MS Gothic" w:cs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 w:rsidR="00400A29">
              <w:rPr>
                <w:rFonts w:ascii="MS Gothic" w:eastAsia="MS Gothic" w:hAnsi="MS Gothic" w:cs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ind w:left="-107" w:right="-108"/>
              <w:jc w:val="center"/>
              <w:rPr>
                <w:rFonts w:ascii="Calibri" w:hAnsi="Calibri"/>
                <w:b/>
              </w:rPr>
            </w:pPr>
            <w:r w:rsidRPr="001C0C7D" w:rsidR="00400A29">
              <w:rPr>
                <w:rFonts w:ascii="MS Gothic" w:eastAsia="MS Gothic" w:hAnsi="MS Gothic" w:cs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ind w:left="34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  <w:r w:rsidRPr="001C0C7D">
              <w:rPr>
                <w:rFonts w:ascii="Calibri" w:hAnsi="Calibri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1C0C7D" w:rsidR="00400A29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  <w:r w:rsidRPr="001C0C7D">
              <w:rPr>
                <w:rFonts w:ascii="Calibri" w:hAnsi="Calibri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1C0C7D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</w:rPr>
            </w:pPr>
            <w:r w:rsidRPr="001C0C7D">
              <w:rPr>
                <w:rFonts w:ascii="Calibri" w:hAnsi="Calibri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ind w:left="-107" w:right="-108"/>
              <w:jc w:val="center"/>
              <w:rPr>
                <w:rFonts w:ascii="Calibri" w:hAnsi="Calibri"/>
              </w:rPr>
            </w:pPr>
            <w:r w:rsidRPr="001C0C7D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ind w:left="34"/>
              <w:rPr>
                <w:rFonts w:ascii="Calibri" w:hAnsi="Calibri"/>
              </w:rPr>
            </w:pPr>
            <w:r w:rsidRPr="001C0C7D">
              <w:rPr>
                <w:rFonts w:ascii="Calibri" w:hAnsi="Calibri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 w:rsidR="00400A29">
              <w:rPr>
                <w:rFonts w:ascii="MS Gothic" w:eastAsia="MS Gothic" w:hAnsi="MS Gothic" w:cs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ind w:right="-108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 w:rsidR="00400A29">
              <w:rPr>
                <w:rFonts w:ascii="MS Gothic" w:eastAsia="MS Gothic" w:hAnsi="MS Gothic" w:cs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>
              <w:rPr>
                <w:rFonts w:ascii="MS Gothic" w:eastAsia="MS Gothic" w:hAnsi="MS Gothic" w:cs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ind w:left="54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rPr>
                <w:rFonts w:ascii="Calibri" w:hAnsi="Calibri"/>
              </w:rPr>
            </w:pPr>
            <w:r w:rsidRPr="001C0C7D">
              <w:rPr>
                <w:rFonts w:ascii="Calibri" w:hAnsi="Calibri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>
              <w:rPr>
                <w:rFonts w:ascii="MS Gothic" w:eastAsia="MS Gothic" w:hAnsi="MS Gothic" w:cs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ind w:right="-108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>
              <w:rPr>
                <w:rFonts w:ascii="MS Gothic" w:eastAsia="MS Gothic" w:hAnsi="MS Gothic" w:cs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>
              <w:rPr>
                <w:rFonts w:ascii="MS Gothic" w:eastAsia="MS Gothic" w:hAnsi="MS Gothic" w:cs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ind w:left="54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>
              <w:rPr>
                <w:rFonts w:ascii="MS Gothic" w:eastAsia="MS Gothic" w:hAnsi="MS Gothic" w:cs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ind w:right="-108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>
              <w:rPr>
                <w:rFonts w:ascii="MS Gothic" w:eastAsia="MS Gothic" w:hAnsi="MS Gothic" w:cs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>
              <w:rPr>
                <w:rFonts w:ascii="MS Gothic" w:eastAsia="MS Gothic" w:hAnsi="MS Gothic" w:cs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ind w:left="54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>
              <w:rPr>
                <w:rFonts w:ascii="MS Gothic" w:eastAsia="MS Gothic" w:hAnsi="MS Gothic" w:cs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ind w:right="-108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>
              <w:rPr>
                <w:rFonts w:ascii="MS Gothic" w:eastAsia="MS Gothic" w:hAnsi="MS Gothic" w:cs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>
              <w:rPr>
                <w:rFonts w:ascii="MS Gothic" w:eastAsia="MS Gothic" w:hAnsi="MS Gothic" w:cs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A29" w:rsidRPr="001C0C7D" w:rsidP="00400A29">
            <w:pPr>
              <w:bidi w:val="0"/>
              <w:spacing w:after="0" w:line="240" w:lineRule="auto"/>
              <w:ind w:left="54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>
              <w:rPr>
                <w:rFonts w:ascii="MS Gothic" w:eastAsia="MS Gothic" w:hAnsi="MS Gothic" w:cs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ind w:right="-108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>
              <w:rPr>
                <w:rFonts w:ascii="MS Gothic" w:eastAsia="MS Gothic" w:hAnsi="MS Gothic" w:cs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C0C7D">
              <w:rPr>
                <w:rFonts w:ascii="MS Gothic" w:eastAsia="MS Gothic" w:hAnsi="MS Gothic" w:cs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ind w:left="54"/>
              <w:rPr>
                <w:rFonts w:ascii="Calibri" w:hAnsi="Calibri"/>
                <w:b/>
              </w:rPr>
            </w:pPr>
            <w:r w:rsidRPr="001C0C7D">
              <w:rPr>
                <w:rFonts w:ascii="Calibri" w:hAnsi="Calibri"/>
                <w:b/>
              </w:rPr>
              <w:t>Negatívne</w:t>
            </w:r>
          </w:p>
        </w:tc>
      </w:tr>
    </w:tbl>
    <w:p w:rsidR="009416C7" w:rsidRPr="00670A2A" w:rsidP="009416C7">
      <w:pPr>
        <w:bidi w:val="0"/>
        <w:rPr>
          <w:rFonts w:ascii="Times New Roman" w:hAnsi="Times New Roman"/>
          <w:vanish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70A2A">
              <w:rPr>
                <w:rFonts w:ascii="Times New Roman" w:hAnsi="Times New Roman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 w:rsidRPr="00670A2A"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A2A">
              <w:rPr>
                <w:rFonts w:ascii="Times New Roman" w:eastAsia="MS Gothic" w:hAnsi="Times New Roman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70A2A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A2A">
              <w:rPr>
                <w:rFonts w:ascii="Times New Roman" w:eastAsia="MS Gothic" w:hAnsi="Times New Roman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70A2A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A2A">
              <w:rPr>
                <w:rFonts w:ascii="Segoe UI Symbol" w:eastAsia="MS Mincho" w:hAnsi="Segoe UI Symbol" w:cs="Segoe UI Symbol" w:hint="default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670A2A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 w:rsidRPr="00670A2A">
              <w:rPr>
                <w:rFonts w:ascii="Times New Roman" w:hAnsi="Times New Roman"/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A2A">
              <w:rPr>
                <w:rFonts w:ascii="Segoe UI Symbol" w:eastAsia="MS Mincho" w:hAnsi="Segoe UI Symbol" w:cs="Segoe UI Symbol" w:hint="default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70A2A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A2A">
              <w:rPr>
                <w:rFonts w:ascii="Times New Roman" w:eastAsia="MS Gothic" w:hAnsi="Times New Roman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70A2A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A2A">
              <w:rPr>
                <w:rFonts w:ascii="Segoe UI Symbol" w:eastAsia="MS Mincho" w:hAnsi="Segoe UI Symbol" w:cs="Segoe UI Symbol" w:hint="default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16C7" w:rsidRPr="00670A2A" w:rsidP="00DE78FA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670A2A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510D4" w:rsidP="00D510D4">
            <w:pPr>
              <w:bidi w:val="0"/>
              <w:spacing w:after="0" w:line="240" w:lineRule="auto"/>
              <w:ind w:left="168" w:hanging="168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Vplyvy na manželstvo, </w:t>
            </w:r>
            <w:r>
              <w:rPr>
                <w:rFonts w:ascii="Times" w:hAnsi="Times" w:cs="Times"/>
                <w:b/>
                <w:bCs/>
              </w:rPr>
              <w:t xml:space="preserve">rodičovstvo a </w:t>
            </w:r>
          </w:p>
          <w:p w:rsidR="00D510D4" w:rsidRPr="00D510D4" w:rsidP="00D510D4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" w:hAnsi="Times" w:cs="Times"/>
                <w:b/>
                <w:bCs/>
              </w:rPr>
              <w:t>rodinu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510D4" w:rsidRPr="00D510D4" w:rsidP="002038AC">
            <w:pPr>
              <w:bidi w:val="0"/>
              <w:spacing w:after="0" w:line="240" w:lineRule="auto"/>
              <w:jc w:val="center"/>
              <w:rPr>
                <w:rFonts w:ascii="Segoe UI Symbol" w:eastAsia="MS Mincho" w:hAnsi="Segoe UI Symbol" w:cs="Segoe UI Symbol"/>
                <w:b/>
              </w:rPr>
            </w:pPr>
            <w:r w:rsidRPr="00D510D4">
              <w:rPr>
                <w:rFonts w:ascii="Segoe UI Symbol" w:eastAsia="MS Mincho" w:hAnsi="Segoe UI Symbol" w:cs="Segoe UI Symbol" w:hint="default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510D4" w:rsidRPr="00D510D4" w:rsidP="002038AC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510D4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510D4" w:rsidRPr="00D510D4" w:rsidP="002038AC">
            <w:pPr>
              <w:bidi w:val="0"/>
              <w:spacing w:after="0" w:line="240" w:lineRule="auto"/>
              <w:jc w:val="center"/>
              <w:rPr>
                <w:rFonts w:ascii="Times New Roman" w:eastAsia="MS Gothic" w:hAnsi="Times New Roman"/>
                <w:b/>
              </w:rPr>
            </w:pPr>
            <w:r w:rsidRPr="00D510D4">
              <w:rPr>
                <w:rFonts w:ascii="Times New Roman" w:eastAsia="MS Gothic" w:hAnsi="Times New Roman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510D4" w:rsidRPr="00D510D4" w:rsidP="002038AC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510D4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510D4" w:rsidRPr="00D510D4" w:rsidP="002038AC">
            <w:pPr>
              <w:bidi w:val="0"/>
              <w:spacing w:after="0" w:line="240" w:lineRule="auto"/>
              <w:jc w:val="center"/>
              <w:rPr>
                <w:rFonts w:ascii="Segoe UI Symbol" w:eastAsia="MS Mincho" w:hAnsi="Segoe UI Symbol" w:cs="Segoe UI Symbol"/>
                <w:b/>
              </w:rPr>
            </w:pPr>
            <w:r w:rsidRPr="00D510D4">
              <w:rPr>
                <w:rFonts w:ascii="Segoe UI Symbol" w:eastAsia="MS Mincho" w:hAnsi="Segoe UI Symbol" w:cs="Segoe UI Symbol" w:hint="default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0D4" w:rsidRPr="00D510D4" w:rsidP="002038AC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D510D4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9416C7" w:rsidP="009416C7">
      <w:pPr>
        <w:bidi w:val="0"/>
        <w:ind w:right="141"/>
        <w:rPr>
          <w:rFonts w:ascii="Times New Roman" w:hAnsi="Times New Roman"/>
          <w:b/>
        </w:rPr>
      </w:pPr>
    </w:p>
    <w:p w:rsidR="00D510D4" w:rsidRPr="00670A2A" w:rsidP="009416C7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Normal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6"/>
      </w:tblGrid>
      <w:tr>
        <w:tblPrEx>
          <w:tblW w:w="9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9416C7">
            <w:pPr>
              <w:numPr>
                <w:numId w:val="2"/>
              </w:numPr>
              <w:bidi w:val="0"/>
              <w:spacing w:after="0" w:line="240" w:lineRule="auto"/>
              <w:ind w:left="426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contextualSpacing/>
              <w:rPr>
                <w:rFonts w:ascii="Calibri" w:hAnsi="Calibri"/>
                <w:b/>
                <w:lang w:eastAsia="en-US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9416C7">
            <w:pPr>
              <w:numPr>
                <w:numId w:val="2"/>
              </w:numPr>
              <w:bidi w:val="0"/>
              <w:spacing w:after="0" w:line="240" w:lineRule="auto"/>
              <w:ind w:left="426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416C7" w:rsidRPr="001C0C7D" w:rsidP="00400A29">
            <w:pPr>
              <w:bidi w:val="0"/>
              <w:spacing w:after="0" w:line="240" w:lineRule="auto"/>
              <w:rPr>
                <w:rFonts w:ascii="Calibri" w:hAnsi="Calibri"/>
                <w:i/>
              </w:rPr>
            </w:pPr>
            <w:r w:rsidRPr="001C0C7D">
              <w:rPr>
                <w:rFonts w:ascii="Calibri" w:hAnsi="Calibri"/>
                <w:i/>
              </w:rPr>
              <w:t xml:space="preserve">Ministerstvo </w:t>
            </w:r>
            <w:r>
              <w:rPr>
                <w:rFonts w:ascii="Calibri" w:hAnsi="Calibri"/>
                <w:i/>
              </w:rPr>
              <w:t>dopravy a výstavby</w:t>
            </w:r>
            <w:r w:rsidRPr="001C0C7D">
              <w:rPr>
                <w:rFonts w:ascii="Calibri" w:hAnsi="Calibri"/>
                <w:i/>
              </w:rPr>
              <w:t xml:space="preserve"> Slovenskej republiky, Sekcia </w:t>
            </w:r>
            <w:r w:rsidR="00400A29">
              <w:rPr>
                <w:rFonts w:ascii="Calibri" w:hAnsi="Calibri"/>
                <w:i/>
              </w:rPr>
              <w:t xml:space="preserve">železničnej dopravy a dráh – Ing. </w:t>
            </w:r>
            <w:r w:rsidR="00BC1D62">
              <w:rPr>
                <w:rFonts w:ascii="Calibri" w:hAnsi="Calibri"/>
                <w:i/>
              </w:rPr>
              <w:t xml:space="preserve">Milan </w:t>
            </w:r>
            <w:r w:rsidR="00400A29">
              <w:rPr>
                <w:rFonts w:ascii="Calibri" w:hAnsi="Calibri"/>
                <w:i/>
              </w:rPr>
              <w:t>Kubiček</w:t>
            </w:r>
            <w:r w:rsidR="00BC1D62">
              <w:rPr>
                <w:rFonts w:ascii="Calibri" w:hAnsi="Calibri"/>
                <w:i/>
              </w:rPr>
              <w:t xml:space="preserve">, PhD., 02/5949 4651, </w:t>
            </w:r>
            <w:hyperlink r:id="rId4" w:history="1">
              <w:r w:rsidRPr="00350430" w:rsidR="00BC1D62">
                <w:rPr>
                  <w:rStyle w:val="Hyperlink"/>
                  <w:rFonts w:ascii="Calibri" w:hAnsi="Calibri"/>
                  <w:i/>
                </w:rPr>
                <w:t>milan.kubicek@mindop.sk</w:t>
              </w:r>
            </w:hyperlink>
            <w:r w:rsidR="00BC1D62">
              <w:rPr>
                <w:rFonts w:ascii="Calibri" w:hAnsi="Calibri"/>
                <w:i/>
              </w:rPr>
              <w:t xml:space="preserve"> 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9416C7">
            <w:pPr>
              <w:numPr>
                <w:numId w:val="2"/>
              </w:numPr>
              <w:bidi w:val="0"/>
              <w:spacing w:after="0" w:line="240" w:lineRule="auto"/>
              <w:ind w:left="426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i/>
              </w:rPr>
            </w:pPr>
          </w:p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416C7" w:rsidRPr="001C0C7D" w:rsidP="009416C7">
            <w:pPr>
              <w:numPr>
                <w:numId w:val="2"/>
              </w:numPr>
              <w:bidi w:val="0"/>
              <w:spacing w:after="0" w:line="240" w:lineRule="auto"/>
              <w:ind w:left="426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C0C7D">
              <w:rPr>
                <w:rFonts w:ascii="Calibri" w:hAnsi="Calibri"/>
                <w:b/>
                <w:sz w:val="22"/>
                <w:szCs w:val="22"/>
                <w:lang w:eastAsia="en-US"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Cs/>
                <w:lang w:eastAsia="ar-SA"/>
              </w:rPr>
            </w:pPr>
          </w:p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Cs/>
                <w:lang w:eastAsia="ar-SA"/>
              </w:rPr>
            </w:pPr>
          </w:p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Cs/>
                <w:lang w:eastAsia="ar-SA"/>
              </w:rPr>
            </w:pPr>
          </w:p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Cs/>
                <w:lang w:eastAsia="ar-SA"/>
              </w:rPr>
            </w:pPr>
          </w:p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Cs/>
                <w:lang w:eastAsia="ar-SA"/>
              </w:rPr>
            </w:pPr>
          </w:p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Cs/>
                <w:lang w:eastAsia="ar-SA"/>
              </w:rPr>
            </w:pPr>
          </w:p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Cs/>
                <w:lang w:eastAsia="ar-SA"/>
              </w:rPr>
            </w:pPr>
          </w:p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9416C7" w:rsidRPr="001C0C7D" w:rsidP="00DE78FA">
            <w:pPr>
              <w:bidi w:val="0"/>
              <w:spacing w:after="0"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9416C7" w:rsidRPr="00670A2A" w:rsidP="009416C7">
      <w:pPr>
        <w:bidi w:val="0"/>
        <w:rPr>
          <w:rFonts w:ascii="Times New Roman" w:hAnsi="Times New Roman"/>
        </w:rPr>
      </w:pPr>
    </w:p>
    <w:sectPr w:rsidSect="00400A29">
      <w:footnotePr>
        <w:numFmt w:val="chicago"/>
      </w:footnotePr>
      <w:type w:val="continuous"/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00" w:csb1="00000000"/>
  </w:font>
  <w:font w:name="Segoe UI Symbol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9D3"/>
    <w:multiLevelType w:val="hybridMultilevel"/>
    <w:tmpl w:val="3C54E36E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1668E7"/>
    <w:multiLevelType w:val="hybridMultilevel"/>
    <w:tmpl w:val="64AA6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1A7978"/>
    <w:multiLevelType w:val="hybridMultilevel"/>
    <w:tmpl w:val="E2AED59A"/>
    <w:lvl w:ilvl="0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numFmt w:val="chicago"/>
  </w:footnotePr>
  <w:compat/>
  <w:rsids>
    <w:rsidRoot w:val="009416C7"/>
    <w:rsid w:val="00015367"/>
    <w:rsid w:val="00021251"/>
    <w:rsid w:val="000342A6"/>
    <w:rsid w:val="00041EF8"/>
    <w:rsid w:val="000E1131"/>
    <w:rsid w:val="000E45D7"/>
    <w:rsid w:val="000E5544"/>
    <w:rsid w:val="00151832"/>
    <w:rsid w:val="001C0C7D"/>
    <w:rsid w:val="002038AC"/>
    <w:rsid w:val="002C6287"/>
    <w:rsid w:val="00350430"/>
    <w:rsid w:val="00400A29"/>
    <w:rsid w:val="004558A1"/>
    <w:rsid w:val="00460E22"/>
    <w:rsid w:val="00463D77"/>
    <w:rsid w:val="004B6EB0"/>
    <w:rsid w:val="004C5CAA"/>
    <w:rsid w:val="004F66E3"/>
    <w:rsid w:val="00501AD5"/>
    <w:rsid w:val="0055365B"/>
    <w:rsid w:val="00557FB0"/>
    <w:rsid w:val="005F5404"/>
    <w:rsid w:val="00670A2A"/>
    <w:rsid w:val="0075562E"/>
    <w:rsid w:val="00773EEF"/>
    <w:rsid w:val="00797281"/>
    <w:rsid w:val="0086591F"/>
    <w:rsid w:val="00871F7A"/>
    <w:rsid w:val="00941009"/>
    <w:rsid w:val="009416C7"/>
    <w:rsid w:val="00963D19"/>
    <w:rsid w:val="009F0759"/>
    <w:rsid w:val="00B572E5"/>
    <w:rsid w:val="00B60580"/>
    <w:rsid w:val="00B667E1"/>
    <w:rsid w:val="00BC1D62"/>
    <w:rsid w:val="00CD027D"/>
    <w:rsid w:val="00D510D4"/>
    <w:rsid w:val="00D91E78"/>
    <w:rsid w:val="00D95F69"/>
    <w:rsid w:val="00DA32B0"/>
    <w:rsid w:val="00DE78FA"/>
    <w:rsid w:val="00E5724F"/>
    <w:rsid w:val="00E92C30"/>
    <w:rsid w:val="00ED077D"/>
    <w:rsid w:val="00FD0F3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16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9416C7"/>
    <w:pPr>
      <w:tabs>
        <w:tab w:val="center" w:pos="4536"/>
        <w:tab w:val="right" w:pos="9072"/>
      </w:tabs>
      <w:jc w:val="left"/>
    </w:pPr>
    <w:rPr>
      <w:sz w:val="24"/>
      <w:szCs w:val="24"/>
      <w:lang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9416C7"/>
    <w:rPr>
      <w:rFonts w:ascii="Times New Roman" w:hAnsi="Times New Roman" w:cs="Times New Roman"/>
      <w:sz w:val="24"/>
      <w:szCs w:val="24"/>
      <w:rtl w:val="0"/>
      <w:cs w:val="0"/>
      <w:lang w:val="x-none" w:eastAsia="x-none"/>
    </w:rPr>
  </w:style>
  <w:style w:type="paragraph" w:styleId="ListParagraph">
    <w:name w:val="List Paragraph"/>
    <w:aliases w:val="Odsek zoznamu2,body"/>
    <w:basedOn w:val="Normal"/>
    <w:link w:val="OdsekzoznamuChar"/>
    <w:uiPriority w:val="99"/>
    <w:qFormat/>
    <w:rsid w:val="009416C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odmienky-M">
    <w:name w:val="Podmienky-M"/>
    <w:basedOn w:val="Normal"/>
    <w:qFormat/>
    <w:rsid w:val="009416C7"/>
    <w:pPr>
      <w:numPr>
        <w:numId w:val="1"/>
      </w:numPr>
      <w:tabs>
        <w:tab w:val="left" w:pos="540"/>
        <w:tab w:val="num" w:pos="960"/>
      </w:tabs>
      <w:spacing w:after="120"/>
      <w:ind w:left="960" w:hanging="360"/>
      <w:jc w:val="both"/>
    </w:pPr>
    <w:rPr>
      <w:sz w:val="24"/>
      <w:szCs w:val="24"/>
    </w:rPr>
  </w:style>
  <w:style w:type="character" w:customStyle="1" w:styleId="OdsekzoznamuChar">
    <w:name w:val="Odsek zoznamu Char"/>
    <w:aliases w:val="Odsek zoznamu2 Char,body Char"/>
    <w:link w:val="ListParagraph"/>
    <w:uiPriority w:val="99"/>
    <w:locked/>
    <w:rsid w:val="009416C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C1D62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ilan.kubicek@mindop.sk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2</Pages>
  <Words>431</Words>
  <Characters>2460</Characters>
  <Application>Microsoft Office Word</Application>
  <DocSecurity>0</DocSecurity>
  <Lines>0</Lines>
  <Paragraphs>0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Považan, Peter</dc:creator>
  <cp:lastModifiedBy>Kubiček, Milan</cp:lastModifiedBy>
  <cp:revision>4</cp:revision>
  <dcterms:created xsi:type="dcterms:W3CDTF">2019-04-02T12:21:00Z</dcterms:created>
  <dcterms:modified xsi:type="dcterms:W3CDTF">2019-11-14T11:33:00Z</dcterms:modified>
</cp:coreProperties>
</file>