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4B48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 w:rsidP="008D56CC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0F715B">
        <w:rPr>
          <w:rFonts w:ascii="Times New Roman" w:hAnsi="Times New Roman"/>
          <w:sz w:val="24"/>
          <w:szCs w:val="24"/>
        </w:rPr>
        <w:t>Vlastný materiál</w:t>
      </w: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742934" w:rsidRPr="0099619C" w:rsidP="00E22609">
      <w:pPr>
        <w:tabs>
          <w:tab w:val="left" w:pos="106"/>
        </w:tabs>
        <w:bidi w:val="0"/>
        <w:spacing w:before="240" w:after="240"/>
        <w:jc w:val="center"/>
        <w:rPr>
          <w:rFonts w:ascii="Times New Roman" w:hAnsi="Times New Roman"/>
          <w:b/>
          <w:color w:val="A6A6A6" w:themeColor="bg1" w:themeShade="A6"/>
          <w:sz w:val="24"/>
          <w:szCs w:val="24"/>
        </w:rPr>
      </w:pPr>
      <w:r w:rsidRPr="0099619C">
        <w:rPr>
          <w:rFonts w:ascii="Times New Roman" w:hAnsi="Times New Roman"/>
          <w:b/>
          <w:color w:val="A6A6A6" w:themeColor="bg1" w:themeShade="A6"/>
          <w:sz w:val="24"/>
          <w:szCs w:val="24"/>
        </w:rPr>
        <w:t>Základný dohovor</w:t>
      </w:r>
    </w:p>
    <w:p w:rsidR="008D56CC" w:rsidRPr="0099619C" w:rsidP="00E22609">
      <w:pPr>
        <w:tabs>
          <w:tab w:val="left" w:pos="106"/>
        </w:tabs>
        <w:bidi w:val="0"/>
        <w:spacing w:before="240" w:after="24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99619C">
        <w:rPr>
          <w:rFonts w:ascii="Times New Roman" w:hAnsi="Times New Roman"/>
          <w:b/>
          <w:sz w:val="24"/>
          <w:szCs w:val="24"/>
        </w:rPr>
        <w:t>Zmeny ustanovení</w:t>
      </w:r>
    </w:p>
    <w:p w:rsidR="008D56CC" w:rsidRPr="0099619C" w:rsidP="00E22609">
      <w:pPr>
        <w:bidi w:val="0"/>
        <w:spacing w:before="240" w:after="240"/>
        <w:rPr>
          <w:rFonts w:ascii="Times New Roman" w:hAnsi="Times New Roman"/>
          <w:sz w:val="24"/>
          <w:szCs w:val="24"/>
          <w:highlight w:val="yellow"/>
        </w:rPr>
      </w:pPr>
      <w:r w:rsidRPr="0099619C">
        <w:rPr>
          <w:rFonts w:ascii="Times New Roman" w:hAnsi="Times New Roman"/>
          <w:sz w:val="24"/>
          <w:szCs w:val="24"/>
        </w:rPr>
        <w:t>Dohovor o medzinárodnej železničnej preprave (COTIF) z 9. mája 1980 v znení protokolu z 3. júna 1999 (Vilniuský protokol), sa mení a dopĺňa takto: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99619C">
        <w:rPr>
          <w:rFonts w:ascii="Times New Roman" w:hAnsi="Times New Roman"/>
          <w:b/>
          <w:sz w:val="24"/>
          <w:szCs w:val="24"/>
        </w:rPr>
        <w:t>Článok 2 sa mení a dopĺňa takto: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1.</w:t>
        <w:tab/>
        <w:t xml:space="preserve">V § 1 sa písmeno a) bod 3 mení nasledovne: </w:t>
      </w:r>
    </w:p>
    <w:p w:rsidR="008D56CC" w:rsidRPr="0099619C" w:rsidP="00E22609">
      <w:pPr>
        <w:bidi w:val="0"/>
        <w:spacing w:before="240" w:after="240"/>
        <w:ind w:left="851" w:hanging="567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„3.</w:t>
        <w:tab/>
        <w:t>Zmluva o používaní železničnej infraštruktúry v medzinárodnej železničnej doprave;“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2.</w:t>
        <w:tab/>
        <w:t>V § 1 sa za písmeno d) dopĺňa písmeno e) v tomto znení: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851" w:hanging="567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„e)</w:t>
        <w:tab/>
        <w:t>stanoviť požiadavky na bezpečnú prevádzku vlakov v medzinárodnej doprave;“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3.</w:t>
        <w:tab/>
        <w:t>V § 1 sa z pôvodného písmena e) stáva písmeno f).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4.</w:t>
        <w:tab/>
        <w:t xml:space="preserve">V § 1 sa z pôvodného písmena f) stáva písmeno g) a mení sa nasledovne:  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851" w:hanging="567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„g)</w:t>
        <w:tab/>
        <w:t>rozvíjať jednotné právne predpisy, pravidlá a postupy uvedené v písmenách a) až f), berúc do úvahy právne, ekonomické a technické zmeny.“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b/>
          <w:sz w:val="24"/>
          <w:szCs w:val="24"/>
        </w:rPr>
        <w:t>Článok 6 sa mení takto: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1.</w:t>
        <w:tab/>
        <w:t>V § 1 sa písmeno e) mení nasledovne:</w:t>
      </w:r>
    </w:p>
    <w:p w:rsidR="008D56CC" w:rsidRPr="0099619C" w:rsidP="00E22609">
      <w:pPr>
        <w:bidi w:val="0"/>
        <w:spacing w:before="240" w:after="240"/>
        <w:ind w:left="851" w:hanging="567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„e)</w:t>
        <w:tab/>
        <w:t>„Jednotné právne predpisy týkajúce sa zmluvy o používaní železničnej infraštruktúry v medzinárodnej železničnej doprave (CUI) ", dodatok E k dohovoru,“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2.</w:t>
        <w:tab/>
        <w:t>V § 1 sa dopĺňa písmeno h) v tomto znení: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851" w:hanging="567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„h)</w:t>
        <w:tab/>
        <w:t>„Jednotné právne predpisy bezpečnej prevádzky vlakov v medzinárodnej doprave (EST) ", dodatok H k dohovoru;“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3.</w:t>
        <w:tab/>
        <w:t>V § 1 sa z pôvodného písmena h) stáva písmeno i).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b/>
          <w:sz w:val="24"/>
          <w:szCs w:val="24"/>
        </w:rPr>
        <w:t>Článok 20 sa mení takto: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1.</w:t>
        <w:tab/>
        <w:t>V § 1 sa písmeno e) mení nasledovne: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851" w:hanging="567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„e)</w:t>
        <w:tab/>
        <w:t>rieši všetky ostatné záležitosti, ktoré sú mu pridelené v súlade s Jednotnými právnymi predpismi APTU, Jednotnými právnymi predpismi ATMF a Jednotnými právnymi predpismi EST</w:t>
      </w:r>
      <w:r w:rsidRPr="0099619C">
        <w:rPr>
          <w:rFonts w:ascii="Times New Roman" w:hAnsi="Times New Roman"/>
          <w:sz w:val="24"/>
          <w:szCs w:val="24"/>
          <w:lang w:eastAsia="fr-FR"/>
        </w:rPr>
        <w:t>.“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2.</w:t>
        <w:tab/>
        <w:t>§ 2 sa mení nasledovne: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567" w:hanging="567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„§ 2</w:t>
        <w:tab/>
        <w:t>Technická komisia je uznášaniaschopná (článok 13 § 3), ak je zastúpená polovica členských štátov v zmysle článku 16 § 1. Pri rozhodovaní o ustanoveniach dodatkov k Jednotným právnym predpisom APTU nemajú členské štáty, ktoré vzniesli námietky voči príslušným ustanoveniam v súlade s článkom 35 § 4 alebo urobili vyhlásenie v súlade s článkom 9 § 1 Jednotných právnych predpisov APTU, vo vzťahu k príslušnému dodatku žiadne hlasovacie právo. Pri rozhodovaní o ustanoveniach dodatkov k Jednotným právnym predpisom EST nemajú členské štáty, ktoré vzniesli námietky voči príslušným ustanoveniam v súlade s článkom 35 § 4 alebo urobili vyhlásenie v súlade s článkom 9 § 1 Jednotných právnych predpisov EST, vo vzťahu k príslušnému dodatku žiadne hlasovacie právo.“</w:t>
      </w:r>
    </w:p>
    <w:p w:rsidR="008D56CC" w:rsidRPr="0099619C" w:rsidP="00E22609">
      <w:pPr>
        <w:keepNext/>
        <w:keepLines/>
        <w:widowControl w:val="0"/>
        <w:autoSpaceDE w:val="0"/>
        <w:autoSpaceDN w:val="0"/>
        <w:bidi w:val="0"/>
        <w:adjustRightInd w:val="0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99619C">
        <w:rPr>
          <w:rFonts w:ascii="Times New Roman" w:hAnsi="Times New Roman"/>
          <w:b/>
          <w:sz w:val="24"/>
          <w:szCs w:val="24"/>
        </w:rPr>
        <w:t>Článok 33 sa mení takto: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1.</w:t>
        <w:tab/>
        <w:t>V § 4 sa písmeno g) mení nasledovne: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851" w:hanging="567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„g)</w:t>
        <w:tab/>
        <w:t>Jednotné právne predpisy ATMF okrem článkov 1, 3 a 9, ako aj dodatky k týmto Jednotným právnym predpisom;“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2.</w:t>
        <w:tab/>
        <w:t>V § 4 sa za písmeno g) dopĺňa písmeno h) v tomto znení: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851" w:hanging="567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„h)</w:t>
        <w:tab/>
        <w:t>Jednotné právne predpisy EST s výnimkou článkov 1 a 9, ako aj dodatkov k týmto Jednotným právnym predpisom.“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3.</w:t>
        <w:tab/>
        <w:t>§ 6 sa mení nasledovne: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851" w:hanging="567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„§ 6</w:t>
        <w:tab/>
        <w:t>Technická komisia rozhoduje o žiadostiach o prijatie nových dodatkov alebo o zmene existujúcich dodatkov k Jednotným právnym predpisom APTU, ATMF a EST. Ak sa takéto návrhy predložia technickej komisii, môže jedna tretina štátov zastúpených vo výbore požiadať o predloženie týchto návrhov valnému zhromaždeniu, aby o nich rozhodl</w:t>
      </w:r>
      <w:r w:rsidRPr="0099619C" w:rsidR="00742934">
        <w:rPr>
          <w:rFonts w:ascii="Times New Roman" w:hAnsi="Times New Roman"/>
          <w:sz w:val="24"/>
          <w:szCs w:val="24"/>
        </w:rPr>
        <w:t>o</w:t>
      </w:r>
      <w:r w:rsidRPr="0099619C">
        <w:rPr>
          <w:rFonts w:ascii="Times New Roman" w:hAnsi="Times New Roman"/>
          <w:sz w:val="24"/>
          <w:szCs w:val="24"/>
        </w:rPr>
        <w:t>.“</w:t>
      </w:r>
    </w:p>
    <w:p w:rsidR="008D56CC" w:rsidRPr="0099619C" w:rsidP="00E22609">
      <w:pPr>
        <w:tabs>
          <w:tab w:val="left" w:pos="106"/>
        </w:tabs>
        <w:bidi w:val="0"/>
        <w:spacing w:before="240" w:after="240"/>
        <w:jc w:val="center"/>
        <w:rPr>
          <w:rFonts w:ascii="Times New Roman" w:hAnsi="Times New Roman"/>
          <w:b/>
          <w:sz w:val="24"/>
          <w:szCs w:val="24"/>
          <w:lang w:eastAsia="fr-FR"/>
        </w:rPr>
      </w:pPr>
      <w:r w:rsidRPr="0099619C">
        <w:rPr>
          <w:rFonts w:ascii="Times New Roman" w:hAnsi="Times New Roman"/>
          <w:b/>
          <w:sz w:val="24"/>
          <w:szCs w:val="24"/>
          <w:lang w:eastAsia="fr-FR"/>
        </w:rPr>
        <w:t>Článok 34 sa mení takto:</w:t>
      </w:r>
    </w:p>
    <w:p w:rsidR="008D56CC" w:rsidRPr="0099619C" w:rsidP="00E22609">
      <w:pPr>
        <w:bidi w:val="0"/>
        <w:spacing w:before="240" w:after="240"/>
        <w:ind w:left="284" w:hanging="284"/>
        <w:rPr>
          <w:rFonts w:ascii="Times New Roman" w:hAnsi="Times New Roman"/>
          <w:bCs/>
          <w:sz w:val="24"/>
          <w:szCs w:val="24"/>
        </w:rPr>
      </w:pPr>
      <w:r w:rsidRPr="0099619C">
        <w:rPr>
          <w:rFonts w:ascii="Times New Roman" w:hAnsi="Times New Roman"/>
          <w:bCs/>
          <w:sz w:val="24"/>
          <w:szCs w:val="24"/>
        </w:rPr>
        <w:t>§§ 3 až 6 sa menia nasledovne:</w:t>
      </w:r>
    </w:p>
    <w:p w:rsidR="008D56CC" w:rsidRPr="0099619C" w:rsidP="00E22609">
      <w:pPr>
        <w:bidi w:val="0"/>
        <w:spacing w:before="240" w:after="240"/>
        <w:ind w:left="567" w:hanging="567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„</w:t>
      </w:r>
      <w:r w:rsidRPr="0099619C">
        <w:rPr>
          <w:rFonts w:ascii="Times New Roman" w:hAnsi="Times New Roman"/>
          <w:bCs/>
          <w:sz w:val="24"/>
          <w:szCs w:val="24"/>
        </w:rPr>
        <w:t>§ 3</w:t>
        <w:tab/>
        <w:t>Zmeny dodatkov k dohovoru prijaté Valným zhromaždením vstupujú do platnosti pre všetky členské štáty po tridsiatich šiestich mesiacoch po oznámení zmeny generálnym tajomníkom členským štátom, s výnimkou tých členských štátov, ktoré pred nadobudnutím účinnosti zmien vyhlásili, že s nimi nesúhlasia, ako aj tých členských štátov, ktoré urobili vyhlásenie v súlade s článkom 42 § 1 veta 1. Valné zhromaždenie môže prostredníctvom väčšiny uvedenej v článku 14 § 6, ktorá rozhoduje o zmene dohovoru,  rozhodnúť o odložení nadobudnutia účinnosti zmien.</w:t>
      </w:r>
    </w:p>
    <w:p w:rsidR="008D56CC" w:rsidRPr="0099619C" w:rsidP="00E22609">
      <w:pPr>
        <w:bidi w:val="0"/>
        <w:spacing w:before="240" w:after="240"/>
        <w:ind w:left="567" w:hanging="567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bCs/>
          <w:sz w:val="24"/>
          <w:szCs w:val="24"/>
        </w:rPr>
        <w:t>§ 4</w:t>
        <w:tab/>
        <w:t>Členské štáty postúpia generálnemu tajomníkovi svoje oznámenia týkajúce sa zmien samotného dohovoru prijatých Valným zhromaždením, ako aj ich vyhlásenia o tom, že nesúhlasia so zmenami samotnej dohody alebo jej dodatkov. Ten bude o tom informovať ostatné členské štáty.</w:t>
      </w:r>
    </w:p>
    <w:p w:rsidR="008D56CC" w:rsidRPr="0099619C" w:rsidP="00E22609">
      <w:pPr>
        <w:bidi w:val="0"/>
        <w:spacing w:before="240" w:after="240"/>
        <w:ind w:left="567" w:hanging="567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5</w:t>
        <w:tab/>
      </w:r>
      <w:r w:rsidRPr="0099619C">
        <w:rPr>
          <w:rFonts w:ascii="Times New Roman" w:hAnsi="Times New Roman"/>
          <w:bCs/>
          <w:sz w:val="24"/>
          <w:szCs w:val="24"/>
        </w:rPr>
        <w:t>Lehota uvedená v § 2 sa počíta odo dňa, kedy generálny tajomník oznámi, že sú splnené  podmienky pre nadobudnutie platnosti zmien.</w:t>
      </w:r>
    </w:p>
    <w:p w:rsidR="008D56CC" w:rsidRPr="0099619C" w:rsidP="00E22609">
      <w:pPr>
        <w:bidi w:val="0"/>
        <w:spacing w:before="240" w:after="240"/>
        <w:ind w:left="567" w:hanging="567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6</w:t>
        <w:tab/>
      </w:r>
      <w:r w:rsidRPr="0099619C">
        <w:rPr>
          <w:rFonts w:ascii="Times New Roman" w:hAnsi="Times New Roman"/>
          <w:sz w:val="24"/>
          <w:szCs w:val="24"/>
        </w:rPr>
        <w:t>Valné zhromaždenie môže pri rozhodovaní o zmene určiť, že táto zmena má taký dosah, že každému členskému štátu, ktorý vydá vyhlásenie v súlade s § 2 alebo § 3 alebo neodsúhlasí zmenu do osemnástich mesiacov po nadobudnutí jej platnosti, alebo nestiahne svoje vyhlásenie, skončí po uplynutí tohto obdobia členstvo v organizácii.“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99619C">
        <w:rPr>
          <w:rFonts w:ascii="Times New Roman" w:hAnsi="Times New Roman"/>
          <w:b/>
          <w:sz w:val="24"/>
          <w:szCs w:val="24"/>
        </w:rPr>
        <w:t>Článok 35 sa mení takto: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1.</w:t>
        <w:tab/>
      </w:r>
      <w:r w:rsidRPr="0099619C">
        <w:rPr>
          <w:rFonts w:ascii="Times New Roman" w:hAnsi="Times New Roman"/>
          <w:sz w:val="24"/>
          <w:szCs w:val="24"/>
          <w:shd w:val="clear" w:color="auto" w:fill="FFFFFF"/>
        </w:rPr>
        <w:t>§ 4</w:t>
      </w:r>
      <w:r w:rsidRPr="0099619C">
        <w:rPr>
          <w:rFonts w:ascii="Times New Roman" w:hAnsi="Times New Roman"/>
          <w:sz w:val="24"/>
          <w:szCs w:val="24"/>
        </w:rPr>
        <w:t xml:space="preserve"> sa mení nasledovne: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567" w:hanging="567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„§ 4</w:t>
        <w:tab/>
        <w:t>Členské štáty môžu vzniesť námietky do štyroch mesiacov odo dňa oznámenia generálneho tajomníka v súlade s §3. Ak vznesie štvrtina členských štátov námietku, zmeny nenadobudnú platnosť. V členských štátoch, ktoré podali námietku voči rozhodnutiam včas, sa uplatňovanie celého príslušného dodatku týkajúceho sa dopravy s členskými štátmi a medzi  nimi po nadobudnutí platnosti rozhodnutí pozastaví. V prípade námietky voči záväznému vyhláseniu technickej normy alebo voči prijatiu jednotného technického predpisu sa od nadobudnutia platnosti rozhodnutí pozastavia iba normy týkajúce sa dopravy s členskými štátmi a medzi nimi; to isté platí aj v prípade čiastočného rozporu. V prípade námietky voči prijatiu alebo zmene dodatku k jednotným právnym predpisom EST sa odo dňa, kedy rozhodnutia vstúpili do platnosti, pozastaví len ten dodatok týkajúci sa dopravy s členskými štátmi a medzi nimi; to isté platí aj pri čiastočnej námietke.“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2.</w:t>
        <w:tab/>
        <w:t>V § 6 sa písmeno c) mení nasledovne: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284"/>
        <w:rPr>
          <w:rFonts w:ascii="Times New Roman" w:hAnsi="Times New Roman"/>
          <w:i/>
          <w:sz w:val="24"/>
          <w:szCs w:val="24"/>
        </w:rPr>
      </w:pPr>
      <w:r w:rsidRPr="0099619C">
        <w:rPr>
          <w:rFonts w:ascii="Times New Roman" w:hAnsi="Times New Roman"/>
          <w:i/>
          <w:sz w:val="24"/>
          <w:szCs w:val="24"/>
        </w:rPr>
        <w:t>[Poznámka: zmena v § 6 písmeno c) sa týka len francúzskeho ustanovenia]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3.</w:t>
        <w:tab/>
        <w:t>V § 6 sa za písmeno c) dopĺňa písmeno d) v tomto znení:</w:t>
      </w:r>
    </w:p>
    <w:p w:rsidR="008D56CC" w:rsidRPr="0099619C" w:rsidP="00E22609">
      <w:pPr>
        <w:widowControl w:val="0"/>
        <w:autoSpaceDE w:val="0"/>
        <w:autoSpaceDN w:val="0"/>
        <w:bidi w:val="0"/>
        <w:adjustRightInd w:val="0"/>
        <w:spacing w:before="240" w:after="240"/>
        <w:ind w:left="851" w:hanging="567"/>
        <w:rPr>
          <w:rFonts w:ascii="Times New Roman" w:hAnsi="Times New Roman"/>
          <w:sz w:val="24"/>
          <w:szCs w:val="24"/>
          <w:lang w:val="fr-FR"/>
        </w:rPr>
      </w:pPr>
      <w:r w:rsidRPr="0099619C">
        <w:rPr>
          <w:rFonts w:ascii="Times New Roman" w:hAnsi="Times New Roman"/>
          <w:sz w:val="24"/>
          <w:szCs w:val="24"/>
          <w:lang w:val="fr-FR"/>
        </w:rPr>
        <w:t>„d)</w:t>
        <w:tab/>
      </w:r>
      <w:r w:rsidRPr="0099619C">
        <w:rPr>
          <w:rFonts w:ascii="Times New Roman" w:hAnsi="Times New Roman"/>
          <w:sz w:val="24"/>
          <w:szCs w:val="24"/>
        </w:rPr>
        <w:t>ktorí vydali vyhlásenie v súlade s článkom 9 § 1 Jednotných právnych predpisov EST,“</w:t>
      </w:r>
    </w:p>
    <w:p w:rsidR="008D56CC" w:rsidRPr="0099619C">
      <w:pPr>
        <w:bidi w:val="0"/>
        <w:rPr>
          <w:rFonts w:ascii="Times New Roman" w:hAnsi="Times New Roman"/>
          <w:sz w:val="24"/>
          <w:szCs w:val="24"/>
        </w:rPr>
      </w:pPr>
    </w:p>
    <w:p w:rsidR="00742934" w:rsidRPr="0099619C">
      <w:pPr>
        <w:bidi w:val="0"/>
        <w:rPr>
          <w:rFonts w:ascii="Times New Roman" w:hAnsi="Times New Roman"/>
          <w:sz w:val="24"/>
          <w:szCs w:val="24"/>
        </w:rPr>
      </w:pPr>
    </w:p>
    <w:p w:rsidR="00742934" w:rsidRPr="0099619C">
      <w:pPr>
        <w:bidi w:val="0"/>
        <w:rPr>
          <w:rFonts w:ascii="Times New Roman" w:hAnsi="Times New Roman"/>
          <w:sz w:val="24"/>
          <w:szCs w:val="24"/>
        </w:rPr>
      </w:pPr>
    </w:p>
    <w:p w:rsidR="00742934" w:rsidRPr="0099619C">
      <w:pPr>
        <w:bidi w:val="0"/>
        <w:rPr>
          <w:rFonts w:ascii="Times New Roman" w:hAnsi="Times New Roman"/>
          <w:sz w:val="24"/>
          <w:szCs w:val="24"/>
        </w:rPr>
      </w:pPr>
    </w:p>
    <w:p w:rsidR="00742934" w:rsidRPr="0099619C">
      <w:pPr>
        <w:bidi w:val="0"/>
        <w:rPr>
          <w:rFonts w:ascii="Times New Roman" w:hAnsi="Times New Roman"/>
          <w:sz w:val="24"/>
          <w:szCs w:val="24"/>
        </w:rPr>
      </w:pPr>
    </w:p>
    <w:p w:rsidR="00742934" w:rsidRPr="0099619C">
      <w:pPr>
        <w:bidi w:val="0"/>
        <w:rPr>
          <w:rFonts w:ascii="Times New Roman" w:hAnsi="Times New Roman"/>
          <w:sz w:val="24"/>
          <w:szCs w:val="24"/>
        </w:rPr>
      </w:pPr>
    </w:p>
    <w:p w:rsidR="00742934" w:rsidRPr="0099619C">
      <w:pPr>
        <w:bidi w:val="0"/>
        <w:rPr>
          <w:rFonts w:ascii="Times New Roman" w:hAnsi="Times New Roman"/>
          <w:sz w:val="24"/>
          <w:szCs w:val="24"/>
        </w:rPr>
      </w:pPr>
    </w:p>
    <w:p w:rsidR="00742934" w:rsidRPr="0099619C">
      <w:pPr>
        <w:bidi w:val="0"/>
        <w:rPr>
          <w:rFonts w:ascii="Times New Roman" w:hAnsi="Times New Roman"/>
          <w:sz w:val="24"/>
          <w:szCs w:val="24"/>
        </w:rPr>
      </w:pPr>
    </w:p>
    <w:p w:rsidR="00742934" w:rsidRPr="0099619C">
      <w:pPr>
        <w:bidi w:val="0"/>
        <w:rPr>
          <w:rFonts w:ascii="Times New Roman" w:hAnsi="Times New Roman"/>
          <w:sz w:val="24"/>
          <w:szCs w:val="24"/>
        </w:rPr>
      </w:pPr>
    </w:p>
    <w:p w:rsidR="00742934" w:rsidRPr="0099619C">
      <w:pPr>
        <w:bidi w:val="0"/>
        <w:rPr>
          <w:rFonts w:ascii="Times New Roman" w:hAnsi="Times New Roman"/>
          <w:sz w:val="24"/>
          <w:szCs w:val="24"/>
        </w:rPr>
      </w:pPr>
    </w:p>
    <w:p w:rsidR="00742934" w:rsidRPr="0099619C">
      <w:pPr>
        <w:bidi w:val="0"/>
        <w:rPr>
          <w:rFonts w:ascii="Times New Roman" w:hAnsi="Times New Roman"/>
          <w:sz w:val="24"/>
          <w:szCs w:val="24"/>
        </w:rPr>
      </w:pPr>
    </w:p>
    <w:p w:rsidR="00742934" w:rsidRPr="0099619C" w:rsidP="00742934">
      <w:pPr>
        <w:tabs>
          <w:tab w:val="left" w:pos="106"/>
        </w:tabs>
        <w:bidi w:val="0"/>
        <w:spacing w:before="240" w:after="240"/>
        <w:jc w:val="center"/>
        <w:rPr>
          <w:rFonts w:ascii="Times New Roman" w:hAnsi="Times New Roman"/>
          <w:b/>
          <w:color w:val="A6A6A6" w:themeColor="bg1" w:themeShade="A6"/>
          <w:sz w:val="24"/>
          <w:szCs w:val="24"/>
        </w:rPr>
      </w:pPr>
      <w:r w:rsidRPr="0099619C">
        <w:rPr>
          <w:rFonts w:ascii="Times New Roman" w:hAnsi="Times New Roman"/>
          <w:b/>
          <w:color w:val="A6A6A6" w:themeColor="bg1" w:themeShade="A6"/>
          <w:sz w:val="24"/>
          <w:szCs w:val="24"/>
        </w:rPr>
        <w:t>Dodatok E (CUI)</w:t>
      </w:r>
    </w:p>
    <w:p w:rsidR="00742934" w:rsidRPr="0099619C" w:rsidP="00E22609">
      <w:pPr>
        <w:bidi w:val="0"/>
        <w:ind w:left="484" w:hanging="484"/>
        <w:jc w:val="center"/>
        <w:rPr>
          <w:rFonts w:ascii="Times New Roman" w:hAnsi="Times New Roman"/>
          <w:b/>
          <w:sz w:val="24"/>
          <w:szCs w:val="24"/>
        </w:rPr>
      </w:pPr>
      <w:r w:rsidRPr="0099619C">
        <w:rPr>
          <w:rFonts w:ascii="Times New Roman" w:hAnsi="Times New Roman"/>
          <w:b/>
          <w:sz w:val="24"/>
          <w:szCs w:val="24"/>
        </w:rPr>
        <w:t>Zmeny ustanovení</w:t>
      </w:r>
    </w:p>
    <w:p w:rsidR="00742934" w:rsidRPr="0099619C" w:rsidP="00E22609">
      <w:pPr>
        <w:tabs>
          <w:tab w:val="left" w:pos="0"/>
        </w:tabs>
        <w:bidi w:val="0"/>
        <w:spacing w:after="240"/>
        <w:rPr>
          <w:rFonts w:ascii="Times New Roman" w:hAnsi="Times New Roman"/>
          <w:b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 xml:space="preserve">Jednotné právne predpisy týkajúce sa zmluvy o používaní infraštruktúry v medzinárodnej železničnej doprave, príloha E k Dohovoru o medzinárodnej železničnej preprave (COTIF) </w:t>
        <w:br/>
        <w:t>z 9. mája 1980, v znení protokolu z 3. júna 1999 (Vilniuský protokol), sa menia takto:</w:t>
      </w:r>
    </w:p>
    <w:p w:rsidR="00742934" w:rsidRPr="0099619C" w:rsidP="00E22609">
      <w:pPr>
        <w:bidi w:val="0"/>
        <w:spacing w:after="240"/>
        <w:jc w:val="center"/>
        <w:rPr>
          <w:rFonts w:ascii="Times New Roman" w:hAnsi="Times New Roman"/>
          <w:b/>
          <w:sz w:val="24"/>
          <w:szCs w:val="24"/>
          <w:lang w:eastAsia="fr-FR"/>
        </w:rPr>
      </w:pPr>
      <w:r w:rsidRPr="0099619C">
        <w:rPr>
          <w:rFonts w:ascii="Times New Roman" w:hAnsi="Times New Roman"/>
          <w:b/>
          <w:sz w:val="24"/>
          <w:szCs w:val="24"/>
          <w:lang w:eastAsia="fr-FR"/>
        </w:rPr>
        <w:t>Názov sa mení takto:</w:t>
      </w:r>
    </w:p>
    <w:p w:rsidR="00742934" w:rsidRPr="0099619C" w:rsidP="00E22609">
      <w:pPr>
        <w:bidi w:val="0"/>
        <w:spacing w:before="120" w:after="120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  <w:lang w:eastAsia="fr-FR"/>
        </w:rPr>
        <w:t>Názov sa mení nasledovne:</w:t>
      </w:r>
    </w:p>
    <w:p w:rsidR="00742934" w:rsidRPr="0099619C" w:rsidP="00E22609">
      <w:pPr>
        <w:bidi w:val="0"/>
        <w:spacing w:after="240"/>
        <w:jc w:val="center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b/>
          <w:sz w:val="24"/>
          <w:szCs w:val="24"/>
        </w:rPr>
        <w:t>„Jednotné právne predpisy týkajúce sa Zmluvy o používaní železničnej infraštruktúry v medzinárodnej železničnej doprave“</w:t>
      </w:r>
    </w:p>
    <w:p w:rsidR="00742934" w:rsidRPr="0099619C" w:rsidP="00E22609">
      <w:pPr>
        <w:pStyle w:val="OTIFTitre3centr"/>
        <w:tabs>
          <w:tab w:val="left" w:pos="851"/>
          <w:tab w:val="clear" w:pos="1418"/>
        </w:tabs>
        <w:bidi w:val="0"/>
        <w:rPr>
          <w:rFonts w:ascii="Times New Roman" w:hAnsi="Times New Roman"/>
          <w:color w:val="000000"/>
          <w:lang w:val="sk-SK" w:eastAsia="de-DE"/>
        </w:rPr>
      </w:pPr>
      <w:r w:rsidRPr="0099619C">
        <w:rPr>
          <w:rFonts w:ascii="Times New Roman" w:hAnsi="Times New Roman"/>
          <w:color w:val="000000"/>
          <w:lang w:val="sk-SK" w:eastAsia="de-DE"/>
        </w:rPr>
        <w:t>Článok 1 sa mení takto:</w:t>
      </w:r>
    </w:p>
    <w:p w:rsidR="00742934" w:rsidRPr="0099619C" w:rsidP="0099619C">
      <w:pPr>
        <w:widowControl w:val="0"/>
        <w:autoSpaceDE w:val="0"/>
        <w:autoSpaceDN w:val="0"/>
        <w:bidi w:val="0"/>
        <w:adjustRightInd w:val="0"/>
        <w:spacing w:before="240"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1.</w:t>
        <w:tab/>
        <w:t>§ 1 sa mení nasledovne:</w:t>
      </w:r>
    </w:p>
    <w:p w:rsidR="00742934" w:rsidRPr="0099619C" w:rsidP="0099619C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„§ 1</w:t>
        <w:tab/>
        <w:t>Tieto Jednotné právne predpisy sa vzťahujú na akúkoľvek zmluvu o používaní železničnej infraštruktúry (zmluva o používaní) v členskom štáte v medzinárodnej železničnej doprave s cieľom vykonávať medzinárodnú železničnú prepravu v zmysle Jednotných právnych predpisov CIV a Jednotných právnych predpisov CIM. “</w:t>
      </w:r>
    </w:p>
    <w:p w:rsidR="00742934" w:rsidRPr="0099619C" w:rsidP="00E22609">
      <w:pPr>
        <w:tabs>
          <w:tab w:val="left" w:pos="626"/>
        </w:tabs>
        <w:bidi w:val="0"/>
        <w:spacing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2.</w:t>
        <w:tab/>
        <w:t>Za § 1 sa dopĺňa § 2 v tomto znení:</w:t>
      </w:r>
    </w:p>
    <w:p w:rsidR="00742934" w:rsidRPr="0099619C" w:rsidP="0099619C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„§ 2</w:t>
        <w:tab/>
        <w:t>Tieto Jednotné právne predpisy sa uplatňujú bez ohľadu na sídlo alebo štátnu príslušnosť zmluvných strán a tiež vtedy, ak železničnú infraštruktúru prevádzkujú alebo používajú štáty alebo štátne inštitúcie alebo organizácie.“</w:t>
      </w:r>
    </w:p>
    <w:p w:rsidR="00742934" w:rsidRPr="0099619C" w:rsidP="00E22609">
      <w:pPr>
        <w:tabs>
          <w:tab w:val="left" w:pos="626"/>
        </w:tabs>
        <w:bidi w:val="0"/>
        <w:spacing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3.</w:t>
        <w:tab/>
        <w:t>Z pôvodného § 2 sa stáva § 3.</w:t>
      </w:r>
    </w:p>
    <w:p w:rsidR="00742934" w:rsidRPr="0099619C" w:rsidP="00E22609">
      <w:pPr>
        <w:pStyle w:val="OTIFTitre3centr"/>
        <w:tabs>
          <w:tab w:val="left" w:pos="0"/>
          <w:tab w:val="clear" w:pos="1418"/>
        </w:tabs>
        <w:bidi w:val="0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Článok 3 sa mení takto:</w:t>
      </w:r>
    </w:p>
    <w:p w:rsidR="00742934" w:rsidRPr="0099619C" w:rsidP="00E22609">
      <w:pPr>
        <w:tabs>
          <w:tab w:val="left" w:pos="1051"/>
        </w:tabs>
        <w:bidi w:val="0"/>
        <w:spacing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1.</w:t>
        <w:tab/>
        <w:t> Za písmeno a) sa dopĺňa písmeno aa) v tomto znení:</w:t>
      </w:r>
    </w:p>
    <w:p w:rsidR="00742934" w:rsidRPr="0099619C" w:rsidP="0099619C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„aa)</w:t>
        <w:tab/>
        <w:t>„medzinárodná železničná doprava“ je každá doprava vyžadujúca používanie medzinárodnej vlakovej trasy alebo viacerých po sebe nasledujúcich vnútroštátnych vlakových trás, ktoré sa nachádzajú aspoň v dvoch štátoch a sú koordinované príslušnými manažérmi infraštruktúry alebo inštitúciami zodpovednými za prideľovanie vlakových trás;“</w:t>
      </w:r>
    </w:p>
    <w:p w:rsidR="00742934" w:rsidRPr="0099619C" w:rsidP="00E22609">
      <w:pPr>
        <w:tabs>
          <w:tab w:val="left" w:pos="1051"/>
        </w:tabs>
        <w:bidi w:val="0"/>
        <w:spacing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2.</w:t>
        <w:tab/>
        <w:t>Písmeno b) sa mení nasledovne:</w:t>
      </w:r>
    </w:p>
    <w:p w:rsidR="00742934" w:rsidRPr="0099619C" w:rsidP="0099619C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„b)</w:t>
        <w:tab/>
        <w:t>„prevádzkovateľ“ je osoba, ktorá poskytuje železničnú infraštruktúru a ktorá má povinnosti podľa zákonov a predpisov platných v štáte, v ktorom sa železničná infraštruktúra nachádza;“</w:t>
      </w:r>
    </w:p>
    <w:p w:rsidR="00742934" w:rsidRPr="0099619C" w:rsidP="00E22609">
      <w:pPr>
        <w:tabs>
          <w:tab w:val="left" w:pos="1051"/>
        </w:tabs>
        <w:bidi w:val="0"/>
        <w:spacing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3.</w:t>
        <w:tab/>
        <w:t>Písmeno c) sa mení nasledovne:</w:t>
      </w:r>
    </w:p>
    <w:p w:rsidR="00742934" w:rsidRPr="0099619C" w:rsidP="0099619C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„c)</w:t>
        <w:tab/>
        <w:t>„dopravca“ znamená fyzickú alebo právnickú osobu, ktorá prepravuje cestujúcich a / alebo tovar v medzinárodnej železničnej doprave a ktorá získala prevádzkovú licenciu podľa zákonov a predpisov, ktorými sa riadi udeľovanie a uznávanie prevádzkových licencií platných v štáte, v ktorom táto osoba vykonáva takúto činnosť;“</w:t>
      </w:r>
    </w:p>
    <w:p w:rsidR="00742934" w:rsidRPr="0099619C" w:rsidP="00E22609">
      <w:pPr>
        <w:tabs>
          <w:tab w:val="left" w:pos="1051"/>
        </w:tabs>
        <w:bidi w:val="0"/>
        <w:spacing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4.</w:t>
        <w:tab/>
        <w:t>Písmeno g) sa mení nasledovne:</w:t>
      </w:r>
    </w:p>
    <w:p w:rsidR="00742934" w:rsidRPr="0099619C" w:rsidP="0099619C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„g)</w:t>
        <w:tab/>
        <w:t>„</w:t>
      </w:r>
      <w:r w:rsidR="00DD213D">
        <w:rPr>
          <w:rFonts w:ascii="Times New Roman" w:hAnsi="Times New Roman"/>
          <w:bCs/>
          <w:sz w:val="24"/>
          <w:szCs w:val="24"/>
          <w:lang w:eastAsia="fr-FR"/>
        </w:rPr>
        <w:t>b</w:t>
      </w:r>
      <w:r w:rsidRPr="0099619C">
        <w:rPr>
          <w:rFonts w:ascii="Times New Roman" w:hAnsi="Times New Roman"/>
          <w:bCs/>
          <w:sz w:val="24"/>
          <w:szCs w:val="24"/>
          <w:lang w:eastAsia="fr-FR"/>
        </w:rPr>
        <w:t xml:space="preserve">ezpečnostné osvedčenie“ je doklad, ktorý podľa zákonov a predpisov platných v štáte, v ktorom sa nachádza železničná infraštruktúra, potvrdzuje, že </w:t>
      </w:r>
    </w:p>
    <w:p w:rsidR="00742934" w:rsidRPr="0099619C" w:rsidP="00E22609">
      <w:pPr>
        <w:bidi w:val="0"/>
        <w:spacing w:after="240"/>
        <w:ind w:left="1135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-</w:t>
        <w:tab/>
        <w:t>interná organizácia spoločnosti, ako aj</w:t>
      </w:r>
    </w:p>
    <w:p w:rsidR="00742934" w:rsidRPr="0099619C" w:rsidP="00E22609">
      <w:pPr>
        <w:bidi w:val="0"/>
        <w:spacing w:after="240"/>
        <w:ind w:left="1135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-</w:t>
        <w:tab/>
        <w:t>personál a vozidlá, ktoré sa majú používať v železničnej infraštruktúre,</w:t>
      </w:r>
    </w:p>
    <w:p w:rsidR="00742934" w:rsidRPr="0099619C" w:rsidP="0099619C">
      <w:pPr>
        <w:bidi w:val="0"/>
        <w:spacing w:before="240" w:after="240"/>
        <w:ind w:left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spĺňajú na strane dopravcu bezpečnostné požiadavky na bezpečné poskytovanie dopravných služieb v rámci tejto železničnej infraštruktúry.“</w:t>
      </w:r>
    </w:p>
    <w:p w:rsidR="00742934" w:rsidRPr="0099619C" w:rsidP="00E22609">
      <w:pPr>
        <w:pStyle w:val="OTIFTitre3centr"/>
        <w:bidi w:val="0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Článok 5 sa mení takto:</w:t>
      </w:r>
    </w:p>
    <w:p w:rsidR="00742934" w:rsidRPr="0099619C" w:rsidP="00E22609">
      <w:pPr>
        <w:pStyle w:val="OTIFTitre3centr"/>
        <w:bidi w:val="0"/>
        <w:jc w:val="both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b w:val="0"/>
          <w:lang w:val="sk-SK"/>
        </w:rPr>
        <w:t xml:space="preserve">§ 1 </w:t>
      </w:r>
      <w:r w:rsidRPr="0099619C">
        <w:rPr>
          <w:rFonts w:ascii="Times New Roman" w:hAnsi="Times New Roman"/>
          <w:b w:val="0"/>
          <w:color w:val="000000"/>
          <w:lang w:val="sk-SK" w:eastAsia="de-DE"/>
        </w:rPr>
        <w:t>sa mení nasledovne:</w:t>
      </w:r>
    </w:p>
    <w:p w:rsidR="00742934" w:rsidRPr="0099619C" w:rsidP="0099619C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„§ 1</w:t>
        <w:tab/>
        <w:t>Vzťahy medzi prevádzkovateľom a dopravcom alebo akoukoľvek inou osobou, ktorá je podľa zákonov a predpisov platných v štáte, v ktorom sa železničná infraštruktúra nachádza, oprávnená na uzatvorenie takejto zmluvy, sa riadia zmluvou o používaní.“</w:t>
      </w:r>
    </w:p>
    <w:p w:rsidR="00742934" w:rsidRPr="0099619C" w:rsidP="00E22609">
      <w:pPr>
        <w:tabs>
          <w:tab w:val="left" w:pos="0"/>
        </w:tabs>
        <w:bidi w:val="0"/>
        <w:spacing w:after="240"/>
        <w:jc w:val="center"/>
        <w:rPr>
          <w:rFonts w:ascii="Times New Roman" w:hAnsi="Times New Roman"/>
          <w:b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/>
          <w:bCs/>
          <w:sz w:val="24"/>
          <w:szCs w:val="24"/>
          <w:lang w:eastAsia="fr-FR"/>
        </w:rPr>
        <w:t>Článok 5bis sa mení takto:</w:t>
      </w:r>
    </w:p>
    <w:p w:rsidR="00742934" w:rsidRPr="0099619C" w:rsidP="00E22609">
      <w:pPr>
        <w:tabs>
          <w:tab w:val="left" w:pos="0"/>
        </w:tabs>
        <w:bidi w:val="0"/>
        <w:spacing w:after="240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§§ 1 a 2 sa menia nasledovne:</w:t>
      </w:r>
    </w:p>
    <w:p w:rsidR="00742934" w:rsidRPr="0099619C" w:rsidP="0099619C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„§ 1</w:t>
        <w:tab/>
        <w:t>Ustanovenia článku 5, ako aj článkov 6, 7 a 22 nemajú vplyv na povinnosti, ktoré majú zmluvné strany zmluvy o používaní plniť v súlade so zákonmi a inými právnymi predpismi platnými v štáte, v ktorom sa železničná infraštruktúra nachádza, vrátane prípadného práva Európskej únie.</w:t>
      </w:r>
    </w:p>
    <w:p w:rsidR="00742934" w:rsidRPr="0099619C" w:rsidP="0099619C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2</w:t>
        <w:tab/>
        <w:t>Ustanovenia článkov 8 a 9 nemajú vplyv na povinnosti, ktoré majú zmluvné strany zmluvy o používaní plniť v členskom štáte EÚ alebo v štáte, na ktorý sa vzťahuje právo Európskej únie na základe medzinárodných zmlúv uzavretých s Európskou úniou.“</w:t>
      </w:r>
    </w:p>
    <w:p w:rsidR="00742934" w:rsidRPr="0099619C" w:rsidP="00E22609">
      <w:pPr>
        <w:tabs>
          <w:tab w:val="left" w:pos="0"/>
        </w:tabs>
        <w:bidi w:val="0"/>
        <w:spacing w:after="240"/>
        <w:jc w:val="center"/>
        <w:rPr>
          <w:rFonts w:ascii="Times New Roman" w:hAnsi="Times New Roman"/>
          <w:b/>
          <w:sz w:val="24"/>
          <w:szCs w:val="24"/>
          <w:lang w:eastAsia="fr-FR"/>
        </w:rPr>
      </w:pPr>
      <w:r w:rsidRPr="0099619C">
        <w:rPr>
          <w:rFonts w:ascii="Times New Roman" w:hAnsi="Times New Roman"/>
          <w:b/>
          <w:sz w:val="24"/>
          <w:szCs w:val="24"/>
          <w:lang w:eastAsia="fr-FR"/>
        </w:rPr>
        <w:t>Článok 7 sa mení takto:</w:t>
      </w:r>
    </w:p>
    <w:p w:rsidR="00742934" w:rsidRPr="0099619C" w:rsidP="00E22609">
      <w:pPr>
        <w:tabs>
          <w:tab w:val="left" w:pos="0"/>
        </w:tabs>
        <w:bidi w:val="0"/>
        <w:spacing w:after="240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§ 2 sa mení nasledovne:</w:t>
      </w:r>
    </w:p>
    <w:p w:rsidR="00742934" w:rsidRPr="0099619C" w:rsidP="0099619C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„§ 2</w:t>
        <w:tab/>
        <w:t>Dopravca môže zmluvu o používaní vypo</w:t>
      </w:r>
      <w:r w:rsidR="0099619C">
        <w:rPr>
          <w:rFonts w:ascii="Times New Roman" w:hAnsi="Times New Roman"/>
          <w:bCs/>
          <w:sz w:val="24"/>
          <w:szCs w:val="24"/>
          <w:lang w:eastAsia="fr-FR"/>
        </w:rPr>
        <w:t xml:space="preserve">vedať bez výpovednej lehoty, ak </w:t>
      </w:r>
      <w:r w:rsidRPr="0099619C">
        <w:rPr>
          <w:rFonts w:ascii="Times New Roman" w:hAnsi="Times New Roman"/>
          <w:bCs/>
          <w:sz w:val="24"/>
          <w:szCs w:val="24"/>
          <w:lang w:eastAsia="fr-FR"/>
        </w:rPr>
        <w:t>prevádzkovateľ stratí svoje právo prevádzkovať železničnú infraštruktúru.“</w:t>
      </w:r>
    </w:p>
    <w:p w:rsidR="00742934" w:rsidRPr="0099619C" w:rsidP="00E22609">
      <w:pPr>
        <w:pStyle w:val="OTIFTitre3centr"/>
        <w:tabs>
          <w:tab w:val="left" w:pos="0"/>
          <w:tab w:val="left" w:pos="851"/>
          <w:tab w:val="clear" w:pos="1418"/>
        </w:tabs>
        <w:bidi w:val="0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Článok 8 sa mení takto:</w:t>
      </w:r>
    </w:p>
    <w:p w:rsidR="00742934" w:rsidRPr="0099619C" w:rsidP="00E22609">
      <w:pPr>
        <w:pStyle w:val="OTIFTitre3centr"/>
        <w:tabs>
          <w:tab w:val="left" w:pos="0"/>
          <w:tab w:val="left" w:pos="851"/>
          <w:tab w:val="clear" w:pos="1418"/>
        </w:tabs>
        <w:bidi w:val="0"/>
        <w:ind w:left="284" w:hanging="284"/>
        <w:jc w:val="both"/>
        <w:rPr>
          <w:rFonts w:ascii="Times New Roman" w:hAnsi="Times New Roman"/>
          <w:b w:val="0"/>
          <w:lang w:val="sk-SK"/>
        </w:rPr>
      </w:pPr>
      <w:r w:rsidRPr="0099619C">
        <w:rPr>
          <w:rFonts w:ascii="Times New Roman" w:hAnsi="Times New Roman"/>
          <w:b w:val="0"/>
          <w:lang w:val="sk-SK"/>
        </w:rPr>
        <w:t>1.</w:t>
        <w:tab/>
        <w:t>§ 1 sa mení nasledovne:</w:t>
      </w:r>
    </w:p>
    <w:p w:rsidR="00742934" w:rsidRPr="0099619C" w:rsidP="0099619C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„§ 1</w:t>
        <w:tab/>
        <w:t>Prevádzkovateľ je zodpovedný za</w:t>
      </w:r>
    </w:p>
    <w:p w:rsidR="00742934" w:rsidRPr="0099619C" w:rsidP="00E22609">
      <w:pPr>
        <w:bidi w:val="0"/>
        <w:spacing w:after="240"/>
        <w:ind w:left="1135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a)</w:t>
        <w:tab/>
        <w:t>ujmu na zdraví osôb (usmrtenie, zranenie alebo iné poškodenie telesného alebo duševného zdravia),</w:t>
      </w:r>
    </w:p>
    <w:p w:rsidR="00742934" w:rsidRPr="0099619C" w:rsidP="00E22609">
      <w:pPr>
        <w:bidi w:val="0"/>
        <w:spacing w:after="240"/>
        <w:ind w:left="1135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b)</w:t>
        <w:tab/>
        <w:t>škody na majetku (zničenie alebo poškodenie hnuteľného a nehnuteľného majetku),</w:t>
      </w:r>
    </w:p>
    <w:p w:rsidR="00742934" w:rsidRPr="0099619C" w:rsidP="0099619C">
      <w:pPr>
        <w:bidi w:val="0"/>
        <w:spacing w:before="240" w:after="240"/>
        <w:ind w:left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ktoré dopravca alebo jeho pomocní pracovníci utrpia počas používania železničnej infraštruktúry a</w:t>
      </w:r>
      <w:r w:rsidR="00987FF1">
        <w:rPr>
          <w:rFonts w:ascii="Times New Roman" w:hAnsi="Times New Roman"/>
          <w:bCs/>
          <w:sz w:val="24"/>
          <w:szCs w:val="24"/>
          <w:lang w:eastAsia="fr-FR"/>
        </w:rPr>
        <w:t> vzniknú z dôvodu nedostatkov v infra</w:t>
      </w:r>
      <w:r w:rsidRPr="0099619C">
        <w:rPr>
          <w:rFonts w:ascii="Times New Roman" w:hAnsi="Times New Roman"/>
          <w:bCs/>
          <w:sz w:val="24"/>
          <w:szCs w:val="24"/>
          <w:lang w:eastAsia="fr-FR"/>
        </w:rPr>
        <w:t>štruktúre.</w:t>
      </w:r>
    </w:p>
    <w:p w:rsidR="00742934" w:rsidRPr="0099619C" w:rsidP="0099619C">
      <w:pPr>
        <w:bidi w:val="0"/>
        <w:spacing w:before="240" w:after="240"/>
        <w:ind w:left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Prevádzkovateľ je tiež zodpovedný za majetkovú ujmu vyplývajúcu z toho, že dopravca musí zaplatiť odškodnenie podľa Jednotných právnych predpisov CIV a Jednotných pravidiel CIM, ak takéto škody vzniknú počas používania železničnej infraštruktúry“</w:t>
      </w:r>
    </w:p>
    <w:p w:rsidR="00742934" w:rsidRPr="0099619C" w:rsidP="00E22609">
      <w:pPr>
        <w:tabs>
          <w:tab w:val="left" w:pos="0"/>
        </w:tabs>
        <w:bidi w:val="0"/>
        <w:spacing w:after="240"/>
        <w:ind w:left="284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2.</w:t>
        <w:tab/>
        <w:t>V § 2 sa písmeno a) bod 1 mení nasledovne:</w:t>
      </w:r>
    </w:p>
    <w:p w:rsidR="00742934" w:rsidRPr="0099619C" w:rsidP="0099619C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„1.</w:t>
        <w:tab/>
        <w:t>ak škodovú udalosť zapríčinili okolnosti, ktoré nesúviseli s prevádzkou železničnej infraštruktúry a prevádzkovateľ nemohol takýmto okolnostiam napriek uplatňovaniu náležitej starostlivosti zabrániť a nemohol odvrátiť ich dôsledky,“</w:t>
      </w:r>
    </w:p>
    <w:p w:rsidR="00742934" w:rsidRPr="0099619C" w:rsidP="00E22609">
      <w:pPr>
        <w:pStyle w:val="OTIFTitre3centr"/>
        <w:keepNext/>
        <w:tabs>
          <w:tab w:val="left" w:pos="0"/>
          <w:tab w:val="left" w:pos="851"/>
          <w:tab w:val="clear" w:pos="1418"/>
        </w:tabs>
        <w:bidi w:val="0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Článok 9 sa mení takto:</w:t>
      </w:r>
    </w:p>
    <w:p w:rsidR="00742934" w:rsidRPr="0099619C" w:rsidP="00E22609">
      <w:pPr>
        <w:pStyle w:val="OTIFtexte1"/>
        <w:keepNext/>
        <w:tabs>
          <w:tab w:val="left" w:pos="59"/>
        </w:tabs>
        <w:bidi w:val="0"/>
        <w:ind w:left="0" w:firstLine="0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 xml:space="preserve">§ 1 </w:t>
      </w:r>
      <w:r w:rsidRPr="0099619C">
        <w:rPr>
          <w:rFonts w:ascii="Times New Roman" w:hAnsi="Times New Roman"/>
          <w:color w:val="000000"/>
          <w:shd w:val="clear" w:color="auto" w:fill="FFFFFF"/>
          <w:lang w:val="sk-SK"/>
        </w:rPr>
        <w:t> </w:t>
      </w:r>
      <w:r w:rsidRPr="0099619C">
        <w:rPr>
          <w:rFonts w:ascii="Times New Roman" w:hAnsi="Times New Roman"/>
          <w:color w:val="000000"/>
          <w:lang w:val="sk-SK" w:eastAsia="de-DE"/>
        </w:rPr>
        <w:t>sa mení nasledovne</w:t>
      </w:r>
      <w:r w:rsidRPr="0099619C">
        <w:rPr>
          <w:rFonts w:ascii="Times New Roman" w:hAnsi="Times New Roman"/>
          <w:bCs w:val="0"/>
          <w:color w:val="000000"/>
          <w:lang w:val="sk-SK" w:eastAsia="de-DE"/>
        </w:rPr>
        <w:t>:</w:t>
      </w:r>
    </w:p>
    <w:p w:rsidR="00742934" w:rsidRPr="0099619C" w:rsidP="0099619C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„§ 1</w:t>
        <w:tab/>
      </w:r>
      <w:r w:rsidR="00987FF1">
        <w:rPr>
          <w:rFonts w:ascii="Times New Roman" w:hAnsi="Times New Roman"/>
          <w:bCs/>
          <w:sz w:val="24"/>
          <w:szCs w:val="24"/>
          <w:lang w:eastAsia="fr-FR"/>
        </w:rPr>
        <w:t>Dopravca</w:t>
      </w:r>
      <w:r w:rsidRPr="0099619C">
        <w:rPr>
          <w:rFonts w:ascii="Times New Roman" w:hAnsi="Times New Roman"/>
          <w:bCs/>
          <w:sz w:val="24"/>
          <w:szCs w:val="24"/>
          <w:lang w:eastAsia="fr-FR"/>
        </w:rPr>
        <w:t xml:space="preserve"> je zodpovedný za</w:t>
      </w:r>
    </w:p>
    <w:p w:rsidR="00742934" w:rsidRPr="0099619C" w:rsidP="0099619C">
      <w:pPr>
        <w:bidi w:val="0"/>
        <w:spacing w:after="240"/>
        <w:ind w:left="851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a)</w:t>
        <w:tab/>
        <w:t>ujmu na zdraví osôb (usmrtenie, zranenie alebo iné poškodenie telesného alebo duševného zdravia),</w:t>
      </w:r>
    </w:p>
    <w:p w:rsidR="00742934" w:rsidRPr="0099619C" w:rsidP="0099619C">
      <w:pPr>
        <w:bidi w:val="0"/>
        <w:spacing w:after="240"/>
        <w:ind w:left="851" w:hanging="284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b)</w:t>
        <w:tab/>
        <w:t>škody na majetku (zničenie alebo poškodenie hnuteľného a nehnuteľného majetku),</w:t>
      </w:r>
    </w:p>
    <w:p w:rsidR="00742934" w:rsidRPr="0099619C" w:rsidP="0099619C">
      <w:pPr>
        <w:bidi w:val="0"/>
        <w:spacing w:before="240" w:after="240"/>
        <w:ind w:left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spôsobené prevádzkovateľovi alebo jeho pomocným pracovníkom počas používania železničnej infraštruktúry prostredníctvom dopravcu, dopravných prostriedkov, ktoré používa, osôb alebo tovaru, ktoré prepravuje.“</w:t>
      </w:r>
    </w:p>
    <w:p w:rsidR="00742934" w:rsidRPr="0099619C" w:rsidP="00E22609">
      <w:pPr>
        <w:tabs>
          <w:tab w:val="left" w:pos="0"/>
        </w:tabs>
        <w:bidi w:val="0"/>
        <w:spacing w:before="120" w:after="240"/>
        <w:jc w:val="center"/>
        <w:rPr>
          <w:rFonts w:ascii="Times New Roman" w:hAnsi="Times New Roman"/>
          <w:b/>
          <w:sz w:val="24"/>
          <w:szCs w:val="24"/>
        </w:rPr>
      </w:pPr>
      <w:r w:rsidRPr="0099619C">
        <w:rPr>
          <w:rFonts w:ascii="Times New Roman" w:hAnsi="Times New Roman"/>
          <w:b/>
          <w:sz w:val="24"/>
          <w:szCs w:val="24"/>
        </w:rPr>
        <w:t>Článok 10 sa mení takto:</w:t>
      </w:r>
    </w:p>
    <w:p w:rsidR="00742934" w:rsidRPr="0099619C" w:rsidP="00E22609">
      <w:pPr>
        <w:pStyle w:val="OTIFtexte1"/>
        <w:tabs>
          <w:tab w:val="left" w:pos="59"/>
        </w:tabs>
        <w:bidi w:val="0"/>
        <w:ind w:left="0" w:firstLine="0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 xml:space="preserve">§ 3 </w:t>
      </w:r>
      <w:r w:rsidRPr="0099619C">
        <w:rPr>
          <w:rFonts w:ascii="Times New Roman" w:hAnsi="Times New Roman"/>
          <w:color w:val="000000"/>
          <w:lang w:val="sk-SK" w:eastAsia="de-DE"/>
        </w:rPr>
        <w:t>sa mení nasledovne</w:t>
      </w:r>
      <w:r w:rsidRPr="0099619C">
        <w:rPr>
          <w:rFonts w:ascii="Times New Roman" w:hAnsi="Times New Roman"/>
          <w:bCs w:val="0"/>
          <w:color w:val="000000"/>
          <w:lang w:val="sk-SK" w:eastAsia="de-DE"/>
        </w:rPr>
        <w:t>:</w:t>
      </w:r>
    </w:p>
    <w:p w:rsidR="00742934" w:rsidRPr="0099619C" w:rsidP="0099619C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„§ 3</w:t>
        <w:tab/>
        <w:t>§ 1 veta 1 sa uplatňuje mutatis mutandis v prípade škôd podľa článku 9, ak príčiny súvisiace s viacerými dopravcami využívajúcich rovnakú železničnú infraštruktúru prispeli k vzniku škody. Ak sa nedá určiť, do akej miery každá príčina prispela k vzniku škody, zodpovedajú dopravcovia voči prevádzkovateľovi rovnakým podielom.“</w:t>
      </w:r>
    </w:p>
    <w:p w:rsidR="00742934" w:rsidRPr="0099619C" w:rsidP="00742934">
      <w:pPr>
        <w:tabs>
          <w:tab w:val="left" w:pos="106"/>
        </w:tabs>
        <w:bidi w:val="0"/>
        <w:spacing w:before="240" w:after="240"/>
        <w:jc w:val="center"/>
        <w:rPr>
          <w:rFonts w:ascii="Times New Roman" w:hAnsi="Times New Roman"/>
          <w:b/>
          <w:color w:val="A6A6A6" w:themeColor="bg1" w:themeShade="A6"/>
          <w:sz w:val="24"/>
          <w:szCs w:val="24"/>
        </w:rPr>
      </w:pPr>
    </w:p>
    <w:p w:rsidR="00742934" w:rsidRPr="0099619C">
      <w:pPr>
        <w:bidi w:val="0"/>
        <w:rPr>
          <w:rFonts w:ascii="Times New Roman" w:hAnsi="Times New Roman"/>
          <w:sz w:val="24"/>
          <w:szCs w:val="24"/>
        </w:rPr>
      </w:pPr>
    </w:p>
    <w:p w:rsidR="00742934" w:rsidRPr="0099619C">
      <w:pPr>
        <w:bidi w:val="0"/>
        <w:rPr>
          <w:rFonts w:ascii="Times New Roman" w:hAnsi="Times New Roman"/>
          <w:sz w:val="24"/>
          <w:szCs w:val="24"/>
        </w:rPr>
      </w:pPr>
    </w:p>
    <w:p w:rsidR="00742934" w:rsidRPr="0099619C">
      <w:pPr>
        <w:bidi w:val="0"/>
        <w:rPr>
          <w:rFonts w:ascii="Times New Roman" w:hAnsi="Times New Roman"/>
          <w:sz w:val="24"/>
          <w:szCs w:val="24"/>
        </w:rPr>
      </w:pPr>
    </w:p>
    <w:p w:rsidR="00742934" w:rsidRPr="0099619C" w:rsidP="00742934">
      <w:pPr>
        <w:tabs>
          <w:tab w:val="left" w:pos="106"/>
        </w:tabs>
        <w:bidi w:val="0"/>
        <w:spacing w:before="240" w:after="240"/>
        <w:jc w:val="center"/>
        <w:rPr>
          <w:rFonts w:ascii="Times New Roman" w:hAnsi="Times New Roman"/>
          <w:b/>
          <w:color w:val="A6A6A6" w:themeColor="bg1" w:themeShade="A6"/>
          <w:sz w:val="24"/>
          <w:szCs w:val="24"/>
        </w:rPr>
      </w:pPr>
      <w:r w:rsidRPr="0099619C">
        <w:rPr>
          <w:rFonts w:ascii="Times New Roman" w:hAnsi="Times New Roman"/>
          <w:b/>
          <w:color w:val="A6A6A6" w:themeColor="bg1" w:themeShade="A6"/>
          <w:sz w:val="24"/>
          <w:szCs w:val="24"/>
        </w:rPr>
        <w:t>Dodatok G (ATMF)</w:t>
      </w:r>
    </w:p>
    <w:p w:rsidR="00742934" w:rsidRPr="0099619C" w:rsidP="00742934">
      <w:pPr>
        <w:pStyle w:val="OTIFTitre3centr"/>
        <w:suppressAutoHyphens/>
        <w:bidi w:val="0"/>
        <w:spacing w:before="120" w:after="120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Zmeny ustanovení</w:t>
      </w:r>
    </w:p>
    <w:p w:rsidR="00742934" w:rsidRPr="0099619C" w:rsidP="00742934">
      <w:pPr>
        <w:pStyle w:val="OTIFTitre8"/>
        <w:tabs>
          <w:tab w:val="clear" w:pos="1560"/>
          <w:tab w:val="left" w:pos="1701"/>
        </w:tabs>
        <w:bidi w:val="0"/>
        <w:spacing w:before="120" w:after="120"/>
        <w:ind w:left="0" w:firstLine="0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Jednotné právne predpisy týkajúce sa technického schvaľovania železničného materiálu používaného v medzinárodnej doprave, dodatok G k Dohovoru o medzinárodnej železničnej preprave (COTIF) z 9. mája 1980 v znení protokolu z 3. júna 1999 (Vilniuský protokol) sa menia takto:</w:t>
      </w:r>
    </w:p>
    <w:p w:rsidR="00742934" w:rsidRPr="0099619C" w:rsidP="00742934">
      <w:pPr>
        <w:pStyle w:val="OTIFTitre3centr"/>
        <w:suppressAutoHyphens/>
        <w:bidi w:val="0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Článok 1 sa mení takto:</w:t>
      </w:r>
    </w:p>
    <w:p w:rsidR="00742934" w:rsidRPr="0099619C" w:rsidP="00742934">
      <w:pPr>
        <w:pStyle w:val="OTIFTitre8"/>
        <w:tabs>
          <w:tab w:val="clear" w:pos="1560"/>
          <w:tab w:val="left" w:pos="1701"/>
        </w:tabs>
        <w:bidi w:val="0"/>
        <w:spacing w:before="120" w:after="120"/>
        <w:ind w:left="0" w:firstLine="0"/>
        <w:jc w:val="left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Článok 1 sa mení nasledovne:</w:t>
      </w:r>
    </w:p>
    <w:p w:rsidR="00742934" w:rsidRPr="0099619C" w:rsidP="00742934">
      <w:pPr>
        <w:pStyle w:val="OTIFtexte10"/>
        <w:suppressAutoHyphens/>
        <w:bidi w:val="0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„Tieto jednotné právne predpisy ustanovujú postup, podľa ktorého sa môžu vozidlá nasadiť alebo použiť v medzinárodnej doprave.“</w:t>
      </w:r>
    </w:p>
    <w:p w:rsidR="00742934" w:rsidRPr="0099619C" w:rsidP="00742934">
      <w:pPr>
        <w:pStyle w:val="OTIFTitre3centr"/>
        <w:suppressAutoHyphens/>
        <w:bidi w:val="0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Článok 3 sa mení takto:</w:t>
      </w:r>
    </w:p>
    <w:p w:rsidR="00742934" w:rsidRPr="0099619C" w:rsidP="00742934">
      <w:pPr>
        <w:pStyle w:val="OTIFTitre8"/>
        <w:tabs>
          <w:tab w:val="clear" w:pos="1560"/>
          <w:tab w:val="left" w:pos="1701"/>
        </w:tabs>
        <w:bidi w:val="0"/>
        <w:ind w:left="0" w:firstLine="0"/>
        <w:jc w:val="left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§§ 1 až 3 sa menia nasledovne:</w:t>
      </w:r>
    </w:p>
    <w:p w:rsidR="00742934" w:rsidRPr="0099619C" w:rsidP="0099619C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„§ 1</w:t>
        <w:tab/>
        <w:t>Aby sa ktorékoľvek vozidlo mohlo používať v medzinárodnej doprave, musí byť schválené v súlade s týmito Jednotnými právnymi predpismi.</w:t>
      </w:r>
    </w:p>
    <w:p w:rsidR="00742934" w:rsidRPr="0099619C" w:rsidP="0099619C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2</w:t>
        <w:tab/>
        <w:t>Cieľom technického schválenia je určiť, či sú vozidlá v súlade s</w:t>
      </w:r>
      <w:r w:rsidR="00987FF1">
        <w:rPr>
          <w:rFonts w:ascii="Times New Roman" w:hAnsi="Times New Roman"/>
          <w:bCs/>
          <w:sz w:val="24"/>
          <w:szCs w:val="24"/>
          <w:lang w:eastAsia="fr-FR"/>
        </w:rPr>
        <w:t>:</w:t>
      </w:r>
    </w:p>
    <w:p w:rsidR="00742934" w:rsidRPr="0099619C" w:rsidP="0099619C">
      <w:pPr>
        <w:keepNext/>
        <w:keepLines/>
        <w:tabs>
          <w:tab w:val="left" w:pos="1985"/>
          <w:tab w:val="left" w:pos="2552"/>
          <w:tab w:val="left" w:pos="3119"/>
          <w:tab w:val="left" w:pos="4536"/>
        </w:tabs>
        <w:bidi w:val="0"/>
        <w:spacing w:after="240"/>
        <w:ind w:left="708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a)</w:t>
      </w:r>
      <w:r w:rsidR="0099619C">
        <w:rPr>
          <w:rFonts w:ascii="Times New Roman" w:hAnsi="Times New Roman"/>
          <w:bCs/>
          <w:sz w:val="24"/>
          <w:szCs w:val="24"/>
          <w:lang w:eastAsia="fr-FR"/>
        </w:rPr>
        <w:t xml:space="preserve"> </w:t>
      </w:r>
      <w:r w:rsidRPr="0099619C">
        <w:rPr>
          <w:rFonts w:ascii="Times New Roman" w:hAnsi="Times New Roman"/>
          <w:bCs/>
          <w:sz w:val="24"/>
          <w:szCs w:val="24"/>
          <w:lang w:eastAsia="fr-FR"/>
        </w:rPr>
        <w:t>konštrukčnými predpismi Jednotných technických predpisov</w:t>
      </w:r>
      <w:r w:rsidR="00987FF1">
        <w:rPr>
          <w:rFonts w:ascii="Times New Roman" w:hAnsi="Times New Roman"/>
          <w:bCs/>
          <w:sz w:val="24"/>
          <w:szCs w:val="24"/>
          <w:lang w:eastAsia="fr-FR"/>
        </w:rPr>
        <w:t>,</w:t>
      </w:r>
    </w:p>
    <w:p w:rsidR="00742934" w:rsidRPr="0099619C" w:rsidP="0099619C">
      <w:pPr>
        <w:keepNext/>
        <w:keepLines/>
        <w:tabs>
          <w:tab w:val="left" w:pos="1985"/>
          <w:tab w:val="left" w:pos="2552"/>
          <w:tab w:val="left" w:pos="3119"/>
          <w:tab w:val="left" w:pos="4536"/>
        </w:tabs>
        <w:bidi w:val="0"/>
        <w:spacing w:after="240"/>
        <w:ind w:left="708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b)</w:t>
      </w:r>
      <w:r w:rsidR="0099619C">
        <w:rPr>
          <w:rFonts w:ascii="Times New Roman" w:hAnsi="Times New Roman"/>
          <w:bCs/>
          <w:sz w:val="24"/>
          <w:szCs w:val="24"/>
          <w:lang w:eastAsia="fr-FR"/>
        </w:rPr>
        <w:t xml:space="preserve"> </w:t>
      </w:r>
      <w:r w:rsidRPr="0099619C">
        <w:rPr>
          <w:rFonts w:ascii="Times New Roman" w:hAnsi="Times New Roman"/>
          <w:sz w:val="24"/>
          <w:szCs w:val="24"/>
          <w:lang w:eastAsia="fr-FR"/>
        </w:rPr>
        <w:t>predpismi týkajúcimi sa konštrukcie a vybavenia uvedenými v prílohe k RID,</w:t>
      </w:r>
    </w:p>
    <w:p w:rsidR="00742934" w:rsidRPr="0099619C" w:rsidP="0099619C">
      <w:pPr>
        <w:tabs>
          <w:tab w:val="left" w:pos="1985"/>
          <w:tab w:val="left" w:pos="2552"/>
          <w:tab w:val="left" w:pos="3119"/>
          <w:tab w:val="left" w:pos="4536"/>
        </w:tabs>
        <w:suppressAutoHyphens/>
        <w:bidi w:val="0"/>
        <w:spacing w:after="240"/>
        <w:ind w:left="708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sz w:val="24"/>
          <w:szCs w:val="24"/>
          <w:lang w:eastAsia="fr-FR"/>
        </w:rPr>
        <w:t>c)</w:t>
      </w:r>
      <w:r w:rsidR="0099619C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Pr="0099619C">
        <w:rPr>
          <w:rFonts w:ascii="Times New Roman" w:hAnsi="Times New Roman"/>
          <w:bCs/>
          <w:sz w:val="24"/>
          <w:szCs w:val="24"/>
          <w:lang w:eastAsia="fr-FR"/>
        </w:rPr>
        <w:t>osobitnými podmienkami povolenia podľa článku 7a.</w:t>
      </w:r>
    </w:p>
    <w:p w:rsidR="00742934" w:rsidRPr="0099619C" w:rsidP="0099619C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3</w:t>
        <w:tab/>
        <w:t>§§ 1 a 2, ako aj tieto články sa uplatňujú mutatis mutandis v prípade technického schválenia jednotlivých komponentov.“</w:t>
      </w:r>
    </w:p>
    <w:p w:rsidR="00742934" w:rsidRPr="0099619C" w:rsidP="00742934">
      <w:pPr>
        <w:pStyle w:val="OTIFTitre3centr"/>
        <w:suppressAutoHyphens/>
        <w:bidi w:val="0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Článok 9 sa mení takto:</w:t>
      </w:r>
    </w:p>
    <w:p w:rsidR="00742934" w:rsidRPr="0099619C" w:rsidP="00742934">
      <w:pPr>
        <w:pStyle w:val="OTIFTitre8"/>
        <w:tabs>
          <w:tab w:val="clear" w:pos="1560"/>
          <w:tab w:val="left" w:pos="1701"/>
        </w:tabs>
        <w:bidi w:val="0"/>
        <w:ind w:left="0" w:firstLine="0"/>
        <w:jc w:val="left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§ 1 sa mení nasledovne:</w:t>
      </w:r>
    </w:p>
    <w:p w:rsidR="00742934" w:rsidRPr="0099619C" w:rsidP="0099619C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„§ 1</w:t>
        <w:tab/>
        <w:t>§ 1 Železničné podniky, ktoré používajú vozidlo schválené pre medzinárodnú prepravu, musia dodržiavať požiadavky uvedené v Jednotných technických predpisoch, ktoré sa týkajú prevádzky vozidla v medzinárodnej doprave.“</w:t>
      </w:r>
    </w:p>
    <w:p w:rsidR="00742934" w:rsidRPr="0099619C" w:rsidP="00742934">
      <w:pPr>
        <w:pStyle w:val="OTIFtexte1"/>
        <w:bidi w:val="0"/>
        <w:ind w:left="0" w:firstLine="0"/>
        <w:rPr>
          <w:rFonts w:ascii="Times New Roman" w:hAnsi="Times New Roman"/>
          <w:bCs w:val="0"/>
          <w:lang w:val="sk-SK"/>
        </w:rPr>
      </w:pPr>
    </w:p>
    <w:p w:rsidR="00742934" w:rsidRPr="0099619C" w:rsidP="00742934">
      <w:pPr>
        <w:pStyle w:val="OTIFtexte1"/>
        <w:bidi w:val="0"/>
        <w:ind w:left="0" w:firstLine="0"/>
        <w:rPr>
          <w:rFonts w:ascii="Times New Roman" w:hAnsi="Times New Roman"/>
          <w:bCs w:val="0"/>
          <w:lang w:val="sk-SK"/>
        </w:rPr>
      </w:pPr>
    </w:p>
    <w:p w:rsidR="00742934" w:rsidRPr="0099619C" w:rsidP="00742934">
      <w:pPr>
        <w:pStyle w:val="OTIFtexte1"/>
        <w:bidi w:val="0"/>
        <w:ind w:left="0" w:firstLine="0"/>
        <w:rPr>
          <w:rFonts w:ascii="Times New Roman" w:hAnsi="Times New Roman"/>
          <w:bCs w:val="0"/>
          <w:lang w:val="sk-SK"/>
        </w:rPr>
      </w:pPr>
    </w:p>
    <w:p w:rsidR="00742934" w:rsidRPr="0099619C" w:rsidP="00742934">
      <w:pPr>
        <w:pStyle w:val="OTIFtexte1"/>
        <w:bidi w:val="0"/>
        <w:ind w:left="0" w:firstLine="0"/>
        <w:rPr>
          <w:rFonts w:ascii="Times New Roman" w:hAnsi="Times New Roman"/>
          <w:bCs w:val="0"/>
          <w:lang w:val="sk-SK"/>
        </w:rPr>
      </w:pPr>
    </w:p>
    <w:p w:rsidR="00742934" w:rsidRPr="0099619C" w:rsidP="00742934">
      <w:pPr>
        <w:pStyle w:val="OTIFtexte1"/>
        <w:bidi w:val="0"/>
        <w:ind w:left="0" w:firstLine="0"/>
        <w:rPr>
          <w:rFonts w:ascii="Times New Roman" w:hAnsi="Times New Roman"/>
          <w:bCs w:val="0"/>
          <w:lang w:val="sk-SK"/>
        </w:rPr>
      </w:pPr>
    </w:p>
    <w:p w:rsidR="00742934" w:rsidRPr="0099619C" w:rsidP="00742934">
      <w:pPr>
        <w:pStyle w:val="OTIFtexte1"/>
        <w:bidi w:val="0"/>
        <w:ind w:left="0" w:firstLine="0"/>
        <w:rPr>
          <w:rFonts w:ascii="Times New Roman" w:hAnsi="Times New Roman"/>
          <w:bCs w:val="0"/>
          <w:lang w:val="sk-SK"/>
        </w:rPr>
      </w:pPr>
    </w:p>
    <w:p w:rsidR="00742934" w:rsidRPr="0099619C" w:rsidP="00742934">
      <w:pPr>
        <w:tabs>
          <w:tab w:val="left" w:pos="106"/>
        </w:tabs>
        <w:bidi w:val="0"/>
        <w:spacing w:before="240" w:after="240"/>
        <w:jc w:val="center"/>
        <w:rPr>
          <w:rFonts w:ascii="Times New Roman" w:hAnsi="Times New Roman"/>
          <w:b/>
          <w:color w:val="A6A6A6" w:themeColor="bg1" w:themeShade="A6"/>
          <w:sz w:val="24"/>
          <w:szCs w:val="24"/>
        </w:rPr>
      </w:pPr>
      <w:r w:rsidRPr="0099619C">
        <w:rPr>
          <w:rFonts w:ascii="Times New Roman" w:hAnsi="Times New Roman"/>
          <w:b/>
          <w:color w:val="A6A6A6" w:themeColor="bg1" w:themeShade="A6"/>
          <w:sz w:val="24"/>
          <w:szCs w:val="24"/>
        </w:rPr>
        <w:t>Dodatok H (EST)</w:t>
      </w:r>
    </w:p>
    <w:p w:rsidR="00742934" w:rsidRPr="0099619C" w:rsidP="00742934">
      <w:pPr>
        <w:tabs>
          <w:tab w:val="left" w:pos="317"/>
          <w:tab w:val="left" w:pos="1418"/>
          <w:tab w:val="left" w:pos="1985"/>
          <w:tab w:val="left" w:pos="2552"/>
          <w:tab w:val="left" w:pos="3119"/>
          <w:tab w:val="left" w:pos="4536"/>
        </w:tabs>
        <w:bidi w:val="0"/>
        <w:spacing w:before="120" w:line="36" w:lineRule="atLeast"/>
        <w:jc w:val="center"/>
        <w:rPr>
          <w:rFonts w:ascii="Times New Roman" w:hAnsi="Times New Roman"/>
          <w:b/>
          <w:sz w:val="24"/>
          <w:szCs w:val="24"/>
          <w:lang w:eastAsia="fr-FR"/>
        </w:rPr>
      </w:pPr>
      <w:r w:rsidRPr="0099619C">
        <w:rPr>
          <w:rFonts w:ascii="Times New Roman" w:hAnsi="Times New Roman"/>
          <w:b/>
          <w:sz w:val="24"/>
          <w:szCs w:val="24"/>
          <w:lang w:eastAsia="fr-FR"/>
        </w:rPr>
        <w:t>Zmeny ustanovení</w:t>
      </w:r>
    </w:p>
    <w:p w:rsidR="00742934" w:rsidRPr="0099619C" w:rsidP="00742934">
      <w:pPr>
        <w:tabs>
          <w:tab w:val="left" w:pos="317"/>
        </w:tabs>
        <w:bidi w:val="0"/>
        <w:spacing w:before="120" w:line="36" w:lineRule="atLeast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 xml:space="preserve">Dohovor o medzinárodnej železničnej preprave (COTIF) z 9. mája 1980 v znení protokolu z 3. júna 1999 (Vilniuský protokol), sa mení a dopĺňa takto: </w:t>
      </w:r>
    </w:p>
    <w:p w:rsidR="00742934" w:rsidRPr="0099619C" w:rsidP="00742934">
      <w:pPr>
        <w:tabs>
          <w:tab w:val="left" w:pos="317"/>
          <w:tab w:val="left" w:pos="1418"/>
          <w:tab w:val="left" w:pos="1985"/>
          <w:tab w:val="left" w:pos="2552"/>
          <w:tab w:val="left" w:pos="3119"/>
          <w:tab w:val="left" w:pos="4536"/>
        </w:tabs>
        <w:bidi w:val="0"/>
        <w:spacing w:before="120" w:line="36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9619C">
        <w:rPr>
          <w:rFonts w:ascii="Times New Roman" w:hAnsi="Times New Roman"/>
          <w:b/>
          <w:sz w:val="24"/>
          <w:szCs w:val="24"/>
        </w:rPr>
        <w:t>Dopĺňa sa tento nový dodatok H:</w:t>
      </w:r>
    </w:p>
    <w:p w:rsidR="00742934" w:rsidRPr="0099619C" w:rsidP="00742934">
      <w:pPr>
        <w:tabs>
          <w:tab w:val="left" w:pos="317"/>
        </w:tabs>
        <w:bidi w:val="0"/>
        <w:spacing w:before="120" w:line="36" w:lineRule="atLeast"/>
        <w:jc w:val="center"/>
        <w:rPr>
          <w:rFonts w:ascii="Times New Roman" w:hAnsi="Times New Roman"/>
          <w:b/>
          <w:sz w:val="24"/>
          <w:szCs w:val="24"/>
          <w:lang w:eastAsia="fr-FR"/>
        </w:rPr>
      </w:pPr>
      <w:r w:rsidRPr="0099619C">
        <w:rPr>
          <w:rFonts w:ascii="Times New Roman" w:hAnsi="Times New Roman"/>
          <w:b/>
          <w:sz w:val="24"/>
          <w:szCs w:val="24"/>
          <w:lang w:eastAsia="fr-FR"/>
        </w:rPr>
        <w:t>„Jednotné pravidlá pre bezpečnú prevádzku vlakov v medzinárodnej doprave</w:t>
      </w:r>
    </w:p>
    <w:p w:rsidR="00742934" w:rsidRPr="0099619C" w:rsidP="00742934">
      <w:pPr>
        <w:tabs>
          <w:tab w:val="left" w:pos="317"/>
        </w:tabs>
        <w:bidi w:val="0"/>
        <w:spacing w:before="120" w:line="36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9619C">
        <w:rPr>
          <w:rFonts w:ascii="Times New Roman" w:hAnsi="Times New Roman"/>
          <w:b/>
          <w:sz w:val="24"/>
          <w:szCs w:val="24"/>
          <w:lang w:eastAsia="fr-FR"/>
        </w:rPr>
        <w:t>(EST – dodatok H k dohovoru)“</w:t>
      </w:r>
    </w:p>
    <w:p w:rsidR="00742934" w:rsidRPr="0099619C" w:rsidP="00742934">
      <w:pPr>
        <w:tabs>
          <w:tab w:val="left" w:pos="317"/>
        </w:tabs>
        <w:bidi w:val="0"/>
        <w:spacing w:before="120" w:line="36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9619C">
        <w:rPr>
          <w:rFonts w:ascii="Times New Roman" w:hAnsi="Times New Roman"/>
          <w:b/>
          <w:sz w:val="24"/>
          <w:szCs w:val="24"/>
        </w:rPr>
        <w:t>Článok 1</w:t>
        <w:br/>
        <w:t>Rozsah pôsobnosti</w:t>
      </w:r>
    </w:p>
    <w:p w:rsidR="00742934" w:rsidRPr="0099619C" w:rsidP="00742934">
      <w:pPr>
        <w:tabs>
          <w:tab w:val="left" w:pos="317"/>
        </w:tabs>
        <w:bidi w:val="0"/>
        <w:spacing w:before="120" w:line="36" w:lineRule="atLeast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Tieto Jednotné pravidlá určujú požiadavky na bezpečnú prevádzku vlakov v medzinárodnej doprave vrátane certifikácie a monitorovania bezpečnosti.</w:t>
      </w:r>
    </w:p>
    <w:p w:rsidR="00742934" w:rsidRPr="0099619C" w:rsidP="00742934">
      <w:pPr>
        <w:tabs>
          <w:tab w:val="left" w:pos="317"/>
        </w:tabs>
        <w:bidi w:val="0"/>
        <w:spacing w:before="120" w:line="36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9619C">
        <w:rPr>
          <w:rFonts w:ascii="Times New Roman" w:hAnsi="Times New Roman"/>
          <w:b/>
          <w:sz w:val="24"/>
          <w:szCs w:val="24"/>
        </w:rPr>
        <w:t>Článok 2</w:t>
        <w:br/>
        <w:t>Vymedzenie pojmov</w:t>
      </w:r>
    </w:p>
    <w:p w:rsidR="00742934" w:rsidRPr="0099619C" w:rsidP="00742934">
      <w:pPr>
        <w:tabs>
          <w:tab w:val="left" w:pos="317"/>
        </w:tabs>
        <w:bidi w:val="0"/>
        <w:spacing w:before="120" w:line="36" w:lineRule="atLeast"/>
        <w:rPr>
          <w:rFonts w:ascii="Times New Roman" w:hAnsi="Times New Roman"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  <w:lang w:eastAsia="fr-FR"/>
        </w:rPr>
        <w:t>Okrem pojmov definovaných v článku 2 Jednotných pravidiel ATMF a v článku 2 Jednotných pravidiel APTU na účely týchto Jednotných pravidiel, ich dodatkov a jednotných technických predpisov označuje pojem</w:t>
      </w:r>
    </w:p>
    <w:p w:rsidR="00742934" w:rsidRPr="0099619C" w:rsidP="00742934">
      <w:pPr>
        <w:pStyle w:val="OTIFTitre8"/>
        <w:tabs>
          <w:tab w:val="left" w:pos="317"/>
          <w:tab w:val="clear" w:pos="1560"/>
        </w:tabs>
        <w:bidi w:val="0"/>
        <w:spacing w:before="120" w:after="0" w:line="36" w:lineRule="atLeast"/>
        <w:ind w:left="0" w:firstLine="0"/>
        <w:rPr>
          <w:rFonts w:ascii="Times New Roman" w:hAnsi="Times New Roman"/>
        </w:rPr>
      </w:pPr>
      <w:r w:rsidRPr="0099619C">
        <w:rPr>
          <w:rFonts w:ascii="Times New Roman" w:hAnsi="Times New Roman"/>
        </w:rPr>
        <w:t>a)</w:t>
        <w:tab/>
        <w:t>„</w:t>
      </w:r>
      <w:r w:rsidRPr="0099619C">
        <w:rPr>
          <w:rFonts w:ascii="Times New Roman" w:hAnsi="Times New Roman"/>
          <w:lang w:val="sk-SK"/>
        </w:rPr>
        <w:t>geografická oblasť pôsobnosti“ sieť alebo siete v jednom alebo viacerých zmluvných štátoch, v ktorých plánuje železničný podnik vykonávať svoju činnosť</w:t>
      </w:r>
      <w:r w:rsidRPr="0099619C">
        <w:rPr>
          <w:rFonts w:ascii="Times New Roman" w:hAnsi="Times New Roman"/>
        </w:rPr>
        <w:t>;</w:t>
      </w:r>
    </w:p>
    <w:p w:rsidR="00742934" w:rsidRPr="0099619C" w:rsidP="00742934">
      <w:pPr>
        <w:pStyle w:val="OTIFTitre8"/>
        <w:keepNext/>
        <w:tabs>
          <w:tab w:val="left" w:pos="317"/>
          <w:tab w:val="clear" w:pos="1560"/>
        </w:tabs>
        <w:bidi w:val="0"/>
        <w:spacing w:before="120" w:after="0" w:line="36" w:lineRule="atLeast"/>
        <w:ind w:left="0" w:firstLine="0"/>
        <w:rPr>
          <w:rFonts w:ascii="Times New Roman" w:hAnsi="Times New Roman"/>
        </w:rPr>
      </w:pPr>
      <w:bookmarkStart w:id="0" w:name="OLE_LINK1"/>
      <w:bookmarkStart w:id="1" w:name="OLE_LINK2"/>
      <w:r w:rsidRPr="0099619C">
        <w:rPr>
          <w:rFonts w:ascii="Times New Roman" w:hAnsi="Times New Roman"/>
        </w:rPr>
        <w:t>b)</w:t>
        <w:tab/>
        <w:t>„</w:t>
      </w:r>
      <w:bookmarkEnd w:id="0"/>
      <w:bookmarkEnd w:id="1"/>
      <w:r w:rsidRPr="0099619C">
        <w:rPr>
          <w:rFonts w:ascii="Times New Roman" w:hAnsi="Times New Roman"/>
          <w:lang w:val="sk-SK"/>
        </w:rPr>
        <w:t>Bezpečnostný certifikačný orgán“ vnútroštátny alebo medzinárodný orgán zodpovedný za vydávanie bezpečnostných certifikátov pre železničné podniky</w:t>
      </w:r>
      <w:r w:rsidRPr="0099619C">
        <w:rPr>
          <w:rFonts w:ascii="Times New Roman" w:hAnsi="Times New Roman"/>
        </w:rPr>
        <w:t xml:space="preserve">; </w:t>
      </w:r>
    </w:p>
    <w:p w:rsidR="00742934" w:rsidRPr="0099619C" w:rsidP="00742934">
      <w:pPr>
        <w:pStyle w:val="OTIFTitre8"/>
        <w:tabs>
          <w:tab w:val="left" w:pos="317"/>
          <w:tab w:val="clear" w:pos="1560"/>
        </w:tabs>
        <w:bidi w:val="0"/>
        <w:spacing w:before="120" w:after="0" w:line="36" w:lineRule="atLeast"/>
        <w:ind w:left="0" w:firstLine="0"/>
        <w:rPr>
          <w:rFonts w:ascii="Times New Roman" w:hAnsi="Times New Roman"/>
        </w:rPr>
      </w:pPr>
      <w:r w:rsidRPr="0099619C">
        <w:rPr>
          <w:rFonts w:ascii="Times New Roman" w:hAnsi="Times New Roman"/>
        </w:rPr>
        <w:t>c)</w:t>
        <w:tab/>
        <w:t>„</w:t>
      </w:r>
      <w:r w:rsidRPr="0099619C">
        <w:rPr>
          <w:rFonts w:ascii="Times New Roman" w:hAnsi="Times New Roman"/>
          <w:lang w:val="sk-SK"/>
        </w:rPr>
        <w:t>certifikovaný železničný podnik“ železničný podnik, ktorý má bezpečnostný certifikát vydaný bezpečnostným certifikačným orgánom</w:t>
      </w:r>
      <w:r w:rsidRPr="0099619C">
        <w:rPr>
          <w:rFonts w:ascii="Times New Roman" w:hAnsi="Times New Roman"/>
        </w:rPr>
        <w:t>;</w:t>
      </w:r>
    </w:p>
    <w:p w:rsidR="00742934" w:rsidRPr="0099619C" w:rsidP="00742934">
      <w:pPr>
        <w:pStyle w:val="OTIFTitre8"/>
        <w:tabs>
          <w:tab w:val="left" w:pos="317"/>
          <w:tab w:val="clear" w:pos="1560"/>
        </w:tabs>
        <w:bidi w:val="0"/>
        <w:spacing w:before="120" w:after="0" w:line="36" w:lineRule="atLeast"/>
        <w:ind w:left="0" w:firstLine="0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d)</w:t>
        <w:tab/>
        <w:t>„interoperabilita“ schopnosť systému umožniť bezpečný a nerušený pohyb vlakov v rámci železničného systému a medzi železničnými systémami tak, že budú vlaky dosahovať požadovanú úroveň výkonnosti;</w:t>
      </w:r>
    </w:p>
    <w:p w:rsidR="00742934" w:rsidRPr="0099619C" w:rsidP="00742934">
      <w:pPr>
        <w:pStyle w:val="OTIFTitre8"/>
        <w:tabs>
          <w:tab w:val="left" w:pos="317"/>
          <w:tab w:val="clear" w:pos="1560"/>
        </w:tabs>
        <w:bidi w:val="0"/>
        <w:spacing w:before="120" w:after="0" w:line="36" w:lineRule="atLeast"/>
        <w:ind w:left="0" w:firstLine="0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e)</w:t>
        <w:tab/>
        <w:t>„kontrola“ opatrenia prijaté železničnými podnikmi alebo manažérmi infraštruktúry na kontrolu správneho uplatňovania a kontrolu účinnosti ich systému riadenia bezpečnosti</w:t>
      </w:r>
      <w:r w:rsidRPr="0099619C">
        <w:rPr>
          <w:rFonts w:ascii="Times New Roman" w:hAnsi="Times New Roman"/>
          <w:color w:val="000000"/>
          <w:shd w:val="clear" w:color="auto" w:fill="FFFFFF"/>
          <w:lang w:val="sk-SK"/>
        </w:rPr>
        <w:t>;</w:t>
      </w:r>
      <w:r w:rsidRPr="0099619C">
        <w:rPr>
          <w:rFonts w:ascii="Times New Roman" w:hAnsi="Times New Roman"/>
          <w:lang w:val="sk-SK"/>
        </w:rPr>
        <w:t>;</w:t>
      </w:r>
    </w:p>
    <w:p w:rsidR="00742934" w:rsidRPr="0099619C" w:rsidP="00742934">
      <w:pPr>
        <w:pStyle w:val="OTIFTitre8"/>
        <w:tabs>
          <w:tab w:val="left" w:pos="317"/>
          <w:tab w:val="clear" w:pos="1560"/>
        </w:tabs>
        <w:bidi w:val="0"/>
        <w:spacing w:before="120" w:after="0" w:line="36" w:lineRule="atLeast"/>
        <w:ind w:left="0" w:firstLine="0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f)</w:t>
        <w:tab/>
        <w:t>„železničný systém“ železničnú sieť v každom zmluvnom štáte, ktorá pozostáva z trás, staníc, toční a terminálov určených pre medzinárodnú železničnú dopravu, ako aj akékoľvek vozidlá, ktoré môžu premávať po celej sieti alebo jej častiach;</w:t>
      </w:r>
    </w:p>
    <w:p w:rsidR="00742934" w:rsidRPr="0099619C" w:rsidP="00742934">
      <w:pPr>
        <w:pStyle w:val="OTIFTitre8"/>
        <w:tabs>
          <w:tab w:val="left" w:pos="317"/>
          <w:tab w:val="clear" w:pos="1560"/>
        </w:tabs>
        <w:bidi w:val="0"/>
        <w:spacing w:before="120" w:after="0" w:line="36" w:lineRule="atLeast"/>
        <w:ind w:left="0" w:firstLine="0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g)</w:t>
        <w:tab/>
        <w:t xml:space="preserve">„bezpečnostný certifikát“ potvrdenie, že železničný podnik má systém riadenia bezpečnosti a je schopný zabezpečiť bezpečnú prevádzku v rámci geografickej oblasti pôsobnosti, v ktorej je certifikát platný; </w:t>
      </w:r>
    </w:p>
    <w:p w:rsidR="00742934" w:rsidRPr="0099619C" w:rsidP="00742934">
      <w:pPr>
        <w:pStyle w:val="OTIFTitre8"/>
        <w:tabs>
          <w:tab w:val="left" w:pos="317"/>
          <w:tab w:val="clear" w:pos="1560"/>
        </w:tabs>
        <w:bidi w:val="0"/>
        <w:spacing w:before="120" w:after="0" w:line="36" w:lineRule="atLeast"/>
        <w:ind w:left="0" w:firstLine="0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h)</w:t>
        <w:tab/>
        <w:t xml:space="preserve">„systém riadenia bezpečnosti“ organizáciu zriadenú manažérom infraštruktúry alebo železničným podnikom, ktorá zaručuje dodržiavanie ním prijatých opatrení a postupov na zabezpečenie bezpečného riadenia jeho prevádzkových činností; </w:t>
      </w:r>
    </w:p>
    <w:p w:rsidR="00742934" w:rsidRPr="0099619C" w:rsidP="00742934">
      <w:pPr>
        <w:pStyle w:val="OTIFTitre8"/>
        <w:tabs>
          <w:tab w:val="left" w:pos="317"/>
          <w:tab w:val="clear" w:pos="1560"/>
        </w:tabs>
        <w:bidi w:val="0"/>
        <w:spacing w:before="120" w:after="0" w:line="36" w:lineRule="atLeast"/>
        <w:ind w:left="0" w:firstLine="0"/>
        <w:rPr>
          <w:rFonts w:ascii="Times New Roman" w:hAnsi="Times New Roman"/>
          <w:highlight w:val="green"/>
          <w:lang w:val="sk-SK"/>
        </w:rPr>
      </w:pPr>
      <w:r w:rsidRPr="0099619C">
        <w:rPr>
          <w:rFonts w:ascii="Times New Roman" w:hAnsi="Times New Roman"/>
          <w:lang w:val="sk-SK"/>
        </w:rPr>
        <w:t>i)</w:t>
        <w:tab/>
        <w:t>„dohľad“ opatrenia na monitorovanie bezpečnostných záruk železničného podniku, ktoré prijal dozorný orgán po tom, čo podnik získal bezpečnostný certifikát;</w:t>
      </w:r>
    </w:p>
    <w:p w:rsidR="00742934" w:rsidRPr="0099619C" w:rsidP="00742934">
      <w:pPr>
        <w:pStyle w:val="OTIFTitre8"/>
        <w:tabs>
          <w:tab w:val="left" w:pos="317"/>
          <w:tab w:val="clear" w:pos="1560"/>
        </w:tabs>
        <w:bidi w:val="0"/>
        <w:spacing w:before="120" w:after="0" w:line="36" w:lineRule="atLeast"/>
        <w:ind w:left="0" w:firstLine="0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j)</w:t>
        <w:tab/>
        <w:t>„dozorný orgán“ národný alebo medzinárodný orgán zodpovedný za monitorovanie správneho uplatňovania systému riadenia bezpečnosti.</w:t>
      </w:r>
    </w:p>
    <w:p w:rsidR="00742934" w:rsidRPr="0099619C" w:rsidP="00742934">
      <w:pPr>
        <w:tabs>
          <w:tab w:val="left" w:pos="317"/>
        </w:tabs>
        <w:bidi w:val="0"/>
        <w:spacing w:before="120" w:line="36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9619C">
        <w:rPr>
          <w:rFonts w:ascii="Times New Roman" w:hAnsi="Times New Roman"/>
          <w:b/>
          <w:sz w:val="24"/>
          <w:szCs w:val="24"/>
        </w:rPr>
        <w:t>Článok 3</w:t>
        <w:br/>
        <w:t>Požiadavky týkajúce sa prevádzky a bezpečnosti</w:t>
      </w:r>
    </w:p>
    <w:p w:rsidR="00742934" w:rsidRPr="00460238" w:rsidP="00460238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460238">
        <w:rPr>
          <w:rFonts w:ascii="Times New Roman" w:hAnsi="Times New Roman"/>
          <w:bCs/>
          <w:sz w:val="24"/>
          <w:szCs w:val="24"/>
          <w:lang w:eastAsia="fr-FR"/>
        </w:rPr>
        <w:t>§ 1</w:t>
        <w:tab/>
        <w:t>Vlaky v medzinárodnej doprave sa musia prevádzkovať v súlade s požiadavkami na prevádzku a bezpečnosť ustanovenými v týchto Jednotných pravidlách.</w:t>
      </w:r>
    </w:p>
    <w:p w:rsidR="00742934" w:rsidRPr="00460238" w:rsidP="00460238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460238">
        <w:rPr>
          <w:rFonts w:ascii="Times New Roman" w:hAnsi="Times New Roman"/>
          <w:bCs/>
          <w:sz w:val="24"/>
          <w:szCs w:val="24"/>
          <w:lang w:eastAsia="fr-FR"/>
        </w:rPr>
        <w:t>§ 2</w:t>
        <w:tab/>
        <w:t>Bez toho, aby boli dotknuté povinnosti orgánov zodpovedných za údržbu železničných vozidiel a povinnosti akýchkoľvek iných strán, ktoré by mohli mať akýkoľvek vplyv na bezpečnú prevádzku železničného systému, musia zmluvné strany na svojom území zabezpečiť, aby zodpovednosť za bezpečnú prevádzku vlakov v medzinárodnej doprave a kontrola súvisiacich rizík boli pridelené príslušnému/-ým manažérovi/-om infraštruktúry a železničnému/-ým podniku/-om, ktoré prevádzkujú vlak.</w:t>
      </w:r>
    </w:p>
    <w:p w:rsidR="00742934" w:rsidRPr="00460238" w:rsidP="00460238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460238">
        <w:rPr>
          <w:rFonts w:ascii="Times New Roman" w:hAnsi="Times New Roman"/>
          <w:bCs/>
          <w:sz w:val="24"/>
          <w:szCs w:val="24"/>
          <w:lang w:eastAsia="fr-FR"/>
        </w:rPr>
        <w:t>§ 3</w:t>
        <w:tab/>
        <w:t>Zmluvné štáty musia od všetkých železničných podnikov a manažérov infraštruktúry zapojených do prevádzkovania medzinárodných vlakov na svojom území vyžadovať, aby vytvorili systém riadenia bezpečnosti a monitorovali jeho správne uplatňovanie.</w:t>
      </w:r>
    </w:p>
    <w:p w:rsidR="00742934" w:rsidRPr="00460238" w:rsidP="00460238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460238">
        <w:rPr>
          <w:rFonts w:ascii="Times New Roman" w:hAnsi="Times New Roman"/>
          <w:bCs/>
          <w:sz w:val="24"/>
          <w:szCs w:val="24"/>
          <w:lang w:eastAsia="fr-FR"/>
        </w:rPr>
        <w:t>§ 4</w:t>
        <w:tab/>
        <w:t>Zmluvné štáty musia zabezpečiť, aby boli všetky predpisy týkajúce sa prevádzky a bezpečnosti zverejnené a sprístupnené železničným podnikom a manažérom infraštruktúry.</w:t>
      </w:r>
    </w:p>
    <w:p w:rsidR="00742934" w:rsidRPr="0099619C" w:rsidP="00742934">
      <w:pPr>
        <w:tabs>
          <w:tab w:val="left" w:pos="317"/>
        </w:tabs>
        <w:bidi w:val="0"/>
        <w:spacing w:before="120" w:line="36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9619C">
        <w:rPr>
          <w:rFonts w:ascii="Times New Roman" w:hAnsi="Times New Roman"/>
          <w:b/>
          <w:sz w:val="24"/>
          <w:szCs w:val="24"/>
        </w:rPr>
        <w:t>Článok 4</w:t>
        <w:br/>
        <w:t>Bezpečnostný certifikačný orgán</w:t>
      </w:r>
    </w:p>
    <w:p w:rsidR="00742934" w:rsidRPr="00460238" w:rsidP="00460238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460238">
        <w:rPr>
          <w:rFonts w:ascii="Times New Roman" w:hAnsi="Times New Roman"/>
          <w:bCs/>
          <w:sz w:val="24"/>
          <w:szCs w:val="24"/>
          <w:lang w:eastAsia="fr-FR"/>
        </w:rPr>
        <w:t>§ 1</w:t>
        <w:tab/>
        <w:t>Každý zmluvný štát musí zabezpečiť, aby bol zriadený bezpečnostný certifikačný orgán, ktorého štruktúra, právna štruktúra a rozhodovací proces nebudú závislé od železničných podnikov a manažérov infraštruktúry.</w:t>
      </w:r>
    </w:p>
    <w:p w:rsidR="00742934" w:rsidRPr="00460238" w:rsidP="00460238">
      <w:pPr>
        <w:bidi w:val="0"/>
        <w:spacing w:before="240" w:after="240"/>
        <w:ind w:left="567"/>
        <w:rPr>
          <w:rFonts w:ascii="Times New Roman" w:hAnsi="Times New Roman"/>
          <w:bCs/>
          <w:sz w:val="24"/>
          <w:szCs w:val="24"/>
          <w:lang w:eastAsia="fr-FR"/>
        </w:rPr>
      </w:pPr>
      <w:r w:rsidRPr="00460238">
        <w:rPr>
          <w:rFonts w:ascii="Times New Roman" w:hAnsi="Times New Roman"/>
          <w:bCs/>
          <w:sz w:val="24"/>
          <w:szCs w:val="24"/>
          <w:lang w:eastAsia="fr-FR"/>
        </w:rPr>
        <w:t>Bezpečnostný certifikačný orgán a dozorný orgán uvedený v článku 6 § 1 môžu byť dve samostatné právnické osoby alebo jedna a tá istá organizácia.</w:t>
      </w:r>
    </w:p>
    <w:p w:rsidR="00742934" w:rsidRPr="00460238" w:rsidP="00460238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460238">
        <w:rPr>
          <w:rFonts w:ascii="Times New Roman" w:hAnsi="Times New Roman"/>
          <w:bCs/>
          <w:sz w:val="24"/>
          <w:szCs w:val="24"/>
          <w:lang w:eastAsia="fr-FR"/>
        </w:rPr>
        <w:t>§ 2</w:t>
        <w:tab/>
        <w:t>Každý zmluvný štát nahlási generálnemu tajomníkovi svoj bezpečnostný certifikačný orgán aspoň v jednom z pracovných jazykov organizácie, pričom túto informáciu bude vždy aktualizovať.</w:t>
      </w:r>
    </w:p>
    <w:p w:rsidR="00742934" w:rsidRPr="00460238" w:rsidP="00460238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460238">
        <w:rPr>
          <w:rFonts w:ascii="Times New Roman" w:hAnsi="Times New Roman"/>
          <w:bCs/>
          <w:sz w:val="24"/>
          <w:szCs w:val="24"/>
          <w:lang w:eastAsia="fr-FR"/>
        </w:rPr>
        <w:t>§ 3</w:t>
        <w:tab/>
        <w:t>Generálny tajomník zverejní informácie uvedené v § 2 na webovej stránke organizácie v jazykoch oznámenia.</w:t>
      </w:r>
    </w:p>
    <w:p w:rsidR="00742934" w:rsidRPr="0099619C" w:rsidP="00742934">
      <w:pPr>
        <w:tabs>
          <w:tab w:val="left" w:pos="317"/>
        </w:tabs>
        <w:bidi w:val="0"/>
        <w:spacing w:before="120" w:line="36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9619C">
        <w:rPr>
          <w:rFonts w:ascii="Times New Roman" w:hAnsi="Times New Roman"/>
          <w:b/>
          <w:sz w:val="24"/>
          <w:szCs w:val="24"/>
        </w:rPr>
        <w:t>Článok 5</w:t>
        <w:br/>
        <w:t>Bezpečnostný certifikát pre železničné podniky</w:t>
      </w:r>
    </w:p>
    <w:p w:rsidR="00742934" w:rsidRPr="00911401" w:rsidP="00911401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1</w:t>
        <w:tab/>
        <w:t>Zmluvné štáty povolia prevádzkovať vlaky v medzinárodnej doprave len tým železničným podnikom, ktoré majú na svojom území platný bezpečnostný certifikát.</w:t>
      </w:r>
    </w:p>
    <w:p w:rsidR="00742934" w:rsidRPr="00911401" w:rsidP="00911401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2</w:t>
        <w:tab/>
        <w:t>Bezpečnostné certifikáty na prevádzkovanie vlakov v medzinárodnej doprave sa vydávajú v súlade s ustanoveniami týchto Jednotných pravidiel.</w:t>
      </w:r>
    </w:p>
    <w:p w:rsidR="00742934" w:rsidRPr="00911401" w:rsidP="00911401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3</w:t>
        <w:tab/>
        <w:t>Pri udeľovaní bezpečnostných certifikátov železničným podnikom, ktoré už majú bezpečnostný certifikát platný v inom zmluvnom štáte, budú bezpečnostné certifikačné orgány akceptovať posúdenie zhody zrealizované bezpečnostným certifikačným orgánom v druhom zmluvnom štáte.</w:t>
      </w:r>
    </w:p>
    <w:p w:rsidR="00742934" w:rsidRPr="0099619C" w:rsidP="00911401">
      <w:pPr>
        <w:bidi w:val="0"/>
        <w:spacing w:before="240" w:after="240"/>
        <w:ind w:left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Táto akceptácia je však záväzná len vtedy, ak sa posúdenie zhody vykonalo na základe ekvivalentných ustanovení v súlade s dodatkami k týmto Jednotným právnym predpisom alebo na základe jednotných technických noriem.</w:t>
      </w:r>
    </w:p>
    <w:p w:rsidR="00742934" w:rsidRPr="0099619C" w:rsidP="00911401">
      <w:pPr>
        <w:bidi w:val="0"/>
        <w:spacing w:before="240" w:after="240"/>
        <w:ind w:left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Na tento účel je potrebné, aby bezpečnostné certifikačné orgány spolupracovali.</w:t>
      </w:r>
    </w:p>
    <w:p w:rsidR="00742934" w:rsidRPr="00911401" w:rsidP="00911401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4</w:t>
        <w:tab/>
        <w:t xml:space="preserve">Okrem § 3 môžu zmluvné štáty uzatvárať aj dohody o vzájomnom uznávaní bezpečnostných certifikátov vydaných bezpečnostným certifikačným orgánom iného štátu alebo akejkoľvek jeho časti za predpokladu, že kritériá hodnotenia, na základe ktorých bol bezpečnostný certifikát vydaný, sú v súlade s kritériami platnými v týchto štátoch. Takéto dohody musia byť oznámené generálnemu tajomníkovi. Generálny tajomník musí tieto informácie zverejniť. Podmienky vzájomného uznávania bezpečnostných certifikátov alebo ich častí môžu byť tiež stanovené v dodatku k týmto Jednotným pravidlám. </w:t>
      </w:r>
    </w:p>
    <w:p w:rsidR="00742934" w:rsidRPr="00911401" w:rsidP="00911401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5</w:t>
        <w:tab/>
        <w:t>Zmluvné štáty musia zabezpečiť, aby bezpečnostné certifikačné orgány zapísali železničné podniky, ktorých bezpečnostné certifikáty v súvislosti s prevádzkovaním vlakov v medzinárodnej doprave platia na ich území, do verejne prístupného registra, vrátane ich presnej geografickej oblasti pôsobnosti a doby platnosti každého certifikátu, a aby tento register stále aktualizovali.</w:t>
      </w:r>
    </w:p>
    <w:p w:rsidR="00742934" w:rsidRPr="00911401" w:rsidP="00911401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6</w:t>
        <w:tab/>
        <w:t>Technická komisia zodpovedá za prijatie týchto špecifikácií a praktických opatrení pre spoločnú databázu za účelom zverejnenia informácií uvedených v § 5.</w:t>
      </w:r>
    </w:p>
    <w:p w:rsidR="00742934" w:rsidRPr="00911401" w:rsidP="00911401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7</w:t>
        <w:tab/>
        <w:t>Technická komisia je zodpovedná za prijatie odporúčaní týkajúcich sa zavedenia systému spolupráce a partnerského hodnotenia vykonávaného bezpečnostnými certifikačnými orgánmi s cieľom podporiť vzájomné uznávanie certifikátov opísané v § 4.</w:t>
      </w:r>
    </w:p>
    <w:p w:rsidR="00742934" w:rsidRPr="0099619C" w:rsidP="00742934">
      <w:pPr>
        <w:tabs>
          <w:tab w:val="left" w:pos="317"/>
        </w:tabs>
        <w:bidi w:val="0"/>
        <w:spacing w:before="120" w:line="36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42934" w:rsidRPr="0099619C" w:rsidP="00742934">
      <w:pPr>
        <w:tabs>
          <w:tab w:val="left" w:pos="317"/>
        </w:tabs>
        <w:bidi w:val="0"/>
        <w:spacing w:before="120" w:line="36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9619C">
        <w:rPr>
          <w:rFonts w:ascii="Times New Roman" w:hAnsi="Times New Roman"/>
          <w:b/>
          <w:sz w:val="24"/>
          <w:szCs w:val="24"/>
        </w:rPr>
        <w:t>Článok 6</w:t>
        <w:br/>
        <w:t>Dohľad</w:t>
      </w:r>
    </w:p>
    <w:p w:rsidR="00742934" w:rsidRPr="00FE5CD3" w:rsidP="00FE5CD3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1</w:t>
        <w:tab/>
        <w:t>Každý zmluvný štát musí zabezpečiť, aby bol zriadený bezpečnostný certifikačný orgán, ktorého štruktúra, právna štruktúra a rozhodovací proces nebudú závislé od železničných podnikov a manažérov infraštruktúry.</w:t>
      </w:r>
    </w:p>
    <w:p w:rsidR="00742934" w:rsidRPr="0099619C" w:rsidP="00FE5CD3">
      <w:pPr>
        <w:bidi w:val="0"/>
        <w:spacing w:before="240" w:after="240"/>
        <w:ind w:left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Dozorný orgán a bezpečnostný certifikačný orgán uvedený v článku 4 § 1 môžu byť dve samostatné právnické osoby alebo jedna a tá istá organizácia.</w:t>
      </w:r>
    </w:p>
    <w:p w:rsidR="00742934" w:rsidRPr="00FE5CD3" w:rsidP="00FE5CD3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2</w:t>
        <w:tab/>
        <w:t>Dozorný orgán monitoruje správne uplatňovanie systému riadenia bezpečnosti železničných podnikov v súlade s týmito Jednotnými pravidlami.</w:t>
      </w:r>
    </w:p>
    <w:p w:rsidR="00742934" w:rsidRPr="00FE5CD3" w:rsidP="00FE5CD3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3</w:t>
        <w:tab/>
        <w:t>Každý zmluvný štát nahlási generálnemu tajomníkovi svoj dozorný orgán aspoň v jednom z pracovných jazykov organizácie a túto informáciu bude vždy aktualizovať.</w:t>
      </w:r>
    </w:p>
    <w:p w:rsidR="00742934" w:rsidRPr="00FE5CD3" w:rsidP="00FE5CD3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4</w:t>
        <w:tab/>
        <w:t>Generálny tajomník zverejní informácie uvedené v § 3 na webovej stránke organizácie v jazykoch oznámenia.</w:t>
      </w:r>
    </w:p>
    <w:p w:rsidR="00742934" w:rsidRPr="00FE5CD3" w:rsidP="00FE5CD3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5</w:t>
        <w:tab/>
        <w:t>Technická komisia je zodpovedná za prijatie odporúčaní týkajúcich sa zavedenia systému spolupráce a partnerského hodnotenia vykonávaného dozornými orgánmi s cieľom podporiť vzájomné uznávanie certifikátov opísané v článku 5 § 4.</w:t>
      </w:r>
    </w:p>
    <w:p w:rsidR="00742934" w:rsidRPr="0099619C" w:rsidP="00742934">
      <w:pPr>
        <w:tabs>
          <w:tab w:val="left" w:pos="317"/>
        </w:tabs>
        <w:bidi w:val="0"/>
        <w:spacing w:before="120" w:line="36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2" w:name="_Toc424723023"/>
      <w:r w:rsidRPr="0099619C">
        <w:rPr>
          <w:rFonts w:ascii="Times New Roman" w:hAnsi="Times New Roman"/>
          <w:b/>
          <w:sz w:val="24"/>
          <w:szCs w:val="24"/>
        </w:rPr>
        <w:t xml:space="preserve">Článok </w:t>
      </w:r>
      <w:bookmarkEnd w:id="2"/>
      <w:r w:rsidRPr="0099619C">
        <w:rPr>
          <w:rFonts w:ascii="Times New Roman" w:hAnsi="Times New Roman"/>
          <w:b/>
          <w:sz w:val="24"/>
          <w:szCs w:val="24"/>
        </w:rPr>
        <w:t>7</w:t>
        <w:br/>
      </w:r>
      <w:bookmarkStart w:id="3" w:name="_Toc424723024"/>
      <w:r w:rsidRPr="0099619C">
        <w:rPr>
          <w:rFonts w:ascii="Times New Roman" w:hAnsi="Times New Roman"/>
          <w:b/>
          <w:sz w:val="24"/>
          <w:szCs w:val="24"/>
        </w:rPr>
        <w:t xml:space="preserve">Systém riadenia bezpečnosti a </w:t>
      </w:r>
      <w:bookmarkEnd w:id="3"/>
      <w:r w:rsidRPr="0099619C">
        <w:rPr>
          <w:rFonts w:ascii="Times New Roman" w:hAnsi="Times New Roman"/>
          <w:b/>
          <w:sz w:val="24"/>
          <w:szCs w:val="24"/>
        </w:rPr>
        <w:t>prevádzka vlakov</w:t>
      </w:r>
    </w:p>
    <w:p w:rsidR="00742934" w:rsidRPr="00FE5CD3" w:rsidP="00FE5CD3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1</w:t>
        <w:tab/>
        <w:t>Železničné podniky môžu prevádzkovať vlaky iba v rámci geografickej oblasti pôsobnosti uvedenej v ich bezpečnostných certifikátoch.</w:t>
      </w:r>
    </w:p>
    <w:p w:rsidR="00742934" w:rsidRPr="00FE5CD3" w:rsidP="00FE5CD3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2</w:t>
        <w:tab/>
        <w:t xml:space="preserve">Manažéri infraštruktúry a železničné podniky zapojené do prevádzkovania vlakov v medzinárodnej doprave musia kontrolovať všetky bezpečnostné riziká súvisiace s ich činnosťou. </w:t>
      </w:r>
    </w:p>
    <w:p w:rsidR="00742934" w:rsidRPr="0099619C" w:rsidP="00FE5CD3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3</w:t>
        <w:tab/>
        <w:t>Manažéri infraštruktúry a železničné podniky zapojené do prevádzkovania vlakov v medzinárodnej doprave musia vzájomnou spoluprácou zabezpečiť bezpečnú prevádzku vlakov v medzinárodnej doprave, za ktoré sú zodpovedné.</w:t>
      </w:r>
    </w:p>
    <w:p w:rsidR="00742934" w:rsidRPr="00FE5CD3" w:rsidP="00FE5CD3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4</w:t>
        <w:tab/>
        <w:t>Manažéri infraštruktúry a železničné podniky zapojené do prevádzkovania vlakov v medzinárodnej doprave musia vytvoriť systém riadenia bezpečnosti a kontrolovať jeho správne uplatňovanie v súlade s týmito jednotnými pravidlami.</w:t>
      </w:r>
    </w:p>
    <w:p w:rsidR="00742934" w:rsidRPr="0099619C" w:rsidP="00742934">
      <w:pPr>
        <w:pStyle w:val="OTIFTitre3centr"/>
        <w:keepNext/>
        <w:tabs>
          <w:tab w:val="left" w:pos="317"/>
        </w:tabs>
        <w:bidi w:val="0"/>
        <w:spacing w:before="120" w:after="0" w:line="36" w:lineRule="atLeast"/>
        <w:outlineLvl w:val="0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Článok 8</w:t>
        <w:br/>
        <w:t>Dodatky a odporúčania</w:t>
      </w:r>
    </w:p>
    <w:p w:rsidR="00742934" w:rsidRPr="00FE5CD3" w:rsidP="00FE5CD3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1</w:t>
        <w:tab/>
        <w:t xml:space="preserve">Technický výbor rozhoduje o prijatí dodatku alebo o jeho zmene v súlade s postupom opísaným v článkoch 16, 20 a 33 § 6 dohovoru. Rozhodnutia nadobudnú platnosť v súlade s článkom 35 §§ 3 a 4 dohovoru. </w:t>
      </w:r>
    </w:p>
    <w:p w:rsidR="00742934" w:rsidRPr="00FE5CD3" w:rsidP="00FE5CD3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2</w:t>
        <w:tab/>
        <w:t>Žiadosť o prijatie dodatku alebo návrhu na jeho zmenu  môže podať:</w:t>
      </w:r>
    </w:p>
    <w:p w:rsidR="00742934" w:rsidRPr="0099619C" w:rsidP="00FE5CD3">
      <w:pPr>
        <w:widowControl w:val="0"/>
        <w:numPr>
          <w:numId w:val="3"/>
        </w:numPr>
        <w:tabs>
          <w:tab w:val="left" w:pos="317"/>
          <w:tab w:val="left" w:pos="851"/>
          <w:tab w:val="left" w:pos="1418"/>
          <w:tab w:val="left" w:pos="1985"/>
          <w:tab w:val="left" w:pos="2552"/>
          <w:tab w:val="left" w:pos="3119"/>
          <w:tab w:val="left" w:pos="4536"/>
        </w:tabs>
        <w:autoSpaceDE w:val="0"/>
        <w:autoSpaceDN w:val="0"/>
        <w:bidi w:val="0"/>
        <w:adjustRightInd w:val="0"/>
        <w:spacing w:before="120" w:line="36" w:lineRule="atLeast"/>
        <w:ind w:left="567" w:firstLine="0"/>
        <w:rPr>
          <w:rFonts w:ascii="Times New Roman" w:hAnsi="Times New Roman"/>
          <w:bCs/>
          <w:sz w:val="24"/>
          <w:szCs w:val="24"/>
        </w:rPr>
      </w:pPr>
      <w:r w:rsidRPr="0099619C">
        <w:rPr>
          <w:rFonts w:ascii="Times New Roman" w:hAnsi="Times New Roman"/>
          <w:bCs/>
          <w:sz w:val="24"/>
          <w:szCs w:val="24"/>
        </w:rPr>
        <w:t>každý zmluvný štát;</w:t>
      </w:r>
    </w:p>
    <w:p w:rsidR="00742934" w:rsidRPr="0099619C" w:rsidP="00FE5CD3">
      <w:pPr>
        <w:widowControl w:val="0"/>
        <w:tabs>
          <w:tab w:val="left" w:pos="317"/>
          <w:tab w:val="left" w:pos="1418"/>
          <w:tab w:val="left" w:pos="1985"/>
          <w:tab w:val="left" w:pos="2552"/>
          <w:tab w:val="left" w:pos="3119"/>
          <w:tab w:val="left" w:pos="4536"/>
        </w:tabs>
        <w:autoSpaceDE w:val="0"/>
        <w:autoSpaceDN w:val="0"/>
        <w:bidi w:val="0"/>
        <w:adjustRightInd w:val="0"/>
        <w:spacing w:before="120" w:line="36" w:lineRule="atLeast"/>
        <w:ind w:left="567"/>
        <w:rPr>
          <w:rFonts w:ascii="Times New Roman" w:hAnsi="Times New Roman"/>
          <w:bCs/>
          <w:sz w:val="24"/>
          <w:szCs w:val="24"/>
        </w:rPr>
      </w:pPr>
      <w:r w:rsidRPr="0099619C">
        <w:rPr>
          <w:rFonts w:ascii="Times New Roman" w:hAnsi="Times New Roman"/>
          <w:bCs/>
          <w:sz w:val="24"/>
          <w:szCs w:val="24"/>
        </w:rPr>
        <w:t>b)</w:t>
      </w:r>
      <w:r w:rsidR="00FE5CD3">
        <w:rPr>
          <w:rFonts w:ascii="Times New Roman" w:hAnsi="Times New Roman"/>
          <w:bCs/>
          <w:sz w:val="24"/>
          <w:szCs w:val="24"/>
        </w:rPr>
        <w:t xml:space="preserve"> </w:t>
      </w:r>
      <w:r w:rsidRPr="0099619C">
        <w:rPr>
          <w:rFonts w:ascii="Times New Roman" w:hAnsi="Times New Roman"/>
          <w:bCs/>
          <w:sz w:val="24"/>
          <w:szCs w:val="24"/>
        </w:rPr>
        <w:t>každá regionálna organizácia podľa článku 2 písm. x) Jednotných pravidiel ATMF;</w:t>
      </w:r>
    </w:p>
    <w:p w:rsidR="00742934" w:rsidRPr="0099619C" w:rsidP="00FE5CD3">
      <w:pPr>
        <w:tabs>
          <w:tab w:val="left" w:pos="317"/>
        </w:tabs>
        <w:bidi w:val="0"/>
        <w:spacing w:before="120" w:line="36" w:lineRule="atLeast"/>
        <w:ind w:left="567"/>
        <w:rPr>
          <w:rFonts w:ascii="Times New Roman" w:hAnsi="Times New Roman"/>
          <w:bCs/>
          <w:sz w:val="24"/>
          <w:szCs w:val="24"/>
        </w:rPr>
      </w:pPr>
      <w:r w:rsidRPr="0099619C">
        <w:rPr>
          <w:rFonts w:ascii="Times New Roman" w:hAnsi="Times New Roman"/>
          <w:bCs/>
          <w:sz w:val="24"/>
          <w:szCs w:val="24"/>
        </w:rPr>
        <w:t>c)</w:t>
      </w:r>
      <w:r w:rsidR="00FE5CD3">
        <w:rPr>
          <w:rFonts w:ascii="Times New Roman" w:hAnsi="Times New Roman"/>
          <w:bCs/>
          <w:sz w:val="24"/>
          <w:szCs w:val="24"/>
        </w:rPr>
        <w:t xml:space="preserve"> </w:t>
      </w:r>
      <w:r w:rsidRPr="0099619C">
        <w:rPr>
          <w:rFonts w:ascii="Times New Roman" w:hAnsi="Times New Roman"/>
          <w:bCs/>
          <w:sz w:val="24"/>
          <w:szCs w:val="24"/>
        </w:rPr>
        <w:t>každé zastupiteľské medzinárodné združenie, pre ktorých členov je existencia dodatku pri výkone ich činností nevyhnutná z dôvodov bezpečnosti a hospodárnosti.</w:t>
      </w:r>
    </w:p>
    <w:p w:rsidR="00742934" w:rsidRPr="00FE5CD3" w:rsidP="00FE5CD3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3</w:t>
        <w:tab/>
        <w:t>Na účely jednotného uplatňovania týchto Jednotných pravidiel sa dodatky týchto Jednotných pravidiel zaoberajú nasledujúcimi aspektmi:</w:t>
      </w:r>
    </w:p>
    <w:p w:rsidR="00742934" w:rsidRPr="0099619C" w:rsidP="00FE5CD3">
      <w:pPr>
        <w:widowControl w:val="0"/>
        <w:numPr>
          <w:numId w:val="1"/>
        </w:numPr>
        <w:tabs>
          <w:tab w:val="left" w:pos="317"/>
          <w:tab w:val="left" w:pos="1418"/>
          <w:tab w:val="left" w:pos="1985"/>
          <w:tab w:val="left" w:pos="2552"/>
          <w:tab w:val="left" w:pos="3119"/>
          <w:tab w:val="left" w:pos="4536"/>
        </w:tabs>
        <w:autoSpaceDE w:val="0"/>
        <w:autoSpaceDN w:val="0"/>
        <w:bidi w:val="0"/>
        <w:adjustRightInd w:val="0"/>
        <w:spacing w:before="120" w:line="36" w:lineRule="atLeast"/>
        <w:ind w:left="709" w:hanging="425"/>
        <w:rPr>
          <w:rFonts w:ascii="Times New Roman" w:hAnsi="Times New Roman"/>
          <w:bCs/>
          <w:sz w:val="24"/>
          <w:szCs w:val="24"/>
        </w:rPr>
      </w:pPr>
      <w:r w:rsidRPr="0099619C">
        <w:rPr>
          <w:rFonts w:ascii="Times New Roman" w:hAnsi="Times New Roman"/>
          <w:bCs/>
          <w:sz w:val="24"/>
          <w:szCs w:val="24"/>
        </w:rPr>
        <w:t>spoločná bezpečnostná metodika pre požiadavky na systém riadenia bezpečnosti, ktorú majú uplatňovať bezpečnostné certifikačné orgány pri vydávaní bezpečnostných certifikátov, ako aj železničné podniky a manažéri infraštruktúry pri vývoji, zriaďovaní, udržiavaní a zlepšovaní svojich systémov riadenia bezpečnosti;</w:t>
      </w:r>
    </w:p>
    <w:p w:rsidR="00742934" w:rsidRPr="0099619C" w:rsidP="00FE5CD3">
      <w:pPr>
        <w:widowControl w:val="0"/>
        <w:numPr>
          <w:numId w:val="1"/>
        </w:numPr>
        <w:tabs>
          <w:tab w:val="left" w:pos="317"/>
          <w:tab w:val="left" w:pos="1418"/>
          <w:tab w:val="left" w:pos="1985"/>
          <w:tab w:val="left" w:pos="2552"/>
          <w:tab w:val="left" w:pos="3119"/>
          <w:tab w:val="left" w:pos="4536"/>
        </w:tabs>
        <w:autoSpaceDE w:val="0"/>
        <w:autoSpaceDN w:val="0"/>
        <w:bidi w:val="0"/>
        <w:adjustRightInd w:val="0"/>
        <w:spacing w:before="120" w:line="36" w:lineRule="atLeast"/>
        <w:rPr>
          <w:rFonts w:ascii="Times New Roman" w:hAnsi="Times New Roman"/>
          <w:bCs/>
          <w:sz w:val="24"/>
          <w:szCs w:val="24"/>
        </w:rPr>
      </w:pPr>
      <w:r w:rsidRPr="0099619C">
        <w:rPr>
          <w:rFonts w:ascii="Times New Roman" w:hAnsi="Times New Roman"/>
          <w:bCs/>
          <w:sz w:val="24"/>
          <w:szCs w:val="24"/>
        </w:rPr>
        <w:t>spoločná bezpečnostná metodika kontroly, ktorú majú uplatňovať železničné podniky, manažéri infraštruktúry a subjekty zodpovedné za údržbu;</w:t>
      </w:r>
    </w:p>
    <w:p w:rsidR="00742934" w:rsidRPr="0099619C" w:rsidP="00FE5CD3">
      <w:pPr>
        <w:widowControl w:val="0"/>
        <w:numPr>
          <w:numId w:val="1"/>
        </w:numPr>
        <w:tabs>
          <w:tab w:val="left" w:pos="317"/>
          <w:tab w:val="left" w:pos="1418"/>
          <w:tab w:val="left" w:pos="1985"/>
          <w:tab w:val="left" w:pos="2552"/>
          <w:tab w:val="left" w:pos="3119"/>
          <w:tab w:val="left" w:pos="4536"/>
        </w:tabs>
        <w:autoSpaceDE w:val="0"/>
        <w:autoSpaceDN w:val="0"/>
        <w:bidi w:val="0"/>
        <w:adjustRightInd w:val="0"/>
        <w:spacing w:before="120" w:line="36" w:lineRule="atLeast"/>
        <w:rPr>
          <w:rFonts w:ascii="Times New Roman" w:hAnsi="Times New Roman"/>
          <w:bCs/>
          <w:sz w:val="24"/>
          <w:szCs w:val="24"/>
        </w:rPr>
      </w:pPr>
      <w:r w:rsidRPr="0099619C">
        <w:rPr>
          <w:rFonts w:ascii="Times New Roman" w:hAnsi="Times New Roman"/>
          <w:bCs/>
          <w:sz w:val="24"/>
          <w:szCs w:val="24"/>
        </w:rPr>
        <w:t>potrebné odkazy na spoločnú bezpečnostnú metodiku hodnotenia a posudzovania rizík, ktoré majú uplatňovať železničné podniky, manažéri infraštruktúry a subjekty zodpovedné za údržbu v prípade technických, prevádzkových alebo organizačných zmien železničného systému;</w:t>
      </w:r>
    </w:p>
    <w:p w:rsidR="00742934" w:rsidRPr="0099619C" w:rsidP="00FE5CD3">
      <w:pPr>
        <w:widowControl w:val="0"/>
        <w:numPr>
          <w:numId w:val="1"/>
        </w:numPr>
        <w:tabs>
          <w:tab w:val="left" w:pos="317"/>
          <w:tab w:val="left" w:pos="1418"/>
          <w:tab w:val="left" w:pos="1985"/>
          <w:tab w:val="left" w:pos="2552"/>
          <w:tab w:val="left" w:pos="3119"/>
          <w:tab w:val="left" w:pos="4536"/>
        </w:tabs>
        <w:autoSpaceDE w:val="0"/>
        <w:autoSpaceDN w:val="0"/>
        <w:bidi w:val="0"/>
        <w:adjustRightInd w:val="0"/>
        <w:spacing w:before="120" w:line="36" w:lineRule="atLeast"/>
        <w:rPr>
          <w:rFonts w:ascii="Times New Roman" w:hAnsi="Times New Roman"/>
          <w:bCs/>
          <w:sz w:val="24"/>
          <w:szCs w:val="24"/>
        </w:rPr>
      </w:pPr>
      <w:r w:rsidRPr="0099619C">
        <w:rPr>
          <w:rFonts w:ascii="Times New Roman" w:hAnsi="Times New Roman"/>
          <w:sz w:val="24"/>
          <w:szCs w:val="24"/>
        </w:rPr>
        <w:t>spoločná bezpečnostná metodika pre dohľad, ktorú majú uplatňovať dozorné orgány.</w:t>
      </w:r>
    </w:p>
    <w:p w:rsidR="00742934" w:rsidRPr="0099619C" w:rsidP="00282C85">
      <w:pPr>
        <w:tabs>
          <w:tab w:val="left" w:pos="317"/>
          <w:tab w:val="left" w:pos="1418"/>
          <w:tab w:val="left" w:pos="1985"/>
          <w:tab w:val="left" w:pos="2552"/>
          <w:tab w:val="left" w:pos="3119"/>
          <w:tab w:val="left" w:pos="4536"/>
        </w:tabs>
        <w:bidi w:val="0"/>
        <w:spacing w:before="120" w:line="36" w:lineRule="atLeast"/>
        <w:ind w:left="567"/>
        <w:rPr>
          <w:rFonts w:ascii="Times New Roman" w:hAnsi="Times New Roman"/>
          <w:bCs/>
          <w:sz w:val="24"/>
          <w:szCs w:val="24"/>
        </w:rPr>
      </w:pPr>
      <w:r w:rsidRPr="0099619C">
        <w:rPr>
          <w:rFonts w:ascii="Times New Roman" w:hAnsi="Times New Roman"/>
          <w:bCs/>
          <w:sz w:val="24"/>
          <w:szCs w:val="24"/>
        </w:rPr>
        <w:t>Technická komisia preskúma, či sa môžu zahrnúť harmonizované ustanovenia pre vydávanie bezpečnostných certifikátov.</w:t>
      </w:r>
    </w:p>
    <w:p w:rsidR="00742934" w:rsidRPr="00FE5CD3" w:rsidP="00FE5CD3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4</w:t>
        <w:tab/>
        <w:t>Technická komisia je zodpovedná za prípravu dodatkov na základe žiadostí podaných v súlade s § 2 a s podporou vhodných pracovných skupín a generálneho tajomníka.</w:t>
      </w:r>
    </w:p>
    <w:p w:rsidR="00742934" w:rsidRPr="00FE5CD3" w:rsidP="00FE5CD3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5</w:t>
        <w:tab/>
        <w:t>Technická komisia môže odporučiť metódy a postupy súvisiace s bezpečným prevádzkovaním vlakov v medzinárodnej doprave.</w:t>
      </w:r>
    </w:p>
    <w:p w:rsidR="00742934" w:rsidRPr="0099619C" w:rsidP="00742934">
      <w:pPr>
        <w:pStyle w:val="OTIFTitre3centr"/>
        <w:keepNext/>
        <w:tabs>
          <w:tab w:val="left" w:pos="317"/>
        </w:tabs>
        <w:bidi w:val="0"/>
        <w:spacing w:before="120" w:after="0" w:line="36" w:lineRule="atLeast"/>
        <w:rPr>
          <w:rFonts w:ascii="Times New Roman" w:hAnsi="Times New Roman"/>
          <w:lang w:val="sk-SK"/>
        </w:rPr>
      </w:pPr>
      <w:r w:rsidRPr="0099619C">
        <w:rPr>
          <w:rFonts w:ascii="Times New Roman" w:hAnsi="Times New Roman"/>
          <w:lang w:val="sk-SK"/>
        </w:rPr>
        <w:t>Článok 9</w:t>
        <w:br/>
        <w:t>Vyhlásenia</w:t>
      </w:r>
    </w:p>
    <w:p w:rsidR="00742934" w:rsidRPr="00FE5CD3" w:rsidP="00FE5CD3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1</w:t>
        <w:tab/>
        <w:t xml:space="preserve">Každý zmluvný štát môže do štyroch mesiacov od oznámenia rozhodnutia technickej komisie prostredníctvom generálneho tajomníka predložiť generálnemu tajomníkovi odôvodnené vyhlásenie, že neuplatní dodatok týchto Jednotných pravidiel v súvislosti so železničnou infraštruktúrou na svojom území alebo jej časťami a dopravou na tejto infraštruktúre. </w:t>
      </w:r>
    </w:p>
    <w:p w:rsidR="00742934" w:rsidRPr="00FE5CD3" w:rsidP="00FE5CD3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2</w:t>
        <w:tab/>
        <w:t xml:space="preserve">Zmluvné štáty, ktoré predložili vyhlásenie v súlade s § 1, nebudú zohľadnené pri určovaní počtu štátov, ktoré podľa článku 35 § 4 dohovoru musia vzniesť námietku, aby rozhodnutie technického výboru nenadobudlo platnosť. </w:t>
      </w:r>
    </w:p>
    <w:p w:rsidR="00742934" w:rsidRPr="00FE5CD3" w:rsidP="00FE5CD3">
      <w:pPr>
        <w:bidi w:val="0"/>
        <w:spacing w:before="240" w:after="240"/>
        <w:ind w:left="567" w:hanging="567"/>
        <w:rPr>
          <w:rFonts w:ascii="Times New Roman" w:hAnsi="Times New Roman"/>
          <w:bCs/>
          <w:sz w:val="24"/>
          <w:szCs w:val="24"/>
          <w:lang w:eastAsia="fr-FR"/>
        </w:rPr>
      </w:pPr>
      <w:r w:rsidRPr="0099619C">
        <w:rPr>
          <w:rFonts w:ascii="Times New Roman" w:hAnsi="Times New Roman"/>
          <w:bCs/>
          <w:sz w:val="24"/>
          <w:szCs w:val="24"/>
          <w:lang w:eastAsia="fr-FR"/>
        </w:rPr>
        <w:t>§ 3</w:t>
        <w:tab/>
        <w:t>Štát, ktorý predložil vyhlásenie v súlade s § 1, ho môže kedykoľvek odvolať oznámením generálnemu tajomníkovi. Odvolanie nadobudne platnosť prvý deň druhého mesiaca nasledujúceho po oznámení.“</w:t>
      </w:r>
    </w:p>
    <w:p w:rsidR="00742934" w:rsidRPr="0099619C" w:rsidP="00742934">
      <w:pPr>
        <w:tabs>
          <w:tab w:val="left" w:pos="106"/>
        </w:tabs>
        <w:bidi w:val="0"/>
        <w:spacing w:before="240" w:after="240"/>
        <w:rPr>
          <w:rFonts w:ascii="Times New Roman" w:hAnsi="Times New Roman"/>
          <w:b/>
          <w:color w:val="A6A6A6" w:themeColor="bg1" w:themeShade="A6"/>
          <w:sz w:val="24"/>
          <w:szCs w:val="24"/>
        </w:rPr>
      </w:pPr>
    </w:p>
    <w:p w:rsidR="00742934" w:rsidRPr="0099619C" w:rsidP="00742934">
      <w:pPr>
        <w:pStyle w:val="OTIFtexte1"/>
        <w:bidi w:val="0"/>
        <w:ind w:left="0" w:firstLine="0"/>
        <w:rPr>
          <w:rFonts w:ascii="Times New Roman" w:hAnsi="Times New Roman"/>
          <w:lang w:val="sk-SK"/>
        </w:rPr>
      </w:pPr>
    </w:p>
    <w:p w:rsidR="00742934" w:rsidRPr="0099619C" w:rsidP="00742934">
      <w:pPr>
        <w:tabs>
          <w:tab w:val="left" w:pos="106"/>
        </w:tabs>
        <w:bidi w:val="0"/>
        <w:spacing w:before="240" w:after="240"/>
        <w:rPr>
          <w:rFonts w:ascii="Times New Roman" w:hAnsi="Times New Roman"/>
          <w:b/>
          <w:color w:val="A6A6A6" w:themeColor="bg1" w:themeShade="A6"/>
          <w:sz w:val="24"/>
          <w:szCs w:val="24"/>
        </w:rPr>
      </w:pPr>
    </w:p>
    <w:p w:rsidR="00742934" w:rsidRPr="0099619C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D09DF"/>
    <w:multiLevelType w:val="hybridMultilevel"/>
    <w:tmpl w:val="8B34B4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70476DE"/>
    <w:multiLevelType w:val="hybridMultilevel"/>
    <w:tmpl w:val="60D2B15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F7129F4"/>
    <w:multiLevelType w:val="hybridMultilevel"/>
    <w:tmpl w:val="2F762D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D56CC"/>
    <w:rsid w:val="0001767B"/>
    <w:rsid w:val="0008057E"/>
    <w:rsid w:val="000812E4"/>
    <w:rsid w:val="00093042"/>
    <w:rsid w:val="000B5903"/>
    <w:rsid w:val="000E7085"/>
    <w:rsid w:val="000F2D12"/>
    <w:rsid w:val="000F715B"/>
    <w:rsid w:val="001B48FA"/>
    <w:rsid w:val="002012E3"/>
    <w:rsid w:val="00282C85"/>
    <w:rsid w:val="002E177A"/>
    <w:rsid w:val="002F1B65"/>
    <w:rsid w:val="002F5BB9"/>
    <w:rsid w:val="00344980"/>
    <w:rsid w:val="00381168"/>
    <w:rsid w:val="003852A8"/>
    <w:rsid w:val="003E39C6"/>
    <w:rsid w:val="003E3E47"/>
    <w:rsid w:val="00404B48"/>
    <w:rsid w:val="00454281"/>
    <w:rsid w:val="00460238"/>
    <w:rsid w:val="004B47F9"/>
    <w:rsid w:val="00530D69"/>
    <w:rsid w:val="00543A5E"/>
    <w:rsid w:val="005535B1"/>
    <w:rsid w:val="00616743"/>
    <w:rsid w:val="00646943"/>
    <w:rsid w:val="00666662"/>
    <w:rsid w:val="00742934"/>
    <w:rsid w:val="007746FD"/>
    <w:rsid w:val="00776FB5"/>
    <w:rsid w:val="00784846"/>
    <w:rsid w:val="00792855"/>
    <w:rsid w:val="007D4F7F"/>
    <w:rsid w:val="008076D8"/>
    <w:rsid w:val="0082589F"/>
    <w:rsid w:val="00861BD5"/>
    <w:rsid w:val="008D56CC"/>
    <w:rsid w:val="00911401"/>
    <w:rsid w:val="009474B5"/>
    <w:rsid w:val="00987FF1"/>
    <w:rsid w:val="0099619C"/>
    <w:rsid w:val="00A96078"/>
    <w:rsid w:val="00B36CA3"/>
    <w:rsid w:val="00B67D81"/>
    <w:rsid w:val="00BE2FB2"/>
    <w:rsid w:val="00C1602C"/>
    <w:rsid w:val="00C1779C"/>
    <w:rsid w:val="00C54DF0"/>
    <w:rsid w:val="00C62E8F"/>
    <w:rsid w:val="00CA3907"/>
    <w:rsid w:val="00D5646C"/>
    <w:rsid w:val="00D86874"/>
    <w:rsid w:val="00DB3E12"/>
    <w:rsid w:val="00DD213D"/>
    <w:rsid w:val="00DE1E08"/>
    <w:rsid w:val="00E22609"/>
    <w:rsid w:val="00ED3D61"/>
    <w:rsid w:val="00F972C8"/>
    <w:rsid w:val="00FB52F2"/>
    <w:rsid w:val="00FE5CD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42934"/>
    <w:pPr>
      <w:spacing w:before="240" w:after="0" w:line="240" w:lineRule="auto"/>
      <w:ind w:left="851" w:hanging="567"/>
      <w:jc w:val="both"/>
    </w:pPr>
    <w:rPr>
      <w:rFonts w:ascii="Times New Roman" w:hAnsi="Times New Roman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IFTitre3centr">
    <w:name w:val="OTIF_Titre_3_centré"/>
    <w:basedOn w:val="Normal"/>
    <w:link w:val="OTIFTitre3centrCar"/>
    <w:rsid w:val="00742934"/>
    <w:pPr>
      <w:widowControl w:val="0"/>
      <w:tabs>
        <w:tab w:val="left" w:pos="1418"/>
        <w:tab w:val="left" w:pos="1985"/>
        <w:tab w:val="left" w:pos="2552"/>
        <w:tab w:val="left" w:pos="3119"/>
        <w:tab w:val="left" w:pos="4536"/>
      </w:tabs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b/>
      <w:sz w:val="24"/>
      <w:szCs w:val="24"/>
      <w:lang w:val="de-DE" w:eastAsia="fr-FR"/>
    </w:rPr>
  </w:style>
  <w:style w:type="paragraph" w:customStyle="1" w:styleId="OTIFtexte1">
    <w:name w:val="OTIF_texte_§_1"/>
    <w:aliases w:val="2,3"/>
    <w:basedOn w:val="Normal"/>
    <w:link w:val="OTIFtexte1Car"/>
    <w:rsid w:val="0074293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4536"/>
      </w:tabs>
      <w:autoSpaceDE w:val="0"/>
      <w:autoSpaceDN w:val="0"/>
      <w:adjustRightInd w:val="0"/>
      <w:spacing w:after="240" w:line="240" w:lineRule="auto"/>
      <w:ind w:left="851" w:hanging="851"/>
      <w:jc w:val="both"/>
    </w:pPr>
    <w:rPr>
      <w:rFonts w:ascii="Times New Roman" w:hAnsi="Times New Roman"/>
      <w:bCs/>
      <w:sz w:val="24"/>
      <w:szCs w:val="24"/>
      <w:lang w:val="de-DE" w:eastAsia="fr-FR"/>
    </w:rPr>
  </w:style>
  <w:style w:type="character" w:customStyle="1" w:styleId="OTIFtexte1Car">
    <w:name w:val="OTIF_texte_§_1 Car"/>
    <w:aliases w:val="2 Car,3 Car"/>
    <w:basedOn w:val="DefaultParagraphFont"/>
    <w:link w:val="OTIFtexte1"/>
    <w:locked/>
    <w:rsid w:val="00742934"/>
    <w:rPr>
      <w:rFonts w:ascii="Times New Roman" w:hAnsi="Times New Roman" w:cs="Times New Roman"/>
      <w:bCs/>
      <w:sz w:val="24"/>
      <w:szCs w:val="24"/>
      <w:rtl w:val="0"/>
      <w:cs w:val="0"/>
      <w:lang w:val="de-DE" w:eastAsia="fr-FR"/>
    </w:rPr>
  </w:style>
  <w:style w:type="character" w:customStyle="1" w:styleId="OTIFTitre3centrCar">
    <w:name w:val="OTIF_Titre_3_centré Car"/>
    <w:link w:val="OTIFTitre3centr"/>
    <w:locked/>
    <w:rsid w:val="00742934"/>
    <w:rPr>
      <w:rFonts w:ascii="Times New Roman" w:hAnsi="Times New Roman" w:cs="Times New Roman"/>
      <w:b/>
      <w:sz w:val="24"/>
      <w:lang w:val="de-DE" w:eastAsia="fr-FR"/>
    </w:rPr>
  </w:style>
  <w:style w:type="paragraph" w:customStyle="1" w:styleId="OTIFTitre8">
    <w:name w:val="OTIF_Titre_8"/>
    <w:basedOn w:val="Normal"/>
    <w:link w:val="OTIFTitre8Car"/>
    <w:rsid w:val="00742934"/>
    <w:pPr>
      <w:tabs>
        <w:tab w:val="num" w:pos="1560"/>
        <w:tab w:val="left" w:pos="1985"/>
        <w:tab w:val="left" w:pos="2552"/>
        <w:tab w:val="left" w:pos="3119"/>
        <w:tab w:val="left" w:pos="4536"/>
      </w:tabs>
      <w:autoSpaceDE w:val="0"/>
      <w:autoSpaceDN w:val="0"/>
      <w:adjustRightInd w:val="0"/>
      <w:spacing w:after="240" w:line="240" w:lineRule="auto"/>
      <w:ind w:left="1560" w:hanging="567"/>
      <w:jc w:val="both"/>
    </w:pPr>
    <w:rPr>
      <w:rFonts w:ascii="Times New Roman" w:hAnsi="Times New Roman"/>
      <w:sz w:val="24"/>
      <w:szCs w:val="24"/>
      <w:lang w:val="de-DE" w:eastAsia="fr-FR"/>
    </w:rPr>
  </w:style>
  <w:style w:type="character" w:customStyle="1" w:styleId="OTIFTitre8Car">
    <w:name w:val="OTIF_Titre_8 Car"/>
    <w:basedOn w:val="DefaultParagraphFont"/>
    <w:link w:val="OTIFTitre8"/>
    <w:locked/>
    <w:rsid w:val="00742934"/>
    <w:rPr>
      <w:rFonts w:ascii="Times New Roman" w:hAnsi="Times New Roman" w:cs="Times New Roman"/>
      <w:sz w:val="24"/>
      <w:szCs w:val="24"/>
      <w:rtl w:val="0"/>
      <w:cs w:val="0"/>
      <w:lang w:val="de-DE" w:eastAsia="fr-FR"/>
    </w:rPr>
  </w:style>
  <w:style w:type="paragraph" w:customStyle="1" w:styleId="OTIFtexte10">
    <w:name w:val="OTIF_texte_1"/>
    <w:basedOn w:val="Normal"/>
    <w:link w:val="OTIFtexte1Car1"/>
    <w:rsid w:val="0074293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4536"/>
      </w:tabs>
      <w:autoSpaceDE w:val="0"/>
      <w:autoSpaceDN w:val="0"/>
      <w:adjustRightInd w:val="0"/>
      <w:spacing w:after="240" w:line="240" w:lineRule="auto"/>
      <w:jc w:val="both"/>
    </w:pPr>
    <w:rPr>
      <w:rFonts w:ascii="Times New Roman" w:hAnsi="Times New Roman"/>
      <w:bCs/>
      <w:sz w:val="24"/>
      <w:szCs w:val="24"/>
      <w:lang w:val="en-US" w:eastAsia="fr-FR"/>
    </w:rPr>
  </w:style>
  <w:style w:type="character" w:customStyle="1" w:styleId="OTIFtexte1Car1">
    <w:name w:val="OTIF_texte_1 Car1"/>
    <w:basedOn w:val="DefaultParagraphFont"/>
    <w:link w:val="OTIFtexte10"/>
    <w:locked/>
    <w:rsid w:val="00742934"/>
    <w:rPr>
      <w:rFonts w:ascii="Times New Roman" w:hAnsi="Times New Roman" w:cs="Times New Roman"/>
      <w:bCs/>
      <w:sz w:val="24"/>
      <w:szCs w:val="24"/>
      <w:rtl w:val="0"/>
      <w:cs w:val="0"/>
      <w:lang w:val="en-US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76CDD-32F9-450E-9474-447E58E8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13</Pages>
  <Words>3521</Words>
  <Characters>20071</Characters>
  <Application>Microsoft Office Word</Application>
  <DocSecurity>0</DocSecurity>
  <Lines>0</Lines>
  <Paragraphs>0</Paragraphs>
  <ScaleCrop>false</ScaleCrop>
  <Company/>
  <LinksUpToDate>false</LinksUpToDate>
  <CharactersWithSpaces>23545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Kubiček, Milan</dc:creator>
  <cp:lastModifiedBy>Kubiček, Milan</cp:lastModifiedBy>
  <cp:revision>3</cp:revision>
  <dcterms:created xsi:type="dcterms:W3CDTF">2019-04-02T12:22:00Z</dcterms:created>
  <dcterms:modified xsi:type="dcterms:W3CDTF">2019-11-13T11:39:00Z</dcterms:modified>
</cp:coreProperties>
</file>