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00" w:rsidRDefault="003E5E00"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Default="00556E44" w:rsidP="0028088E">
      <w:pPr>
        <w:jc w:val="center"/>
        <w:rPr>
          <w:b/>
          <w:color w:val="000000"/>
        </w:rPr>
      </w:pPr>
    </w:p>
    <w:p w:rsidR="00556E44" w:rsidRPr="00B65DB5" w:rsidRDefault="00556E44" w:rsidP="0028088E">
      <w:pPr>
        <w:jc w:val="center"/>
      </w:pPr>
    </w:p>
    <w:p w:rsidR="003E5E00" w:rsidRPr="00D94EED" w:rsidRDefault="003E5E00" w:rsidP="0028088E">
      <w:pPr>
        <w:jc w:val="center"/>
        <w:rPr>
          <w:color w:val="000000"/>
        </w:rPr>
      </w:pPr>
      <w:r w:rsidRPr="00D94EED">
        <w:rPr>
          <w:color w:val="000000"/>
        </w:rPr>
        <w:t>z</w:t>
      </w:r>
      <w:r w:rsidR="00D95871">
        <w:rPr>
          <w:color w:val="000000"/>
        </w:rPr>
        <w:t> 15. júla</w:t>
      </w:r>
      <w:r w:rsidRPr="00D94EED">
        <w:rPr>
          <w:color w:val="000000"/>
        </w:rPr>
        <w:t xml:space="preserve"> 2020,</w:t>
      </w:r>
    </w:p>
    <w:p w:rsidR="003E5E00" w:rsidRPr="00B65DB5" w:rsidRDefault="003E5E00" w:rsidP="0028088E">
      <w:pPr>
        <w:rPr>
          <w:b/>
        </w:rPr>
      </w:pPr>
    </w:p>
    <w:p w:rsidR="003E5E00" w:rsidRDefault="003E5E00" w:rsidP="00720C03">
      <w:pPr>
        <w:jc w:val="center"/>
        <w:rPr>
          <w:b/>
          <w:color w:val="000000"/>
        </w:rPr>
      </w:pPr>
      <w:r w:rsidRPr="00F63B15">
        <w:rPr>
          <w:b/>
          <w:color w:val="000000"/>
        </w:rPr>
        <w:t>ktorým sa mení a dopĺňa zákon č. 153/2001 Z. z. o prokuratúre v znení neskorších predpisov</w:t>
      </w:r>
      <w:r w:rsidR="00F01618">
        <w:rPr>
          <w:b/>
          <w:color w:val="000000"/>
        </w:rPr>
        <w:t xml:space="preserve"> </w:t>
      </w:r>
      <w:r w:rsidR="00142E68">
        <w:rPr>
          <w:b/>
        </w:rPr>
        <w:t>a ktorým sa menia a dopĺňajú niektoré zákony</w:t>
      </w:r>
    </w:p>
    <w:p w:rsidR="00450A56" w:rsidRPr="00B65DB5" w:rsidRDefault="00450A56" w:rsidP="00450A56">
      <w:pPr>
        <w:jc w:val="center"/>
      </w:pPr>
    </w:p>
    <w:p w:rsidR="003E5E00" w:rsidRDefault="003E5E00" w:rsidP="0028088E">
      <w:pPr>
        <w:ind w:firstLine="708"/>
        <w:rPr>
          <w:color w:val="000000"/>
        </w:rPr>
      </w:pPr>
      <w:r w:rsidRPr="00B65DB5">
        <w:rPr>
          <w:color w:val="000000"/>
        </w:rPr>
        <w:t>Národná rada Slovenskej republiky sa uzniesla na tomto zákone:</w:t>
      </w:r>
    </w:p>
    <w:p w:rsidR="003E5E00" w:rsidRDefault="003E5E00" w:rsidP="0028088E">
      <w:pPr>
        <w:rPr>
          <w:color w:val="000000"/>
        </w:rPr>
      </w:pPr>
    </w:p>
    <w:p w:rsidR="003E5E00" w:rsidRPr="00B65DB5" w:rsidRDefault="003E5E00" w:rsidP="0028088E"/>
    <w:p w:rsidR="003E5E00" w:rsidRPr="00475FFA" w:rsidRDefault="003E5E00" w:rsidP="0028088E">
      <w:pPr>
        <w:jc w:val="center"/>
        <w:rPr>
          <w:b/>
          <w:color w:val="000000"/>
        </w:rPr>
      </w:pPr>
      <w:r w:rsidRPr="00475FFA">
        <w:rPr>
          <w:b/>
          <w:color w:val="000000"/>
        </w:rPr>
        <w:t>Čl. I</w:t>
      </w:r>
    </w:p>
    <w:p w:rsidR="003E5E00" w:rsidRPr="00B65DB5" w:rsidRDefault="003E5E00" w:rsidP="0028088E">
      <w:pPr>
        <w:jc w:val="center"/>
      </w:pPr>
    </w:p>
    <w:p w:rsidR="003E5E00" w:rsidRDefault="003E5E00" w:rsidP="0028088E">
      <w:pPr>
        <w:ind w:firstLine="708"/>
      </w:pPr>
      <w:r w:rsidRPr="00B65DB5">
        <w:t>Zákon č. 153/2001 Z. z. o</w:t>
      </w:r>
      <w:r>
        <w:t> </w:t>
      </w:r>
      <w:r w:rsidRPr="00B65DB5">
        <w:t>prokuratúre</w:t>
      </w:r>
      <w:r>
        <w:t xml:space="preserve"> v znení zákona č. </w:t>
      </w:r>
      <w:r w:rsidRPr="00B65DB5">
        <w:t xml:space="preserve">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w:t>
      </w:r>
      <w:r>
        <w:t>Z. z., zákona č. 18/2018 Z. z.,</w:t>
      </w:r>
      <w:r w:rsidRPr="00B65DB5">
        <w:t xml:space="preserve"> zákona č. 314/2018 Z. z.</w:t>
      </w:r>
      <w:r w:rsidR="00A35919">
        <w:t>,</w:t>
      </w:r>
      <w:r w:rsidRPr="00B65DB5">
        <w:t xml:space="preserve"> zákona č. 6/2019 Z. z.</w:t>
      </w:r>
      <w:r w:rsidR="00A35919">
        <w:t>, zákona č. 54/2019 Z. z. a zákona č. 242/2019 Z. z.</w:t>
      </w:r>
      <w:r w:rsidRPr="00B65DB5">
        <w:t xml:space="preserve"> sa mení a dopĺňa takto:</w:t>
      </w:r>
    </w:p>
    <w:p w:rsidR="0028088E" w:rsidRDefault="0028088E" w:rsidP="0028088E"/>
    <w:p w:rsidR="0028088E" w:rsidRDefault="00D167CA" w:rsidP="0028088E">
      <w:r>
        <w:rPr>
          <w:b/>
          <w:bCs/>
        </w:rPr>
        <w:t>1</w:t>
      </w:r>
      <w:r w:rsidR="0028088E" w:rsidRPr="00D167CA">
        <w:rPr>
          <w:b/>
          <w:bCs/>
        </w:rPr>
        <w:t>.</w:t>
      </w:r>
      <w:r w:rsidR="0028088E">
        <w:t xml:space="preserve"> V § 7 odsek 3 znie:</w:t>
      </w:r>
    </w:p>
    <w:p w:rsidR="00D167CA" w:rsidRDefault="0028088E" w:rsidP="0028088E">
      <w:r>
        <w:t xml:space="preserve">„(3) </w:t>
      </w:r>
      <w:r w:rsidRPr="0028088E">
        <w:t xml:space="preserve">Za generálneho prokurátora môže byť vymenovaný </w:t>
      </w:r>
      <w:r w:rsidR="0022166E" w:rsidRPr="0022166E">
        <w:t xml:space="preserve">občan Slovenskej republiky, ktorý je voliteľný do </w:t>
      </w:r>
      <w:r w:rsidR="00C744B0" w:rsidRPr="00111BD0">
        <w:t>národnej rady</w:t>
      </w:r>
      <w:r w:rsidR="0022166E" w:rsidRPr="0022166E">
        <w:t>, dosiahol vek 40 rokov, má vysokoškolské právnické vzdelanie</w:t>
      </w:r>
      <w:r w:rsidR="00C744B0">
        <w:t xml:space="preserve"> druhého stupňa</w:t>
      </w:r>
      <w:r w:rsidR="0022166E">
        <w:t xml:space="preserve">, </w:t>
      </w:r>
      <w:r w:rsidR="0022166E" w:rsidRPr="0022166E">
        <w:t>je najmenej 15 rokov činný v právnickom povolaní</w:t>
      </w:r>
      <w:r w:rsidR="00D167CA">
        <w:t>, je bezúhonný</w:t>
      </w:r>
      <w:r w:rsidR="00C744B0">
        <w:t>,</w:t>
      </w:r>
      <w:r w:rsidR="00C744B0" w:rsidRPr="00C744B0">
        <w:rPr>
          <w:shd w:val="clear" w:color="auto" w:fill="FFFFFF"/>
        </w:rPr>
        <w:t xml:space="preserve"> </w:t>
      </w:r>
      <w:r w:rsidR="00C744B0" w:rsidRPr="00111BD0">
        <w:rPr>
          <w:shd w:val="clear" w:color="auto" w:fill="FFFFFF"/>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r w:rsidR="0022166E">
        <w:t xml:space="preserve"> a</w:t>
      </w:r>
      <w:r w:rsidR="00D167CA">
        <w:t> </w:t>
      </w:r>
      <w:r w:rsidR="00ED3AFA" w:rsidRPr="00AB77B2">
        <w:t xml:space="preserve">jeho morálne vlastnosti </w:t>
      </w:r>
      <w:r w:rsidR="00ED3AFA">
        <w:t xml:space="preserve">a doterajší život </w:t>
      </w:r>
      <w:r w:rsidR="00ED3AFA" w:rsidRPr="00AB77B2">
        <w:t xml:space="preserve">dávajú záruku, že funkciu generálneho prokurátora bude riadne </w:t>
      </w:r>
      <w:r w:rsidR="00CD0482">
        <w:t xml:space="preserve">a čestne </w:t>
      </w:r>
      <w:r w:rsidR="00ED3AFA" w:rsidRPr="00AB77B2">
        <w:t>vykonávať</w:t>
      </w:r>
      <w:r w:rsidR="00ED3AFA">
        <w:t>.</w:t>
      </w:r>
      <w:r w:rsidR="00D167CA" w:rsidRPr="00D167CA">
        <w:t xml:space="preserve"> </w:t>
      </w:r>
      <w:r w:rsidR="00D167CA" w:rsidRPr="0028088E">
        <w:t xml:space="preserve">Splnenie týchto podmienok overuje </w:t>
      </w:r>
      <w:r w:rsidR="00F137AE">
        <w:t xml:space="preserve">príslušný výbor </w:t>
      </w:r>
      <w:r w:rsidR="00D167CA" w:rsidRPr="0028088E">
        <w:t>národn</w:t>
      </w:r>
      <w:r w:rsidR="00F137AE">
        <w:t>ej</w:t>
      </w:r>
      <w:r w:rsidR="00D167CA" w:rsidRPr="0028088E">
        <w:t xml:space="preserve"> rad</w:t>
      </w:r>
      <w:r w:rsidR="00F137AE">
        <w:t>y</w:t>
      </w:r>
      <w:r w:rsidR="00D167CA" w:rsidRPr="0028088E">
        <w:t xml:space="preserve"> pred hlasovaním o návrhu na vymenovanie.</w:t>
      </w:r>
      <w:r w:rsidR="0022166E">
        <w:t>“.</w:t>
      </w:r>
    </w:p>
    <w:p w:rsidR="00D167CA" w:rsidRDefault="00D167CA" w:rsidP="0028088E"/>
    <w:p w:rsidR="00D167CA" w:rsidRDefault="00D167CA" w:rsidP="0028088E">
      <w:r w:rsidRPr="00D167CA">
        <w:rPr>
          <w:b/>
          <w:bCs/>
        </w:rPr>
        <w:t>2.</w:t>
      </w:r>
      <w:r>
        <w:t xml:space="preserve"> V § 7 sa za odsek 3 vkladajú nové odseky </w:t>
      </w:r>
      <w:r w:rsidR="00111F96">
        <w:t>4 až 7</w:t>
      </w:r>
      <w:r>
        <w:t>, ktoré znejú:</w:t>
      </w:r>
    </w:p>
    <w:p w:rsidR="0022166E" w:rsidRDefault="00D167CA" w:rsidP="0028088E">
      <w:r>
        <w:t xml:space="preserve">„(4) </w:t>
      </w:r>
      <w:r w:rsidRPr="007E1240">
        <w:t xml:space="preserve">Návrh na voľbu </w:t>
      </w:r>
      <w:r w:rsidR="00AA40DA">
        <w:t xml:space="preserve">jedného </w:t>
      </w:r>
      <w:r w:rsidRPr="007E1240">
        <w:t>kandidát</w:t>
      </w:r>
      <w:r>
        <w:t>a</w:t>
      </w:r>
      <w:r w:rsidRPr="007E1240">
        <w:t xml:space="preserve"> na </w:t>
      </w:r>
      <w:r>
        <w:t>generálneho prokurátora</w:t>
      </w:r>
      <w:r w:rsidRPr="007E1240">
        <w:t xml:space="preserve"> môž</w:t>
      </w:r>
      <w:r w:rsidR="000B4DBB">
        <w:t>u</w:t>
      </w:r>
      <w:r w:rsidRPr="007E1240">
        <w:t xml:space="preserve"> podať národnej rade</w:t>
      </w:r>
    </w:p>
    <w:p w:rsidR="0022166E" w:rsidRDefault="00D167CA" w:rsidP="0028088E">
      <w:r>
        <w:t xml:space="preserve">a) </w:t>
      </w:r>
      <w:r w:rsidR="00AA40DA">
        <w:t>poslanec</w:t>
      </w:r>
      <w:r w:rsidR="00AA40DA" w:rsidRPr="00D167CA">
        <w:t xml:space="preserve"> </w:t>
      </w:r>
      <w:r>
        <w:t>n</w:t>
      </w:r>
      <w:r w:rsidRPr="00D167CA">
        <w:t>árodnej rady</w:t>
      </w:r>
      <w:r>
        <w:t>,</w:t>
      </w:r>
    </w:p>
    <w:p w:rsidR="00D167CA" w:rsidRDefault="00D167CA" w:rsidP="0028088E">
      <w:r>
        <w:t>b) minister spravodlivosti</w:t>
      </w:r>
      <w:r w:rsidRPr="00D167CA">
        <w:t xml:space="preserve"> Slovenskej republiky</w:t>
      </w:r>
      <w:r>
        <w:t>,</w:t>
      </w:r>
    </w:p>
    <w:p w:rsidR="00D167CA" w:rsidRDefault="00A94FDF" w:rsidP="0028088E">
      <w:r>
        <w:lastRenderedPageBreak/>
        <w:t>c</w:t>
      </w:r>
      <w:r w:rsidR="00D167CA">
        <w:t>) verejný ochranca práv,</w:t>
      </w:r>
    </w:p>
    <w:p w:rsidR="009247AC" w:rsidRDefault="00A94FDF" w:rsidP="0028088E">
      <w:r>
        <w:t>d</w:t>
      </w:r>
      <w:r w:rsidR="009247AC">
        <w:t xml:space="preserve">) </w:t>
      </w:r>
      <w:r w:rsidR="00C744B0" w:rsidRPr="00111BD0">
        <w:t>Rada prokurátorov Slovenskej republiky</w:t>
      </w:r>
      <w:r w:rsidR="009247AC">
        <w:t>,</w:t>
      </w:r>
    </w:p>
    <w:p w:rsidR="00D167CA" w:rsidRDefault="00A94FDF" w:rsidP="00D167CA">
      <w:r>
        <w:t>e</w:t>
      </w:r>
      <w:r w:rsidR="00D167CA">
        <w:t xml:space="preserve">) </w:t>
      </w:r>
      <w:r w:rsidR="00AA40DA">
        <w:t>profesijná organizácia</w:t>
      </w:r>
      <w:r w:rsidR="00D167CA" w:rsidRPr="00D167CA">
        <w:t xml:space="preserve"> právnikov</w:t>
      </w:r>
      <w:r w:rsidR="00D167CA">
        <w:t>,</w:t>
      </w:r>
    </w:p>
    <w:p w:rsidR="00D167CA" w:rsidRDefault="00C744B0" w:rsidP="00D167CA">
      <w:r w:rsidRPr="00111BD0">
        <w:t xml:space="preserve">f) právnická fakulta vysokej školy so sídlom v Slovenskej </w:t>
      </w:r>
      <w:r w:rsidRPr="00D748CB">
        <w:t>republike</w:t>
      </w:r>
      <w:r w:rsidRPr="00D748CB">
        <w:rPr>
          <w:vertAlign w:val="superscript"/>
        </w:rPr>
        <w:t>2ba)</w:t>
      </w:r>
      <w:r w:rsidRPr="00D748CB">
        <w:t xml:space="preserve"> </w:t>
      </w:r>
      <w:r>
        <w:t>a</w:t>
      </w:r>
      <w:r w:rsidRPr="00D748CB">
        <w:t xml:space="preserve"> Ústav štátu a</w:t>
      </w:r>
      <w:r w:rsidR="00395C10">
        <w:t> práva Slovenskej akadémie vied</w:t>
      </w:r>
      <w:r w:rsidR="00D167CA">
        <w:t>.</w:t>
      </w:r>
    </w:p>
    <w:p w:rsidR="00D167CA" w:rsidRDefault="00D167CA" w:rsidP="0028088E"/>
    <w:p w:rsidR="00D167CA" w:rsidRPr="00D167CA" w:rsidRDefault="00D167CA" w:rsidP="00D167CA">
      <w:r>
        <w:t xml:space="preserve">(5) </w:t>
      </w:r>
      <w:r w:rsidRPr="00D167CA">
        <w:t xml:space="preserve">Návrh na voľbu kandidáta na </w:t>
      </w:r>
      <w:r>
        <w:t>generálneho prokurátora</w:t>
      </w:r>
      <w:r w:rsidRPr="00D167CA">
        <w:t xml:space="preserve"> okrem náležitostí podľa osobitného predpisu</w:t>
      </w:r>
      <w:r w:rsidR="00AD10CA" w:rsidRPr="00AD10CA">
        <w:rPr>
          <w:vertAlign w:val="superscript"/>
        </w:rPr>
        <w:t>2c</w:t>
      </w:r>
      <w:r w:rsidRPr="00D167CA">
        <w:t>) obsahuje</w:t>
      </w:r>
    </w:p>
    <w:p w:rsidR="00D167CA" w:rsidRPr="00D167CA" w:rsidRDefault="00D167CA" w:rsidP="00D167CA">
      <w:r w:rsidRPr="00D167CA">
        <w:t>a)</w:t>
      </w:r>
      <w:r w:rsidR="00111F96">
        <w:t xml:space="preserve"> </w:t>
      </w:r>
      <w:r w:rsidRPr="00D167CA">
        <w:t>označenie navrhovateľa,</w:t>
      </w:r>
    </w:p>
    <w:p w:rsidR="00D167CA" w:rsidRPr="00D167CA" w:rsidRDefault="00D167CA" w:rsidP="00D167CA">
      <w:r w:rsidRPr="00D167CA">
        <w:t>b)</w:t>
      </w:r>
      <w:r w:rsidR="00111F96">
        <w:t xml:space="preserve"> </w:t>
      </w:r>
      <w:r w:rsidRPr="00D167CA">
        <w:t>predmet návrhu,</w:t>
      </w:r>
    </w:p>
    <w:p w:rsidR="00D167CA" w:rsidRPr="00D167CA" w:rsidRDefault="00D167CA" w:rsidP="00D167CA">
      <w:r w:rsidRPr="00D167CA">
        <w:t>c)</w:t>
      </w:r>
      <w:r w:rsidR="00111F96">
        <w:t xml:space="preserve"> </w:t>
      </w:r>
      <w:r w:rsidRPr="00D167CA">
        <w:t xml:space="preserve">listiny preukazujúce, že uchádzač o funkciu </w:t>
      </w:r>
      <w:r w:rsidR="00111F96">
        <w:t>generálneho prokurátora</w:t>
      </w:r>
      <w:r w:rsidRPr="00D167CA">
        <w:t xml:space="preserve"> spĺňa podmienky na vymenovanie za </w:t>
      </w:r>
      <w:r w:rsidR="00111F96">
        <w:t>generálneho prokurátora</w:t>
      </w:r>
      <w:r w:rsidRPr="00D167CA">
        <w:t>,</w:t>
      </w:r>
    </w:p>
    <w:p w:rsidR="00D167CA" w:rsidRPr="00D167CA" w:rsidRDefault="00D167CA" w:rsidP="00D167CA">
      <w:r w:rsidRPr="00D167CA">
        <w:t>1.</w:t>
      </w:r>
      <w:r w:rsidR="00111F96">
        <w:t xml:space="preserve"> </w:t>
      </w:r>
      <w:r w:rsidRPr="00D167CA">
        <w:t>originál alebo úradne overenú kópiu listiny osvedčujúcej meno, priezvisko, vek, štátne občianstvo Slovenskej republiky a trvalý pobyt na území Slovenskej republiky,</w:t>
      </w:r>
    </w:p>
    <w:p w:rsidR="00C744B0" w:rsidRDefault="00C744B0" w:rsidP="00D167CA">
      <w:r>
        <w:t xml:space="preserve">2. </w:t>
      </w:r>
      <w:r w:rsidRPr="00111BD0">
        <w:t>originál alebo úradne overenú kópiu listiny preukaz</w:t>
      </w:r>
      <w:r>
        <w:t xml:space="preserve">ujúcej dosiahnuté vysokoškolské </w:t>
      </w:r>
      <w:r w:rsidRPr="00111BD0">
        <w:t>vzdelanie druhého stupňa v študijnom odbore právo na právnickej fakulte vysokej školy v Slovenskej republike</w:t>
      </w:r>
      <w:r w:rsidR="008D635B">
        <w:rPr>
          <w:vertAlign w:val="superscript"/>
        </w:rPr>
        <w:t>2ba</w:t>
      </w:r>
      <w:r w:rsidRPr="00111BD0">
        <w:rPr>
          <w:vertAlign w:val="superscript"/>
        </w:rPr>
        <w:t>)</w:t>
      </w:r>
      <w:r w:rsidRPr="00111BD0">
        <w:t xml:space="preserve"> alebo originál alebo úradne overenú kópiu uznaného dokladu o vysokoškolskom právnickom vzdelaní druhého stupňa vydaného zahraničnou vysokou školou; ak uchádzač o funkciu generálneho prokurátora získal vysokoškolské vzdelanie najprv v prvom stupni a následne v druhom stupni, vyžaduje sa, aby v oboch stupňoch získal vzdelanie v odbore právo,</w:t>
      </w:r>
    </w:p>
    <w:p w:rsidR="00D167CA" w:rsidRPr="00D167CA" w:rsidRDefault="00D167CA" w:rsidP="00D167CA">
      <w:r w:rsidRPr="00D167CA">
        <w:t>3.</w:t>
      </w:r>
      <w:r w:rsidR="00111F96">
        <w:t xml:space="preserve"> </w:t>
      </w:r>
      <w:r w:rsidRPr="00D167CA">
        <w:t xml:space="preserve">doklady, z ktorých vyplýva, že uchádzač o funkciu </w:t>
      </w:r>
      <w:r w:rsidR="00111F96">
        <w:t>generálneho prokurátora</w:t>
      </w:r>
      <w:r w:rsidR="00111F96" w:rsidRPr="00D167CA">
        <w:t xml:space="preserve"> </w:t>
      </w:r>
      <w:r w:rsidRPr="00D167CA">
        <w:t>je najmenej 15 rokov činný v právnickom povolaní,</w:t>
      </w:r>
    </w:p>
    <w:p w:rsidR="00D167CA" w:rsidRPr="00D167CA" w:rsidRDefault="00D167CA" w:rsidP="00D167CA">
      <w:r w:rsidRPr="00D167CA">
        <w:t>4.</w:t>
      </w:r>
      <w:r w:rsidR="00111F96">
        <w:t xml:space="preserve"> </w:t>
      </w:r>
      <w:r w:rsidRPr="00D167CA">
        <w:t xml:space="preserve">vyhlásenie uchádzača o funkciu </w:t>
      </w:r>
      <w:r w:rsidR="00111F96">
        <w:t>generálneho prokurátora</w:t>
      </w:r>
      <w:r w:rsidRPr="00D167CA">
        <w:t>, že nie je členom politickej strany alebo politického hnutia, a ak je, vyhlásenie, že pred zložením sľubu sa vzdá členstva v politickej strane alebo politickom hnutí,</w:t>
      </w:r>
    </w:p>
    <w:p w:rsidR="00D167CA" w:rsidRPr="00D167CA" w:rsidRDefault="00D167CA" w:rsidP="00D167CA">
      <w:r w:rsidRPr="00D167CA">
        <w:t>5.</w:t>
      </w:r>
      <w:r w:rsidR="00111F96">
        <w:t xml:space="preserve"> </w:t>
      </w:r>
      <w:r w:rsidRPr="00D167CA">
        <w:t xml:space="preserve">vyhlásenie uchádzača o funkciu </w:t>
      </w:r>
      <w:r w:rsidR="00111F96">
        <w:t>generálneho prokurátora</w:t>
      </w:r>
      <w:r w:rsidRPr="00D167CA">
        <w:t xml:space="preserve">, že nevykonáva funkciu alebo činnosť, výkon ktorej je nezlučiteľný s výkonom funkcie </w:t>
      </w:r>
      <w:r w:rsidR="00111F96">
        <w:t>generálneho prokurátora</w:t>
      </w:r>
      <w:r w:rsidRPr="00D167CA">
        <w:t>, a ak vykonáva, vyhlásenie, že ešte pred zložením sľubu sa vzdá takejto funkcie alebo činnosti,</w:t>
      </w:r>
    </w:p>
    <w:p w:rsidR="00D167CA" w:rsidRDefault="00D167CA" w:rsidP="00D167CA">
      <w:r w:rsidRPr="00D167CA">
        <w:t>d)</w:t>
      </w:r>
      <w:r w:rsidR="00111F96">
        <w:t xml:space="preserve"> </w:t>
      </w:r>
      <w:r w:rsidRPr="00D167CA">
        <w:t>dátum vyhotovenia návrhu a podpis navrhovateľa.</w:t>
      </w:r>
    </w:p>
    <w:p w:rsidR="00D167CA" w:rsidRDefault="00D167CA" w:rsidP="0028088E"/>
    <w:p w:rsidR="00D167CA" w:rsidRPr="005E49E4" w:rsidRDefault="00D167CA" w:rsidP="00D167CA">
      <w:pPr>
        <w:shd w:val="clear" w:color="auto" w:fill="FFFFFF"/>
      </w:pPr>
      <w:r w:rsidRPr="005E49E4">
        <w:t>(6) Návrh na voľbu kandidátov na generálneho prokurátora musí byť odôv</w:t>
      </w:r>
      <w:r>
        <w:t xml:space="preserve">odnený a jeho </w:t>
      </w:r>
      <w:r w:rsidR="003D728C" w:rsidRPr="003D728C">
        <w:t>prílohami musia byť motivačný list a koncepcia riadenia a ďalšieho rozvoja prokuratúry, ktoré vypracuje osoba navrhovaná</w:t>
      </w:r>
      <w:r w:rsidR="003D728C" w:rsidRPr="003D728C" w:rsidDel="003D728C">
        <w:t xml:space="preserve"> </w:t>
      </w:r>
      <w:r w:rsidRPr="005E49E4">
        <w:t>na kandidáta na generálneho prokurátora.</w:t>
      </w:r>
    </w:p>
    <w:p w:rsidR="00D167CA" w:rsidRDefault="00D167CA" w:rsidP="0028088E"/>
    <w:p w:rsidR="00D167CA" w:rsidRPr="001C7A14" w:rsidRDefault="00D167CA" w:rsidP="00D167CA">
      <w:r w:rsidRPr="005E49E4">
        <w:t>(</w:t>
      </w:r>
      <w:r w:rsidR="00111F96">
        <w:t>7</w:t>
      </w:r>
      <w:r w:rsidRPr="005E49E4">
        <w:t xml:space="preserve">)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zákona štátny občan Slovenskej republiky poskytne údaje potrebné na vyžiadanie odpisu registra trestov. Údaje podľa tretej vety </w:t>
      </w:r>
      <w:r w:rsidRPr="005A5409">
        <w:t>národná rada</w:t>
      </w:r>
      <w:r w:rsidRPr="005E49E4">
        <w:t xml:space="preserve"> bezodkladne zašle v elektronickej podobe registru trestov generálnej prokuratúry na vydanie odpisu registra trestov.</w:t>
      </w:r>
      <w:r w:rsidR="00111F96">
        <w:t xml:space="preserve">“. </w:t>
      </w:r>
    </w:p>
    <w:p w:rsidR="003E5E00" w:rsidRPr="00111F96" w:rsidRDefault="003E5E00" w:rsidP="00111F96"/>
    <w:p w:rsidR="003E5E00" w:rsidRPr="005E49E4" w:rsidRDefault="003E5E00" w:rsidP="0028088E">
      <w:r w:rsidRPr="005E49E4">
        <w:t xml:space="preserve">Doterajšie odseky 4 až 6 sa označujú ako odseky </w:t>
      </w:r>
      <w:r w:rsidR="00111F96">
        <w:t>8</w:t>
      </w:r>
      <w:r w:rsidR="00BC3ED5">
        <w:t xml:space="preserve"> až </w:t>
      </w:r>
      <w:r w:rsidR="00111F96">
        <w:t>10</w:t>
      </w:r>
      <w:r w:rsidRPr="00772FF3">
        <w:t>.</w:t>
      </w:r>
    </w:p>
    <w:p w:rsidR="003E5E00" w:rsidRDefault="003E5E00" w:rsidP="00111F96"/>
    <w:p w:rsidR="00AD10CA" w:rsidRDefault="00AD10CA" w:rsidP="00111F96">
      <w:r>
        <w:t>Poznámk</w:t>
      </w:r>
      <w:r w:rsidR="00C744B0">
        <w:t>y</w:t>
      </w:r>
      <w:r>
        <w:t xml:space="preserve"> pod čiarou k</w:t>
      </w:r>
      <w:r w:rsidR="00C744B0">
        <w:t> </w:t>
      </w:r>
      <w:r>
        <w:t>odkaz</w:t>
      </w:r>
      <w:r w:rsidR="00C744B0">
        <w:t>om 2ba a</w:t>
      </w:r>
      <w:r>
        <w:t xml:space="preserve"> 2c zn</w:t>
      </w:r>
      <w:r w:rsidR="00C744B0">
        <w:t>ejú</w:t>
      </w:r>
      <w:r>
        <w:t>:</w:t>
      </w:r>
    </w:p>
    <w:p w:rsidR="00C744B0" w:rsidRDefault="00C744B0" w:rsidP="00111F96">
      <w:r>
        <w:t>„</w:t>
      </w:r>
      <w:r w:rsidRPr="00D748CB">
        <w:rPr>
          <w:vertAlign w:val="superscript"/>
        </w:rPr>
        <w:t>2ba)</w:t>
      </w:r>
      <w:r w:rsidRPr="00D748CB">
        <w:t xml:space="preserve"> </w:t>
      </w:r>
      <w:r w:rsidRPr="00D748CB">
        <w:rPr>
          <w:shd w:val="clear" w:color="auto" w:fill="FFFFFF"/>
        </w:rPr>
        <w:t>Zákon č. </w:t>
      </w:r>
      <w:r w:rsidRPr="00497BE3">
        <w:rPr>
          <w:iCs/>
          <w:shd w:val="clear" w:color="auto" w:fill="FFFFFF"/>
        </w:rPr>
        <w:t>131/2002 Z. z.</w:t>
      </w:r>
      <w:r w:rsidRPr="00D748CB">
        <w:rPr>
          <w:shd w:val="clear" w:color="auto" w:fill="FFFFFF"/>
        </w:rPr>
        <w:t> o vysokých školách a o zmene a doplnení</w:t>
      </w:r>
      <w:r w:rsidRPr="00111BD0">
        <w:rPr>
          <w:shd w:val="clear" w:color="auto" w:fill="FFFFFF"/>
        </w:rPr>
        <w:t xml:space="preserve"> niektorých zákonov v znení neskorších predpisov.</w:t>
      </w:r>
    </w:p>
    <w:p w:rsidR="00AD10CA" w:rsidRDefault="00AD10CA" w:rsidP="00111F96">
      <w:r w:rsidRPr="00AD10CA">
        <w:rPr>
          <w:vertAlign w:val="superscript"/>
        </w:rPr>
        <w:lastRenderedPageBreak/>
        <w:t>2c</w:t>
      </w:r>
      <w:r>
        <w:t xml:space="preserve">) </w:t>
      </w:r>
      <w:r w:rsidRPr="00AD10CA">
        <w:t xml:space="preserve">§ </w:t>
      </w:r>
      <w:r>
        <w:t>125</w:t>
      </w:r>
      <w:r w:rsidRPr="00AD10CA">
        <w:t xml:space="preserve"> zákona Národnej rady Slovenskej republiky č. 350/1996 Z. z. o rokovacom poriadku Národnej rady Slovenskej republiky v znení neskorších predpisov.</w:t>
      </w:r>
      <w:r>
        <w:t>“.</w:t>
      </w:r>
    </w:p>
    <w:p w:rsidR="00AD10CA" w:rsidRDefault="00AD10CA" w:rsidP="00111F96"/>
    <w:p w:rsidR="00111F96" w:rsidRDefault="00111F96" w:rsidP="00111F96">
      <w:r w:rsidRPr="0016126B">
        <w:rPr>
          <w:b/>
          <w:bCs/>
        </w:rPr>
        <w:t>3.</w:t>
      </w:r>
      <w:r>
        <w:t xml:space="preserve"> </w:t>
      </w:r>
      <w:r w:rsidR="0016126B">
        <w:t>V § 7 ods. 10 sa na konci pripája táto veta: „</w:t>
      </w:r>
      <w:r w:rsidR="0016126B" w:rsidRPr="0016126B">
        <w:t>Ak je za generálneho prokurátora vymenovan</w:t>
      </w:r>
      <w:r w:rsidR="0016126B">
        <w:t>á osoba, ktor</w:t>
      </w:r>
      <w:r w:rsidR="00F137AE">
        <w:t>á</w:t>
      </w:r>
      <w:r w:rsidR="0016126B">
        <w:t xml:space="preserve"> nie je </w:t>
      </w:r>
      <w:r w:rsidR="000B4DBB">
        <w:t xml:space="preserve">v čase vymenovania </w:t>
      </w:r>
      <w:r w:rsidR="0016126B">
        <w:t>prokurátorom</w:t>
      </w:r>
      <w:r w:rsidR="0016126B" w:rsidRPr="0016126B">
        <w:t>, stáva sa dňom zloženia sľubu prokurátorom generálnej prokuratúry</w:t>
      </w:r>
      <w:r w:rsidR="00F42809">
        <w:t>; uplynutím funkčného obdobia</w:t>
      </w:r>
      <w:r w:rsidR="000B589D">
        <w:t xml:space="preserve"> generálneho prokurátora</w:t>
      </w:r>
      <w:r w:rsidR="00F42809">
        <w:t xml:space="preserve"> </w:t>
      </w:r>
      <w:r w:rsidR="00F751FA">
        <w:t xml:space="preserve">alebo </w:t>
      </w:r>
      <w:r w:rsidR="003D728C">
        <w:t>zánikom výkonu funkcie</w:t>
      </w:r>
      <w:r w:rsidR="00F751FA">
        <w:t xml:space="preserve"> generálneho prokurátora </w:t>
      </w:r>
      <w:r w:rsidR="00F81E1A">
        <w:t xml:space="preserve">mu </w:t>
      </w:r>
      <w:r w:rsidR="00F42809">
        <w:t>funkcia prokurátora generálnej prokuratúry zaniká</w:t>
      </w:r>
      <w:r w:rsidR="0016126B" w:rsidRPr="0016126B">
        <w:t>.</w:t>
      </w:r>
      <w:r w:rsidR="0016126B">
        <w:t xml:space="preserve">“. </w:t>
      </w:r>
    </w:p>
    <w:p w:rsidR="003D728C" w:rsidRDefault="003D728C" w:rsidP="00111F96"/>
    <w:p w:rsidR="0066732B" w:rsidRDefault="003D728C" w:rsidP="0066732B">
      <w:pPr>
        <w:rPr>
          <w:rFonts w:eastAsia="Calibri"/>
        </w:rPr>
      </w:pPr>
      <w:r w:rsidRPr="004F5B50">
        <w:rPr>
          <w:rFonts w:eastAsia="Calibri"/>
          <w:b/>
        </w:rPr>
        <w:t>4.</w:t>
      </w:r>
      <w:r w:rsidRPr="000167C1">
        <w:rPr>
          <w:rFonts w:eastAsia="Calibri"/>
        </w:rPr>
        <w:t xml:space="preserve"> V § 8 ods. 2 druhej vete sa slová „kalendárneho mesiaca nasledujúceho“ nahrádza slovami „dvoch kalendárnych mesiacov nasledujúcich“ a slová „o dni zániku“ sa nahrádzajú slovami „o skoršom dni zániku“.</w:t>
      </w:r>
    </w:p>
    <w:p w:rsidR="003D728C" w:rsidRDefault="003D728C" w:rsidP="0066732B"/>
    <w:p w:rsidR="00955795" w:rsidRDefault="003D728C" w:rsidP="0066732B">
      <w:r>
        <w:rPr>
          <w:b/>
          <w:bCs/>
        </w:rPr>
        <w:t>5</w:t>
      </w:r>
      <w:r w:rsidR="0066732B" w:rsidRPr="0066732B">
        <w:rPr>
          <w:b/>
          <w:bCs/>
        </w:rPr>
        <w:t>.</w:t>
      </w:r>
      <w:r w:rsidR="0066732B">
        <w:t xml:space="preserve"> </w:t>
      </w:r>
      <w:r w:rsidR="00955795">
        <w:t>V § 8 ods. 3 písmeno a) znie:</w:t>
      </w:r>
    </w:p>
    <w:p w:rsidR="00955795" w:rsidRDefault="00955795" w:rsidP="0066732B">
      <w:r>
        <w:t xml:space="preserve">„a) bol právoplatným rozhodnutím súdu obmedzený v spôsobilosti na </w:t>
      </w:r>
      <w:r w:rsidR="003D728C">
        <w:t>právne úkony</w:t>
      </w:r>
      <w:r>
        <w:t>,</w:t>
      </w:r>
      <w:r w:rsidR="003A6A92">
        <w:t>“</w:t>
      </w:r>
    </w:p>
    <w:p w:rsidR="00955795" w:rsidRDefault="00955795" w:rsidP="0066732B"/>
    <w:p w:rsidR="0066732B" w:rsidRDefault="003D728C" w:rsidP="0066732B">
      <w:r>
        <w:rPr>
          <w:b/>
          <w:bCs/>
        </w:rPr>
        <w:t>6</w:t>
      </w:r>
      <w:r w:rsidR="00955795" w:rsidRPr="00CD0482">
        <w:rPr>
          <w:b/>
          <w:bCs/>
        </w:rPr>
        <w:t>.</w:t>
      </w:r>
      <w:r w:rsidR="00955795">
        <w:t xml:space="preserve"> </w:t>
      </w:r>
      <w:r w:rsidR="00F01618" w:rsidRPr="0066732B">
        <w:t>V § 8 sa odsek 3 dopĺňa písmenom i), ktoré znie:</w:t>
      </w:r>
    </w:p>
    <w:p w:rsidR="0036509B" w:rsidRDefault="00F01618" w:rsidP="0066732B">
      <w:r w:rsidRPr="0066732B">
        <w:t xml:space="preserve">„i) </w:t>
      </w:r>
      <w:r w:rsidR="00E34F3D" w:rsidRPr="0066732B">
        <w:rPr>
          <w:rFonts w:ascii="Segoe UI" w:hAnsi="Segoe UI" w:cs="Segoe UI"/>
          <w:color w:val="494949"/>
          <w:sz w:val="21"/>
          <w:szCs w:val="21"/>
          <w:shd w:val="clear" w:color="auto" w:fill="FFFFFF"/>
        </w:rPr>
        <w:t xml:space="preserve"> </w:t>
      </w:r>
      <w:r w:rsidR="000B4DBB">
        <w:t>svoj</w:t>
      </w:r>
      <w:r w:rsidR="00CD0482">
        <w:t xml:space="preserve">u funkciu prestal vykonávať riadne, čestne, nezávisle </w:t>
      </w:r>
      <w:r w:rsidR="003D728C">
        <w:t>alebo</w:t>
      </w:r>
      <w:r w:rsidR="00CD0482">
        <w:t xml:space="preserve"> nestranne</w:t>
      </w:r>
      <w:r w:rsidR="0066732B">
        <w:t xml:space="preserve">.“. </w:t>
      </w:r>
    </w:p>
    <w:p w:rsidR="00955795" w:rsidRDefault="00955795" w:rsidP="00920820">
      <w:pPr>
        <w:rPr>
          <w:b/>
        </w:rPr>
      </w:pPr>
    </w:p>
    <w:p w:rsidR="003D728C" w:rsidRDefault="003D728C" w:rsidP="00395C10">
      <w:r w:rsidRPr="004F5B50">
        <w:rPr>
          <w:b/>
        </w:rPr>
        <w:t>7.</w:t>
      </w:r>
      <w:r w:rsidRPr="004F5B50">
        <w:t xml:space="preserve"> V § 8 ods. 4 sa na konci pripája táto veta: „Prezident si pred rozhodnutím o odvolaní generálneho prokurátora z funkcie môže vyžiadať stanovisko Rady prokurátorov Slovenskej republiky, ktoré Rada prokurátorov Slovenskej republiky predloží prezidentovi v lehote do siedmich dní odo dňa doručenia žiadosti o vydanie stanoviska.“.</w:t>
      </w:r>
    </w:p>
    <w:p w:rsidR="003D728C" w:rsidRPr="004F5B50" w:rsidRDefault="003D728C" w:rsidP="00395C10"/>
    <w:p w:rsidR="00ED3AFA" w:rsidRPr="004F5B50" w:rsidRDefault="003D728C" w:rsidP="00395C10">
      <w:r w:rsidRPr="004F5B50">
        <w:rPr>
          <w:b/>
        </w:rPr>
        <w:t>8</w:t>
      </w:r>
      <w:r w:rsidRPr="003D728C">
        <w:rPr>
          <w:b/>
        </w:rPr>
        <w:t>.</w:t>
      </w:r>
      <w:r w:rsidRPr="004F5B50">
        <w:t xml:space="preserve"> V poznámke pod čiarou k odkazu 3a sa vypúšťajú slová „o rokovacom poriadku Národnej rady Slovenskej republiky“.</w:t>
      </w:r>
    </w:p>
    <w:p w:rsidR="00CA699F" w:rsidRDefault="00CA699F" w:rsidP="00556E44">
      <w:pPr>
        <w:jc w:val="center"/>
        <w:rPr>
          <w:b/>
        </w:rPr>
      </w:pPr>
    </w:p>
    <w:p w:rsidR="003E5E00" w:rsidRPr="0036509B" w:rsidRDefault="0036509B" w:rsidP="0028088E">
      <w:pPr>
        <w:jc w:val="center"/>
        <w:rPr>
          <w:b/>
        </w:rPr>
      </w:pPr>
      <w:r w:rsidRPr="0036509B">
        <w:rPr>
          <w:b/>
        </w:rPr>
        <w:t>Čl.</w:t>
      </w:r>
      <w:r w:rsidR="001C7A14">
        <w:rPr>
          <w:b/>
        </w:rPr>
        <w:t xml:space="preserve"> II</w:t>
      </w:r>
    </w:p>
    <w:p w:rsidR="0028088E" w:rsidRDefault="0028088E" w:rsidP="0028088E"/>
    <w:p w:rsidR="0036509B" w:rsidRPr="0036509B" w:rsidRDefault="0036509B" w:rsidP="0028088E">
      <w:pPr>
        <w:ind w:firstLine="708"/>
      </w:pPr>
      <w:r w:rsidRPr="0036509B">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a zákona č. 6/2019 Z. z. sa mení a dopĺňa takto:</w:t>
      </w:r>
    </w:p>
    <w:p w:rsidR="0028088E" w:rsidRDefault="0028088E" w:rsidP="0028088E">
      <w:pPr>
        <w:ind w:hanging="2"/>
      </w:pPr>
    </w:p>
    <w:p w:rsidR="00CD32C7" w:rsidRDefault="000627F1" w:rsidP="0028088E">
      <w:pPr>
        <w:ind w:hanging="2"/>
      </w:pPr>
      <w:r>
        <w:rPr>
          <w:b/>
          <w:bCs/>
        </w:rPr>
        <w:t>1</w:t>
      </w:r>
      <w:r w:rsidR="00450A56" w:rsidRPr="00450A56">
        <w:rPr>
          <w:b/>
          <w:bCs/>
        </w:rPr>
        <w:t>.</w:t>
      </w:r>
      <w:r w:rsidR="00450A56">
        <w:t xml:space="preserve"> </w:t>
      </w:r>
      <w:r w:rsidR="00920820">
        <w:t>V § 59 písm. d</w:t>
      </w:r>
      <w:r w:rsidR="00CD32C7">
        <w:t>) sa za slovo „</w:t>
      </w:r>
      <w:r w:rsidR="005D3D55" w:rsidRPr="00111BD0">
        <w:rPr>
          <w:rFonts w:eastAsia="Calibri"/>
        </w:rPr>
        <w:t>súdu</w:t>
      </w:r>
      <w:r w:rsidR="005D3D55" w:rsidRPr="00111BD0">
        <w:rPr>
          <w:rFonts w:eastAsia="Calibri"/>
          <w:vertAlign w:val="superscript"/>
        </w:rPr>
        <w:t>49)</w:t>
      </w:r>
      <w:r w:rsidR="00CD32C7">
        <w:t>“ vkladá čiarka a slová „návrh na kandidáta na generálneho prokurátora</w:t>
      </w:r>
      <w:r w:rsidR="005D3D55">
        <w:t>,</w:t>
      </w:r>
      <w:r w:rsidR="00CD32C7">
        <w:rPr>
          <w:vertAlign w:val="superscript"/>
        </w:rPr>
        <w:t>49a)</w:t>
      </w:r>
      <w:r w:rsidR="005D3D55" w:rsidRPr="005D3D55">
        <w:t xml:space="preserve"> </w:t>
      </w:r>
      <w:r w:rsidR="005D3D55" w:rsidRPr="00111BD0">
        <w:t>návrh na kandidáta na špeciálneho prokurátora</w:t>
      </w:r>
      <w:r w:rsidR="00CD32C7">
        <w:t>“.</w:t>
      </w:r>
    </w:p>
    <w:p w:rsidR="00CD32C7" w:rsidRDefault="00CD32C7" w:rsidP="0028088E">
      <w:pPr>
        <w:ind w:hanging="2"/>
      </w:pPr>
    </w:p>
    <w:p w:rsidR="00CD32C7" w:rsidRDefault="00CD32C7" w:rsidP="0028088E">
      <w:pPr>
        <w:ind w:hanging="2"/>
      </w:pPr>
      <w:r>
        <w:t>Poznámka pod čiarou k odkazu 49a znie:</w:t>
      </w:r>
    </w:p>
    <w:p w:rsidR="00CD32C7" w:rsidRDefault="00CD32C7" w:rsidP="0028088E">
      <w:pPr>
        <w:ind w:hanging="2"/>
      </w:pPr>
      <w:r>
        <w:t>„</w:t>
      </w:r>
      <w:r>
        <w:rPr>
          <w:vertAlign w:val="superscript"/>
        </w:rPr>
        <w:t>49a)</w:t>
      </w:r>
      <w:r>
        <w:t xml:space="preserve"> Článok 150 Ústavy Slovenskej republiky.</w:t>
      </w:r>
    </w:p>
    <w:p w:rsidR="00CD32C7" w:rsidRDefault="00CD32C7" w:rsidP="0028088E">
      <w:pPr>
        <w:ind w:hanging="2"/>
      </w:pPr>
    </w:p>
    <w:p w:rsidR="00CD32C7" w:rsidRDefault="00CD32C7" w:rsidP="0028088E">
      <w:pPr>
        <w:ind w:hanging="2"/>
      </w:pPr>
      <w:r w:rsidRPr="00CD0482">
        <w:rPr>
          <w:b/>
          <w:bCs/>
        </w:rPr>
        <w:t>2.</w:t>
      </w:r>
      <w:r>
        <w:t xml:space="preserve"> V § 115 ods. 2 sa vypúšťa slovo „tajná“.</w:t>
      </w:r>
    </w:p>
    <w:p w:rsidR="00215A1A" w:rsidRDefault="00215A1A" w:rsidP="0028088E">
      <w:pPr>
        <w:ind w:hanging="2"/>
      </w:pPr>
    </w:p>
    <w:p w:rsidR="000B4DBB" w:rsidRDefault="00215A1A" w:rsidP="0028088E">
      <w:pPr>
        <w:ind w:hanging="2"/>
      </w:pPr>
      <w:r>
        <w:rPr>
          <w:b/>
        </w:rPr>
        <w:lastRenderedPageBreak/>
        <w:t xml:space="preserve">3. </w:t>
      </w:r>
      <w:r w:rsidRPr="004F5B50">
        <w:t>V § 116a ods. 1</w:t>
      </w:r>
      <w:r w:rsidRPr="00C50C97">
        <w:t xml:space="preserve"> sa v poslednej vete vypúšťajú slová „a súhlas so zverejnením osobných údajov“.</w:t>
      </w:r>
    </w:p>
    <w:p w:rsidR="0042119D" w:rsidRDefault="0042119D" w:rsidP="0028088E">
      <w:pPr>
        <w:ind w:hanging="2"/>
      </w:pPr>
    </w:p>
    <w:p w:rsidR="000B4DBB" w:rsidRDefault="0042119D" w:rsidP="0028088E">
      <w:pPr>
        <w:ind w:hanging="2"/>
      </w:pPr>
      <w:r>
        <w:rPr>
          <w:b/>
          <w:bCs/>
        </w:rPr>
        <w:t>4</w:t>
      </w:r>
      <w:r w:rsidR="000B4DBB" w:rsidRPr="00CD0482">
        <w:rPr>
          <w:b/>
          <w:bCs/>
        </w:rPr>
        <w:t>.</w:t>
      </w:r>
      <w:r w:rsidR="000B4DBB">
        <w:t xml:space="preserve"> </w:t>
      </w:r>
      <w:r w:rsidR="000B4DBB" w:rsidRPr="000B4DBB">
        <w:t>V § 116a ods. 3 sa v poslednej vete vypúšťa slovo „môže“ a slovo „odpovedať“ sa nahrádza slovom „odpovedá“.</w:t>
      </w:r>
    </w:p>
    <w:p w:rsidR="00215A1A" w:rsidRDefault="00215A1A" w:rsidP="0028088E">
      <w:pPr>
        <w:ind w:hanging="2"/>
      </w:pPr>
    </w:p>
    <w:p w:rsidR="00CD32C7" w:rsidRDefault="0042119D" w:rsidP="0028088E">
      <w:pPr>
        <w:ind w:hanging="2"/>
      </w:pPr>
      <w:r>
        <w:rPr>
          <w:b/>
        </w:rPr>
        <w:t>5</w:t>
      </w:r>
      <w:r w:rsidR="00215A1A" w:rsidRPr="004F5B50">
        <w:rPr>
          <w:b/>
        </w:rPr>
        <w:t>.</w:t>
      </w:r>
      <w:r w:rsidR="00215A1A" w:rsidRPr="00215A1A">
        <w:t xml:space="preserve"> Nadpis šestnástej časti znie: „NÁVRHY NA VYMENOVANIE A ODVOLANIE GENERÁLNEHO PROKURÁTORA A ŠPECIÁLNEHO PROKURÁTORA“</w:t>
      </w:r>
      <w:r w:rsidR="00717DAE">
        <w:t>.</w:t>
      </w:r>
    </w:p>
    <w:p w:rsidR="00215A1A" w:rsidRDefault="00215A1A" w:rsidP="0028088E">
      <w:pPr>
        <w:ind w:hanging="2"/>
      </w:pPr>
    </w:p>
    <w:p w:rsidR="00983E1F" w:rsidRDefault="0042119D" w:rsidP="0028088E">
      <w:pPr>
        <w:ind w:hanging="2"/>
      </w:pPr>
      <w:r>
        <w:rPr>
          <w:b/>
          <w:bCs/>
        </w:rPr>
        <w:t>6</w:t>
      </w:r>
      <w:r w:rsidR="00CD32C7" w:rsidRPr="00CD0482">
        <w:rPr>
          <w:b/>
          <w:bCs/>
        </w:rPr>
        <w:t>.</w:t>
      </w:r>
      <w:r w:rsidR="00CD32C7">
        <w:t xml:space="preserve"> </w:t>
      </w:r>
      <w:r w:rsidR="00450A56">
        <w:t>V § 123</w:t>
      </w:r>
      <w:r w:rsidR="00983E1F">
        <w:t xml:space="preserve"> odsek 1 znie:</w:t>
      </w:r>
    </w:p>
    <w:p w:rsidR="00983E1F" w:rsidRDefault="00983E1F" w:rsidP="00983E1F">
      <w:pPr>
        <w:ind w:hanging="2"/>
      </w:pPr>
      <w:r>
        <w:t>„(1) Podávanie návrhov na voľbu kandidáta na generálneho prokurátora</w:t>
      </w:r>
      <w:r w:rsidR="00AC0E56" w:rsidRPr="00AC0E56">
        <w:t xml:space="preserve"> </w:t>
      </w:r>
      <w:r w:rsidR="00AC0E56" w:rsidRPr="00111BD0">
        <w:t>a na voľbu kandidáta na špeciálneho prokurátora</w:t>
      </w:r>
      <w:r>
        <w:t xml:space="preserve"> </w:t>
      </w:r>
      <w:r w:rsidR="00AC0E56">
        <w:t>upravujú osobitné predpisy</w:t>
      </w:r>
      <w:r>
        <w:t>.</w:t>
      </w:r>
      <w:r w:rsidRPr="00983E1F">
        <w:rPr>
          <w:vertAlign w:val="superscript"/>
        </w:rPr>
        <w:t>74</w:t>
      </w:r>
      <w:r>
        <w:t xml:space="preserve">) Návrhy sa podávajú ústavnoprávnemu výboru, ktorý ich predloží so svojím stanoviskom predsedovi národnej rady. </w:t>
      </w:r>
      <w:r w:rsidR="000B4DBB" w:rsidRPr="000B4DBB">
        <w:t xml:space="preserve">Predseda národnej rady navrhne zaradenie voľby kandidáta na generálneho prokurátora </w:t>
      </w:r>
      <w:r w:rsidR="00AC0E56" w:rsidRPr="00111BD0">
        <w:t>a voľby kandidáta na špeciálneho prokurátora</w:t>
      </w:r>
      <w:r w:rsidR="00AC0E56" w:rsidRPr="000B4DBB">
        <w:t xml:space="preserve"> </w:t>
      </w:r>
      <w:r w:rsidR="000B4DBB" w:rsidRPr="000B4DBB">
        <w:t xml:space="preserve">na </w:t>
      </w:r>
      <w:r w:rsidR="000B4DBB">
        <w:t xml:space="preserve">najbližšiu </w:t>
      </w:r>
      <w:r w:rsidR="000B4DBB" w:rsidRPr="000B4DBB">
        <w:t>schôdzu národnej rady</w:t>
      </w:r>
      <w:r w:rsidR="000B4DBB">
        <w:t>.</w:t>
      </w:r>
      <w:r w:rsidR="008D635B">
        <w:t>“.</w:t>
      </w:r>
    </w:p>
    <w:p w:rsidR="00F05BBF" w:rsidRDefault="00F05BBF" w:rsidP="00983E1F"/>
    <w:p w:rsidR="00983E1F" w:rsidRDefault="00983E1F" w:rsidP="00983E1F">
      <w:r>
        <w:t>Poznámka pod čiarou k odkazu 74 znie:</w:t>
      </w:r>
    </w:p>
    <w:p w:rsidR="00983E1F" w:rsidRDefault="00983E1F" w:rsidP="00983E1F">
      <w:r>
        <w:t>„</w:t>
      </w:r>
      <w:r w:rsidRPr="00983E1F">
        <w:rPr>
          <w:vertAlign w:val="superscript"/>
        </w:rPr>
        <w:t>74</w:t>
      </w:r>
      <w:r>
        <w:t xml:space="preserve">) § 7 zákona č. 153/2001 Z. z. </w:t>
      </w:r>
      <w:r w:rsidRPr="00B65DB5">
        <w:t>o</w:t>
      </w:r>
      <w:r>
        <w:t> </w:t>
      </w:r>
      <w:r w:rsidRPr="00B65DB5">
        <w:t>prokuratúre</w:t>
      </w:r>
      <w:r>
        <w:t xml:space="preserve"> v znení neskorších predpisov.</w:t>
      </w:r>
    </w:p>
    <w:p w:rsidR="00983E1F" w:rsidRDefault="00AC0E56" w:rsidP="00983E1F">
      <w:r>
        <w:t xml:space="preserve">      </w:t>
      </w:r>
      <w:r w:rsidRPr="00AC0E56">
        <w:t>§ 24a zákona č. 154/2001 Z. z. o prokurátoroch a právnych čakateľoch prokuratúry v znení neskorších predpisov.</w:t>
      </w:r>
      <w:r>
        <w:t>“.</w:t>
      </w:r>
    </w:p>
    <w:p w:rsidR="001C3F89" w:rsidRDefault="001C3F89" w:rsidP="00983E1F"/>
    <w:p w:rsidR="001C3F89" w:rsidRDefault="0042119D" w:rsidP="001C3F89">
      <w:r>
        <w:rPr>
          <w:b/>
        </w:rPr>
        <w:t>7</w:t>
      </w:r>
      <w:r w:rsidR="001C3F89" w:rsidRPr="004F5B50">
        <w:rPr>
          <w:b/>
        </w:rPr>
        <w:t>.</w:t>
      </w:r>
      <w:r w:rsidR="001C3F89">
        <w:t xml:space="preserve"> V § 124 ods. 1 prvej vete sa za slová „generálneho prokurátora“ vkladajú slová „alebo špeciálneho prokurátora“, v tretej vete sa za slová „generálneho prokurátora“ vkladajú slová „alebo špeciálneho prokurátora“ a v štvrtej vete sa za slová „Generálnemu prokurátorovi“ vkladajú slová „a špeciálnemu prokurátorovi“.</w:t>
      </w:r>
    </w:p>
    <w:p w:rsidR="001C3F89" w:rsidRDefault="001C3F89" w:rsidP="001C3F89"/>
    <w:p w:rsidR="001C3F89" w:rsidRDefault="0042119D" w:rsidP="001C3F89">
      <w:r>
        <w:rPr>
          <w:b/>
        </w:rPr>
        <w:t>8</w:t>
      </w:r>
      <w:r w:rsidR="001C3F89" w:rsidRPr="004F5B50">
        <w:rPr>
          <w:b/>
        </w:rPr>
        <w:t>.</w:t>
      </w:r>
      <w:r w:rsidR="001C3F89">
        <w:t xml:space="preserve"> V § 124 ods. 2 prvej vete sa za slová „generálneho prokurátora“ vkladajú slová „alebo špeciálneho prokurátora“.</w:t>
      </w:r>
    </w:p>
    <w:p w:rsidR="001C3F89" w:rsidRDefault="001C3F89" w:rsidP="00983E1F"/>
    <w:p w:rsidR="00450A56" w:rsidRDefault="0042119D" w:rsidP="0028088E">
      <w:pPr>
        <w:ind w:hanging="2"/>
      </w:pPr>
      <w:r>
        <w:rPr>
          <w:b/>
          <w:bCs/>
        </w:rPr>
        <w:t>9</w:t>
      </w:r>
      <w:r w:rsidR="00450A56" w:rsidRPr="00450A56">
        <w:rPr>
          <w:b/>
          <w:bCs/>
        </w:rPr>
        <w:t>.</w:t>
      </w:r>
      <w:r w:rsidR="00450A56">
        <w:t xml:space="preserve"> Za § 124 sa vkladá § 125, ktorý znie:</w:t>
      </w:r>
    </w:p>
    <w:p w:rsidR="00450A56" w:rsidRDefault="00450A56" w:rsidP="0028088E">
      <w:pPr>
        <w:ind w:hanging="2"/>
      </w:pPr>
    </w:p>
    <w:p w:rsidR="00450A56" w:rsidRDefault="00497BE3" w:rsidP="00450A56">
      <w:pPr>
        <w:shd w:val="clear" w:color="auto" w:fill="FFFFFF"/>
        <w:jc w:val="center"/>
      </w:pPr>
      <w:r>
        <w:t>„</w:t>
      </w:r>
      <w:r w:rsidR="00450A56" w:rsidRPr="00E65602">
        <w:t xml:space="preserve">§ </w:t>
      </w:r>
      <w:r w:rsidR="00450A56" w:rsidRPr="004507D5">
        <w:t>125</w:t>
      </w:r>
    </w:p>
    <w:p w:rsidR="00450A56" w:rsidRPr="00E65602" w:rsidRDefault="00450A56" w:rsidP="00450A56">
      <w:pPr>
        <w:shd w:val="clear" w:color="auto" w:fill="FFFFFF"/>
        <w:jc w:val="center"/>
      </w:pPr>
    </w:p>
    <w:p w:rsidR="00450A56" w:rsidRDefault="00450A56" w:rsidP="00450A56">
      <w:pPr>
        <w:shd w:val="clear" w:color="auto" w:fill="FFFFFF"/>
        <w:ind w:firstLine="708"/>
      </w:pPr>
      <w:r w:rsidRPr="00E65602">
        <w:t>(1)</w:t>
      </w:r>
      <w:r w:rsidRPr="004507D5">
        <w:t xml:space="preserve"> </w:t>
      </w:r>
      <w:r w:rsidRPr="00E65602">
        <w:t xml:space="preserve">Voľbu kandidáta na </w:t>
      </w:r>
      <w:r w:rsidRPr="004507D5">
        <w:t>generálneho prokurátora</w:t>
      </w:r>
      <w:r w:rsidR="001C3F89" w:rsidRPr="001C3F89">
        <w:t xml:space="preserve"> </w:t>
      </w:r>
      <w:r w:rsidR="001C3F89" w:rsidRPr="00111BD0">
        <w:t>a voľbu kandidáta na špeciálneho prokurátora</w:t>
      </w:r>
      <w:r w:rsidRPr="004507D5">
        <w:t xml:space="preserve"> </w:t>
      </w:r>
      <w:r w:rsidRPr="00E65602">
        <w:t xml:space="preserve">vyhlasuje predseda národnej rady, </w:t>
      </w:r>
      <w:r w:rsidR="00CD32C7">
        <w:t xml:space="preserve">ktorý </w:t>
      </w:r>
      <w:r w:rsidRPr="00E65602">
        <w:t xml:space="preserve">zároveň uvedie náležitosti vyžadované pre kandidáta na </w:t>
      </w:r>
      <w:r w:rsidRPr="004507D5">
        <w:t>generálneho prokurátora</w:t>
      </w:r>
      <w:r w:rsidR="001C3F89" w:rsidRPr="001C3F89">
        <w:t xml:space="preserve"> </w:t>
      </w:r>
      <w:r w:rsidR="001C3F89" w:rsidRPr="00111BD0">
        <w:t>a pre kandidáta na špeciálneho prokurátora</w:t>
      </w:r>
      <w:r w:rsidRPr="00E65602">
        <w:t xml:space="preserve">. Súčasťou návrhu na voľbu kandidáta na </w:t>
      </w:r>
      <w:r w:rsidRPr="004507D5">
        <w:t>generálneho prokurátora</w:t>
      </w:r>
      <w:r w:rsidR="001C3F89" w:rsidRPr="001C3F89">
        <w:t xml:space="preserve"> </w:t>
      </w:r>
      <w:r w:rsidR="001C3F89" w:rsidRPr="00111BD0">
        <w:t>a na voľbu kandidáta na špeciálneho prokurátora</w:t>
      </w:r>
      <w:r w:rsidRPr="004507D5">
        <w:t xml:space="preserve"> </w:t>
      </w:r>
      <w:r w:rsidRPr="00E65602">
        <w:t>je navrhnutým kandidátom podpísaný životopis, ktorý obsahuje prehľad doterajšej právnej praxe, výsledky vedeckej, publikačnej, pedagogickej, justičnej alebo inej právnej odbornej činnosti. K návrhu sa pripojí súhlas navrhnutého kandidáta s návrhom na voľbu, čestné vyhlásenie o pravdivosti ním uvedených údajov.</w:t>
      </w:r>
    </w:p>
    <w:p w:rsidR="00450A56" w:rsidRDefault="00450A56" w:rsidP="00450A56">
      <w:pPr>
        <w:shd w:val="clear" w:color="auto" w:fill="FFFFFF"/>
      </w:pPr>
    </w:p>
    <w:p w:rsidR="00450A56" w:rsidRDefault="00450A56" w:rsidP="00450A56">
      <w:pPr>
        <w:shd w:val="clear" w:color="auto" w:fill="FFFFFF"/>
        <w:ind w:firstLine="708"/>
      </w:pPr>
      <w:r w:rsidRPr="00E65602">
        <w:t>(2)</w:t>
      </w:r>
      <w:r w:rsidRPr="004507D5">
        <w:t xml:space="preserve"> </w:t>
      </w:r>
      <w:r w:rsidRPr="00E65602">
        <w:t xml:space="preserve">Ústavnoprávny výbor prerokúva návrhy na voľbu kandidátov na </w:t>
      </w:r>
      <w:r w:rsidRPr="004507D5">
        <w:t>generálneho prokurátora</w:t>
      </w:r>
      <w:r w:rsidR="00294C10" w:rsidRPr="00294C10">
        <w:t xml:space="preserve"> </w:t>
      </w:r>
      <w:r w:rsidR="00294C10" w:rsidRPr="00111BD0">
        <w:t>alebo návrhy na voľbu kandidátov na špeciálneho prokurátora</w:t>
      </w:r>
      <w:r w:rsidRPr="004507D5">
        <w:t xml:space="preserve"> </w:t>
      </w:r>
      <w:r w:rsidRPr="00E65602">
        <w:t xml:space="preserve">na verejnej schôdzi, na ktorej umožní každému navrhnutému kandidátovi na </w:t>
      </w:r>
      <w:r>
        <w:t xml:space="preserve">generálneho prokurátora </w:t>
      </w:r>
      <w:r w:rsidR="00294C10" w:rsidRPr="00111BD0">
        <w:t>a kandidátovi na špeciálneho prokurátora</w:t>
      </w:r>
      <w:r w:rsidR="00294C10" w:rsidRPr="00E65602">
        <w:t xml:space="preserve"> </w:t>
      </w:r>
      <w:r w:rsidRPr="00E65602">
        <w:t>vystúpiť bez účasti ostatných navrhnutých kandidátov.</w:t>
      </w:r>
    </w:p>
    <w:p w:rsidR="00450A56" w:rsidRPr="00E65602" w:rsidRDefault="00450A56" w:rsidP="00450A56">
      <w:pPr>
        <w:shd w:val="clear" w:color="auto" w:fill="FFFFFF"/>
      </w:pPr>
    </w:p>
    <w:p w:rsidR="00450A56" w:rsidRDefault="00450A56" w:rsidP="00450A56">
      <w:pPr>
        <w:shd w:val="clear" w:color="auto" w:fill="FFFFFF"/>
        <w:ind w:firstLine="708"/>
      </w:pPr>
      <w:r w:rsidRPr="00E65602">
        <w:t>(3)</w:t>
      </w:r>
      <w:r w:rsidRPr="004507D5">
        <w:t xml:space="preserve"> </w:t>
      </w:r>
      <w:r w:rsidRPr="00E65602">
        <w:t xml:space="preserve">Na schôdzu ústavnoprávneho výboru podľa odseku 2 pozve predseda ústavnoprávneho výboru navrhnutých kandidátov na </w:t>
      </w:r>
      <w:r w:rsidRPr="004507D5">
        <w:t>generálneho prokurátora</w:t>
      </w:r>
      <w:r w:rsidR="00294C10" w:rsidRPr="00294C10">
        <w:t xml:space="preserve"> </w:t>
      </w:r>
      <w:r w:rsidR="00294C10" w:rsidRPr="00111BD0">
        <w:t>a navrhnutých kandidátov  na špeciálneho prokurátora</w:t>
      </w:r>
      <w:r w:rsidRPr="004507D5">
        <w:t xml:space="preserve"> </w:t>
      </w:r>
      <w:r w:rsidRPr="00E65602">
        <w:t xml:space="preserve">a prezidenta republiky; prezidenta republiky môže na </w:t>
      </w:r>
      <w:r w:rsidRPr="00E65602">
        <w:lastRenderedPageBreak/>
        <w:t xml:space="preserve">schôdzi ústavnoprávneho výboru zastúpiť vedúci pracovník Kancelárie prezidenta Slovenskej republiky, ktorému sa udelí slovo, kedykoľvek o to požiada. So súhlasom výboru môže vystúpiť splnomocnený pracovník Kancelárie prezidenta Slovenskej republiky. Navrhnutý kandidát sa v rozprave predstaví, pričom uvedie najmä dôvody, pre ktoré sa uchádza o funkciu </w:t>
      </w:r>
      <w:r w:rsidRPr="004507D5">
        <w:t>generálneho prokurátora</w:t>
      </w:r>
      <w:r w:rsidR="00294C10" w:rsidRPr="00294C10">
        <w:t xml:space="preserve"> </w:t>
      </w:r>
      <w:r w:rsidR="00294C10" w:rsidRPr="00111BD0">
        <w:t>alebo o funkciu špeciálneho prokurátora</w:t>
      </w:r>
      <w:r w:rsidRPr="00E65602">
        <w:t xml:space="preserve">, svoje pracovné skúsenosti, publikačnú činnosť, účasť na prednáškach, seminároch a vedeckých konferenciách a najvýznamnejšie dosiahnuté pracovné výsledky. Po svojom úvodnom vystúpení navrhnutý kandidát na </w:t>
      </w:r>
      <w:r w:rsidRPr="004507D5">
        <w:t>generálneho prokurátora</w:t>
      </w:r>
      <w:r w:rsidR="00294C10" w:rsidRPr="00294C10">
        <w:t xml:space="preserve"> </w:t>
      </w:r>
      <w:r w:rsidR="00294C10" w:rsidRPr="00111BD0">
        <w:t>alebo kandidát na špeciálneho prokurátora</w:t>
      </w:r>
      <w:r w:rsidRPr="004507D5">
        <w:t xml:space="preserve"> </w:t>
      </w:r>
      <w:r w:rsidRPr="00E65602">
        <w:t>odpoved</w:t>
      </w:r>
      <w:r w:rsidR="000B4DBB">
        <w:t>á</w:t>
      </w:r>
      <w:r w:rsidRPr="00E65602">
        <w:t xml:space="preserve"> na otázky poslancov prítomných na schôdzi ústavnoprávneho výboru a prezidenta republiky</w:t>
      </w:r>
      <w:r w:rsidR="00CD32C7">
        <w:t>,</w:t>
      </w:r>
      <w:r w:rsidRPr="00E65602">
        <w:t xml:space="preserve"> prípadne jeho zástupcu.</w:t>
      </w:r>
    </w:p>
    <w:p w:rsidR="00450A56" w:rsidRPr="00E65602" w:rsidRDefault="00450A56" w:rsidP="00450A56">
      <w:pPr>
        <w:shd w:val="clear" w:color="auto" w:fill="FFFFFF"/>
      </w:pPr>
    </w:p>
    <w:p w:rsidR="00450A56" w:rsidRDefault="00450A56" w:rsidP="00450A56">
      <w:pPr>
        <w:shd w:val="clear" w:color="auto" w:fill="FFFFFF"/>
        <w:ind w:firstLine="708"/>
      </w:pPr>
      <w:r w:rsidRPr="00E65602">
        <w:t>(4)</w:t>
      </w:r>
      <w:r w:rsidRPr="004507D5">
        <w:t xml:space="preserve"> </w:t>
      </w:r>
      <w:r w:rsidRPr="00E65602">
        <w:t xml:space="preserve">Po skončení rozpravy ústavnoprávny výbor rozhodne o tom, či navrhnutí kandidáti spĺňajú podmienky </w:t>
      </w:r>
      <w:r>
        <w:t>podľa osobitného predpisu</w:t>
      </w:r>
      <w:r w:rsidRPr="001149AB">
        <w:rPr>
          <w:vertAlign w:val="superscript"/>
        </w:rPr>
        <w:t>74</w:t>
      </w:r>
      <w:r>
        <w:t xml:space="preserve">) </w:t>
      </w:r>
      <w:r w:rsidRPr="00E65602">
        <w:t xml:space="preserve">vyžadované pre výkon funkcie </w:t>
      </w:r>
      <w:r w:rsidRPr="004507D5">
        <w:t>generálneho prokurátora</w:t>
      </w:r>
      <w:r w:rsidR="00294C10" w:rsidRPr="00294C10">
        <w:t xml:space="preserve"> </w:t>
      </w:r>
      <w:r w:rsidR="00294C10" w:rsidRPr="00111BD0">
        <w:t>alebo pre výkon funkcie špeciálneho prokurátora</w:t>
      </w:r>
      <w:r>
        <w:t>.</w:t>
      </w:r>
    </w:p>
    <w:p w:rsidR="00450A56" w:rsidRPr="00E65602" w:rsidRDefault="00450A56" w:rsidP="00450A56">
      <w:pPr>
        <w:shd w:val="clear" w:color="auto" w:fill="FFFFFF"/>
      </w:pPr>
    </w:p>
    <w:p w:rsidR="00450A56" w:rsidRDefault="00450A56" w:rsidP="00450A56">
      <w:pPr>
        <w:shd w:val="clear" w:color="auto" w:fill="FFFFFF"/>
        <w:ind w:firstLine="708"/>
      </w:pPr>
      <w:r w:rsidRPr="00E65602">
        <w:t>(5)</w:t>
      </w:r>
      <w:r w:rsidRPr="004507D5">
        <w:t xml:space="preserve"> </w:t>
      </w:r>
      <w:r w:rsidRPr="00E65602">
        <w:t xml:space="preserve">Materiály, ktoré sú súčasťou návrhu na voľbu kandidáta na </w:t>
      </w:r>
      <w:r w:rsidRPr="004507D5">
        <w:t>generálneho prokurátora</w:t>
      </w:r>
      <w:r w:rsidR="007263D4" w:rsidRPr="007263D4">
        <w:t xml:space="preserve"> </w:t>
      </w:r>
      <w:r w:rsidR="007263D4" w:rsidRPr="00111BD0">
        <w:t>alebo na voľbu kandidáta na špeciálneho prokurátora</w:t>
      </w:r>
      <w:r w:rsidRPr="00E65602">
        <w:t xml:space="preserve">, zverejňuje národná rada na svojom webovom sídle najmenej </w:t>
      </w:r>
      <w:r>
        <w:t>20</w:t>
      </w:r>
      <w:r w:rsidRPr="00E65602">
        <w:t xml:space="preserve"> dní pred schôdzou ústavnoprávneho výboru, na ktorej sa prerokujú návrhy na voľbu kandidátov na </w:t>
      </w:r>
      <w:r w:rsidRPr="004507D5">
        <w:t>generálneho prokurátora</w:t>
      </w:r>
      <w:r w:rsidR="007263D4" w:rsidRPr="007263D4">
        <w:t xml:space="preserve"> </w:t>
      </w:r>
      <w:r w:rsidR="007263D4" w:rsidRPr="00111BD0">
        <w:t>alebo na voľbu kandidáta na špeciálneho prokurátora</w:t>
      </w:r>
      <w:r w:rsidRPr="00E65602">
        <w:t xml:space="preserve">; </w:t>
      </w:r>
      <w:r w:rsidR="007263D4" w:rsidRPr="00111BD0">
        <w:rPr>
          <w:rFonts w:eastAsia="Calibri"/>
        </w:rPr>
        <w:t>niektoré osobné údaje možno pred zverejnením anonymizovať.</w:t>
      </w:r>
    </w:p>
    <w:p w:rsidR="00450A56" w:rsidRPr="00E65602" w:rsidRDefault="00450A56" w:rsidP="00450A56">
      <w:pPr>
        <w:shd w:val="clear" w:color="auto" w:fill="FFFFFF"/>
      </w:pPr>
    </w:p>
    <w:p w:rsidR="00E65602" w:rsidRPr="004507D5" w:rsidRDefault="00450A56" w:rsidP="00F05BBF">
      <w:pPr>
        <w:shd w:val="clear" w:color="auto" w:fill="FFFFFF"/>
        <w:ind w:firstLine="708"/>
      </w:pPr>
      <w:r w:rsidRPr="00E65602">
        <w:t>(6)</w:t>
      </w:r>
      <w:r w:rsidRPr="004507D5">
        <w:t xml:space="preserve"> </w:t>
      </w:r>
      <w:r w:rsidRPr="00E65602">
        <w:t>Zo schôdze ústavnoprávneho výboru podľa odseku 2 uskutočňuje kancelária verejne dostupný audiovizuálny prenos.</w:t>
      </w:r>
      <w:r>
        <w:t>“.</w:t>
      </w:r>
    </w:p>
    <w:p w:rsidR="00A80458" w:rsidRDefault="00A80458" w:rsidP="00F05BBF">
      <w:pPr>
        <w:rPr>
          <w:b/>
        </w:rPr>
      </w:pPr>
    </w:p>
    <w:p w:rsidR="00907FA0" w:rsidRPr="00907FA0" w:rsidRDefault="00907FA0" w:rsidP="00497BE3">
      <w:pPr>
        <w:spacing w:before="120" w:line="276" w:lineRule="auto"/>
        <w:jc w:val="center"/>
        <w:rPr>
          <w:rFonts w:eastAsiaTheme="minorHAnsi"/>
          <w:b/>
          <w:lang w:eastAsia="en-US"/>
        </w:rPr>
      </w:pPr>
      <w:r w:rsidRPr="00907FA0">
        <w:rPr>
          <w:rFonts w:eastAsiaTheme="minorHAnsi"/>
          <w:b/>
          <w:lang w:eastAsia="en-US"/>
        </w:rPr>
        <w:t>Čl. III</w:t>
      </w:r>
    </w:p>
    <w:p w:rsidR="00907FA0" w:rsidRDefault="00907FA0" w:rsidP="00907FA0">
      <w:pPr>
        <w:spacing w:before="120" w:line="276" w:lineRule="auto"/>
        <w:rPr>
          <w:rFonts w:eastAsiaTheme="minorHAnsi"/>
          <w:lang w:eastAsia="en-US"/>
        </w:rPr>
      </w:pPr>
      <w:r>
        <w:rPr>
          <w:rFonts w:eastAsiaTheme="minorHAnsi"/>
          <w:lang w:eastAsia="en-US"/>
        </w:rPr>
        <w:tab/>
      </w:r>
      <w:r w:rsidRPr="00907FA0">
        <w:rPr>
          <w:rFonts w:eastAsiaTheme="minorHAnsi"/>
          <w:lang w:eastAsia="en-US"/>
        </w:rPr>
        <w:t>Zákon č. 385/2000 Z. z. o sudcoch a prísediacich a o zmene a doplnení niektorých zákonov v znení zákona č. 185/2002 Z. z., zákona č. 670/2002 Z. z., zákona č. 426/2003 Z. z., zákona č. 458/2003 Z. z., zákona č. 462/2003 Z. z., zákona   č. 505/2003 Z. z., zákona č. 514/2003 Z. z., z</w:t>
      </w:r>
      <w:r>
        <w:rPr>
          <w:rFonts w:eastAsiaTheme="minorHAnsi"/>
          <w:lang w:eastAsia="en-US"/>
        </w:rPr>
        <w:t>ákona č. 548/2003 Z. z., zákona</w:t>
      </w:r>
      <w:r w:rsidRPr="00907FA0">
        <w:rPr>
          <w:rFonts w:eastAsiaTheme="minorHAnsi"/>
          <w:lang w:eastAsia="en-US"/>
        </w:rPr>
        <w:t xml:space="preserve"> č. 267/2004 Z. z., zákona č. 403/2004 Z. z., zákona č. 530/2004 Z. z., zákona </w:t>
      </w:r>
      <w:r>
        <w:rPr>
          <w:rFonts w:eastAsiaTheme="minorHAnsi"/>
          <w:lang w:eastAsia="en-US"/>
        </w:rPr>
        <w:t xml:space="preserve">    </w:t>
      </w:r>
      <w:r w:rsidRPr="00907FA0">
        <w:rPr>
          <w:rFonts w:eastAsiaTheme="minorHAnsi"/>
          <w:lang w:eastAsia="en-US"/>
        </w:rPr>
        <w:t xml:space="preserve">č. 586/2004 Z. z., zákona č. 609/2004 Z. z., zákona </w:t>
      </w:r>
      <w:r>
        <w:rPr>
          <w:rFonts w:eastAsiaTheme="minorHAnsi"/>
          <w:lang w:eastAsia="en-US"/>
        </w:rPr>
        <w:t>č. 757/2004 Z. z., zákona</w:t>
      </w:r>
      <w:r w:rsidRPr="00907FA0">
        <w:rPr>
          <w:rFonts w:eastAsiaTheme="minorHAnsi"/>
          <w:lang w:eastAsia="en-US"/>
        </w:rPr>
        <w:t xml:space="preserve"> č. 122/2005 Z. z., zákona č. 622/2005 Z. z., nálezu Ústavného súdu Slovenskej republiky č. 15/2008 Z. z., zákona č. 517/2008 Z. z., zákona č. 520/2008 Z. z., zákona č. 59/2009 Z. z., nálezu Ústavného súdu Slovenskej republiky č. 290/2009 Z. z., zákona č. 291/2009 Z. z., zákona č. 500/2010 Z. z., z</w:t>
      </w:r>
      <w:r>
        <w:rPr>
          <w:rFonts w:eastAsiaTheme="minorHAnsi"/>
          <w:lang w:eastAsia="en-US"/>
        </w:rPr>
        <w:t>ákona č. 543/2010 Z. z., zákona</w:t>
      </w:r>
      <w:r w:rsidRPr="00907FA0">
        <w:rPr>
          <w:rFonts w:eastAsiaTheme="minorHAnsi"/>
          <w:lang w:eastAsia="en-US"/>
        </w:rPr>
        <w:t xml:space="preserve"> č. 33/2011 Z. z., zákona č. 100/2011 Z. z., zákona č. 467/2011 Z. z., zákona č. 503/2011 Z. z., zákona č. 79/2012 Z. z., zákona č. 335/2012 Z. z., zákon</w:t>
      </w:r>
      <w:r>
        <w:rPr>
          <w:rFonts w:eastAsiaTheme="minorHAnsi"/>
          <w:lang w:eastAsia="en-US"/>
        </w:rPr>
        <w:t>a</w:t>
      </w:r>
      <w:r w:rsidRPr="00907FA0">
        <w:rPr>
          <w:rFonts w:eastAsiaTheme="minorHAnsi"/>
          <w:lang w:eastAsia="en-US"/>
        </w:rPr>
        <w:t xml:space="preserve"> č. 392/2012 Z. z., zákona č. 462/2013 Z. z., zákona č. 195/2014 Z. z., nálezu Ústavného súdu Slovenskej republiky č. 216/2014 Z. z., uznesenia Ústavného súdu Slovenskej republiky č. 261/2014 Z. z, zákona č. 307/2014 Z. z., zákona 322/2014 Z. z., zákona č. 362/2014 Z. z., zákona č. 401/2015 Z. z., nálezu Ústavného súdu Slovenskej republiky č. 443/2015 Z. z., zákona č. 125/2016 Z. z., zákona č. 152/2017 Z. z., zákona č. 177/2018 Z. z., nálezu Ústavného súdu Slovenskej republiky č. 40/2019 Z. z., zákona č. 282/2019 Z. z., zákona č. 397/2019 Z. z. </w:t>
      </w:r>
      <w:r>
        <w:rPr>
          <w:rFonts w:eastAsiaTheme="minorHAnsi"/>
          <w:lang w:eastAsia="en-US"/>
        </w:rPr>
        <w:t xml:space="preserve">a zákona </w:t>
      </w:r>
      <w:r w:rsidRPr="00907FA0">
        <w:rPr>
          <w:rFonts w:eastAsiaTheme="minorHAnsi"/>
          <w:lang w:eastAsia="en-US"/>
        </w:rPr>
        <w:t xml:space="preserve">č. 459/2019 Z. z. sa </w:t>
      </w:r>
      <w:r w:rsidR="001D1514">
        <w:rPr>
          <w:rFonts w:eastAsiaTheme="minorHAnsi"/>
          <w:lang w:eastAsia="en-US"/>
        </w:rPr>
        <w:t xml:space="preserve">mení a </w:t>
      </w:r>
      <w:r w:rsidRPr="00907FA0">
        <w:rPr>
          <w:rFonts w:eastAsiaTheme="minorHAnsi"/>
          <w:lang w:eastAsia="en-US"/>
        </w:rPr>
        <w:t>dopĺňa takto:</w:t>
      </w:r>
    </w:p>
    <w:p w:rsidR="00907FA0" w:rsidRPr="00907FA0" w:rsidRDefault="00907FA0" w:rsidP="00497BE3">
      <w:pPr>
        <w:rPr>
          <w:rFonts w:eastAsiaTheme="minorHAnsi"/>
          <w:lang w:eastAsia="en-US"/>
        </w:rPr>
      </w:pPr>
    </w:p>
    <w:p w:rsidR="00907FA0" w:rsidRDefault="00907FA0" w:rsidP="00497BE3">
      <w:pPr>
        <w:numPr>
          <w:ilvl w:val="0"/>
          <w:numId w:val="9"/>
        </w:numPr>
        <w:tabs>
          <w:tab w:val="left" w:pos="284"/>
        </w:tabs>
        <w:ind w:left="0" w:firstLine="0"/>
        <w:contextualSpacing/>
        <w:rPr>
          <w:rFonts w:eastAsiaTheme="minorHAnsi"/>
          <w:lang w:eastAsia="en-US"/>
        </w:rPr>
      </w:pPr>
      <w:r w:rsidRPr="00907FA0">
        <w:rPr>
          <w:rFonts w:eastAsiaTheme="minorHAnsi"/>
          <w:lang w:eastAsia="en-US"/>
        </w:rPr>
        <w:t>V § 24 ods. 1 písm. b) sa na konci vypúšťa slovo „alebo“.</w:t>
      </w:r>
    </w:p>
    <w:p w:rsidR="00497BE3" w:rsidRPr="00497BE3" w:rsidRDefault="00497BE3" w:rsidP="00497BE3">
      <w:pPr>
        <w:tabs>
          <w:tab w:val="left" w:pos="284"/>
        </w:tabs>
        <w:contextualSpacing/>
        <w:rPr>
          <w:rFonts w:eastAsiaTheme="minorHAnsi"/>
          <w:lang w:eastAsia="en-US"/>
        </w:rPr>
      </w:pPr>
    </w:p>
    <w:p w:rsidR="00907FA0" w:rsidRDefault="00907FA0" w:rsidP="00497BE3">
      <w:pPr>
        <w:numPr>
          <w:ilvl w:val="0"/>
          <w:numId w:val="9"/>
        </w:numPr>
        <w:tabs>
          <w:tab w:val="left" w:pos="284"/>
        </w:tabs>
        <w:ind w:left="0" w:firstLine="0"/>
        <w:contextualSpacing/>
        <w:rPr>
          <w:rFonts w:eastAsiaTheme="minorHAnsi"/>
          <w:lang w:eastAsia="en-US"/>
        </w:rPr>
      </w:pPr>
      <w:r w:rsidRPr="00907FA0">
        <w:rPr>
          <w:rFonts w:eastAsiaTheme="minorHAnsi"/>
          <w:lang w:eastAsia="en-US"/>
        </w:rPr>
        <w:t>V § 24 ods. 1 písm. c) sa na konci pripája slovo „alebo“.</w:t>
      </w:r>
    </w:p>
    <w:p w:rsidR="00907FA0" w:rsidRPr="00907FA0" w:rsidRDefault="00907FA0" w:rsidP="00497BE3">
      <w:pPr>
        <w:tabs>
          <w:tab w:val="left" w:pos="284"/>
        </w:tabs>
        <w:contextualSpacing/>
        <w:rPr>
          <w:rFonts w:eastAsiaTheme="minorHAnsi"/>
          <w:lang w:eastAsia="en-US"/>
        </w:rPr>
      </w:pPr>
    </w:p>
    <w:p w:rsidR="00907FA0" w:rsidRPr="00907FA0" w:rsidRDefault="00907FA0" w:rsidP="00497BE3">
      <w:pPr>
        <w:numPr>
          <w:ilvl w:val="0"/>
          <w:numId w:val="9"/>
        </w:numPr>
        <w:tabs>
          <w:tab w:val="left" w:pos="284"/>
        </w:tabs>
        <w:ind w:left="0" w:firstLine="0"/>
        <w:contextualSpacing/>
        <w:rPr>
          <w:rFonts w:eastAsiaTheme="minorHAnsi"/>
          <w:lang w:eastAsia="en-US"/>
        </w:rPr>
      </w:pPr>
      <w:r w:rsidRPr="00907FA0">
        <w:rPr>
          <w:rFonts w:eastAsiaTheme="minorHAnsi"/>
          <w:lang w:eastAsia="en-US"/>
        </w:rPr>
        <w:lastRenderedPageBreak/>
        <w:t>V § 24 sa odsek 1 dopĺňa písmenom d), ktoré znie:</w:t>
      </w:r>
    </w:p>
    <w:p w:rsidR="00907FA0" w:rsidRPr="00907FA0" w:rsidRDefault="00907FA0" w:rsidP="00497BE3">
      <w:pPr>
        <w:tabs>
          <w:tab w:val="left" w:pos="284"/>
        </w:tabs>
        <w:rPr>
          <w:rFonts w:eastAsiaTheme="minorHAnsi"/>
          <w:lang w:eastAsia="en-US"/>
        </w:rPr>
      </w:pPr>
      <w:r w:rsidRPr="00907FA0">
        <w:rPr>
          <w:rFonts w:eastAsiaTheme="minorHAnsi"/>
          <w:lang w:eastAsia="en-US"/>
        </w:rPr>
        <w:t>„d) generálnym prokurátorom alebo špeciálnym prokurátorom.“.</w:t>
      </w:r>
    </w:p>
    <w:p w:rsidR="00907FA0" w:rsidRPr="00907FA0" w:rsidRDefault="00907FA0" w:rsidP="00497BE3">
      <w:pPr>
        <w:tabs>
          <w:tab w:val="left" w:pos="284"/>
        </w:tabs>
        <w:contextualSpacing/>
        <w:rPr>
          <w:rFonts w:eastAsiaTheme="minorHAnsi"/>
          <w:lang w:eastAsia="en-US"/>
        </w:rPr>
      </w:pPr>
    </w:p>
    <w:p w:rsidR="00907FA0" w:rsidRPr="00497BE3" w:rsidRDefault="00907FA0" w:rsidP="00497BE3">
      <w:pPr>
        <w:numPr>
          <w:ilvl w:val="0"/>
          <w:numId w:val="9"/>
        </w:numPr>
        <w:tabs>
          <w:tab w:val="left" w:pos="284"/>
        </w:tabs>
        <w:ind w:left="0" w:firstLine="0"/>
        <w:contextualSpacing/>
        <w:rPr>
          <w:rFonts w:eastAsiaTheme="minorHAnsi"/>
          <w:lang w:eastAsia="en-US"/>
        </w:rPr>
      </w:pPr>
      <w:r w:rsidRPr="00497BE3">
        <w:rPr>
          <w:rFonts w:eastAsiaTheme="minorHAnsi"/>
          <w:lang w:eastAsia="en-US"/>
        </w:rPr>
        <w:t>V § 24 ods. 7 sa za slová „člena vlády,“ vkladajú slová „generálneho prokurátora, špeciálneho prokurátora,“.</w:t>
      </w:r>
    </w:p>
    <w:p w:rsidR="00907FA0" w:rsidRPr="00497BE3" w:rsidRDefault="00907FA0" w:rsidP="00497BE3">
      <w:pPr>
        <w:tabs>
          <w:tab w:val="left" w:pos="284"/>
        </w:tabs>
        <w:contextualSpacing/>
        <w:rPr>
          <w:rFonts w:eastAsiaTheme="minorHAnsi"/>
          <w:lang w:eastAsia="en-US"/>
        </w:rPr>
      </w:pPr>
    </w:p>
    <w:p w:rsidR="00497BE3" w:rsidRPr="00497BE3" w:rsidRDefault="00907FA0" w:rsidP="00497BE3">
      <w:pPr>
        <w:pStyle w:val="Odsekzoznamu"/>
        <w:numPr>
          <w:ilvl w:val="0"/>
          <w:numId w:val="9"/>
        </w:numPr>
        <w:tabs>
          <w:tab w:val="left" w:pos="0"/>
          <w:tab w:val="left" w:pos="284"/>
        </w:tabs>
        <w:ind w:left="0" w:firstLine="0"/>
        <w:rPr>
          <w:rFonts w:ascii="Times New Roman" w:hAnsi="Times New Roman" w:cs="Times New Roman"/>
          <w:sz w:val="24"/>
          <w:szCs w:val="24"/>
        </w:rPr>
      </w:pPr>
      <w:r w:rsidRPr="00497BE3">
        <w:rPr>
          <w:rFonts w:ascii="Times New Roman" w:hAnsi="Times New Roman" w:cs="Times New Roman"/>
          <w:sz w:val="24"/>
          <w:szCs w:val="24"/>
        </w:rPr>
        <w:t>V § 62 písm. m) sa slová „§ 24 ods. 1 písm. b) a c)“ nahrádzajú slovami „§ 24 ods. 1 písm. b) až d)“.</w:t>
      </w:r>
    </w:p>
    <w:p w:rsidR="00556E44" w:rsidRPr="00497BE3" w:rsidRDefault="00907FA0" w:rsidP="00497BE3">
      <w:pPr>
        <w:tabs>
          <w:tab w:val="left" w:pos="284"/>
        </w:tabs>
        <w:rPr>
          <w:rFonts w:eastAsiaTheme="minorHAnsi"/>
          <w:lang w:eastAsia="en-US"/>
        </w:rPr>
      </w:pPr>
      <w:r w:rsidRPr="00497BE3">
        <w:rPr>
          <w:rFonts w:eastAsiaTheme="minorHAnsi"/>
          <w:b/>
          <w:lang w:eastAsia="en-US"/>
        </w:rPr>
        <w:t>6.</w:t>
      </w:r>
      <w:r w:rsidRPr="00497BE3">
        <w:rPr>
          <w:rFonts w:eastAsiaTheme="minorHAnsi"/>
          <w:lang w:eastAsia="en-US"/>
        </w:rPr>
        <w:tab/>
        <w:t>V § 82 ods. 2 písm. d) sa slová „§ 24 ods. 1 písm. b) a c)“ nahrádzajú slovami     „§ 24 ods. 1 písm. b) až d)“.</w:t>
      </w:r>
    </w:p>
    <w:p w:rsidR="00556E44" w:rsidRPr="00556E44" w:rsidRDefault="00556E44" w:rsidP="00497BE3">
      <w:pPr>
        <w:tabs>
          <w:tab w:val="left" w:pos="284"/>
        </w:tabs>
        <w:rPr>
          <w:rFonts w:eastAsiaTheme="minorHAnsi"/>
          <w:lang w:eastAsia="en-US"/>
        </w:rPr>
      </w:pPr>
    </w:p>
    <w:p w:rsidR="00907FA0" w:rsidRPr="00907FA0" w:rsidRDefault="00907FA0" w:rsidP="00EC6EB5">
      <w:pPr>
        <w:spacing w:before="120" w:line="276" w:lineRule="auto"/>
        <w:jc w:val="center"/>
        <w:rPr>
          <w:rFonts w:eastAsiaTheme="minorHAnsi"/>
          <w:lang w:eastAsia="en-US"/>
        </w:rPr>
      </w:pPr>
      <w:r w:rsidRPr="00907FA0">
        <w:rPr>
          <w:rFonts w:eastAsiaTheme="minorHAnsi"/>
          <w:b/>
          <w:lang w:eastAsia="en-US"/>
        </w:rPr>
        <w:t>Čl. IV</w:t>
      </w:r>
    </w:p>
    <w:p w:rsidR="00907FA0" w:rsidRDefault="00907FA0" w:rsidP="00556E44">
      <w:pPr>
        <w:spacing w:before="120" w:line="276" w:lineRule="auto"/>
        <w:ind w:firstLine="708"/>
        <w:rPr>
          <w:rFonts w:eastAsiaTheme="minorHAnsi"/>
          <w:lang w:eastAsia="en-US"/>
        </w:rPr>
      </w:pPr>
      <w:r w:rsidRPr="00907FA0">
        <w:rPr>
          <w:rFonts w:eastAsiaTheme="minorHAnsi"/>
          <w:lang w:eastAsia="en-US"/>
        </w:rPr>
        <w:t xml:space="preserve">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w:t>
      </w:r>
      <w:r w:rsidR="00512D43">
        <w:rPr>
          <w:rFonts w:eastAsiaTheme="minorHAnsi"/>
          <w:lang w:eastAsia="en-US"/>
        </w:rPr>
        <w:t xml:space="preserve"> </w:t>
      </w:r>
      <w:r w:rsidRPr="00907FA0">
        <w:rPr>
          <w:rFonts w:eastAsiaTheme="minorHAnsi"/>
          <w:lang w:eastAsia="en-US"/>
        </w:rPr>
        <w:t>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w:t>
      </w:r>
      <w:r w:rsidR="00B22285">
        <w:rPr>
          <w:rFonts w:eastAsiaTheme="minorHAnsi"/>
          <w:lang w:eastAsia="en-US"/>
        </w:rPr>
        <w:t>. z., zákona č. 177/2018 Z. z.,</w:t>
      </w:r>
      <w:r w:rsidRPr="00907FA0">
        <w:rPr>
          <w:rFonts w:eastAsiaTheme="minorHAnsi"/>
          <w:lang w:eastAsia="en-US"/>
        </w:rPr>
        <w:t> zákona 242/2019 Z. z.</w:t>
      </w:r>
      <w:r w:rsidR="00B22285">
        <w:rPr>
          <w:rFonts w:eastAsiaTheme="minorHAnsi"/>
          <w:lang w:eastAsia="en-US"/>
        </w:rPr>
        <w:t xml:space="preserve"> a zákona č. 459/2019 Z. z.</w:t>
      </w:r>
      <w:r w:rsidRPr="00907FA0">
        <w:rPr>
          <w:rFonts w:eastAsiaTheme="minorHAnsi"/>
          <w:lang w:eastAsia="en-US"/>
        </w:rPr>
        <w:t xml:space="preserve"> sa mení a dopĺňa takto:</w:t>
      </w:r>
    </w:p>
    <w:p w:rsidR="00907FA0" w:rsidRPr="00907FA0" w:rsidRDefault="00907FA0" w:rsidP="00497BE3">
      <w:pPr>
        <w:tabs>
          <w:tab w:val="left" w:pos="284"/>
        </w:tabs>
        <w:rPr>
          <w:rFonts w:eastAsiaTheme="minorHAnsi"/>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6 ods. 1 sa za slová „funkcie prokurátora“ vkladajú slová „alebo spôsobom uvedeným v osobitnom predpise</w:t>
      </w:r>
      <w:r w:rsidRPr="00907FA0">
        <w:rPr>
          <w:rFonts w:eastAsiaTheme="minorHAnsi"/>
          <w:vertAlign w:val="superscript"/>
          <w:lang w:eastAsia="en-US"/>
        </w:rPr>
        <w:t>1</w:t>
      </w:r>
      <w:r w:rsidRPr="00907FA0">
        <w:rPr>
          <w:rFonts w:eastAsiaTheme="minorHAnsi"/>
          <w:lang w:eastAsia="en-US"/>
        </w:rPr>
        <w:t>)“.</w:t>
      </w:r>
    </w:p>
    <w:p w:rsidR="00907FA0" w:rsidRPr="00907FA0" w:rsidRDefault="00907FA0" w:rsidP="00497BE3">
      <w:pPr>
        <w:tabs>
          <w:tab w:val="left" w:pos="284"/>
        </w:tabs>
        <w:contextualSpacing/>
        <w:rPr>
          <w:rFonts w:eastAsiaTheme="minorHAnsi"/>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6 ods. 3 sa na konci pripája táto veta: „Za odbornú justič</w:t>
      </w:r>
      <w:r w:rsidR="008D635B">
        <w:rPr>
          <w:rFonts w:eastAsiaTheme="minorHAnsi"/>
          <w:lang w:eastAsia="en-US"/>
        </w:rPr>
        <w:t>nú skúšku sa na účely</w:t>
      </w:r>
      <w:bookmarkStart w:id="0" w:name="_GoBack"/>
      <w:bookmarkEnd w:id="0"/>
      <w:r w:rsidRPr="00907FA0">
        <w:rPr>
          <w:rFonts w:eastAsiaTheme="minorHAnsi"/>
          <w:lang w:eastAsia="en-US"/>
        </w:rPr>
        <w:t xml:space="preserve"> § 24a ods. 2 nepovažuje notárska skúška; ustanovenie druhej vety sa na § 24a ods. 2 nepoužije.“.</w:t>
      </w:r>
    </w:p>
    <w:p w:rsidR="00907FA0" w:rsidRPr="00907FA0" w:rsidRDefault="00907FA0" w:rsidP="00497BE3">
      <w:pPr>
        <w:tabs>
          <w:tab w:val="left" w:pos="284"/>
        </w:tabs>
        <w:rPr>
          <w:rFonts w:eastAsiaTheme="minorHAnsi"/>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11 ods. 1 písm. b) sa za slová „poslanca Národnej rady Slovenskej republiky“ vkladajú slová „(ďalej len „ poslanec národnej rady“)“.</w:t>
      </w:r>
      <w:r w:rsidRPr="00907FA0" w:rsidDel="004D3398">
        <w:rPr>
          <w:rFonts w:eastAsiaTheme="minorHAnsi"/>
          <w:lang w:eastAsia="en-US"/>
        </w:rPr>
        <w:t xml:space="preserve"> </w:t>
      </w:r>
    </w:p>
    <w:p w:rsidR="00907FA0" w:rsidRPr="00907FA0" w:rsidRDefault="00907FA0" w:rsidP="00497BE3">
      <w:pPr>
        <w:tabs>
          <w:tab w:val="left" w:pos="284"/>
        </w:tabs>
        <w:contextualSpacing/>
        <w:rPr>
          <w:rFonts w:eastAsiaTheme="minorHAnsi"/>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12 ods. 1 prvej vete sa slová „poslancom Národnej rady Slovenskej republiky“ nahrádzajú slovami „poslancom národnej rady“.</w:t>
      </w:r>
    </w:p>
    <w:p w:rsidR="00907FA0" w:rsidRPr="00907FA0" w:rsidRDefault="00907FA0" w:rsidP="00497BE3">
      <w:pPr>
        <w:tabs>
          <w:tab w:val="left" w:pos="284"/>
        </w:tabs>
        <w:contextualSpacing/>
        <w:rPr>
          <w:rFonts w:eastAsiaTheme="minorHAnsi"/>
          <w:lang w:eastAsia="en-US"/>
        </w:rPr>
      </w:pPr>
    </w:p>
    <w:p w:rsid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12 ods. 2 prvej vete sa za slová „Národnej rady Slovenskej republiky“ vkladajú slová „(ďalej len „národná rada“)</w:t>
      </w:r>
      <w:r w:rsidR="00BE141D">
        <w:rPr>
          <w:rFonts w:eastAsiaTheme="minorHAnsi"/>
          <w:lang w:eastAsia="en-US"/>
        </w:rPr>
        <w:t>“</w:t>
      </w:r>
      <w:r w:rsidRPr="00907FA0">
        <w:rPr>
          <w:rFonts w:eastAsiaTheme="minorHAnsi"/>
          <w:lang w:eastAsia="en-US"/>
        </w:rPr>
        <w:t>.</w:t>
      </w:r>
    </w:p>
    <w:p w:rsidR="0001147A" w:rsidRDefault="0001147A" w:rsidP="0001147A">
      <w:pPr>
        <w:rPr>
          <w:rFonts w:eastAsiaTheme="minorHAnsi"/>
        </w:rPr>
      </w:pPr>
    </w:p>
    <w:p w:rsidR="0001147A" w:rsidRPr="00907FA0" w:rsidRDefault="0001147A" w:rsidP="0001147A">
      <w:pPr>
        <w:numPr>
          <w:ilvl w:val="0"/>
          <w:numId w:val="8"/>
        </w:numPr>
        <w:tabs>
          <w:tab w:val="left" w:pos="284"/>
        </w:tabs>
        <w:ind w:firstLine="0"/>
        <w:contextualSpacing/>
        <w:rPr>
          <w:rFonts w:eastAsiaTheme="minorHAnsi"/>
          <w:lang w:eastAsia="en-US"/>
        </w:rPr>
      </w:pPr>
      <w:r w:rsidRPr="00907FA0">
        <w:rPr>
          <w:rFonts w:eastAsiaTheme="minorHAnsi"/>
          <w:lang w:eastAsia="en-US"/>
        </w:rPr>
        <w:t>§ 14 sa dopĺňa písmenom d), ktoré znie:</w:t>
      </w:r>
    </w:p>
    <w:p w:rsidR="0001147A" w:rsidRPr="00907FA0" w:rsidRDefault="0001147A" w:rsidP="0001147A">
      <w:pPr>
        <w:tabs>
          <w:tab w:val="left" w:pos="284"/>
        </w:tabs>
        <w:rPr>
          <w:rFonts w:eastAsiaTheme="minorHAnsi"/>
          <w:lang w:eastAsia="en-US"/>
        </w:rPr>
      </w:pPr>
      <w:r w:rsidRPr="00907FA0">
        <w:rPr>
          <w:rFonts w:eastAsiaTheme="minorHAnsi"/>
          <w:lang w:eastAsia="en-US"/>
        </w:rPr>
        <w:t>„d) z dôvodov podľa osobitného predpisu</w:t>
      </w:r>
      <w:r w:rsidRPr="00907FA0">
        <w:rPr>
          <w:rFonts w:eastAsiaTheme="minorHAnsi"/>
          <w:vertAlign w:val="superscript"/>
          <w:lang w:eastAsia="en-US"/>
        </w:rPr>
        <w:t>1</w:t>
      </w:r>
      <w:r w:rsidRPr="00907FA0">
        <w:rPr>
          <w:rFonts w:eastAsiaTheme="minorHAnsi"/>
          <w:lang w:eastAsia="en-US"/>
        </w:rPr>
        <w:t>).“.</w:t>
      </w:r>
    </w:p>
    <w:p w:rsidR="00907FA0" w:rsidRPr="00907FA0" w:rsidRDefault="00907FA0" w:rsidP="00497BE3">
      <w:pPr>
        <w:tabs>
          <w:tab w:val="left" w:pos="284"/>
        </w:tabs>
        <w:contextualSpacing/>
        <w:rPr>
          <w:rFonts w:eastAsiaTheme="minorHAnsi"/>
          <w:highlight w:val="yellow"/>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t>V § 19 odsek 5 znie:</w:t>
      </w:r>
    </w:p>
    <w:p w:rsidR="00907FA0" w:rsidRPr="00907FA0" w:rsidRDefault="00907FA0" w:rsidP="00497BE3">
      <w:pPr>
        <w:tabs>
          <w:tab w:val="left" w:pos="284"/>
        </w:tabs>
        <w:rPr>
          <w:rFonts w:eastAsiaTheme="minorHAnsi"/>
          <w:lang w:eastAsia="en-US"/>
        </w:rPr>
      </w:pPr>
      <w:r w:rsidRPr="00907FA0">
        <w:rPr>
          <w:rFonts w:eastAsiaTheme="minorHAnsi"/>
          <w:lang w:eastAsia="en-US"/>
        </w:rPr>
        <w:t>„(5) Na zvolenie do funkcie špeciálneho prokurátora</w:t>
      </w:r>
      <w:r w:rsidR="00BE141D">
        <w:rPr>
          <w:rFonts w:eastAsiaTheme="minorHAnsi"/>
          <w:lang w:eastAsia="en-US"/>
        </w:rPr>
        <w:t xml:space="preserve"> sa vzťahujú ustanovenia </w:t>
      </w:r>
      <w:r w:rsidRPr="00907FA0">
        <w:rPr>
          <w:rFonts w:eastAsiaTheme="minorHAnsi"/>
          <w:lang w:eastAsia="en-US"/>
        </w:rPr>
        <w:t>§ 24a ods. 1 až 9 a na vymenovanie do inej funkcie vedúceho prokurátora v Úrade špeciálnej prokuratúry sa vzťahujú ustanovenia § 24a ods. 10 až 12.“.</w:t>
      </w:r>
    </w:p>
    <w:p w:rsidR="00907FA0" w:rsidRPr="00907FA0" w:rsidRDefault="00907FA0" w:rsidP="00497BE3">
      <w:pPr>
        <w:tabs>
          <w:tab w:val="left" w:pos="284"/>
        </w:tabs>
        <w:rPr>
          <w:rFonts w:eastAsiaTheme="minorHAnsi"/>
          <w:lang w:eastAsia="en-US"/>
        </w:rPr>
      </w:pPr>
    </w:p>
    <w:p w:rsidR="00907FA0" w:rsidRPr="00907FA0" w:rsidRDefault="00907FA0" w:rsidP="00497BE3">
      <w:pPr>
        <w:numPr>
          <w:ilvl w:val="0"/>
          <w:numId w:val="8"/>
        </w:numPr>
        <w:tabs>
          <w:tab w:val="left" w:pos="284"/>
        </w:tabs>
        <w:ind w:firstLine="0"/>
        <w:contextualSpacing/>
        <w:rPr>
          <w:rFonts w:eastAsiaTheme="minorHAnsi"/>
          <w:lang w:eastAsia="en-US"/>
        </w:rPr>
      </w:pPr>
      <w:r w:rsidRPr="00907FA0">
        <w:rPr>
          <w:rFonts w:eastAsiaTheme="minorHAnsi"/>
          <w:lang w:eastAsia="en-US"/>
        </w:rPr>
        <w:lastRenderedPageBreak/>
        <w:t>V § 20 ods. 2 sa na konci druhej vety pripájajú tieto slová: „a špeciálneho prokurátora“.</w:t>
      </w:r>
    </w:p>
    <w:p w:rsidR="00907FA0" w:rsidRPr="00907FA0" w:rsidRDefault="00907FA0" w:rsidP="00497BE3">
      <w:pPr>
        <w:tabs>
          <w:tab w:val="left" w:pos="284"/>
        </w:tabs>
        <w:contextualSpacing/>
        <w:rPr>
          <w:rFonts w:eastAsiaTheme="minorHAnsi"/>
          <w:lang w:eastAsia="en-US"/>
        </w:rPr>
      </w:pPr>
    </w:p>
    <w:p w:rsidR="00BA6AA9" w:rsidRDefault="00907FA0" w:rsidP="00497BE3">
      <w:pPr>
        <w:numPr>
          <w:ilvl w:val="0"/>
          <w:numId w:val="8"/>
        </w:numPr>
        <w:tabs>
          <w:tab w:val="left" w:pos="284"/>
        </w:tabs>
        <w:spacing w:before="120" w:after="200" w:line="276" w:lineRule="auto"/>
        <w:ind w:firstLine="0"/>
        <w:contextualSpacing/>
        <w:rPr>
          <w:rFonts w:eastAsiaTheme="minorHAnsi"/>
          <w:lang w:eastAsia="en-US"/>
        </w:rPr>
      </w:pPr>
      <w:r w:rsidRPr="00907FA0">
        <w:rPr>
          <w:rFonts w:eastAsiaTheme="minorHAnsi"/>
          <w:lang w:eastAsia="en-US"/>
        </w:rPr>
        <w:t>V § 24a odsek 1 znie:</w:t>
      </w:r>
    </w:p>
    <w:p w:rsidR="00907FA0" w:rsidRPr="00BA6AA9" w:rsidRDefault="00907FA0" w:rsidP="004F5B50">
      <w:pPr>
        <w:spacing w:before="120" w:after="200" w:line="276" w:lineRule="auto"/>
        <w:contextualSpacing/>
        <w:rPr>
          <w:rFonts w:eastAsiaTheme="minorHAnsi"/>
          <w:lang w:eastAsia="en-US"/>
        </w:rPr>
      </w:pPr>
      <w:r w:rsidRPr="00BA6AA9">
        <w:rPr>
          <w:rFonts w:eastAsiaTheme="minorHAnsi"/>
          <w:lang w:eastAsia="en-US"/>
        </w:rPr>
        <w:t>„(1) Špeciálneho prokurátora volí a odvoláva národná rada. Funkčné obdobie špeciálneho prokurátora je sedem rokov; začína plynúť dňom zloženia sľubu špeciálnym prokurátorom. Toto funkčné obdobie sa predlžuje až do zloženia sľubu novým špeciálnym prokurátorom. Tá istá osoba nemôže byť opakovane zvolená za špeciálneho prokurátora.“.</w:t>
      </w:r>
    </w:p>
    <w:p w:rsidR="00907FA0" w:rsidRPr="00907FA0" w:rsidRDefault="00907FA0" w:rsidP="00EC6EB5">
      <w:pPr>
        <w:spacing w:before="120" w:line="276" w:lineRule="auto"/>
        <w:rPr>
          <w:rFonts w:eastAsiaTheme="minorHAnsi"/>
          <w:lang w:eastAsia="en-US"/>
        </w:rPr>
      </w:pPr>
    </w:p>
    <w:p w:rsidR="00907FA0" w:rsidRPr="00907FA0" w:rsidRDefault="00907FA0" w:rsidP="00497BE3">
      <w:pPr>
        <w:numPr>
          <w:ilvl w:val="0"/>
          <w:numId w:val="8"/>
        </w:numPr>
        <w:tabs>
          <w:tab w:val="left" w:pos="426"/>
        </w:tabs>
        <w:spacing w:before="120" w:after="200" w:line="276" w:lineRule="auto"/>
        <w:ind w:firstLine="0"/>
        <w:contextualSpacing/>
        <w:rPr>
          <w:rFonts w:eastAsiaTheme="minorHAnsi"/>
          <w:lang w:eastAsia="en-US"/>
        </w:rPr>
      </w:pPr>
      <w:r w:rsidRPr="00907FA0">
        <w:rPr>
          <w:rFonts w:eastAsiaTheme="minorHAnsi"/>
          <w:lang w:eastAsia="en-US"/>
        </w:rPr>
        <w:t>V § 24a sa za odsek 1 vkladajú nové odseky 2 až 9, ktoré znejú:</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 xml:space="preserve">„(2) Za špeciálneho prokurátora môže byť zvolený občan Slovenskej republiky, ktorý je voliteľný do národnej rady, dosiahol vek 40 rokov, má vysokoškolské právnické vzdelanie druhého stupňa, je najmenej 15 rokov činný v právnickom povolaní, má odbornú justičnú skúšku, je bezúhonný, </w:t>
      </w:r>
      <w:r w:rsidRPr="00907FA0">
        <w:rPr>
          <w:rFonts w:eastAsiaTheme="minorHAnsi"/>
          <w:shd w:val="clear" w:color="auto" w:fill="FFFFFF"/>
          <w:lang w:eastAsia="en-US"/>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r w:rsidRPr="00907FA0">
        <w:rPr>
          <w:rFonts w:eastAsiaTheme="minorHAnsi"/>
          <w:lang w:eastAsia="en-US"/>
        </w:rPr>
        <w:t xml:space="preserve"> a jeho morálne vlastnosti a doterajší život dávajú záruku, že funkciu špeciálneho prokurátora bude riadne a čestne vykonávať. Splnenie týchto podmienok overuje príslušný výbor národnej rady pred hlasovaním o návrhu na zvolenie.“.</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(3) Návrh na voľbu jedného kandidáta na špeciálneho prokurátora môžu podať národnej rade</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a) </w:t>
      </w:r>
      <w:r w:rsidRPr="00907FA0">
        <w:rPr>
          <w:rFonts w:eastAsiaTheme="minorHAnsi"/>
          <w:lang w:eastAsia="en-US"/>
        </w:rPr>
        <w:tab/>
        <w:t>poslanec národnej rady,</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b) </w:t>
      </w:r>
      <w:r w:rsidRPr="00907FA0">
        <w:rPr>
          <w:rFonts w:eastAsiaTheme="minorHAnsi"/>
          <w:lang w:eastAsia="en-US"/>
        </w:rPr>
        <w:tab/>
        <w:t>minister spravodlivosti Slovenskej republiky,</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c) </w:t>
      </w:r>
      <w:r w:rsidRPr="00907FA0">
        <w:rPr>
          <w:rFonts w:eastAsiaTheme="minorHAnsi"/>
          <w:lang w:eastAsia="en-US"/>
        </w:rPr>
        <w:tab/>
        <w:t>verejný ochranca práv,</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d) </w:t>
      </w:r>
      <w:r w:rsidRPr="00907FA0">
        <w:rPr>
          <w:rFonts w:eastAsiaTheme="minorHAnsi"/>
          <w:lang w:eastAsia="en-US"/>
        </w:rPr>
        <w:tab/>
        <w:t>generálny prokurátor,</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e) </w:t>
      </w:r>
      <w:r w:rsidRPr="00907FA0">
        <w:rPr>
          <w:rFonts w:eastAsiaTheme="minorHAnsi"/>
          <w:lang w:eastAsia="en-US"/>
        </w:rPr>
        <w:tab/>
        <w:t>rada prokurátorov,</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f) </w:t>
      </w:r>
      <w:r w:rsidRPr="00907FA0">
        <w:rPr>
          <w:rFonts w:eastAsiaTheme="minorHAnsi"/>
          <w:lang w:eastAsia="en-US"/>
        </w:rPr>
        <w:tab/>
        <w:t>profesijná organizácia právnikov,</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g) </w:t>
      </w:r>
      <w:r w:rsidRPr="00907FA0">
        <w:rPr>
          <w:rFonts w:eastAsiaTheme="minorHAnsi"/>
          <w:lang w:eastAsia="en-US"/>
        </w:rPr>
        <w:tab/>
        <w:t>právnická fakulta vysokej školy so sídlom v Slovenskej republike</w:t>
      </w:r>
      <w:r w:rsidRPr="00907FA0">
        <w:rPr>
          <w:rFonts w:eastAsiaTheme="minorHAnsi"/>
          <w:vertAlign w:val="superscript"/>
          <w:lang w:eastAsia="en-US"/>
        </w:rPr>
        <w:t>4)</w:t>
      </w:r>
      <w:r w:rsidRPr="00907FA0">
        <w:rPr>
          <w:rFonts w:eastAsiaTheme="minorHAnsi"/>
          <w:lang w:eastAsia="en-US"/>
        </w:rPr>
        <w:t xml:space="preserve"> a Ústav štátu a práva Slovenskej akadémie vied.</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(4) Návrh na voľbu kandidáta na špeciálneho prokurátora okrem náležitostí podľa osobitného predpisu</w:t>
      </w:r>
      <w:r w:rsidRPr="00907FA0">
        <w:rPr>
          <w:rFonts w:eastAsiaTheme="minorHAnsi"/>
          <w:vertAlign w:val="superscript"/>
          <w:lang w:eastAsia="en-US"/>
        </w:rPr>
        <w:t>14b</w:t>
      </w:r>
      <w:r w:rsidRPr="00907FA0">
        <w:rPr>
          <w:rFonts w:eastAsiaTheme="minorHAnsi"/>
          <w:lang w:eastAsia="en-US"/>
        </w:rPr>
        <w:t>) obsahuje</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a) označenie navrhovateľa,</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b) predmet návrhu,</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c) listiny preukazujúce, že uchádzač o funkciu špeciálneho prokurátora spĺňa podmienky na zvolenie za špeciálneho prokurátora,</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1. </w:t>
      </w:r>
      <w:r w:rsidR="00907FA0" w:rsidRPr="00907FA0">
        <w:rPr>
          <w:rFonts w:eastAsiaTheme="minorHAnsi"/>
          <w:lang w:eastAsia="en-US"/>
        </w:rPr>
        <w:t>originál alebo úradne overenú kópiu listiny osvedčujúcej meno, priezvisko, vek, štátne občianstvo Slovenskej republiky a trvalý pobyt na území Slovenskej republiky,</w:t>
      </w:r>
    </w:p>
    <w:p w:rsidR="00907FA0" w:rsidRPr="00907FA0" w:rsidRDefault="00907FA0" w:rsidP="00BE141D">
      <w:pPr>
        <w:spacing w:before="120" w:line="276" w:lineRule="auto"/>
        <w:ind w:left="709"/>
        <w:rPr>
          <w:rFonts w:eastAsiaTheme="minorHAnsi"/>
          <w:lang w:eastAsia="en-US"/>
        </w:rPr>
      </w:pPr>
      <w:r w:rsidRPr="00907FA0">
        <w:rPr>
          <w:rFonts w:eastAsiaTheme="minorHAnsi"/>
          <w:lang w:eastAsia="en-US"/>
        </w:rPr>
        <w:t xml:space="preserve">2. originál alebo úradne overenú kópiu listiny preukazujúcej dosiahnuté vysokoškolské  vzdelanie druhého stupňa v študijnom odbore právo na právnickej fakulte vysokej školy </w:t>
      </w:r>
      <w:r w:rsidRPr="00907FA0">
        <w:rPr>
          <w:rFonts w:eastAsiaTheme="minorHAnsi"/>
          <w:lang w:eastAsia="en-US"/>
        </w:rPr>
        <w:lastRenderedPageBreak/>
        <w:t>v Slovenskej republike</w:t>
      </w:r>
      <w:r w:rsidRPr="00907FA0">
        <w:rPr>
          <w:rFonts w:eastAsiaTheme="minorHAnsi"/>
          <w:vertAlign w:val="superscript"/>
          <w:lang w:eastAsia="en-US"/>
        </w:rPr>
        <w:t>2c)</w:t>
      </w:r>
      <w:r w:rsidRPr="00907FA0">
        <w:rPr>
          <w:rFonts w:eastAsiaTheme="minorHAnsi"/>
          <w:lang w:eastAsia="en-US"/>
        </w:rPr>
        <w:t xml:space="preserve"> alebo originál alebo úradne overenú kópiu uznaného dokladu o vysokoškolskom právnickom vzdelaní druhého stupňa vydaného zahraničnou vysokou školou; ak uchádzač o funkciu špeciálneho prokurátora získal vysokoškolské vzdelanie najprv v prvom stupni a následne v druhom stupni, vyžaduje sa, aby v oboch stupňoch získal vzdelanie v odbore právo,</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3. </w:t>
      </w:r>
      <w:r w:rsidR="00907FA0" w:rsidRPr="00907FA0">
        <w:rPr>
          <w:rFonts w:eastAsiaTheme="minorHAnsi"/>
          <w:lang w:eastAsia="en-US"/>
        </w:rPr>
        <w:t>doklady, z ktorých vyplýva, že uchádzač o funkciu špeciálneho prokurátora je najmenej 15 rokov činný v právnickom povolaní,</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4. </w:t>
      </w:r>
      <w:r w:rsidR="00907FA0" w:rsidRPr="00907FA0">
        <w:rPr>
          <w:rFonts w:eastAsiaTheme="minorHAnsi"/>
          <w:lang w:eastAsia="en-US"/>
        </w:rPr>
        <w:t>originál alebo úradne overenú kópiu listiny preukazujúcej zloženie odbornej justičnej skúšky alebo advokátskej skúšky,</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5.  </w:t>
      </w:r>
      <w:r w:rsidR="00907FA0" w:rsidRPr="00907FA0">
        <w:rPr>
          <w:rFonts w:eastAsiaTheme="minorHAnsi"/>
          <w:lang w:eastAsia="en-US"/>
        </w:rPr>
        <w:t>vyhlásenie uchádzača o funkciu špeciálneho prokurátora, že nie je členom politickej strany alebo politického hnutia, a ak je, vyhlásenie, že pred zložením sľubu sa vzdá členstva v politickej strane alebo politickom hnutí,</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6. </w:t>
      </w:r>
      <w:r w:rsidR="00907FA0" w:rsidRPr="00907FA0">
        <w:rPr>
          <w:rFonts w:eastAsiaTheme="minorHAnsi"/>
          <w:lang w:eastAsia="en-US"/>
        </w:rPr>
        <w:t>vyhlásenie uchádzača o funkciu špeciálneho prokurátora, že nevykonáva funkciu alebo činnosť, výkon ktorej je nezlučiteľný s výkonom funkcie špeciálneho prokurátora, a ak vykonáva, vyhlásenie, že ešte pred zložením sľubu sa vzdá takejto funkcie alebo činnosti,</w:t>
      </w:r>
    </w:p>
    <w:p w:rsidR="00907FA0" w:rsidRPr="00907FA0" w:rsidRDefault="00BA6AA9" w:rsidP="00BE141D">
      <w:pPr>
        <w:spacing w:before="120" w:line="276" w:lineRule="auto"/>
        <w:ind w:left="709"/>
        <w:rPr>
          <w:rFonts w:eastAsiaTheme="minorHAnsi"/>
          <w:lang w:eastAsia="en-US"/>
        </w:rPr>
      </w:pPr>
      <w:r>
        <w:rPr>
          <w:rFonts w:eastAsiaTheme="minorHAnsi"/>
          <w:lang w:eastAsia="en-US"/>
        </w:rPr>
        <w:t xml:space="preserve">7. </w:t>
      </w:r>
      <w:r w:rsidR="00907FA0" w:rsidRPr="00907FA0">
        <w:rPr>
          <w:rFonts w:eastAsiaTheme="minorHAnsi"/>
          <w:lang w:eastAsia="en-US"/>
        </w:rPr>
        <w:t>originál alebo úradne overenú kópiu osvedčenia Národného bezpečnostného úradu na oboznamovanie sa s utajovanými skutočnosťami stupňa utajenia Prísne tajné</w:t>
      </w:r>
      <w:r w:rsidR="00907FA0" w:rsidRPr="00907FA0">
        <w:rPr>
          <w:rFonts w:eastAsiaTheme="minorHAnsi"/>
          <w:vertAlign w:val="superscript"/>
          <w:lang w:eastAsia="en-US"/>
        </w:rPr>
        <w:t>14c)</w:t>
      </w:r>
      <w:r w:rsidR="00907FA0" w:rsidRPr="00907FA0">
        <w:rPr>
          <w:rFonts w:eastAsiaTheme="minorHAnsi"/>
          <w:lang w:eastAsia="en-US"/>
        </w:rPr>
        <w:t xml:space="preserve">, </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 xml:space="preserve">d) </w:t>
      </w:r>
      <w:r w:rsidRPr="00907FA0">
        <w:rPr>
          <w:rFonts w:eastAsiaTheme="minorHAnsi"/>
          <w:lang w:eastAsia="en-US"/>
        </w:rPr>
        <w:tab/>
        <w:t>dátum vyhotovenia návrhu a podpis navrhovateľa.</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(5) Návrh na voľbu kandidátov na špeciálneho prokurátora musí byť odôvodnený a jeho prílohou musí byť motivačný list osoby navrhovanej na kandidáta na špeciálneho prokurátora.</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zákona štátny občan Slovenskej republiky poskytne údaje potrebné na vyžiadanie odpisu registra trestov. Údaje podľa tretej vety národná rada bezodkladne zašle v elektronickej podobe registru trestov generálnej prokuratúry na vydanie odpisu registra trestov.</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 xml:space="preserve">(7) Špeciálny prokurátor skladá do rúk predsedu národnej rady tento sľub: </w:t>
      </w:r>
      <w:r w:rsidRPr="00907FA0">
        <w:rPr>
          <w:rFonts w:eastAsiaTheme="minorHAnsi"/>
          <w:i/>
          <w:lang w:eastAsia="en-US"/>
        </w:rPr>
        <w:t>„Sľubujem na svoju česť a svedomie vernosť Slovenskej republike. Budem dodržiavať Ústavu Slovenskej republiky, ústavné zákony, zákony a medzinárodné zmluvy vyhlásené spôsobom ustanoveným zákonom a presadzovať a upevňovať zákonnosť.“.</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(8) Zložením sľubu sa špeciálny prokurátor ujíma výkonu funkcie. Odmietnutie zloženia sľubu alebo zloženie sľubu s výhradou má za následok neplatnosť zvolenia za špeciálneho prokurátora.</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 xml:space="preserve">(9) Ak je za špeciálneho prokurátora zvolený prokurátor, ktorý v čase vymenovania nie je prokurátorom generálnej prokuratúry, stáva sa dňom zloženia sľubu prokurátorom generálnej prokuratúry. Ak je za špeciálneho prokurátora zvolená osoba, ktorá nie je v čase zvolenia </w:t>
      </w:r>
      <w:r w:rsidRPr="00907FA0">
        <w:rPr>
          <w:rFonts w:eastAsiaTheme="minorHAnsi"/>
          <w:lang w:eastAsia="en-US"/>
        </w:rPr>
        <w:lastRenderedPageBreak/>
        <w:t>prokurátorom, stáva sa dňom zloženia sľubu prokurátorom generálnej prokuratúry; uplynutím funkčného obdobia špeciálneho prokurátora alebo zánikom funkcie špeciálneho prokurátora mu funkcia prokurátora generálnej prokuratúry zaniká.“.</w:t>
      </w:r>
    </w:p>
    <w:p w:rsidR="00907FA0" w:rsidRPr="00907FA0" w:rsidRDefault="00907FA0" w:rsidP="00497BE3">
      <w:pPr>
        <w:tabs>
          <w:tab w:val="left" w:pos="142"/>
        </w:tabs>
        <w:spacing w:before="120" w:line="276" w:lineRule="auto"/>
        <w:rPr>
          <w:rFonts w:eastAsiaTheme="minorHAnsi"/>
          <w:lang w:eastAsia="en-US"/>
        </w:rPr>
      </w:pPr>
      <w:r w:rsidRPr="00907FA0">
        <w:rPr>
          <w:rFonts w:eastAsiaTheme="minorHAnsi"/>
          <w:lang w:eastAsia="en-US"/>
        </w:rPr>
        <w:t>Poznámky pod čiarou k odkazom 14b a 14c znejú:</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w:t>
      </w:r>
      <w:r w:rsidRPr="00907FA0">
        <w:rPr>
          <w:rFonts w:eastAsiaTheme="minorHAnsi"/>
          <w:vertAlign w:val="superscript"/>
          <w:lang w:eastAsia="en-US"/>
        </w:rPr>
        <w:t>14b)</w:t>
      </w:r>
      <w:r w:rsidRPr="00907FA0">
        <w:rPr>
          <w:rFonts w:eastAsiaTheme="minorHAnsi"/>
          <w:lang w:eastAsia="en-US"/>
        </w:rPr>
        <w:t xml:space="preserve"> § 125 zákona Národnej rady Slovenskej republiky č. 350/1996 Z. z. o rokovacom poriadku Národnej rady Slovenskej republiky v znení neskorších predpisov.</w:t>
      </w:r>
    </w:p>
    <w:p w:rsidR="00907FA0" w:rsidRDefault="00907FA0" w:rsidP="00EC6EB5">
      <w:pPr>
        <w:spacing w:before="120" w:line="276" w:lineRule="auto"/>
        <w:rPr>
          <w:rFonts w:eastAsiaTheme="minorHAnsi"/>
          <w:lang w:eastAsia="en-US"/>
        </w:rPr>
      </w:pPr>
      <w:r w:rsidRPr="00907FA0">
        <w:rPr>
          <w:rFonts w:eastAsiaTheme="minorHAnsi"/>
          <w:vertAlign w:val="superscript"/>
          <w:lang w:eastAsia="en-US"/>
        </w:rPr>
        <w:t xml:space="preserve">14c) </w:t>
      </w:r>
      <w:r w:rsidRPr="00907FA0">
        <w:rPr>
          <w:rFonts w:eastAsiaTheme="minorHAnsi"/>
          <w:lang w:eastAsia="en-US"/>
        </w:rPr>
        <w:t xml:space="preserve">§ 55g zákona č. 153/2001 Z. z. o prokuratúre v znení neskorších predpisov.“. </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Doterajšie odseky 2 až 4 sa označujú ako odseky 10 až 12.</w:t>
      </w:r>
    </w:p>
    <w:p w:rsidR="00907FA0" w:rsidRPr="00907FA0" w:rsidRDefault="00907FA0" w:rsidP="00EC6EB5">
      <w:pPr>
        <w:spacing w:before="120" w:line="276" w:lineRule="auto"/>
        <w:contextualSpacing/>
        <w:rPr>
          <w:rFonts w:eastAsiaTheme="minorHAnsi"/>
          <w:strike/>
          <w:lang w:eastAsia="en-US"/>
        </w:rPr>
      </w:pPr>
    </w:p>
    <w:p w:rsidR="00907FA0" w:rsidRPr="00907FA0" w:rsidRDefault="00907FA0" w:rsidP="00497BE3">
      <w:pPr>
        <w:numPr>
          <w:ilvl w:val="0"/>
          <w:numId w:val="8"/>
        </w:numPr>
        <w:tabs>
          <w:tab w:val="left" w:pos="426"/>
        </w:tabs>
        <w:ind w:firstLine="0"/>
        <w:contextualSpacing/>
        <w:rPr>
          <w:rFonts w:eastAsiaTheme="minorHAnsi"/>
          <w:lang w:eastAsia="en-US"/>
        </w:rPr>
      </w:pPr>
      <w:r w:rsidRPr="00907FA0">
        <w:rPr>
          <w:rFonts w:eastAsiaTheme="minorHAnsi"/>
          <w:lang w:eastAsia="en-US"/>
        </w:rPr>
        <w:t>V § 24a ods. 12 sa slová „odseku 2“ nahrádzajú slovami „odseku 10“.</w:t>
      </w:r>
    </w:p>
    <w:p w:rsidR="00907FA0" w:rsidRPr="00907FA0" w:rsidRDefault="00907FA0" w:rsidP="00497BE3">
      <w:pPr>
        <w:tabs>
          <w:tab w:val="left" w:pos="426"/>
        </w:tabs>
        <w:spacing w:before="120" w:line="276" w:lineRule="auto"/>
        <w:contextualSpacing/>
        <w:rPr>
          <w:rFonts w:eastAsiaTheme="minorHAnsi"/>
          <w:lang w:eastAsia="en-US"/>
        </w:rPr>
      </w:pPr>
    </w:p>
    <w:p w:rsidR="00907FA0" w:rsidRPr="00907FA0" w:rsidRDefault="00907FA0" w:rsidP="00497BE3">
      <w:pPr>
        <w:numPr>
          <w:ilvl w:val="0"/>
          <w:numId w:val="8"/>
        </w:numPr>
        <w:tabs>
          <w:tab w:val="left" w:pos="426"/>
        </w:tabs>
        <w:spacing w:before="120" w:after="200" w:line="276" w:lineRule="auto"/>
        <w:ind w:firstLine="0"/>
        <w:contextualSpacing/>
        <w:rPr>
          <w:rFonts w:eastAsiaTheme="minorHAnsi"/>
          <w:lang w:eastAsia="en-US"/>
        </w:rPr>
      </w:pPr>
      <w:r w:rsidRPr="00907FA0">
        <w:rPr>
          <w:rFonts w:eastAsiaTheme="minorHAnsi"/>
          <w:lang w:eastAsia="en-US"/>
        </w:rPr>
        <w:t>Za § 24a sa vkladá § 24aa, ktorý znie:</w:t>
      </w:r>
    </w:p>
    <w:p w:rsidR="00907FA0" w:rsidRPr="00907FA0" w:rsidRDefault="00907FA0" w:rsidP="00EC6EB5">
      <w:pPr>
        <w:spacing w:before="120" w:line="276" w:lineRule="auto"/>
        <w:jc w:val="center"/>
        <w:rPr>
          <w:rFonts w:eastAsiaTheme="minorHAnsi"/>
          <w:b/>
          <w:lang w:eastAsia="en-US"/>
        </w:rPr>
      </w:pPr>
      <w:r w:rsidRPr="00907FA0">
        <w:rPr>
          <w:rFonts w:eastAsiaTheme="minorHAnsi"/>
          <w:lang w:eastAsia="en-US"/>
        </w:rPr>
        <w:t>„</w:t>
      </w:r>
      <w:r w:rsidRPr="00907FA0">
        <w:rPr>
          <w:rFonts w:eastAsiaTheme="minorHAnsi"/>
          <w:b/>
          <w:lang w:eastAsia="en-US"/>
        </w:rPr>
        <w:t>§ 24aa</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(1) Výkon funkcie špeciálneho prokurátora sa končí uplynutím jeho funkčného obdobia. Pred uplynutím funkčného obdobia zaniká výkon funkcie špeciálneho prokurátora len</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a) vzdaním sa funkcie,</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b) odvolaním z funkcie,</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c) smrťou alebo vyhlásením za mŕtveho.</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(2) Špeciálny prokurátor sa môže vzdať svojej funkcie písomným oznámením národnej rade. Výkon funkcie špeciálneho prokurátora v takom prípade zaniká uplynutím dvoch kalendárnych mesiacov nasledujúcich po mesiaci, v ktorom bolo oznámenie špeciálneho prokurátora o jeho vzdaní sa funkcie doručené národnej rade, ak nedôjde k inej dohode o skoršom dni zániku výkonu funkcie špeciálneho prokurátora medzi národnou radou a špeciálnym prokurátorom.</w:t>
      </w:r>
    </w:p>
    <w:p w:rsidR="00907FA0" w:rsidRP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t>(3) Národná rada odvolá špeciálneho prokurátora, ak špeciálny prokurátor</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a) bol právoplatným rozhodnutím súdu obmedzený v spôsobilosti na právnych úkonoch,</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b) stratil štátne občianstvo Slovenskej republiky,</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c) bol právoplatným rozhodnutím súdu odsúdený za spáchanie trestného činu,</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d) stal sa členom politickej strany alebo politického hnutia,</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e) začal vykonávať funkciu alebo činnosť, ktorá je nezlučiteľná s výkonom funkcie prokurátora,</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f) nie je spôsobilý zo zdravotných dôvodov vykonávať svoju funkciu po čas dlhší ako jeden rok,</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g) spáchal čin, ktorý je podľa právoplatného rozhodnutia Ústavného súdu Slovenskej republiky vydaného v disciplinárnom konaní nezlučiteľný s výkonom funkcie špeciálneho prokurátora,</w:t>
      </w:r>
    </w:p>
    <w:p w:rsidR="00907FA0" w:rsidRPr="00907FA0" w:rsidRDefault="00907FA0" w:rsidP="00BE141D">
      <w:pPr>
        <w:shd w:val="clear" w:color="auto" w:fill="FFFFFF"/>
        <w:spacing w:before="120" w:line="276" w:lineRule="auto"/>
        <w:ind w:left="426"/>
        <w:rPr>
          <w:rFonts w:eastAsiaTheme="minorHAnsi"/>
          <w:lang w:eastAsia="en-US"/>
        </w:rPr>
      </w:pPr>
      <w:r w:rsidRPr="00907FA0">
        <w:rPr>
          <w:rFonts w:eastAsiaTheme="minorHAnsi"/>
          <w:lang w:eastAsia="en-US"/>
        </w:rPr>
        <w:t>h) nemá trvalý pobyt na území Slovenskej republiky,</w:t>
      </w:r>
    </w:p>
    <w:p w:rsidR="00907FA0" w:rsidRPr="00907FA0" w:rsidRDefault="00907FA0" w:rsidP="00BE141D">
      <w:pPr>
        <w:spacing w:before="120" w:line="276" w:lineRule="auto"/>
        <w:ind w:left="426"/>
        <w:rPr>
          <w:rFonts w:eastAsiaTheme="minorHAnsi"/>
          <w:lang w:eastAsia="en-US"/>
        </w:rPr>
      </w:pPr>
      <w:r w:rsidRPr="00907FA0">
        <w:rPr>
          <w:rFonts w:eastAsiaTheme="minorHAnsi"/>
          <w:lang w:eastAsia="en-US"/>
        </w:rPr>
        <w:t>i)  svoju funkciu prestal vykonávať riadne, čestne, nezávisle alebo nestranne.</w:t>
      </w:r>
    </w:p>
    <w:p w:rsidR="00907FA0" w:rsidRDefault="00907FA0" w:rsidP="00EC6EB5">
      <w:pPr>
        <w:shd w:val="clear" w:color="auto" w:fill="FFFFFF"/>
        <w:spacing w:before="120" w:line="276" w:lineRule="auto"/>
        <w:rPr>
          <w:rFonts w:eastAsiaTheme="minorHAnsi"/>
          <w:lang w:eastAsia="en-US"/>
        </w:rPr>
      </w:pPr>
      <w:r w:rsidRPr="00907FA0">
        <w:rPr>
          <w:rFonts w:eastAsiaTheme="minorHAnsi"/>
          <w:lang w:eastAsia="en-US"/>
        </w:rPr>
        <w:lastRenderedPageBreak/>
        <w:t>(4) Národná rada si pred hlasovaním o odvolaní špeciálneho prokurátora z funkcie vyžiada stanovisko rady prokurátorov a generálneho prokurátora, ktoré rada prokurátorov a generálny prokurátor predložia národnej rade v lehote do siedmich dní odo dňa doručenia uznesenia národnej rady, ktorým žiada o vydanie stanoviska.“.</w:t>
      </w:r>
    </w:p>
    <w:p w:rsidR="00497BE3" w:rsidRPr="00907FA0" w:rsidRDefault="00497BE3" w:rsidP="00497BE3">
      <w:pPr>
        <w:shd w:val="clear" w:color="auto" w:fill="FFFFFF"/>
        <w:rPr>
          <w:rFonts w:eastAsiaTheme="minorHAnsi"/>
          <w:lang w:eastAsia="en-US"/>
        </w:rPr>
      </w:pPr>
    </w:p>
    <w:p w:rsidR="00907FA0" w:rsidRPr="00907FA0" w:rsidRDefault="00907FA0" w:rsidP="00497BE3">
      <w:pPr>
        <w:numPr>
          <w:ilvl w:val="0"/>
          <w:numId w:val="8"/>
        </w:numPr>
        <w:tabs>
          <w:tab w:val="left" w:pos="426"/>
        </w:tabs>
        <w:ind w:firstLine="0"/>
        <w:contextualSpacing/>
        <w:rPr>
          <w:rFonts w:eastAsiaTheme="minorHAnsi"/>
          <w:lang w:eastAsia="en-US"/>
        </w:rPr>
      </w:pPr>
      <w:r w:rsidRPr="00907FA0">
        <w:rPr>
          <w:rFonts w:eastAsiaTheme="minorHAnsi"/>
          <w:lang w:eastAsia="en-US"/>
        </w:rPr>
        <w:t>§ 24b znie:</w:t>
      </w:r>
    </w:p>
    <w:p w:rsidR="00907FA0" w:rsidRPr="00907FA0" w:rsidRDefault="00907FA0" w:rsidP="00EC6EB5">
      <w:pPr>
        <w:spacing w:before="120" w:line="276" w:lineRule="auto"/>
        <w:jc w:val="center"/>
        <w:rPr>
          <w:rFonts w:eastAsiaTheme="minorHAnsi"/>
          <w:lang w:eastAsia="en-US"/>
        </w:rPr>
      </w:pPr>
      <w:r w:rsidRPr="00907FA0">
        <w:rPr>
          <w:rFonts w:eastAsiaTheme="minorHAnsi"/>
          <w:lang w:eastAsia="en-US"/>
        </w:rPr>
        <w:t>„</w:t>
      </w:r>
      <w:r w:rsidRPr="00907FA0">
        <w:rPr>
          <w:rFonts w:eastAsiaTheme="minorHAnsi"/>
          <w:b/>
          <w:lang w:eastAsia="en-US"/>
        </w:rPr>
        <w:t>§ 24b</w:t>
      </w:r>
    </w:p>
    <w:p w:rsidR="00907FA0" w:rsidRPr="00907FA0" w:rsidRDefault="00BA6AA9" w:rsidP="00104B92">
      <w:pPr>
        <w:spacing w:before="120" w:line="276" w:lineRule="auto"/>
        <w:ind w:left="-142" w:firstLine="142"/>
        <w:rPr>
          <w:rFonts w:eastAsiaTheme="minorHAnsi"/>
          <w:lang w:eastAsia="en-US"/>
        </w:rPr>
      </w:pPr>
      <w:r>
        <w:rPr>
          <w:rFonts w:eastAsiaTheme="minorHAnsi"/>
          <w:lang w:eastAsia="en-US"/>
        </w:rPr>
        <w:t xml:space="preserve">(1)  </w:t>
      </w:r>
      <w:r w:rsidR="00907FA0" w:rsidRPr="00907FA0">
        <w:rPr>
          <w:rFonts w:eastAsiaTheme="minorHAnsi"/>
          <w:lang w:eastAsia="en-US"/>
        </w:rPr>
        <w:t>Do výberového konania na funkcie uvedené v § 24a ods. 10 sa môže prihlásiť</w:t>
      </w:r>
    </w:p>
    <w:p w:rsidR="00907FA0" w:rsidRPr="00907FA0" w:rsidRDefault="00907FA0" w:rsidP="00104B92">
      <w:pPr>
        <w:spacing w:before="120" w:line="276" w:lineRule="auto"/>
        <w:ind w:left="426"/>
        <w:contextualSpacing/>
        <w:rPr>
          <w:rFonts w:eastAsiaTheme="minorHAnsi"/>
          <w:lang w:eastAsia="en-US"/>
        </w:rPr>
      </w:pPr>
      <w:r w:rsidRPr="00907FA0">
        <w:rPr>
          <w:rFonts w:eastAsiaTheme="minorHAnsi"/>
          <w:lang w:eastAsia="en-US"/>
        </w:rPr>
        <w:t>a) prokurátor generálnej prokuratúry,</w:t>
      </w:r>
    </w:p>
    <w:p w:rsidR="00907FA0" w:rsidRPr="00907FA0" w:rsidRDefault="00907FA0" w:rsidP="00104B92">
      <w:pPr>
        <w:spacing w:before="120" w:line="276" w:lineRule="auto"/>
        <w:ind w:left="426"/>
        <w:contextualSpacing/>
        <w:rPr>
          <w:rFonts w:eastAsiaTheme="minorHAnsi"/>
          <w:lang w:eastAsia="en-US"/>
        </w:rPr>
      </w:pPr>
      <w:r w:rsidRPr="00907FA0">
        <w:rPr>
          <w:rFonts w:eastAsiaTheme="minorHAnsi"/>
          <w:lang w:eastAsia="en-US"/>
        </w:rPr>
        <w:t>b) prokurátor inej prokuratúry, ktorý spĺňa podmienky na preloženie na generálnu prokuratúru ustanovené v § 10 ods. 6,</w:t>
      </w:r>
    </w:p>
    <w:p w:rsidR="00907FA0" w:rsidRPr="00907FA0" w:rsidRDefault="00907FA0" w:rsidP="00104B92">
      <w:pPr>
        <w:spacing w:before="120" w:line="276" w:lineRule="auto"/>
        <w:ind w:left="426"/>
        <w:contextualSpacing/>
        <w:rPr>
          <w:rFonts w:eastAsiaTheme="minorHAnsi"/>
          <w:lang w:eastAsia="en-US"/>
        </w:rPr>
      </w:pPr>
      <w:r w:rsidRPr="00907FA0">
        <w:rPr>
          <w:rFonts w:eastAsiaTheme="minorHAnsi"/>
          <w:lang w:eastAsia="en-US"/>
        </w:rPr>
        <w:t>c) štátny občan Slovenskej republiky, ak spĺňa predpoklady na vymenovanie podľa § 6 a najmenej desať rokov vykonával funkciu prokurátora, sudcu alebo advokáta, alebo bol najmenej desať rokov činný v právnickom povolaní.</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(2) Na výberové konanie na funkcie uvedené v § 24a ods. 10 a na výberovú komisiu sa primerane použijú ustanovenia § 21 a § 21a.</w:t>
      </w:r>
    </w:p>
    <w:p w:rsidR="00907FA0" w:rsidRPr="00907FA0" w:rsidRDefault="00907FA0" w:rsidP="00EC6EB5">
      <w:pPr>
        <w:spacing w:before="120" w:line="276" w:lineRule="auto"/>
        <w:rPr>
          <w:rFonts w:eastAsiaTheme="minorHAnsi"/>
          <w:lang w:eastAsia="en-US"/>
        </w:rPr>
      </w:pPr>
      <w:r w:rsidRPr="00907FA0">
        <w:rPr>
          <w:rFonts w:eastAsiaTheme="minorHAnsi"/>
          <w:lang w:eastAsia="en-US"/>
        </w:rPr>
        <w:t>(3) Pred vymenovaním do funkcie v Úrade špeciálnej prokuratúry generálny prokurátor preloží prokurátora uvedeného v odseku 1 písm. b) na generálnu prokuratúru, ak spĺňa podmienky na vymenovanie do funkcie v Úrade špeciálnej prokuratúry.</w:t>
      </w:r>
    </w:p>
    <w:p w:rsidR="00907FA0" w:rsidRDefault="00907FA0" w:rsidP="00497BE3">
      <w:pPr>
        <w:rPr>
          <w:rFonts w:eastAsiaTheme="minorHAnsi"/>
          <w:lang w:eastAsia="en-US"/>
        </w:rPr>
      </w:pPr>
      <w:r w:rsidRPr="00907FA0">
        <w:rPr>
          <w:rFonts w:eastAsiaTheme="minorHAnsi"/>
          <w:lang w:eastAsia="en-US"/>
        </w:rPr>
        <w:t>(4) Ak je za prokurátora Úradu špeciálnej prokuratúry vymenovaný prokurátor, ktorý v čase vymenovania nie je prokurátorom generálnej prokuratúry, stáva sa dňom zloženia sľubu prokurátorom Úradu špeciálnej prokuratúry.</w:t>
      </w:r>
      <w:r w:rsidR="00395C10">
        <w:rPr>
          <w:rFonts w:eastAsiaTheme="minorHAnsi"/>
          <w:lang w:eastAsia="en-US"/>
        </w:rPr>
        <w:t>“.</w:t>
      </w:r>
    </w:p>
    <w:p w:rsidR="00497BE3" w:rsidRPr="00907FA0" w:rsidRDefault="00497BE3" w:rsidP="00497BE3">
      <w:pPr>
        <w:rPr>
          <w:rFonts w:eastAsiaTheme="minorHAnsi"/>
          <w:lang w:eastAsia="en-US"/>
        </w:rPr>
      </w:pPr>
    </w:p>
    <w:p w:rsidR="00907FA0" w:rsidRPr="00907FA0" w:rsidRDefault="00BA6AA9" w:rsidP="00497BE3">
      <w:pPr>
        <w:rPr>
          <w:rFonts w:eastAsiaTheme="minorHAnsi"/>
          <w:lang w:eastAsia="en-US"/>
        </w:rPr>
      </w:pPr>
      <w:r w:rsidRPr="00497BE3">
        <w:rPr>
          <w:rFonts w:eastAsiaTheme="minorHAnsi"/>
          <w:b/>
          <w:lang w:eastAsia="en-US"/>
        </w:rPr>
        <w:t>14.</w:t>
      </w:r>
      <w:r>
        <w:rPr>
          <w:rFonts w:eastAsiaTheme="minorHAnsi"/>
          <w:lang w:eastAsia="en-US"/>
        </w:rPr>
        <w:t xml:space="preserve"> </w:t>
      </w:r>
      <w:r w:rsidR="00907FA0" w:rsidRPr="00907FA0">
        <w:rPr>
          <w:rFonts w:eastAsiaTheme="minorHAnsi"/>
          <w:lang w:eastAsia="en-US"/>
        </w:rPr>
        <w:t>V § 24d odsek 4 znie:</w:t>
      </w:r>
    </w:p>
    <w:p w:rsidR="00907FA0" w:rsidRDefault="00907FA0" w:rsidP="00497BE3">
      <w:pPr>
        <w:rPr>
          <w:rFonts w:eastAsiaTheme="minorHAnsi"/>
          <w:shd w:val="clear" w:color="auto" w:fill="FFFFFF"/>
          <w:lang w:eastAsia="en-US"/>
        </w:rPr>
      </w:pPr>
      <w:r w:rsidRPr="00907FA0">
        <w:rPr>
          <w:rFonts w:eastAsiaTheme="minorHAnsi"/>
          <w:lang w:eastAsia="en-US"/>
        </w:rPr>
        <w:t>„(4)</w:t>
      </w:r>
      <w:r w:rsidRPr="00907FA0">
        <w:rPr>
          <w:rFonts w:ascii="Segoe UI" w:eastAsiaTheme="minorHAnsi" w:hAnsi="Segoe UI" w:cs="Segoe UI"/>
          <w:color w:val="494949"/>
          <w:sz w:val="21"/>
          <w:szCs w:val="21"/>
          <w:shd w:val="clear" w:color="auto" w:fill="FFFFFF"/>
          <w:lang w:eastAsia="en-US"/>
        </w:rPr>
        <w:t xml:space="preserve"> </w:t>
      </w:r>
      <w:r w:rsidRPr="00907FA0">
        <w:rPr>
          <w:rFonts w:eastAsiaTheme="minorHAnsi"/>
          <w:shd w:val="clear" w:color="auto" w:fill="FFFFFF"/>
          <w:lang w:eastAsia="en-US"/>
        </w:rPr>
        <w:t>Ustanovenia odsekov 1 až 3 sa nevzťahujú na špeciálneho prokurátora. Špeciálny prokurátor môže byť z funkcie odvolaný iba národnou radou z dôvodov uvedených v § 24aa ods. 3 p</w:t>
      </w:r>
      <w:r w:rsidR="00395C10">
        <w:rPr>
          <w:rFonts w:eastAsiaTheme="minorHAnsi"/>
          <w:shd w:val="clear" w:color="auto" w:fill="FFFFFF"/>
          <w:lang w:eastAsia="en-US"/>
        </w:rPr>
        <w:t>ostupom podľa § 24aa ods. 4.“.</w:t>
      </w:r>
    </w:p>
    <w:p w:rsidR="00497BE3" w:rsidRPr="00907FA0" w:rsidRDefault="00497BE3" w:rsidP="00497BE3">
      <w:pPr>
        <w:rPr>
          <w:rFonts w:eastAsiaTheme="minorHAnsi"/>
          <w:shd w:val="clear" w:color="auto" w:fill="FFFFFF"/>
          <w:lang w:eastAsia="en-US"/>
        </w:rPr>
      </w:pPr>
    </w:p>
    <w:p w:rsidR="00907FA0" w:rsidRDefault="00BA6AA9" w:rsidP="00497BE3">
      <w:pPr>
        <w:rPr>
          <w:rFonts w:eastAsiaTheme="minorHAnsi"/>
          <w:shd w:val="clear" w:color="auto" w:fill="FFFFFF"/>
          <w:lang w:eastAsia="en-US"/>
        </w:rPr>
      </w:pPr>
      <w:r w:rsidRPr="00497BE3">
        <w:rPr>
          <w:rFonts w:eastAsiaTheme="minorHAnsi"/>
          <w:b/>
          <w:shd w:val="clear" w:color="auto" w:fill="FFFFFF"/>
          <w:lang w:eastAsia="en-US"/>
        </w:rPr>
        <w:t>15.</w:t>
      </w:r>
      <w:r>
        <w:rPr>
          <w:rFonts w:eastAsiaTheme="minorHAnsi"/>
          <w:shd w:val="clear" w:color="auto" w:fill="FFFFFF"/>
          <w:lang w:eastAsia="en-US"/>
        </w:rPr>
        <w:t xml:space="preserve"> </w:t>
      </w:r>
      <w:r w:rsidR="00907FA0" w:rsidRPr="00907FA0">
        <w:rPr>
          <w:rFonts w:eastAsiaTheme="minorHAnsi"/>
          <w:shd w:val="clear" w:color="auto" w:fill="FFFFFF"/>
          <w:lang w:eastAsia="en-US"/>
        </w:rPr>
        <w:t>V § 68 ods. 1 písm. c) druhom bode sa slová „Národnej rady Slovenskej republiky“ nahrá</w:t>
      </w:r>
      <w:r w:rsidR="00395C10">
        <w:rPr>
          <w:rFonts w:eastAsiaTheme="minorHAnsi"/>
          <w:shd w:val="clear" w:color="auto" w:fill="FFFFFF"/>
          <w:lang w:eastAsia="en-US"/>
        </w:rPr>
        <w:t>dzajú slovami „národnej rady“.</w:t>
      </w:r>
    </w:p>
    <w:p w:rsidR="00497BE3" w:rsidRPr="00907FA0" w:rsidRDefault="00497BE3" w:rsidP="00497BE3">
      <w:pPr>
        <w:rPr>
          <w:rFonts w:eastAsiaTheme="minorHAnsi"/>
          <w:shd w:val="clear" w:color="auto" w:fill="FFFFFF"/>
          <w:lang w:eastAsia="en-US"/>
        </w:rPr>
      </w:pPr>
    </w:p>
    <w:p w:rsidR="00907FA0" w:rsidRPr="00907FA0" w:rsidRDefault="00BA6AA9" w:rsidP="00497BE3">
      <w:pPr>
        <w:rPr>
          <w:rFonts w:eastAsiaTheme="minorHAnsi"/>
          <w:shd w:val="clear" w:color="auto" w:fill="FFFFFF"/>
          <w:lang w:eastAsia="en-US"/>
        </w:rPr>
      </w:pPr>
      <w:r w:rsidRPr="00497BE3">
        <w:rPr>
          <w:rFonts w:eastAsiaTheme="minorHAnsi"/>
          <w:b/>
          <w:shd w:val="clear" w:color="auto" w:fill="FFFFFF"/>
          <w:lang w:eastAsia="en-US"/>
        </w:rPr>
        <w:t>16.</w:t>
      </w:r>
      <w:r>
        <w:rPr>
          <w:rFonts w:eastAsiaTheme="minorHAnsi"/>
          <w:shd w:val="clear" w:color="auto" w:fill="FFFFFF"/>
          <w:lang w:eastAsia="en-US"/>
        </w:rPr>
        <w:t xml:space="preserve"> </w:t>
      </w:r>
      <w:r w:rsidR="00907FA0" w:rsidRPr="00907FA0">
        <w:rPr>
          <w:rFonts w:eastAsiaTheme="minorHAnsi"/>
          <w:shd w:val="clear" w:color="auto" w:fill="FFFFFF"/>
          <w:lang w:eastAsia="en-US"/>
        </w:rPr>
        <w:t>V § 189 ods. 4 druhej vete sa slová „Národná rada Slovenskej republiky“ nahrádzajú slovami „národná rada“.</w:t>
      </w:r>
    </w:p>
    <w:p w:rsidR="00CD32C7" w:rsidRDefault="00CD32C7"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650D32" w:rsidRDefault="00650D32" w:rsidP="00EC6EB5">
      <w:pPr>
        <w:jc w:val="center"/>
        <w:rPr>
          <w:b/>
        </w:rPr>
      </w:pPr>
    </w:p>
    <w:p w:rsidR="003E5E00" w:rsidRPr="00475FFA" w:rsidRDefault="0036509B" w:rsidP="00EC6EB5">
      <w:pPr>
        <w:jc w:val="center"/>
        <w:rPr>
          <w:b/>
        </w:rPr>
      </w:pPr>
      <w:r>
        <w:rPr>
          <w:b/>
        </w:rPr>
        <w:lastRenderedPageBreak/>
        <w:t xml:space="preserve">Čl. </w:t>
      </w:r>
      <w:r w:rsidR="003B2135">
        <w:rPr>
          <w:b/>
        </w:rPr>
        <w:t>V</w:t>
      </w:r>
    </w:p>
    <w:p w:rsidR="00651FDD" w:rsidRPr="00651FDD" w:rsidRDefault="00651FDD" w:rsidP="00EC6EB5">
      <w:pPr>
        <w:rPr>
          <w:b/>
          <w:bCs/>
        </w:rPr>
      </w:pPr>
    </w:p>
    <w:p w:rsidR="00C33A5D" w:rsidRDefault="003E5E00" w:rsidP="00EC6EB5">
      <w:r>
        <w:t xml:space="preserve">Tento zákon nadobúda účinnosť </w:t>
      </w:r>
      <w:r w:rsidR="000B4DBB">
        <w:t>dňom vyhlásenia.</w:t>
      </w:r>
    </w:p>
    <w:p w:rsidR="00556E44" w:rsidRDefault="00556E44" w:rsidP="00EC6EB5"/>
    <w:p w:rsidR="00556E44" w:rsidRDefault="00556E44" w:rsidP="00EC6EB5"/>
    <w:p w:rsidR="00556E44" w:rsidRDefault="00556E44" w:rsidP="00EC6EB5"/>
    <w:p w:rsidR="00556E44" w:rsidRDefault="00556E44" w:rsidP="00EC6EB5"/>
    <w:p w:rsidR="00556E44" w:rsidRDefault="00556E44" w:rsidP="00EC6EB5"/>
    <w:p w:rsidR="00556E44" w:rsidRDefault="00556E44" w:rsidP="00EC6EB5"/>
    <w:p w:rsidR="00556E44" w:rsidRDefault="00556E44" w:rsidP="00EC6EB5"/>
    <w:p w:rsidR="00650D32" w:rsidRDefault="00650D32" w:rsidP="00EC6EB5"/>
    <w:p w:rsidR="00556E44" w:rsidRDefault="00556E44" w:rsidP="00EC6EB5"/>
    <w:p w:rsidR="00556E44" w:rsidRDefault="00556E44" w:rsidP="00EC6EB5"/>
    <w:p w:rsidR="00556E44" w:rsidRDefault="00556E44" w:rsidP="00EC6EB5"/>
    <w:p w:rsidR="00556E44" w:rsidRDefault="00556E44" w:rsidP="00EC6EB5"/>
    <w:p w:rsidR="00556E44" w:rsidRDefault="00556E44" w:rsidP="00EC6EB5"/>
    <w:p w:rsidR="00556E44" w:rsidRDefault="00556E44" w:rsidP="00EC6EB5"/>
    <w:p w:rsidR="00556E44" w:rsidRPr="00E106F1" w:rsidRDefault="00556E44" w:rsidP="00556E44">
      <w:pPr>
        <w:ind w:firstLine="426"/>
        <w:jc w:val="center"/>
      </w:pPr>
      <w:r w:rsidRPr="00E106F1">
        <w:t>prezident</w:t>
      </w:r>
      <w:r>
        <w:t>ka</w:t>
      </w:r>
      <w:r w:rsidRPr="00E106F1">
        <w:t xml:space="preserve">  Slovenskej republiky</w:t>
      </w: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r w:rsidRPr="00E106F1">
        <w:t>predseda Národnej rady Slovenskej republiky</w:t>
      </w: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p>
    <w:p w:rsidR="00556E44" w:rsidRPr="00E106F1" w:rsidRDefault="00556E44" w:rsidP="00556E44">
      <w:pPr>
        <w:ind w:firstLine="426"/>
        <w:jc w:val="center"/>
      </w:pPr>
      <w:r w:rsidRPr="00E106F1">
        <w:t>predseda vlády Slovenskej republiky</w:t>
      </w:r>
    </w:p>
    <w:p w:rsidR="00556E44" w:rsidRPr="00E106F1" w:rsidRDefault="00556E44" w:rsidP="00556E44">
      <w:pPr>
        <w:ind w:firstLine="426"/>
      </w:pPr>
    </w:p>
    <w:p w:rsidR="00556E44" w:rsidRPr="005C7F3D" w:rsidRDefault="00556E44" w:rsidP="00EC6EB5"/>
    <w:sectPr w:rsidR="00556E44" w:rsidRPr="005C7F3D" w:rsidSect="00450A56">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A1F" w:rsidRDefault="001F5A1F" w:rsidP="00450A56">
      <w:r>
        <w:separator/>
      </w:r>
    </w:p>
  </w:endnote>
  <w:endnote w:type="continuationSeparator" w:id="0">
    <w:p w:rsidR="001F5A1F" w:rsidRDefault="001F5A1F" w:rsidP="004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320608942"/>
      <w:docPartObj>
        <w:docPartGallery w:val="Page Numbers (Bottom of Page)"/>
        <w:docPartUnique/>
      </w:docPartObj>
    </w:sdtPr>
    <w:sdtEndPr>
      <w:rPr>
        <w:rStyle w:val="slostrany"/>
      </w:rPr>
    </w:sdtEndPr>
    <w:sdtContent>
      <w:p w:rsidR="00450A56" w:rsidRDefault="00450A56"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450A56" w:rsidRDefault="00450A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Fonts w:ascii="Times New Roman" w:hAnsi="Times New Roman" w:cs="Times New Roman"/>
        <w:sz w:val="24"/>
        <w:szCs w:val="24"/>
      </w:rPr>
      <w:id w:val="1627668820"/>
      <w:docPartObj>
        <w:docPartGallery w:val="Page Numbers (Bottom of Page)"/>
        <w:docPartUnique/>
      </w:docPartObj>
    </w:sdtPr>
    <w:sdtEndPr>
      <w:rPr>
        <w:rStyle w:val="slostrany"/>
      </w:rPr>
    </w:sdtEndPr>
    <w:sdtContent>
      <w:p w:rsidR="00450A56" w:rsidRPr="00450A56" w:rsidRDefault="00450A56" w:rsidP="001D1D86">
        <w:pPr>
          <w:pStyle w:val="Pta"/>
          <w:framePr w:wrap="none" w:vAnchor="text" w:hAnchor="margin" w:xAlign="center" w:y="1"/>
          <w:rPr>
            <w:rStyle w:val="slostrany"/>
            <w:rFonts w:ascii="Times New Roman" w:hAnsi="Times New Roman" w:cs="Times New Roman"/>
            <w:sz w:val="24"/>
            <w:szCs w:val="24"/>
          </w:rPr>
        </w:pPr>
        <w:r w:rsidRPr="00450A56">
          <w:rPr>
            <w:rStyle w:val="slostrany"/>
            <w:rFonts w:ascii="Times New Roman" w:hAnsi="Times New Roman" w:cs="Times New Roman"/>
            <w:sz w:val="24"/>
            <w:szCs w:val="24"/>
          </w:rPr>
          <w:fldChar w:fldCharType="begin"/>
        </w:r>
        <w:r w:rsidRPr="00450A56">
          <w:rPr>
            <w:rStyle w:val="slostrany"/>
            <w:rFonts w:ascii="Times New Roman" w:hAnsi="Times New Roman" w:cs="Times New Roman"/>
            <w:sz w:val="24"/>
            <w:szCs w:val="24"/>
          </w:rPr>
          <w:instrText xml:space="preserve"> PAGE </w:instrText>
        </w:r>
        <w:r w:rsidRPr="00450A56">
          <w:rPr>
            <w:rStyle w:val="slostrany"/>
            <w:rFonts w:ascii="Times New Roman" w:hAnsi="Times New Roman" w:cs="Times New Roman"/>
            <w:sz w:val="24"/>
            <w:szCs w:val="24"/>
          </w:rPr>
          <w:fldChar w:fldCharType="separate"/>
        </w:r>
        <w:r w:rsidR="008D635B">
          <w:rPr>
            <w:rStyle w:val="slostrany"/>
            <w:rFonts w:ascii="Times New Roman" w:hAnsi="Times New Roman" w:cs="Times New Roman"/>
            <w:noProof/>
            <w:sz w:val="24"/>
            <w:szCs w:val="24"/>
          </w:rPr>
          <w:t>11</w:t>
        </w:r>
        <w:r w:rsidRPr="00450A56">
          <w:rPr>
            <w:rStyle w:val="slostrany"/>
            <w:rFonts w:ascii="Times New Roman" w:hAnsi="Times New Roman" w:cs="Times New Roman"/>
            <w:sz w:val="24"/>
            <w:szCs w:val="24"/>
          </w:rPr>
          <w:fldChar w:fldCharType="end"/>
        </w:r>
      </w:p>
    </w:sdtContent>
  </w:sdt>
  <w:p w:rsidR="00450A56" w:rsidRPr="00450A56" w:rsidRDefault="00450A56">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A1F" w:rsidRDefault="001F5A1F" w:rsidP="00450A56">
      <w:r>
        <w:separator/>
      </w:r>
    </w:p>
  </w:footnote>
  <w:footnote w:type="continuationSeparator" w:id="0">
    <w:p w:rsidR="001F5A1F" w:rsidRDefault="001F5A1F" w:rsidP="0045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2E5"/>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693FDA"/>
    <w:multiLevelType w:val="hybridMultilevel"/>
    <w:tmpl w:val="C0F4FF5E"/>
    <w:lvl w:ilvl="0" w:tplc="43D262C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88F77B2"/>
    <w:multiLevelType w:val="hybridMultilevel"/>
    <w:tmpl w:val="257EA364"/>
    <w:lvl w:ilvl="0" w:tplc="E620F1E2">
      <w:start w:val="1"/>
      <w:numFmt w:val="lowerLetter"/>
      <w:lvlText w:val="%1)"/>
      <w:lvlJc w:val="left"/>
      <w:pPr>
        <w:ind w:left="2156" w:hanging="360"/>
      </w:pPr>
      <w:rPr>
        <w:rFonts w:ascii="Times New Roman" w:eastAsiaTheme="minorHAnsi" w:hAnsi="Times New Roman" w:cs="Times New Roman"/>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abstractNum w:abstractNumId="3" w15:restartNumberingAfterBreak="0">
    <w:nsid w:val="39967733"/>
    <w:multiLevelType w:val="hybridMultilevel"/>
    <w:tmpl w:val="DDEAF624"/>
    <w:lvl w:ilvl="0" w:tplc="48682088">
      <w:start w:val="1"/>
      <w:numFmt w:val="decimal"/>
      <w:lvlText w:val="%1."/>
      <w:lvlJc w:val="left"/>
      <w:pPr>
        <w:ind w:left="0" w:firstLine="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9B1F97"/>
    <w:multiLevelType w:val="hybridMultilevel"/>
    <w:tmpl w:val="FACE4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9E6B14"/>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18116D3"/>
    <w:multiLevelType w:val="hybridMultilevel"/>
    <w:tmpl w:val="0C4E913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B55AED"/>
    <w:multiLevelType w:val="hybridMultilevel"/>
    <w:tmpl w:val="0F082708"/>
    <w:lvl w:ilvl="0" w:tplc="BA9EAFE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8AF1FFE"/>
    <w:multiLevelType w:val="hybridMultilevel"/>
    <w:tmpl w:val="740A19C8"/>
    <w:lvl w:ilvl="0" w:tplc="041B0017">
      <w:start w:val="1"/>
      <w:numFmt w:val="lowerLetter"/>
      <w:lvlText w:val="%1)"/>
      <w:lvlJc w:val="left"/>
      <w:pPr>
        <w:ind w:left="2156" w:hanging="360"/>
      </w:pPr>
      <w:rPr>
        <w:rFonts w:hint="default"/>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num w:numId="1">
    <w:abstractNumId w:val="8"/>
  </w:num>
  <w:num w:numId="2">
    <w:abstractNumId w:val="5"/>
  </w:num>
  <w:num w:numId="3">
    <w:abstractNumId w:val="7"/>
  </w:num>
  <w:num w:numId="4">
    <w:abstractNumId w:val="0"/>
  </w:num>
  <w:num w:numId="5">
    <w:abstractNumId w:val="4"/>
  </w:num>
  <w:num w:numId="6">
    <w:abstractNumId w:val="2"/>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00"/>
    <w:rsid w:val="00010F79"/>
    <w:rsid w:val="0001147A"/>
    <w:rsid w:val="00017CA4"/>
    <w:rsid w:val="00020E22"/>
    <w:rsid w:val="0004632B"/>
    <w:rsid w:val="0004721C"/>
    <w:rsid w:val="000627F1"/>
    <w:rsid w:val="000B2027"/>
    <w:rsid w:val="000B4DBB"/>
    <w:rsid w:val="000B589D"/>
    <w:rsid w:val="000B663B"/>
    <w:rsid w:val="00104B92"/>
    <w:rsid w:val="00111F96"/>
    <w:rsid w:val="001149AB"/>
    <w:rsid w:val="00142E68"/>
    <w:rsid w:val="0016126B"/>
    <w:rsid w:val="00163D78"/>
    <w:rsid w:val="001714D4"/>
    <w:rsid w:val="001A0881"/>
    <w:rsid w:val="001C3F89"/>
    <w:rsid w:val="001C7A14"/>
    <w:rsid w:val="001D1514"/>
    <w:rsid w:val="001F47A7"/>
    <w:rsid w:val="001F5A1F"/>
    <w:rsid w:val="00204CC8"/>
    <w:rsid w:val="00215A1A"/>
    <w:rsid w:val="00220377"/>
    <w:rsid w:val="0022166E"/>
    <w:rsid w:val="00257214"/>
    <w:rsid w:val="00277712"/>
    <w:rsid w:val="00277A11"/>
    <w:rsid w:val="0028088E"/>
    <w:rsid w:val="00290453"/>
    <w:rsid w:val="00294C10"/>
    <w:rsid w:val="002C7DD5"/>
    <w:rsid w:val="002D3EC8"/>
    <w:rsid w:val="00304857"/>
    <w:rsid w:val="0031664F"/>
    <w:rsid w:val="003260F0"/>
    <w:rsid w:val="003304C5"/>
    <w:rsid w:val="0036509B"/>
    <w:rsid w:val="00376ACA"/>
    <w:rsid w:val="00385855"/>
    <w:rsid w:val="003901AF"/>
    <w:rsid w:val="00395C10"/>
    <w:rsid w:val="003A6A92"/>
    <w:rsid w:val="003B2135"/>
    <w:rsid w:val="003D6DD4"/>
    <w:rsid w:val="003D728C"/>
    <w:rsid w:val="003E5E00"/>
    <w:rsid w:val="003F4CE0"/>
    <w:rsid w:val="00415AA1"/>
    <w:rsid w:val="0042119D"/>
    <w:rsid w:val="004507D5"/>
    <w:rsid w:val="00450A56"/>
    <w:rsid w:val="0045457D"/>
    <w:rsid w:val="00497BE3"/>
    <w:rsid w:val="004A58BE"/>
    <w:rsid w:val="004D1159"/>
    <w:rsid w:val="004D557D"/>
    <w:rsid w:val="004E1692"/>
    <w:rsid w:val="004F0D21"/>
    <w:rsid w:val="004F37F4"/>
    <w:rsid w:val="004F5B50"/>
    <w:rsid w:val="00512D43"/>
    <w:rsid w:val="00556E44"/>
    <w:rsid w:val="005765BF"/>
    <w:rsid w:val="005A5409"/>
    <w:rsid w:val="005B3E7C"/>
    <w:rsid w:val="005C282F"/>
    <w:rsid w:val="005C7F3D"/>
    <w:rsid w:val="005D039D"/>
    <w:rsid w:val="005D3D55"/>
    <w:rsid w:val="005E49E4"/>
    <w:rsid w:val="005F61CC"/>
    <w:rsid w:val="005F6698"/>
    <w:rsid w:val="006034D9"/>
    <w:rsid w:val="00604676"/>
    <w:rsid w:val="00643B54"/>
    <w:rsid w:val="00650D32"/>
    <w:rsid w:val="00651FDD"/>
    <w:rsid w:val="0066732B"/>
    <w:rsid w:val="00682D67"/>
    <w:rsid w:val="006F322D"/>
    <w:rsid w:val="00715857"/>
    <w:rsid w:val="00717DAE"/>
    <w:rsid w:val="00720C03"/>
    <w:rsid w:val="007210EF"/>
    <w:rsid w:val="007263D4"/>
    <w:rsid w:val="00742EAC"/>
    <w:rsid w:val="00772FF3"/>
    <w:rsid w:val="00786A00"/>
    <w:rsid w:val="007E0E3C"/>
    <w:rsid w:val="007E1240"/>
    <w:rsid w:val="00806787"/>
    <w:rsid w:val="008067C3"/>
    <w:rsid w:val="00815A5F"/>
    <w:rsid w:val="00831D2A"/>
    <w:rsid w:val="00877D09"/>
    <w:rsid w:val="008D635B"/>
    <w:rsid w:val="00907FA0"/>
    <w:rsid w:val="009179AC"/>
    <w:rsid w:val="00920820"/>
    <w:rsid w:val="009247AC"/>
    <w:rsid w:val="00943F71"/>
    <w:rsid w:val="00955795"/>
    <w:rsid w:val="0098295A"/>
    <w:rsid w:val="00983E1F"/>
    <w:rsid w:val="00984150"/>
    <w:rsid w:val="009C3C7E"/>
    <w:rsid w:val="009C74BF"/>
    <w:rsid w:val="009D11F9"/>
    <w:rsid w:val="00A1761D"/>
    <w:rsid w:val="00A35919"/>
    <w:rsid w:val="00A5460E"/>
    <w:rsid w:val="00A557BA"/>
    <w:rsid w:val="00A752AB"/>
    <w:rsid w:val="00A80458"/>
    <w:rsid w:val="00A94FDF"/>
    <w:rsid w:val="00AA40DA"/>
    <w:rsid w:val="00AB3AA9"/>
    <w:rsid w:val="00AB77B2"/>
    <w:rsid w:val="00AC0E56"/>
    <w:rsid w:val="00AD10CA"/>
    <w:rsid w:val="00B22285"/>
    <w:rsid w:val="00B247B7"/>
    <w:rsid w:val="00B47B95"/>
    <w:rsid w:val="00B803D9"/>
    <w:rsid w:val="00B82606"/>
    <w:rsid w:val="00BA6AA9"/>
    <w:rsid w:val="00BB740C"/>
    <w:rsid w:val="00BC08B2"/>
    <w:rsid w:val="00BC3ED5"/>
    <w:rsid w:val="00BD285F"/>
    <w:rsid w:val="00BE141D"/>
    <w:rsid w:val="00C33A5D"/>
    <w:rsid w:val="00C53CE2"/>
    <w:rsid w:val="00C74076"/>
    <w:rsid w:val="00C744B0"/>
    <w:rsid w:val="00C949BB"/>
    <w:rsid w:val="00CA699F"/>
    <w:rsid w:val="00CD0482"/>
    <w:rsid w:val="00CD32C7"/>
    <w:rsid w:val="00D01E58"/>
    <w:rsid w:val="00D167CA"/>
    <w:rsid w:val="00D7682E"/>
    <w:rsid w:val="00D95871"/>
    <w:rsid w:val="00DB250C"/>
    <w:rsid w:val="00E34F3D"/>
    <w:rsid w:val="00E4418E"/>
    <w:rsid w:val="00E478D6"/>
    <w:rsid w:val="00E65602"/>
    <w:rsid w:val="00E75AED"/>
    <w:rsid w:val="00E8408B"/>
    <w:rsid w:val="00EC6EB5"/>
    <w:rsid w:val="00ED3AFA"/>
    <w:rsid w:val="00EE405D"/>
    <w:rsid w:val="00F01618"/>
    <w:rsid w:val="00F05BBF"/>
    <w:rsid w:val="00F137AE"/>
    <w:rsid w:val="00F40EAE"/>
    <w:rsid w:val="00F42809"/>
    <w:rsid w:val="00F529A8"/>
    <w:rsid w:val="00F7329C"/>
    <w:rsid w:val="00F751FA"/>
    <w:rsid w:val="00F81E1A"/>
    <w:rsid w:val="00F87B92"/>
    <w:rsid w:val="00F94180"/>
    <w:rsid w:val="00FA6CBE"/>
    <w:rsid w:val="00FA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C304"/>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5BBF"/>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5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semiHidden/>
    <w:unhideWhenUsed/>
    <w:rsid w:val="00E65602"/>
    <w:rPr>
      <w:color w:val="0000FF"/>
      <w:u w:val="single"/>
    </w:rPr>
  </w:style>
  <w:style w:type="paragraph" w:styleId="Textbubliny">
    <w:name w:val="Balloon Text"/>
    <w:basedOn w:val="Normlny"/>
    <w:link w:val="TextbublinyChar"/>
    <w:uiPriority w:val="99"/>
    <w:semiHidden/>
    <w:unhideWhenUsed/>
    <w:rsid w:val="00FA7880"/>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FA7880"/>
    <w:rPr>
      <w:rFonts w:ascii="Tahoma" w:hAnsi="Tahoma" w:cs="Tahoma"/>
      <w:sz w:val="16"/>
      <w:szCs w:val="16"/>
    </w:rPr>
  </w:style>
  <w:style w:type="paragraph" w:styleId="Pta">
    <w:name w:val="footer"/>
    <w:basedOn w:val="Normlny"/>
    <w:link w:val="Pt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50A56"/>
  </w:style>
  <w:style w:type="character" w:styleId="slostrany">
    <w:name w:val="page number"/>
    <w:basedOn w:val="Predvolenpsmoodseku"/>
    <w:uiPriority w:val="99"/>
    <w:semiHidden/>
    <w:unhideWhenUsed/>
    <w:rsid w:val="00450A56"/>
  </w:style>
  <w:style w:type="paragraph" w:styleId="Hlavika">
    <w:name w:val="header"/>
    <w:basedOn w:val="Normlny"/>
    <w:link w:val="Hlavik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50A56"/>
  </w:style>
  <w:style w:type="character" w:styleId="Odkaznakomentr">
    <w:name w:val="annotation reference"/>
    <w:basedOn w:val="Predvolenpsmoodseku"/>
    <w:uiPriority w:val="99"/>
    <w:semiHidden/>
    <w:unhideWhenUsed/>
    <w:rsid w:val="004D1159"/>
    <w:rPr>
      <w:sz w:val="16"/>
      <w:szCs w:val="16"/>
    </w:rPr>
  </w:style>
  <w:style w:type="paragraph" w:styleId="Textkomentra">
    <w:name w:val="annotation text"/>
    <w:basedOn w:val="Normlny"/>
    <w:link w:val="TextkomentraChar"/>
    <w:uiPriority w:val="99"/>
    <w:semiHidden/>
    <w:unhideWhenUsed/>
    <w:rsid w:val="004D1159"/>
    <w:rPr>
      <w:sz w:val="20"/>
      <w:szCs w:val="20"/>
    </w:rPr>
  </w:style>
  <w:style w:type="character" w:customStyle="1" w:styleId="TextkomentraChar">
    <w:name w:val="Text komentára Char"/>
    <w:basedOn w:val="Predvolenpsmoodseku"/>
    <w:link w:val="Textkomentra"/>
    <w:uiPriority w:val="99"/>
    <w:semiHidden/>
    <w:rsid w:val="004D115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1159"/>
    <w:rPr>
      <w:b/>
      <w:bCs/>
    </w:rPr>
  </w:style>
  <w:style w:type="character" w:customStyle="1" w:styleId="PredmetkomentraChar">
    <w:name w:val="Predmet komentára Char"/>
    <w:basedOn w:val="TextkomentraChar"/>
    <w:link w:val="Predmetkomentra"/>
    <w:uiPriority w:val="99"/>
    <w:semiHidden/>
    <w:rsid w:val="004D1159"/>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480">
      <w:bodyDiv w:val="1"/>
      <w:marLeft w:val="0"/>
      <w:marRight w:val="0"/>
      <w:marTop w:val="0"/>
      <w:marBottom w:val="0"/>
      <w:divBdr>
        <w:top w:val="none" w:sz="0" w:space="0" w:color="auto"/>
        <w:left w:val="none" w:sz="0" w:space="0" w:color="auto"/>
        <w:bottom w:val="none" w:sz="0" w:space="0" w:color="auto"/>
        <w:right w:val="none" w:sz="0" w:space="0" w:color="auto"/>
      </w:divBdr>
    </w:div>
    <w:div w:id="55472538">
      <w:bodyDiv w:val="1"/>
      <w:marLeft w:val="0"/>
      <w:marRight w:val="0"/>
      <w:marTop w:val="0"/>
      <w:marBottom w:val="0"/>
      <w:divBdr>
        <w:top w:val="none" w:sz="0" w:space="0" w:color="auto"/>
        <w:left w:val="none" w:sz="0" w:space="0" w:color="auto"/>
        <w:bottom w:val="none" w:sz="0" w:space="0" w:color="auto"/>
        <w:right w:val="none" w:sz="0" w:space="0" w:color="auto"/>
      </w:divBdr>
      <w:divsChild>
        <w:div w:id="103619909">
          <w:marLeft w:val="255"/>
          <w:marRight w:val="0"/>
          <w:marTop w:val="75"/>
          <w:marBottom w:val="0"/>
          <w:divBdr>
            <w:top w:val="none" w:sz="0" w:space="0" w:color="auto"/>
            <w:left w:val="none" w:sz="0" w:space="0" w:color="auto"/>
            <w:bottom w:val="none" w:sz="0" w:space="0" w:color="auto"/>
            <w:right w:val="none" w:sz="0" w:space="0" w:color="auto"/>
          </w:divBdr>
          <w:divsChild>
            <w:div w:id="2120565551">
              <w:marLeft w:val="255"/>
              <w:marRight w:val="0"/>
              <w:marTop w:val="75"/>
              <w:marBottom w:val="0"/>
              <w:divBdr>
                <w:top w:val="none" w:sz="0" w:space="0" w:color="auto"/>
                <w:left w:val="none" w:sz="0" w:space="0" w:color="auto"/>
                <w:bottom w:val="none" w:sz="0" w:space="0" w:color="auto"/>
                <w:right w:val="none" w:sz="0" w:space="0" w:color="auto"/>
              </w:divBdr>
            </w:div>
            <w:div w:id="90858901">
              <w:marLeft w:val="255"/>
              <w:marRight w:val="0"/>
              <w:marTop w:val="75"/>
              <w:marBottom w:val="0"/>
              <w:divBdr>
                <w:top w:val="none" w:sz="0" w:space="0" w:color="auto"/>
                <w:left w:val="none" w:sz="0" w:space="0" w:color="auto"/>
                <w:bottom w:val="none" w:sz="0" w:space="0" w:color="auto"/>
                <w:right w:val="none" w:sz="0" w:space="0" w:color="auto"/>
              </w:divBdr>
            </w:div>
            <w:div w:id="1032145755">
              <w:marLeft w:val="255"/>
              <w:marRight w:val="0"/>
              <w:marTop w:val="75"/>
              <w:marBottom w:val="0"/>
              <w:divBdr>
                <w:top w:val="none" w:sz="0" w:space="0" w:color="auto"/>
                <w:left w:val="none" w:sz="0" w:space="0" w:color="auto"/>
                <w:bottom w:val="none" w:sz="0" w:space="0" w:color="auto"/>
                <w:right w:val="none" w:sz="0" w:space="0" w:color="auto"/>
              </w:divBdr>
            </w:div>
            <w:div w:id="2123260271">
              <w:marLeft w:val="255"/>
              <w:marRight w:val="0"/>
              <w:marTop w:val="75"/>
              <w:marBottom w:val="0"/>
              <w:divBdr>
                <w:top w:val="none" w:sz="0" w:space="0" w:color="auto"/>
                <w:left w:val="none" w:sz="0" w:space="0" w:color="auto"/>
                <w:bottom w:val="none" w:sz="0" w:space="0" w:color="auto"/>
                <w:right w:val="none" w:sz="0" w:space="0" w:color="auto"/>
              </w:divBdr>
            </w:div>
            <w:div w:id="349181732">
              <w:marLeft w:val="255"/>
              <w:marRight w:val="0"/>
              <w:marTop w:val="75"/>
              <w:marBottom w:val="0"/>
              <w:divBdr>
                <w:top w:val="none" w:sz="0" w:space="0" w:color="auto"/>
                <w:left w:val="none" w:sz="0" w:space="0" w:color="auto"/>
                <w:bottom w:val="none" w:sz="0" w:space="0" w:color="auto"/>
                <w:right w:val="none" w:sz="0" w:space="0" w:color="auto"/>
              </w:divBdr>
            </w:div>
            <w:div w:id="12154612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17819521">
      <w:bodyDiv w:val="1"/>
      <w:marLeft w:val="0"/>
      <w:marRight w:val="0"/>
      <w:marTop w:val="0"/>
      <w:marBottom w:val="0"/>
      <w:divBdr>
        <w:top w:val="none" w:sz="0" w:space="0" w:color="auto"/>
        <w:left w:val="none" w:sz="0" w:space="0" w:color="auto"/>
        <w:bottom w:val="none" w:sz="0" w:space="0" w:color="auto"/>
        <w:right w:val="none" w:sz="0" w:space="0" w:color="auto"/>
      </w:divBdr>
      <w:divsChild>
        <w:div w:id="663050077">
          <w:marLeft w:val="255"/>
          <w:marRight w:val="0"/>
          <w:marTop w:val="75"/>
          <w:marBottom w:val="0"/>
          <w:divBdr>
            <w:top w:val="none" w:sz="0" w:space="0" w:color="auto"/>
            <w:left w:val="none" w:sz="0" w:space="0" w:color="auto"/>
            <w:bottom w:val="none" w:sz="0" w:space="0" w:color="auto"/>
            <w:right w:val="none" w:sz="0" w:space="0" w:color="auto"/>
          </w:divBdr>
        </w:div>
        <w:div w:id="501429043">
          <w:marLeft w:val="255"/>
          <w:marRight w:val="0"/>
          <w:marTop w:val="75"/>
          <w:marBottom w:val="0"/>
          <w:divBdr>
            <w:top w:val="none" w:sz="0" w:space="0" w:color="auto"/>
            <w:left w:val="none" w:sz="0" w:space="0" w:color="auto"/>
            <w:bottom w:val="none" w:sz="0" w:space="0" w:color="auto"/>
            <w:right w:val="none" w:sz="0" w:space="0" w:color="auto"/>
          </w:divBdr>
        </w:div>
        <w:div w:id="963774034">
          <w:marLeft w:val="255"/>
          <w:marRight w:val="0"/>
          <w:marTop w:val="75"/>
          <w:marBottom w:val="0"/>
          <w:divBdr>
            <w:top w:val="none" w:sz="0" w:space="0" w:color="auto"/>
            <w:left w:val="none" w:sz="0" w:space="0" w:color="auto"/>
            <w:bottom w:val="none" w:sz="0" w:space="0" w:color="auto"/>
            <w:right w:val="none" w:sz="0" w:space="0" w:color="auto"/>
          </w:divBdr>
        </w:div>
        <w:div w:id="191189966">
          <w:marLeft w:val="255"/>
          <w:marRight w:val="0"/>
          <w:marTop w:val="75"/>
          <w:marBottom w:val="0"/>
          <w:divBdr>
            <w:top w:val="none" w:sz="0" w:space="0" w:color="auto"/>
            <w:left w:val="none" w:sz="0" w:space="0" w:color="auto"/>
            <w:bottom w:val="none" w:sz="0" w:space="0" w:color="auto"/>
            <w:right w:val="none" w:sz="0" w:space="0" w:color="auto"/>
          </w:divBdr>
        </w:div>
      </w:divsChild>
    </w:div>
    <w:div w:id="670715673">
      <w:bodyDiv w:val="1"/>
      <w:marLeft w:val="0"/>
      <w:marRight w:val="0"/>
      <w:marTop w:val="0"/>
      <w:marBottom w:val="0"/>
      <w:divBdr>
        <w:top w:val="none" w:sz="0" w:space="0" w:color="auto"/>
        <w:left w:val="none" w:sz="0" w:space="0" w:color="auto"/>
        <w:bottom w:val="none" w:sz="0" w:space="0" w:color="auto"/>
        <w:right w:val="none" w:sz="0" w:space="0" w:color="auto"/>
      </w:divBdr>
    </w:div>
    <w:div w:id="834341857">
      <w:bodyDiv w:val="1"/>
      <w:marLeft w:val="0"/>
      <w:marRight w:val="0"/>
      <w:marTop w:val="0"/>
      <w:marBottom w:val="0"/>
      <w:divBdr>
        <w:top w:val="none" w:sz="0" w:space="0" w:color="auto"/>
        <w:left w:val="none" w:sz="0" w:space="0" w:color="auto"/>
        <w:bottom w:val="none" w:sz="0" w:space="0" w:color="auto"/>
        <w:right w:val="none" w:sz="0" w:space="0" w:color="auto"/>
      </w:divBdr>
      <w:divsChild>
        <w:div w:id="10300640">
          <w:marLeft w:val="255"/>
          <w:marRight w:val="0"/>
          <w:marTop w:val="75"/>
          <w:marBottom w:val="0"/>
          <w:divBdr>
            <w:top w:val="none" w:sz="0" w:space="0" w:color="auto"/>
            <w:left w:val="none" w:sz="0" w:space="0" w:color="auto"/>
            <w:bottom w:val="none" w:sz="0" w:space="0" w:color="auto"/>
            <w:right w:val="none" w:sz="0" w:space="0" w:color="auto"/>
          </w:divBdr>
        </w:div>
        <w:div w:id="651719192">
          <w:marLeft w:val="255"/>
          <w:marRight w:val="0"/>
          <w:marTop w:val="75"/>
          <w:marBottom w:val="0"/>
          <w:divBdr>
            <w:top w:val="none" w:sz="0" w:space="0" w:color="auto"/>
            <w:left w:val="none" w:sz="0" w:space="0" w:color="auto"/>
            <w:bottom w:val="none" w:sz="0" w:space="0" w:color="auto"/>
            <w:right w:val="none" w:sz="0" w:space="0" w:color="auto"/>
          </w:divBdr>
        </w:div>
      </w:divsChild>
    </w:div>
    <w:div w:id="933561959">
      <w:bodyDiv w:val="1"/>
      <w:marLeft w:val="0"/>
      <w:marRight w:val="0"/>
      <w:marTop w:val="0"/>
      <w:marBottom w:val="0"/>
      <w:divBdr>
        <w:top w:val="none" w:sz="0" w:space="0" w:color="auto"/>
        <w:left w:val="none" w:sz="0" w:space="0" w:color="auto"/>
        <w:bottom w:val="none" w:sz="0" w:space="0" w:color="auto"/>
        <w:right w:val="none" w:sz="0" w:space="0" w:color="auto"/>
      </w:divBdr>
      <w:divsChild>
        <w:div w:id="652179155">
          <w:marLeft w:val="255"/>
          <w:marRight w:val="0"/>
          <w:marTop w:val="75"/>
          <w:marBottom w:val="0"/>
          <w:divBdr>
            <w:top w:val="none" w:sz="0" w:space="0" w:color="auto"/>
            <w:left w:val="none" w:sz="0" w:space="0" w:color="auto"/>
            <w:bottom w:val="none" w:sz="0" w:space="0" w:color="auto"/>
            <w:right w:val="none" w:sz="0" w:space="0" w:color="auto"/>
          </w:divBdr>
          <w:divsChild>
            <w:div w:id="877815810">
              <w:marLeft w:val="255"/>
              <w:marRight w:val="0"/>
              <w:marTop w:val="75"/>
              <w:marBottom w:val="0"/>
              <w:divBdr>
                <w:top w:val="none" w:sz="0" w:space="0" w:color="auto"/>
                <w:left w:val="none" w:sz="0" w:space="0" w:color="auto"/>
                <w:bottom w:val="none" w:sz="0" w:space="0" w:color="auto"/>
                <w:right w:val="none" w:sz="0" w:space="0" w:color="auto"/>
              </w:divBdr>
            </w:div>
            <w:div w:id="791217350">
              <w:marLeft w:val="255"/>
              <w:marRight w:val="0"/>
              <w:marTop w:val="75"/>
              <w:marBottom w:val="0"/>
              <w:divBdr>
                <w:top w:val="none" w:sz="0" w:space="0" w:color="auto"/>
                <w:left w:val="none" w:sz="0" w:space="0" w:color="auto"/>
                <w:bottom w:val="none" w:sz="0" w:space="0" w:color="auto"/>
                <w:right w:val="none" w:sz="0" w:space="0" w:color="auto"/>
              </w:divBdr>
            </w:div>
            <w:div w:id="718165392">
              <w:marLeft w:val="255"/>
              <w:marRight w:val="0"/>
              <w:marTop w:val="75"/>
              <w:marBottom w:val="0"/>
              <w:divBdr>
                <w:top w:val="none" w:sz="0" w:space="0" w:color="auto"/>
                <w:left w:val="none" w:sz="0" w:space="0" w:color="auto"/>
                <w:bottom w:val="none" w:sz="0" w:space="0" w:color="auto"/>
                <w:right w:val="none" w:sz="0" w:space="0" w:color="auto"/>
              </w:divBdr>
            </w:div>
            <w:div w:id="309480152">
              <w:marLeft w:val="255"/>
              <w:marRight w:val="0"/>
              <w:marTop w:val="75"/>
              <w:marBottom w:val="0"/>
              <w:divBdr>
                <w:top w:val="none" w:sz="0" w:space="0" w:color="auto"/>
                <w:left w:val="none" w:sz="0" w:space="0" w:color="auto"/>
                <w:bottom w:val="none" w:sz="0" w:space="0" w:color="auto"/>
                <w:right w:val="none" w:sz="0" w:space="0" w:color="auto"/>
              </w:divBdr>
            </w:div>
            <w:div w:id="1484200259">
              <w:marLeft w:val="255"/>
              <w:marRight w:val="0"/>
              <w:marTop w:val="75"/>
              <w:marBottom w:val="0"/>
              <w:divBdr>
                <w:top w:val="none" w:sz="0" w:space="0" w:color="auto"/>
                <w:left w:val="none" w:sz="0" w:space="0" w:color="auto"/>
                <w:bottom w:val="none" w:sz="0" w:space="0" w:color="auto"/>
                <w:right w:val="none" w:sz="0" w:space="0" w:color="auto"/>
              </w:divBdr>
            </w:div>
            <w:div w:id="90722854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2431934">
      <w:bodyDiv w:val="1"/>
      <w:marLeft w:val="0"/>
      <w:marRight w:val="0"/>
      <w:marTop w:val="0"/>
      <w:marBottom w:val="0"/>
      <w:divBdr>
        <w:top w:val="none" w:sz="0" w:space="0" w:color="auto"/>
        <w:left w:val="none" w:sz="0" w:space="0" w:color="auto"/>
        <w:bottom w:val="none" w:sz="0" w:space="0" w:color="auto"/>
        <w:right w:val="none" w:sz="0" w:space="0" w:color="auto"/>
      </w:divBdr>
      <w:divsChild>
        <w:div w:id="206600296">
          <w:marLeft w:val="255"/>
          <w:marRight w:val="0"/>
          <w:marTop w:val="75"/>
          <w:marBottom w:val="0"/>
          <w:divBdr>
            <w:top w:val="none" w:sz="0" w:space="0" w:color="auto"/>
            <w:left w:val="none" w:sz="0" w:space="0" w:color="auto"/>
            <w:bottom w:val="none" w:sz="0" w:space="0" w:color="auto"/>
            <w:right w:val="none" w:sz="0" w:space="0" w:color="auto"/>
          </w:divBdr>
        </w:div>
        <w:div w:id="1384983044">
          <w:marLeft w:val="255"/>
          <w:marRight w:val="0"/>
          <w:marTop w:val="75"/>
          <w:marBottom w:val="0"/>
          <w:divBdr>
            <w:top w:val="none" w:sz="0" w:space="0" w:color="auto"/>
            <w:left w:val="none" w:sz="0" w:space="0" w:color="auto"/>
            <w:bottom w:val="none" w:sz="0" w:space="0" w:color="auto"/>
            <w:right w:val="none" w:sz="0" w:space="0" w:color="auto"/>
          </w:divBdr>
        </w:div>
        <w:div w:id="1652708097">
          <w:marLeft w:val="255"/>
          <w:marRight w:val="0"/>
          <w:marTop w:val="75"/>
          <w:marBottom w:val="0"/>
          <w:divBdr>
            <w:top w:val="none" w:sz="0" w:space="0" w:color="auto"/>
            <w:left w:val="none" w:sz="0" w:space="0" w:color="auto"/>
            <w:bottom w:val="none" w:sz="0" w:space="0" w:color="auto"/>
            <w:right w:val="none" w:sz="0" w:space="0" w:color="auto"/>
          </w:divBdr>
        </w:div>
        <w:div w:id="1941907450">
          <w:marLeft w:val="255"/>
          <w:marRight w:val="0"/>
          <w:marTop w:val="75"/>
          <w:marBottom w:val="0"/>
          <w:divBdr>
            <w:top w:val="none" w:sz="0" w:space="0" w:color="auto"/>
            <w:left w:val="none" w:sz="0" w:space="0" w:color="auto"/>
            <w:bottom w:val="none" w:sz="0" w:space="0" w:color="auto"/>
            <w:right w:val="none" w:sz="0" w:space="0" w:color="auto"/>
          </w:divBdr>
        </w:div>
        <w:div w:id="629672442">
          <w:marLeft w:val="255"/>
          <w:marRight w:val="0"/>
          <w:marTop w:val="75"/>
          <w:marBottom w:val="0"/>
          <w:divBdr>
            <w:top w:val="none" w:sz="0" w:space="0" w:color="auto"/>
            <w:left w:val="none" w:sz="0" w:space="0" w:color="auto"/>
            <w:bottom w:val="none" w:sz="0" w:space="0" w:color="auto"/>
            <w:right w:val="none" w:sz="0" w:space="0" w:color="auto"/>
          </w:divBdr>
        </w:div>
      </w:divsChild>
    </w:div>
    <w:div w:id="1347903363">
      <w:bodyDiv w:val="1"/>
      <w:marLeft w:val="0"/>
      <w:marRight w:val="0"/>
      <w:marTop w:val="0"/>
      <w:marBottom w:val="0"/>
      <w:divBdr>
        <w:top w:val="none" w:sz="0" w:space="0" w:color="auto"/>
        <w:left w:val="none" w:sz="0" w:space="0" w:color="auto"/>
        <w:bottom w:val="none" w:sz="0" w:space="0" w:color="auto"/>
        <w:right w:val="none" w:sz="0" w:space="0" w:color="auto"/>
      </w:divBdr>
      <w:divsChild>
        <w:div w:id="99959099">
          <w:marLeft w:val="0"/>
          <w:marRight w:val="75"/>
          <w:marTop w:val="0"/>
          <w:marBottom w:val="0"/>
          <w:divBdr>
            <w:top w:val="none" w:sz="0" w:space="0" w:color="auto"/>
            <w:left w:val="none" w:sz="0" w:space="0" w:color="auto"/>
            <w:bottom w:val="none" w:sz="0" w:space="0" w:color="auto"/>
            <w:right w:val="none" w:sz="0" w:space="0" w:color="auto"/>
          </w:divBdr>
        </w:div>
        <w:div w:id="95902947">
          <w:marLeft w:val="255"/>
          <w:marRight w:val="0"/>
          <w:marTop w:val="75"/>
          <w:marBottom w:val="0"/>
          <w:divBdr>
            <w:top w:val="none" w:sz="0" w:space="0" w:color="auto"/>
            <w:left w:val="none" w:sz="0" w:space="0" w:color="auto"/>
            <w:bottom w:val="none" w:sz="0" w:space="0" w:color="auto"/>
            <w:right w:val="none" w:sz="0" w:space="0" w:color="auto"/>
          </w:divBdr>
        </w:div>
        <w:div w:id="599341032">
          <w:marLeft w:val="255"/>
          <w:marRight w:val="0"/>
          <w:marTop w:val="75"/>
          <w:marBottom w:val="0"/>
          <w:divBdr>
            <w:top w:val="none" w:sz="0" w:space="0" w:color="auto"/>
            <w:left w:val="none" w:sz="0" w:space="0" w:color="auto"/>
            <w:bottom w:val="none" w:sz="0" w:space="0" w:color="auto"/>
            <w:right w:val="none" w:sz="0" w:space="0" w:color="auto"/>
          </w:divBdr>
        </w:div>
        <w:div w:id="1426078073">
          <w:marLeft w:val="255"/>
          <w:marRight w:val="0"/>
          <w:marTop w:val="75"/>
          <w:marBottom w:val="0"/>
          <w:divBdr>
            <w:top w:val="none" w:sz="0" w:space="0" w:color="auto"/>
            <w:left w:val="none" w:sz="0" w:space="0" w:color="auto"/>
            <w:bottom w:val="none" w:sz="0" w:space="0" w:color="auto"/>
            <w:right w:val="none" w:sz="0" w:space="0" w:color="auto"/>
          </w:divBdr>
        </w:div>
        <w:div w:id="1805267820">
          <w:marLeft w:val="255"/>
          <w:marRight w:val="0"/>
          <w:marTop w:val="75"/>
          <w:marBottom w:val="0"/>
          <w:divBdr>
            <w:top w:val="none" w:sz="0" w:space="0" w:color="auto"/>
            <w:left w:val="none" w:sz="0" w:space="0" w:color="auto"/>
            <w:bottom w:val="none" w:sz="0" w:space="0" w:color="auto"/>
            <w:right w:val="none" w:sz="0" w:space="0" w:color="auto"/>
          </w:divBdr>
        </w:div>
        <w:div w:id="1564028818">
          <w:marLeft w:val="255"/>
          <w:marRight w:val="0"/>
          <w:marTop w:val="75"/>
          <w:marBottom w:val="0"/>
          <w:divBdr>
            <w:top w:val="none" w:sz="0" w:space="0" w:color="auto"/>
            <w:left w:val="none" w:sz="0" w:space="0" w:color="auto"/>
            <w:bottom w:val="none" w:sz="0" w:space="0" w:color="auto"/>
            <w:right w:val="none" w:sz="0" w:space="0" w:color="auto"/>
          </w:divBdr>
        </w:div>
        <w:div w:id="2114325490">
          <w:marLeft w:val="255"/>
          <w:marRight w:val="0"/>
          <w:marTop w:val="75"/>
          <w:marBottom w:val="0"/>
          <w:divBdr>
            <w:top w:val="none" w:sz="0" w:space="0" w:color="auto"/>
            <w:left w:val="none" w:sz="0" w:space="0" w:color="auto"/>
            <w:bottom w:val="none" w:sz="0" w:space="0" w:color="auto"/>
            <w:right w:val="none" w:sz="0" w:space="0" w:color="auto"/>
          </w:divBdr>
        </w:div>
      </w:divsChild>
    </w:div>
    <w:div w:id="1452480063">
      <w:bodyDiv w:val="1"/>
      <w:marLeft w:val="0"/>
      <w:marRight w:val="0"/>
      <w:marTop w:val="0"/>
      <w:marBottom w:val="0"/>
      <w:divBdr>
        <w:top w:val="none" w:sz="0" w:space="0" w:color="auto"/>
        <w:left w:val="none" w:sz="0" w:space="0" w:color="auto"/>
        <w:bottom w:val="none" w:sz="0" w:space="0" w:color="auto"/>
        <w:right w:val="none" w:sz="0" w:space="0" w:color="auto"/>
      </w:divBdr>
      <w:divsChild>
        <w:div w:id="665599128">
          <w:marLeft w:val="0"/>
          <w:marRight w:val="75"/>
          <w:marTop w:val="0"/>
          <w:marBottom w:val="0"/>
          <w:divBdr>
            <w:top w:val="none" w:sz="0" w:space="0" w:color="auto"/>
            <w:left w:val="none" w:sz="0" w:space="0" w:color="auto"/>
            <w:bottom w:val="none" w:sz="0" w:space="0" w:color="auto"/>
            <w:right w:val="none" w:sz="0" w:space="0" w:color="auto"/>
          </w:divBdr>
        </w:div>
        <w:div w:id="431438886">
          <w:marLeft w:val="255"/>
          <w:marRight w:val="0"/>
          <w:marTop w:val="75"/>
          <w:marBottom w:val="0"/>
          <w:divBdr>
            <w:top w:val="none" w:sz="0" w:space="0" w:color="auto"/>
            <w:left w:val="none" w:sz="0" w:space="0" w:color="auto"/>
            <w:bottom w:val="none" w:sz="0" w:space="0" w:color="auto"/>
            <w:right w:val="none" w:sz="0" w:space="0" w:color="auto"/>
          </w:divBdr>
          <w:divsChild>
            <w:div w:id="718938806">
              <w:marLeft w:val="255"/>
              <w:marRight w:val="0"/>
              <w:marTop w:val="0"/>
              <w:marBottom w:val="0"/>
              <w:divBdr>
                <w:top w:val="none" w:sz="0" w:space="0" w:color="auto"/>
                <w:left w:val="none" w:sz="0" w:space="0" w:color="auto"/>
                <w:bottom w:val="none" w:sz="0" w:space="0" w:color="auto"/>
                <w:right w:val="none" w:sz="0" w:space="0" w:color="auto"/>
              </w:divBdr>
            </w:div>
            <w:div w:id="1020358518">
              <w:marLeft w:val="255"/>
              <w:marRight w:val="0"/>
              <w:marTop w:val="0"/>
              <w:marBottom w:val="0"/>
              <w:divBdr>
                <w:top w:val="none" w:sz="0" w:space="0" w:color="auto"/>
                <w:left w:val="none" w:sz="0" w:space="0" w:color="auto"/>
                <w:bottom w:val="none" w:sz="0" w:space="0" w:color="auto"/>
                <w:right w:val="none" w:sz="0" w:space="0" w:color="auto"/>
              </w:divBdr>
            </w:div>
          </w:divsChild>
        </w:div>
        <w:div w:id="662511148">
          <w:marLeft w:val="255"/>
          <w:marRight w:val="0"/>
          <w:marTop w:val="75"/>
          <w:marBottom w:val="0"/>
          <w:divBdr>
            <w:top w:val="none" w:sz="0" w:space="0" w:color="auto"/>
            <w:left w:val="none" w:sz="0" w:space="0" w:color="auto"/>
            <w:bottom w:val="none" w:sz="0" w:space="0" w:color="auto"/>
            <w:right w:val="none" w:sz="0" w:space="0" w:color="auto"/>
          </w:divBdr>
        </w:div>
        <w:div w:id="13116060">
          <w:marLeft w:val="255"/>
          <w:marRight w:val="0"/>
          <w:marTop w:val="75"/>
          <w:marBottom w:val="0"/>
          <w:divBdr>
            <w:top w:val="none" w:sz="0" w:space="0" w:color="auto"/>
            <w:left w:val="none" w:sz="0" w:space="0" w:color="auto"/>
            <w:bottom w:val="none" w:sz="0" w:space="0" w:color="auto"/>
            <w:right w:val="none" w:sz="0" w:space="0" w:color="auto"/>
          </w:divBdr>
        </w:div>
      </w:divsChild>
    </w:div>
    <w:div w:id="1502088349">
      <w:bodyDiv w:val="1"/>
      <w:marLeft w:val="0"/>
      <w:marRight w:val="0"/>
      <w:marTop w:val="0"/>
      <w:marBottom w:val="0"/>
      <w:divBdr>
        <w:top w:val="none" w:sz="0" w:space="0" w:color="auto"/>
        <w:left w:val="none" w:sz="0" w:space="0" w:color="auto"/>
        <w:bottom w:val="none" w:sz="0" w:space="0" w:color="auto"/>
        <w:right w:val="none" w:sz="0" w:space="0" w:color="auto"/>
      </w:divBdr>
      <w:divsChild>
        <w:div w:id="2045786840">
          <w:marLeft w:val="255"/>
          <w:marRight w:val="0"/>
          <w:marTop w:val="75"/>
          <w:marBottom w:val="0"/>
          <w:divBdr>
            <w:top w:val="none" w:sz="0" w:space="0" w:color="auto"/>
            <w:left w:val="none" w:sz="0" w:space="0" w:color="auto"/>
            <w:bottom w:val="none" w:sz="0" w:space="0" w:color="auto"/>
            <w:right w:val="none" w:sz="0" w:space="0" w:color="auto"/>
          </w:divBdr>
        </w:div>
        <w:div w:id="4018754">
          <w:marLeft w:val="255"/>
          <w:marRight w:val="0"/>
          <w:marTop w:val="75"/>
          <w:marBottom w:val="0"/>
          <w:divBdr>
            <w:top w:val="none" w:sz="0" w:space="0" w:color="auto"/>
            <w:left w:val="none" w:sz="0" w:space="0" w:color="auto"/>
            <w:bottom w:val="none" w:sz="0" w:space="0" w:color="auto"/>
            <w:right w:val="none" w:sz="0" w:space="0" w:color="auto"/>
          </w:divBdr>
        </w:div>
      </w:divsChild>
    </w:div>
    <w:div w:id="1521817066">
      <w:bodyDiv w:val="1"/>
      <w:marLeft w:val="0"/>
      <w:marRight w:val="0"/>
      <w:marTop w:val="0"/>
      <w:marBottom w:val="0"/>
      <w:divBdr>
        <w:top w:val="none" w:sz="0" w:space="0" w:color="auto"/>
        <w:left w:val="none" w:sz="0" w:space="0" w:color="auto"/>
        <w:bottom w:val="none" w:sz="0" w:space="0" w:color="auto"/>
        <w:right w:val="none" w:sz="0" w:space="0" w:color="auto"/>
      </w:divBdr>
      <w:divsChild>
        <w:div w:id="1536190701">
          <w:marLeft w:val="255"/>
          <w:marRight w:val="0"/>
          <w:marTop w:val="75"/>
          <w:marBottom w:val="0"/>
          <w:divBdr>
            <w:top w:val="none" w:sz="0" w:space="0" w:color="auto"/>
            <w:left w:val="none" w:sz="0" w:space="0" w:color="auto"/>
            <w:bottom w:val="none" w:sz="0" w:space="0" w:color="auto"/>
            <w:right w:val="none" w:sz="0" w:space="0" w:color="auto"/>
          </w:divBdr>
        </w:div>
        <w:div w:id="1910261932">
          <w:marLeft w:val="255"/>
          <w:marRight w:val="0"/>
          <w:marTop w:val="75"/>
          <w:marBottom w:val="0"/>
          <w:divBdr>
            <w:top w:val="none" w:sz="0" w:space="0" w:color="auto"/>
            <w:left w:val="none" w:sz="0" w:space="0" w:color="auto"/>
            <w:bottom w:val="none" w:sz="0" w:space="0" w:color="auto"/>
            <w:right w:val="none" w:sz="0" w:space="0" w:color="auto"/>
          </w:divBdr>
        </w:div>
        <w:div w:id="2051683584">
          <w:marLeft w:val="255"/>
          <w:marRight w:val="0"/>
          <w:marTop w:val="75"/>
          <w:marBottom w:val="0"/>
          <w:divBdr>
            <w:top w:val="none" w:sz="0" w:space="0" w:color="auto"/>
            <w:left w:val="none" w:sz="0" w:space="0" w:color="auto"/>
            <w:bottom w:val="none" w:sz="0" w:space="0" w:color="auto"/>
            <w:right w:val="none" w:sz="0" w:space="0" w:color="auto"/>
          </w:divBdr>
        </w:div>
      </w:divsChild>
    </w:div>
    <w:div w:id="1662735301">
      <w:bodyDiv w:val="1"/>
      <w:marLeft w:val="0"/>
      <w:marRight w:val="0"/>
      <w:marTop w:val="0"/>
      <w:marBottom w:val="0"/>
      <w:divBdr>
        <w:top w:val="none" w:sz="0" w:space="0" w:color="auto"/>
        <w:left w:val="none" w:sz="0" w:space="0" w:color="auto"/>
        <w:bottom w:val="none" w:sz="0" w:space="0" w:color="auto"/>
        <w:right w:val="none" w:sz="0" w:space="0" w:color="auto"/>
      </w:divBdr>
    </w:div>
    <w:div w:id="1789355342">
      <w:bodyDiv w:val="1"/>
      <w:marLeft w:val="0"/>
      <w:marRight w:val="0"/>
      <w:marTop w:val="0"/>
      <w:marBottom w:val="0"/>
      <w:divBdr>
        <w:top w:val="none" w:sz="0" w:space="0" w:color="auto"/>
        <w:left w:val="none" w:sz="0" w:space="0" w:color="auto"/>
        <w:bottom w:val="none" w:sz="0" w:space="0" w:color="auto"/>
        <w:right w:val="none" w:sz="0" w:space="0" w:color="auto"/>
      </w:divBdr>
    </w:div>
    <w:div w:id="2030182733">
      <w:bodyDiv w:val="1"/>
      <w:marLeft w:val="0"/>
      <w:marRight w:val="0"/>
      <w:marTop w:val="0"/>
      <w:marBottom w:val="0"/>
      <w:divBdr>
        <w:top w:val="none" w:sz="0" w:space="0" w:color="auto"/>
        <w:left w:val="none" w:sz="0" w:space="0" w:color="auto"/>
        <w:bottom w:val="none" w:sz="0" w:space="0" w:color="auto"/>
        <w:right w:val="none" w:sz="0" w:space="0" w:color="auto"/>
      </w:divBdr>
      <w:divsChild>
        <w:div w:id="1401513548">
          <w:marLeft w:val="255"/>
          <w:marRight w:val="0"/>
          <w:marTop w:val="75"/>
          <w:marBottom w:val="0"/>
          <w:divBdr>
            <w:top w:val="none" w:sz="0" w:space="0" w:color="auto"/>
            <w:left w:val="none" w:sz="0" w:space="0" w:color="auto"/>
            <w:bottom w:val="none" w:sz="0" w:space="0" w:color="auto"/>
            <w:right w:val="none" w:sz="0" w:space="0" w:color="auto"/>
          </w:divBdr>
          <w:divsChild>
            <w:div w:id="1034771174">
              <w:marLeft w:val="255"/>
              <w:marRight w:val="0"/>
              <w:marTop w:val="75"/>
              <w:marBottom w:val="0"/>
              <w:divBdr>
                <w:top w:val="none" w:sz="0" w:space="0" w:color="auto"/>
                <w:left w:val="none" w:sz="0" w:space="0" w:color="auto"/>
                <w:bottom w:val="none" w:sz="0" w:space="0" w:color="auto"/>
                <w:right w:val="none" w:sz="0" w:space="0" w:color="auto"/>
              </w:divBdr>
            </w:div>
            <w:div w:id="1440223639">
              <w:marLeft w:val="255"/>
              <w:marRight w:val="0"/>
              <w:marTop w:val="75"/>
              <w:marBottom w:val="0"/>
              <w:divBdr>
                <w:top w:val="none" w:sz="0" w:space="0" w:color="auto"/>
                <w:left w:val="none" w:sz="0" w:space="0" w:color="auto"/>
                <w:bottom w:val="none" w:sz="0" w:space="0" w:color="auto"/>
                <w:right w:val="none" w:sz="0" w:space="0" w:color="auto"/>
              </w:divBdr>
            </w:div>
          </w:divsChild>
        </w:div>
        <w:div w:id="597371333">
          <w:marLeft w:val="255"/>
          <w:marRight w:val="0"/>
          <w:marTop w:val="75"/>
          <w:marBottom w:val="0"/>
          <w:divBdr>
            <w:top w:val="none" w:sz="0" w:space="0" w:color="auto"/>
            <w:left w:val="none" w:sz="0" w:space="0" w:color="auto"/>
            <w:bottom w:val="none" w:sz="0" w:space="0" w:color="auto"/>
            <w:right w:val="none" w:sz="0" w:space="0" w:color="auto"/>
          </w:divBdr>
          <w:divsChild>
            <w:div w:id="294144899">
              <w:marLeft w:val="0"/>
              <w:marRight w:val="75"/>
              <w:marTop w:val="0"/>
              <w:marBottom w:val="0"/>
              <w:divBdr>
                <w:top w:val="none" w:sz="0" w:space="0" w:color="auto"/>
                <w:left w:val="none" w:sz="0" w:space="0" w:color="auto"/>
                <w:bottom w:val="none" w:sz="0" w:space="0" w:color="auto"/>
                <w:right w:val="none" w:sz="0" w:space="0" w:color="auto"/>
              </w:divBdr>
            </w:div>
            <w:div w:id="177545973">
              <w:marLeft w:val="255"/>
              <w:marRight w:val="0"/>
              <w:marTop w:val="75"/>
              <w:marBottom w:val="0"/>
              <w:divBdr>
                <w:top w:val="none" w:sz="0" w:space="0" w:color="auto"/>
                <w:left w:val="none" w:sz="0" w:space="0" w:color="auto"/>
                <w:bottom w:val="none" w:sz="0" w:space="0" w:color="auto"/>
                <w:right w:val="none" w:sz="0" w:space="0" w:color="auto"/>
              </w:divBdr>
            </w:div>
            <w:div w:id="903831713">
              <w:marLeft w:val="255"/>
              <w:marRight w:val="0"/>
              <w:marTop w:val="75"/>
              <w:marBottom w:val="0"/>
              <w:divBdr>
                <w:top w:val="none" w:sz="0" w:space="0" w:color="auto"/>
                <w:left w:val="none" w:sz="0" w:space="0" w:color="auto"/>
                <w:bottom w:val="none" w:sz="0" w:space="0" w:color="auto"/>
                <w:right w:val="none" w:sz="0" w:space="0" w:color="auto"/>
              </w:divBdr>
            </w:div>
            <w:div w:id="565844960">
              <w:marLeft w:val="255"/>
              <w:marRight w:val="0"/>
              <w:marTop w:val="75"/>
              <w:marBottom w:val="0"/>
              <w:divBdr>
                <w:top w:val="none" w:sz="0" w:space="0" w:color="auto"/>
                <w:left w:val="none" w:sz="0" w:space="0" w:color="auto"/>
                <w:bottom w:val="none" w:sz="0" w:space="0" w:color="auto"/>
                <w:right w:val="none" w:sz="0" w:space="0" w:color="auto"/>
              </w:divBdr>
            </w:div>
            <w:div w:id="1993563890">
              <w:marLeft w:val="255"/>
              <w:marRight w:val="0"/>
              <w:marTop w:val="75"/>
              <w:marBottom w:val="0"/>
              <w:divBdr>
                <w:top w:val="none" w:sz="0" w:space="0" w:color="auto"/>
                <w:left w:val="none" w:sz="0" w:space="0" w:color="auto"/>
                <w:bottom w:val="none" w:sz="0" w:space="0" w:color="auto"/>
                <w:right w:val="none" w:sz="0" w:space="0" w:color="auto"/>
              </w:divBdr>
            </w:div>
            <w:div w:id="247496512">
              <w:marLeft w:val="255"/>
              <w:marRight w:val="0"/>
              <w:marTop w:val="75"/>
              <w:marBottom w:val="0"/>
              <w:divBdr>
                <w:top w:val="none" w:sz="0" w:space="0" w:color="auto"/>
                <w:left w:val="none" w:sz="0" w:space="0" w:color="auto"/>
                <w:bottom w:val="none" w:sz="0" w:space="0" w:color="auto"/>
                <w:right w:val="none" w:sz="0" w:space="0" w:color="auto"/>
              </w:divBdr>
            </w:div>
            <w:div w:id="198732062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403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88C0-665C-40E3-91B3-F9C88B23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3919</Words>
  <Characters>22342</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Šeliga</dc:creator>
  <cp:lastModifiedBy>Forišová, Lívia, Mgr.</cp:lastModifiedBy>
  <cp:revision>8</cp:revision>
  <cp:lastPrinted>2020-07-16T06:50:00Z</cp:lastPrinted>
  <dcterms:created xsi:type="dcterms:W3CDTF">2020-07-16T06:52:00Z</dcterms:created>
  <dcterms:modified xsi:type="dcterms:W3CDTF">2020-07-16T10:36:00Z</dcterms:modified>
</cp:coreProperties>
</file>