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NÁRODNÁ  RADA SLOVENSKEJ REPUBLIKY</w:t>
      </w:r>
    </w:p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VI</w:t>
      </w:r>
      <w:r w:rsidR="00CE27A1">
        <w:rPr>
          <w:b/>
          <w:szCs w:val="24"/>
        </w:rPr>
        <w:t>I</w:t>
      </w:r>
      <w:r w:rsidRPr="004800B3">
        <w:rPr>
          <w:b/>
          <w:szCs w:val="24"/>
        </w:rPr>
        <w:t>I. volebné obdobie</w:t>
      </w: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E0D7" wp14:editId="61E39529">
                <wp:simplePos x="0" y="0"/>
                <wp:positionH relativeFrom="column">
                  <wp:posOffset>166370</wp:posOffset>
                </wp:positionH>
                <wp:positionV relativeFrom="paragraph">
                  <wp:posOffset>21590</wp:posOffset>
                </wp:positionV>
                <wp:extent cx="5495925" cy="0"/>
                <wp:effectExtent l="13970" t="12065" r="5080" b="698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44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3.1pt;margin-top:1.7pt;width:4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"/>
            </w:pict>
          </mc:Fallback>
        </mc:AlternateContent>
      </w: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271D78">
        <w:rPr>
          <w:b/>
          <w:szCs w:val="24"/>
        </w:rPr>
        <w:t>1</w:t>
      </w:r>
      <w:r w:rsidR="005104B7" w:rsidRPr="00271D78">
        <w:rPr>
          <w:b/>
          <w:szCs w:val="24"/>
        </w:rPr>
        <w:t>7</w:t>
      </w:r>
      <w:r w:rsidRPr="00271D78">
        <w:rPr>
          <w:b/>
          <w:szCs w:val="24"/>
        </w:rPr>
        <w:t>0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b/>
          <w:szCs w:val="24"/>
        </w:rPr>
        <w:t>VLÁDNY NÁVRH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CE27A1" w:rsidRPr="00137D8A" w:rsidRDefault="00CE27A1" w:rsidP="00CE27A1">
      <w:pPr>
        <w:pStyle w:val="Zkladntext"/>
        <w:spacing w:line="240" w:lineRule="atLeast"/>
        <w:ind w:left="142" w:hanging="142"/>
        <w:jc w:val="center"/>
        <w:outlineLvl w:val="0"/>
        <w:rPr>
          <w:szCs w:val="24"/>
        </w:rPr>
      </w:pPr>
      <w:r w:rsidRPr="00137D8A">
        <w:rPr>
          <w:b/>
          <w:szCs w:val="24"/>
        </w:rPr>
        <w:t>Z</w:t>
      </w:r>
      <w:r>
        <w:rPr>
          <w:b/>
          <w:szCs w:val="24"/>
        </w:rPr>
        <w:t>ÁKON</w:t>
      </w:r>
    </w:p>
    <w:p w:rsidR="00CE27A1" w:rsidRPr="00137D8A" w:rsidRDefault="00CE27A1" w:rsidP="00CE27A1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:rsidR="00CE27A1" w:rsidRDefault="00CE27A1" w:rsidP="00CE27A1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szCs w:val="24"/>
        </w:rPr>
        <w:t>z ............. 20</w:t>
      </w:r>
      <w:r>
        <w:rPr>
          <w:szCs w:val="24"/>
        </w:rPr>
        <w:t xml:space="preserve">20, </w:t>
      </w:r>
    </w:p>
    <w:p w:rsidR="00CE27A1" w:rsidRPr="00137D8A" w:rsidRDefault="00CE27A1" w:rsidP="00CE27A1">
      <w:pPr>
        <w:pStyle w:val="Zkladntext"/>
        <w:spacing w:line="240" w:lineRule="atLeast"/>
        <w:jc w:val="center"/>
        <w:rPr>
          <w:szCs w:val="24"/>
        </w:rPr>
      </w:pPr>
    </w:p>
    <w:p w:rsidR="00CE27A1" w:rsidRPr="00137D8A" w:rsidRDefault="00CE27A1" w:rsidP="00CE27A1">
      <w:pPr>
        <w:pStyle w:val="Zkladntext"/>
        <w:spacing w:line="240" w:lineRule="atLeast"/>
        <w:jc w:val="center"/>
        <w:rPr>
          <w:szCs w:val="24"/>
        </w:rPr>
      </w:pPr>
      <w:r>
        <w:rPr>
          <w:b/>
          <w:szCs w:val="24"/>
        </w:rPr>
        <w:t xml:space="preserve">ktorým sa mení </w:t>
      </w:r>
      <w:r w:rsidRPr="00EE4167">
        <w:rPr>
          <w:b/>
          <w:szCs w:val="24"/>
        </w:rPr>
        <w:t>a dopĺňa</w:t>
      </w:r>
      <w:r>
        <w:rPr>
          <w:b/>
          <w:szCs w:val="24"/>
        </w:rPr>
        <w:t xml:space="preserve"> zákon č. 468/2019 Z. z. </w:t>
      </w:r>
      <w:r w:rsidRPr="00137D8A">
        <w:rPr>
          <w:b/>
          <w:szCs w:val="24"/>
        </w:rPr>
        <w:t>o štátnom rozpočte na rok 20</w:t>
      </w:r>
      <w:r>
        <w:rPr>
          <w:b/>
          <w:szCs w:val="24"/>
        </w:rPr>
        <w:t>20</w:t>
      </w:r>
    </w:p>
    <w:p w:rsidR="00CE27A1" w:rsidRPr="00137D8A" w:rsidRDefault="00CE27A1" w:rsidP="00CE27A1">
      <w:pPr>
        <w:pStyle w:val="Zkladntext"/>
        <w:spacing w:line="240" w:lineRule="atLeast"/>
        <w:jc w:val="center"/>
        <w:rPr>
          <w:szCs w:val="24"/>
        </w:rPr>
      </w:pPr>
    </w:p>
    <w:p w:rsidR="00CE27A1" w:rsidRDefault="00CE27A1" w:rsidP="00CE27A1">
      <w:pPr>
        <w:pStyle w:val="Zkladntext"/>
        <w:tabs>
          <w:tab w:val="left" w:pos="0"/>
        </w:tabs>
        <w:spacing w:line="360" w:lineRule="atLeast"/>
        <w:jc w:val="both"/>
        <w:rPr>
          <w:szCs w:val="24"/>
        </w:rPr>
      </w:pPr>
      <w:r w:rsidRPr="00137D8A">
        <w:rPr>
          <w:szCs w:val="24"/>
        </w:rPr>
        <w:t xml:space="preserve">      </w:t>
      </w:r>
    </w:p>
    <w:p w:rsidR="00CE27A1" w:rsidRPr="00137D8A" w:rsidRDefault="00CE27A1" w:rsidP="00CE27A1">
      <w:pPr>
        <w:pStyle w:val="Zkladntext"/>
        <w:tabs>
          <w:tab w:val="left" w:pos="0"/>
        </w:tabs>
        <w:spacing w:line="360" w:lineRule="atLeast"/>
        <w:jc w:val="both"/>
        <w:rPr>
          <w:szCs w:val="24"/>
        </w:rPr>
      </w:pPr>
    </w:p>
    <w:p w:rsidR="00CE27A1" w:rsidRPr="00137D8A" w:rsidRDefault="00CE27A1" w:rsidP="00CE27A1">
      <w:pPr>
        <w:pStyle w:val="Zkladntext"/>
        <w:tabs>
          <w:tab w:val="left" w:pos="0"/>
        </w:tabs>
        <w:jc w:val="both"/>
        <w:rPr>
          <w:szCs w:val="24"/>
        </w:rPr>
      </w:pPr>
      <w:r w:rsidRPr="00137D8A">
        <w:rPr>
          <w:szCs w:val="24"/>
        </w:rPr>
        <w:t>Národná rada Slovenskej republi</w:t>
      </w:r>
      <w:r>
        <w:rPr>
          <w:szCs w:val="24"/>
        </w:rPr>
        <w:t>ky sa uzniesla na tomto zákone:</w:t>
      </w:r>
    </w:p>
    <w:p w:rsidR="00CE27A1" w:rsidRDefault="00CE27A1" w:rsidP="00CE27A1">
      <w:pPr>
        <w:pStyle w:val="Zkladntext"/>
        <w:jc w:val="center"/>
        <w:rPr>
          <w:szCs w:val="24"/>
        </w:rPr>
      </w:pPr>
    </w:p>
    <w:p w:rsidR="00CE27A1" w:rsidRDefault="00CE27A1" w:rsidP="00CE27A1">
      <w:pPr>
        <w:pStyle w:val="Default"/>
      </w:pPr>
    </w:p>
    <w:p w:rsidR="00CE27A1" w:rsidRPr="00257AB1" w:rsidRDefault="00CE27A1" w:rsidP="00CE27A1">
      <w:pPr>
        <w:pStyle w:val="Default"/>
        <w:jc w:val="center"/>
      </w:pPr>
      <w:r w:rsidRPr="00257AB1">
        <w:rPr>
          <w:b/>
          <w:bCs/>
        </w:rPr>
        <w:t>Čl. I</w:t>
      </w:r>
    </w:p>
    <w:p w:rsidR="00CE27A1" w:rsidRDefault="00CE27A1" w:rsidP="00CE27A1">
      <w:pPr>
        <w:pStyle w:val="Zkladntext"/>
        <w:spacing w:line="240" w:lineRule="atLeast"/>
        <w:ind w:right="-157"/>
        <w:outlineLvl w:val="0"/>
        <w:rPr>
          <w:szCs w:val="24"/>
        </w:rPr>
      </w:pPr>
      <w:r w:rsidRPr="00257AB1">
        <w:rPr>
          <w:szCs w:val="24"/>
        </w:rPr>
        <w:t xml:space="preserve">Zákon č. 468/2019 Z. z. o štátnom rozpočte na rok 2020 sa mení </w:t>
      </w:r>
      <w:r>
        <w:rPr>
          <w:szCs w:val="24"/>
        </w:rPr>
        <w:t xml:space="preserve">a dopĺňa </w:t>
      </w:r>
      <w:r w:rsidRPr="00257AB1">
        <w:rPr>
          <w:szCs w:val="24"/>
        </w:rPr>
        <w:t>takto:</w:t>
      </w:r>
    </w:p>
    <w:p w:rsidR="00271D78" w:rsidRDefault="00271D78" w:rsidP="00CE27A1">
      <w:pPr>
        <w:pStyle w:val="Zkladntext"/>
        <w:spacing w:line="240" w:lineRule="atLeast"/>
        <w:ind w:right="-157"/>
        <w:outlineLvl w:val="0"/>
        <w:rPr>
          <w:szCs w:val="24"/>
        </w:rPr>
      </w:pP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 w:rsidRPr="00257AB1">
        <w:rPr>
          <w:szCs w:val="24"/>
        </w:rPr>
        <w:t>1. V § 1 ods. 1 sa suma „15 792 695 566 eur“ nahrádza sumou „</w:t>
      </w:r>
      <w:r w:rsidRPr="00671EC5">
        <w:rPr>
          <w:szCs w:val="24"/>
        </w:rPr>
        <w:t>14 366 446 802</w:t>
      </w:r>
      <w:r>
        <w:rPr>
          <w:szCs w:val="24"/>
        </w:rPr>
        <w:t xml:space="preserve"> </w:t>
      </w:r>
      <w:r w:rsidRPr="00257AB1">
        <w:rPr>
          <w:szCs w:val="24"/>
        </w:rPr>
        <w:t>eur“ a suma „18 560 877 994 eur“ sa nahrádza sumou „</w:t>
      </w:r>
      <w:r>
        <w:rPr>
          <w:szCs w:val="24"/>
        </w:rPr>
        <w:t>26 319 080 528</w:t>
      </w:r>
      <w:r w:rsidRPr="00257AB1">
        <w:rPr>
          <w:szCs w:val="24"/>
        </w:rPr>
        <w:t xml:space="preserve"> eur“.</w:t>
      </w: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rPr>
          <w:szCs w:val="24"/>
        </w:rPr>
      </w:pP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 w:rsidRPr="00257AB1">
        <w:rPr>
          <w:szCs w:val="24"/>
        </w:rPr>
        <w:t>2. V § 1 ods. 2 sa suma „2 768 182 428 eur“ nahrádza sumou „</w:t>
      </w:r>
      <w:r>
        <w:rPr>
          <w:szCs w:val="24"/>
        </w:rPr>
        <w:t>11 952 633 726</w:t>
      </w:r>
      <w:r w:rsidRPr="00257AB1">
        <w:rPr>
          <w:szCs w:val="24"/>
        </w:rPr>
        <w:t xml:space="preserve"> eur“.</w:t>
      </w: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rPr>
          <w:szCs w:val="24"/>
        </w:rPr>
      </w:pP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 w:rsidRPr="00257AB1">
        <w:rPr>
          <w:szCs w:val="24"/>
        </w:rPr>
        <w:t>3. V § 4 ods. 1 sa suma „5 400 314 256 eur“ nahrádza sumou „</w:t>
      </w:r>
      <w:r w:rsidRPr="000021A5">
        <w:rPr>
          <w:szCs w:val="24"/>
        </w:rPr>
        <w:t>14 015 510 250</w:t>
      </w:r>
      <w:r w:rsidRPr="00B77E2F">
        <w:rPr>
          <w:szCs w:val="24"/>
        </w:rPr>
        <w:t xml:space="preserve"> eur</w:t>
      </w:r>
      <w:r w:rsidRPr="00257AB1">
        <w:rPr>
          <w:szCs w:val="24"/>
        </w:rPr>
        <w:t>“.</w:t>
      </w: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rPr>
          <w:szCs w:val="24"/>
        </w:rPr>
      </w:pP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>
        <w:rPr>
          <w:szCs w:val="24"/>
        </w:rPr>
        <w:t>4</w:t>
      </w:r>
      <w:r w:rsidRPr="00257AB1">
        <w:rPr>
          <w:szCs w:val="24"/>
        </w:rPr>
        <w:t xml:space="preserve">. § 4 sa </w:t>
      </w:r>
      <w:r>
        <w:rPr>
          <w:szCs w:val="24"/>
        </w:rPr>
        <w:t xml:space="preserve">dopĺňa </w:t>
      </w:r>
      <w:r w:rsidRPr="00257AB1">
        <w:rPr>
          <w:szCs w:val="24"/>
        </w:rPr>
        <w:t>odsek</w:t>
      </w:r>
      <w:r>
        <w:rPr>
          <w:szCs w:val="24"/>
        </w:rPr>
        <w:t>mi</w:t>
      </w:r>
      <w:r w:rsidRPr="00257AB1">
        <w:rPr>
          <w:szCs w:val="24"/>
        </w:rPr>
        <w:t xml:space="preserve"> 5 a 6, ktoré znejú:</w:t>
      </w: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 w:rsidRPr="00671EC5">
        <w:rPr>
          <w:szCs w:val="24"/>
        </w:rPr>
        <w:t>„(5) Ministerstvo financií Slovenskej republiky je po súhlase vlády oprávnené v roku 2020 poskytnúť záruku skupine Európskej investičnej banky na operácie v rámci Paneurópskeho záručného fondu v reakcii na COVID-19 do výšky 76 000 000 eur.</w:t>
      </w:r>
      <w:r w:rsidRPr="00257AB1">
        <w:rPr>
          <w:szCs w:val="24"/>
        </w:rPr>
        <w:t xml:space="preserve"> </w:t>
      </w: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 w:rsidRPr="00257AB1">
        <w:rPr>
          <w:szCs w:val="24"/>
        </w:rPr>
        <w:t>(6) Vláda je oprávnená v roku 2020 prostredníctvom Európskeho nástroja dočasnej podpory na zmiernenie rizík nezamestnanosti</w:t>
      </w:r>
      <w:r>
        <w:rPr>
          <w:szCs w:val="24"/>
          <w:vertAlign w:val="superscript"/>
        </w:rPr>
        <w:t>6a</w:t>
      </w:r>
      <w:r>
        <w:rPr>
          <w:szCs w:val="24"/>
        </w:rPr>
        <w:t>)</w:t>
      </w:r>
      <w:r w:rsidRPr="00257AB1">
        <w:rPr>
          <w:szCs w:val="24"/>
        </w:rPr>
        <w:t xml:space="preserve"> prevziať rámcový úver od Európskej únie na účely financovania výdavkov rozpočtovaných v štátnom rozpočte na roky 2020 až 2022 v rámci jednotlivých kapitol štátneho rozpočtu do výšky </w:t>
      </w:r>
      <w:r>
        <w:rPr>
          <w:szCs w:val="24"/>
        </w:rPr>
        <w:t>65</w:t>
      </w:r>
      <w:r w:rsidRPr="00257AB1">
        <w:rPr>
          <w:szCs w:val="24"/>
        </w:rPr>
        <w:t>0 000 000 eur.“</w:t>
      </w:r>
      <w:r>
        <w:rPr>
          <w:szCs w:val="24"/>
        </w:rPr>
        <w:t>.</w:t>
      </w: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>
        <w:rPr>
          <w:szCs w:val="24"/>
        </w:rPr>
        <w:t>Poznámka pod čiarou k odkazu 6a znie:</w:t>
      </w:r>
    </w:p>
    <w:p w:rsidR="00271D78" w:rsidRPr="00966436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  <w:vertAlign w:val="superscript"/>
        </w:rPr>
        <w:t>6a</w:t>
      </w:r>
      <w:r>
        <w:rPr>
          <w:szCs w:val="24"/>
        </w:rPr>
        <w:t>) Nariadenie Rady (EÚ) 2020/672 z 19. mája 2020 o zriadení európskeho nástroja dočasnej podpory na zmiernenie rizík nezamestnanosti v núdzovej situácii (SURE) v dôsledku výskytu ochorenia COVID-19 (Ú. v. EÚ L 159, 20.5.2020).“.</w:t>
      </w: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 w:rsidRPr="00F02E7E">
        <w:rPr>
          <w:szCs w:val="24"/>
        </w:rPr>
        <w:t>5. Prílohy č. 1 a 2 vrátane nadpisov zn</w:t>
      </w:r>
      <w:r>
        <w:rPr>
          <w:szCs w:val="24"/>
        </w:rPr>
        <w:t>ej</w:t>
      </w:r>
      <w:r w:rsidR="0075621D">
        <w:rPr>
          <w:szCs w:val="24"/>
        </w:rPr>
        <w:t>ú:</w:t>
      </w: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Pr="00F02E7E" w:rsidRDefault="00271D78" w:rsidP="00271D78">
      <w:pPr>
        <w:pStyle w:val="Zkladntext"/>
        <w:tabs>
          <w:tab w:val="left" w:pos="7938"/>
        </w:tabs>
        <w:ind w:right="-157"/>
        <w:jc w:val="right"/>
        <w:rPr>
          <w:b/>
          <w:szCs w:val="24"/>
        </w:rPr>
      </w:pPr>
      <w:r w:rsidRPr="00202B5B">
        <w:rPr>
          <w:szCs w:val="24"/>
        </w:rPr>
        <w:lastRenderedPageBreak/>
        <w:t>„</w:t>
      </w:r>
      <w:r w:rsidRPr="00F02E7E">
        <w:rPr>
          <w:b/>
          <w:szCs w:val="24"/>
        </w:rPr>
        <w:t xml:space="preserve">Príloha č. 1 </w:t>
      </w:r>
    </w:p>
    <w:p w:rsidR="00271D78" w:rsidRPr="00F02E7E" w:rsidRDefault="00271D78" w:rsidP="00271D78">
      <w:pPr>
        <w:pStyle w:val="Zkladntext"/>
        <w:tabs>
          <w:tab w:val="left" w:pos="7938"/>
        </w:tabs>
        <w:ind w:right="-157"/>
        <w:jc w:val="right"/>
        <w:rPr>
          <w:szCs w:val="24"/>
        </w:rPr>
      </w:pPr>
      <w:r w:rsidRPr="00F02E7E">
        <w:rPr>
          <w:b/>
          <w:szCs w:val="24"/>
        </w:rPr>
        <w:t xml:space="preserve">k zákonu č. 468/2019 Z. z. </w:t>
      </w:r>
    </w:p>
    <w:p w:rsidR="00271D78" w:rsidRPr="00F02E7E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Pr="00F02E7E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"/>
        <w:gridCol w:w="673"/>
        <w:gridCol w:w="319"/>
        <w:gridCol w:w="571"/>
        <w:gridCol w:w="571"/>
        <w:gridCol w:w="5085"/>
        <w:gridCol w:w="185"/>
        <w:gridCol w:w="1598"/>
        <w:gridCol w:w="33"/>
      </w:tblGrid>
      <w:tr w:rsidR="00271D78" w:rsidRPr="0024289A" w:rsidTr="00A727A6">
        <w:trPr>
          <w:trHeight w:hRule="exact" w:val="560"/>
        </w:trPr>
        <w:tc>
          <w:tcPr>
            <w:tcW w:w="19" w:type="pct"/>
          </w:tcPr>
          <w:p w:rsidR="00271D78" w:rsidRPr="00F02E7E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3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F02E7E">
              <w:rPr>
                <w:rFonts w:eastAsia="Arial"/>
                <w:b/>
                <w:color w:val="000000"/>
                <w:sz w:val="28"/>
                <w:szCs w:val="16"/>
              </w:rPr>
              <w:t>Bilancia príjmov a výdavkov štátneho rozpočtu na rok 2020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24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3" w:type="pct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(v eurách)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24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3" w:type="pct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10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4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9" w:type="pct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Ukazovateľ</w:t>
            </w:r>
          </w:p>
        </w:tc>
        <w:tc>
          <w:tcPr>
            <w:tcW w:w="983" w:type="pct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28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3609" w:type="pct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983" w:type="pct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9" w:type="pct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Príjmy spolu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F02E7E">
              <w:rPr>
                <w:rFonts w:eastAsia="Arial"/>
                <w:b/>
                <w:i/>
                <w:color w:val="000000"/>
                <w:sz w:val="16"/>
                <w:szCs w:val="16"/>
              </w:rPr>
              <w:t>14 366 446 802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A.</w:t>
            </w:r>
          </w:p>
        </w:tc>
        <w:tc>
          <w:tcPr>
            <w:tcW w:w="3609" w:type="pct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i/>
                <w:color w:val="000000"/>
                <w:sz w:val="16"/>
                <w:szCs w:val="16"/>
              </w:rPr>
              <w:t>Daňové príjmy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i/>
                <w:color w:val="000000"/>
                <w:sz w:val="16"/>
                <w:szCs w:val="16"/>
              </w:rPr>
              <w:t>11 546 644 000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28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A.1</w:t>
            </w: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432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Dane z príjmov a kapitálového majetku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2 731 510 000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v tom:</w:t>
            </w:r>
          </w:p>
        </w:tc>
        <w:tc>
          <w:tcPr>
            <w:tcW w:w="3117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daň z príjmov fyzickej osoby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-48 281 000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v tom:</w:t>
            </w:r>
          </w:p>
        </w:tc>
        <w:tc>
          <w:tcPr>
            <w:tcW w:w="2801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zo závislej činnosti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-47 363 000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2801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z podnikania, z inej samostatnej zárobkovej činnosti a z prenájmu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-918 000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17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daň z príjmov právnickej osoby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2 546 921 000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17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daň z príjmov vyberaná zrážkou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232 870 000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28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A.2</w:t>
            </w: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432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Dane z majetku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5 000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28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A.3</w:t>
            </w: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432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Dane za tovary a služby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8 778 877 000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v tom:</w:t>
            </w:r>
          </w:p>
        </w:tc>
        <w:tc>
          <w:tcPr>
            <w:tcW w:w="3117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daň z pridanej hodnoty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6 361 454 000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17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spotrebné dane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2 204 065 000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17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dane z používania tovarov a z povolenia na výkon činnosti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142 800 000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17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iné dane za tovary a služby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70 558 000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28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A.4</w:t>
            </w: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432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Dane z medzinárodného obchodu a transakcií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20 408 000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v tom:</w:t>
            </w:r>
          </w:p>
        </w:tc>
        <w:tc>
          <w:tcPr>
            <w:tcW w:w="3117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podiel na vybratých finančných prostriedkoch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20 408 000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50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A.5</w:t>
            </w: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432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Sankcie uložené v daňovom konaní a sankcie súvisiace s úhradami za služby verejnosti poskytované Rozhlasom a televíziou Slovenska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17 162 000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28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A.6</w:t>
            </w: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432" w:type="pct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Iné dane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-1 318 000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B.</w:t>
            </w:r>
          </w:p>
        </w:tc>
        <w:tc>
          <w:tcPr>
            <w:tcW w:w="3609" w:type="pct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i/>
                <w:color w:val="000000"/>
                <w:sz w:val="16"/>
                <w:szCs w:val="16"/>
              </w:rPr>
              <w:t>Nedaňové príjmy</w:t>
            </w:r>
          </w:p>
        </w:tc>
        <w:tc>
          <w:tcPr>
            <w:tcW w:w="983" w:type="pct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F02E7E">
              <w:rPr>
                <w:rFonts w:eastAsia="Arial"/>
                <w:b/>
                <w:i/>
                <w:color w:val="000000"/>
                <w:sz w:val="16"/>
                <w:szCs w:val="16"/>
              </w:rPr>
              <w:t>1 103 341 582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center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color w:val="000000"/>
                <w:sz w:val="16"/>
                <w:szCs w:val="16"/>
              </w:rPr>
              <w:t>C.</w:t>
            </w:r>
          </w:p>
        </w:tc>
        <w:tc>
          <w:tcPr>
            <w:tcW w:w="3609" w:type="pct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i/>
                <w:color w:val="000000"/>
                <w:sz w:val="16"/>
                <w:szCs w:val="16"/>
              </w:rPr>
              <w:t>Granty a transfery</w:t>
            </w:r>
          </w:p>
        </w:tc>
        <w:tc>
          <w:tcPr>
            <w:tcW w:w="983" w:type="pct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b/>
                <w:i/>
                <w:color w:val="000000"/>
                <w:sz w:val="16"/>
                <w:szCs w:val="16"/>
              </w:rPr>
              <w:t>1 716 461 220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17" w:type="pct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Tuzemské granty a transfery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38 772 241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24289A" w:rsidTr="00A727A6">
        <w:trPr>
          <w:trHeight w:hRule="exact" w:val="320"/>
        </w:trPr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10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</w:p>
        </w:tc>
        <w:tc>
          <w:tcPr>
            <w:tcW w:w="3117" w:type="pct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Prostriedky z rozpočtu Európskej únie</w:t>
            </w:r>
          </w:p>
        </w:tc>
        <w:tc>
          <w:tcPr>
            <w:tcW w:w="983" w:type="pct"/>
            <w:gridSpan w:val="2"/>
            <w:tcBorders>
              <w:left w:val="single" w:sz="4" w:space="0" w:color="000000"/>
              <w:bottom w:val="single" w:sz="8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  <w:r w:rsidRPr="0024289A">
              <w:rPr>
                <w:rFonts w:eastAsia="Arial"/>
                <w:color w:val="000000"/>
                <w:sz w:val="16"/>
                <w:szCs w:val="16"/>
              </w:rPr>
              <w:t>1 677 688 979</w:t>
            </w:r>
          </w:p>
        </w:tc>
        <w:tc>
          <w:tcPr>
            <w:tcW w:w="19" w:type="pct"/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F02E7E" w:rsidTr="00A727A6">
        <w:trPr>
          <w:trHeight w:hRule="exact" w:val="320"/>
        </w:trPr>
        <w:tc>
          <w:tcPr>
            <w:tcW w:w="19" w:type="pct"/>
            <w:tcBorders>
              <w:right w:val="single" w:sz="8" w:space="0" w:color="000000"/>
            </w:tcBorders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9" w:type="pct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71D78" w:rsidRPr="00F02E7E" w:rsidRDefault="00271D78" w:rsidP="00A727A6">
            <w:pPr>
              <w:rPr>
                <w:sz w:val="16"/>
                <w:szCs w:val="16"/>
              </w:rPr>
            </w:pPr>
            <w:r w:rsidRPr="00F02E7E">
              <w:rPr>
                <w:rFonts w:eastAsia="Arial"/>
                <w:b/>
                <w:color w:val="000000"/>
                <w:sz w:val="16"/>
                <w:szCs w:val="16"/>
              </w:rPr>
              <w:t>Výdavky spolu</w:t>
            </w:r>
          </w:p>
        </w:tc>
        <w:tc>
          <w:tcPr>
            <w:tcW w:w="983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F02E7E" w:rsidRDefault="00271D78" w:rsidP="00A727A6">
            <w:pPr>
              <w:jc w:val="right"/>
              <w:rPr>
                <w:b/>
                <w:i/>
                <w:sz w:val="16"/>
                <w:szCs w:val="16"/>
              </w:rPr>
            </w:pPr>
            <w:r w:rsidRPr="00F02E7E">
              <w:rPr>
                <w:b/>
                <w:i/>
                <w:sz w:val="16"/>
                <w:szCs w:val="16"/>
              </w:rPr>
              <w:t>26 319 080 528</w:t>
            </w:r>
          </w:p>
        </w:tc>
        <w:tc>
          <w:tcPr>
            <w:tcW w:w="19" w:type="pct"/>
            <w:tcBorders>
              <w:left w:val="single" w:sz="8" w:space="0" w:color="000000"/>
            </w:tcBorders>
          </w:tcPr>
          <w:p w:rsidR="00271D78" w:rsidRPr="00F02E7E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D78" w:rsidRPr="00F02E7E" w:rsidTr="00A727A6">
        <w:trPr>
          <w:trHeight w:hRule="exact" w:val="320"/>
        </w:trPr>
        <w:tc>
          <w:tcPr>
            <w:tcW w:w="19" w:type="pct"/>
            <w:tcBorders>
              <w:right w:val="single" w:sz="8" w:space="0" w:color="000000"/>
            </w:tcBorders>
          </w:tcPr>
          <w:p w:rsidR="00271D78" w:rsidRPr="0024289A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24289A" w:rsidRDefault="00271D78" w:rsidP="00A727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9" w:type="pct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71D78" w:rsidRPr="00F02E7E" w:rsidRDefault="00271D78" w:rsidP="00A727A6">
            <w:pPr>
              <w:rPr>
                <w:sz w:val="16"/>
                <w:szCs w:val="16"/>
              </w:rPr>
            </w:pPr>
            <w:r w:rsidRPr="00F02E7E">
              <w:rPr>
                <w:rFonts w:eastAsia="Arial"/>
                <w:b/>
                <w:color w:val="000000"/>
                <w:sz w:val="16"/>
                <w:szCs w:val="16"/>
              </w:rPr>
              <w:t>Prebytok / Schodok (+/-)</w:t>
            </w:r>
          </w:p>
        </w:tc>
        <w:tc>
          <w:tcPr>
            <w:tcW w:w="983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F02E7E" w:rsidRDefault="00271D78" w:rsidP="00A727A6">
            <w:pPr>
              <w:jc w:val="right"/>
              <w:rPr>
                <w:b/>
                <w:i/>
                <w:sz w:val="16"/>
                <w:szCs w:val="16"/>
              </w:rPr>
            </w:pPr>
            <w:r w:rsidRPr="00F02E7E">
              <w:rPr>
                <w:b/>
                <w:i/>
                <w:sz w:val="16"/>
                <w:szCs w:val="16"/>
              </w:rPr>
              <w:t>-11 952 633 726</w:t>
            </w:r>
          </w:p>
        </w:tc>
        <w:tc>
          <w:tcPr>
            <w:tcW w:w="19" w:type="pct"/>
            <w:tcBorders>
              <w:left w:val="single" w:sz="8" w:space="0" w:color="000000"/>
            </w:tcBorders>
          </w:tcPr>
          <w:p w:rsidR="00271D78" w:rsidRPr="00F02E7E" w:rsidRDefault="00271D78" w:rsidP="00A727A6">
            <w:pPr>
              <w:pStyle w:val="EMPTYCELL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</w:t>
      </w: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Pr="00F02E7E" w:rsidRDefault="00271D78" w:rsidP="00271D78">
      <w:pPr>
        <w:pStyle w:val="Zkladntext"/>
        <w:tabs>
          <w:tab w:val="left" w:pos="7938"/>
        </w:tabs>
        <w:ind w:right="-157"/>
        <w:jc w:val="right"/>
        <w:rPr>
          <w:b/>
          <w:szCs w:val="24"/>
        </w:rPr>
      </w:pPr>
      <w:bookmarkStart w:id="0" w:name="_GoBack"/>
      <w:bookmarkEnd w:id="0"/>
      <w:r w:rsidRPr="00F02E7E">
        <w:rPr>
          <w:b/>
          <w:szCs w:val="24"/>
        </w:rPr>
        <w:lastRenderedPageBreak/>
        <w:t xml:space="preserve">Príloha č. 2 </w:t>
      </w:r>
    </w:p>
    <w:p w:rsidR="00271D78" w:rsidRPr="00F02E7E" w:rsidRDefault="00271D78" w:rsidP="00271D78">
      <w:pPr>
        <w:pStyle w:val="Zkladntext"/>
        <w:tabs>
          <w:tab w:val="left" w:pos="7938"/>
        </w:tabs>
        <w:ind w:right="-157"/>
        <w:jc w:val="right"/>
        <w:rPr>
          <w:b/>
          <w:szCs w:val="24"/>
        </w:rPr>
      </w:pPr>
      <w:r w:rsidRPr="00F02E7E">
        <w:rPr>
          <w:b/>
          <w:szCs w:val="24"/>
        </w:rPr>
        <w:t xml:space="preserve">k zákonu č. 468/2019 Z. z. </w:t>
      </w:r>
    </w:p>
    <w:p w:rsidR="00271D78" w:rsidRPr="00F02E7E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647"/>
        <w:gridCol w:w="1651"/>
        <w:gridCol w:w="847"/>
        <w:gridCol w:w="530"/>
      </w:tblGrid>
      <w:tr w:rsidR="00271D78" w:rsidTr="00A727A6">
        <w:trPr>
          <w:trHeight w:hRule="exact" w:val="560"/>
        </w:trPr>
        <w:tc>
          <w:tcPr>
            <w:tcW w:w="500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B6291E" w:rsidRDefault="00271D78" w:rsidP="00A727A6">
            <w:pPr>
              <w:jc w:val="center"/>
            </w:pPr>
            <w:r w:rsidRPr="00F02E7E">
              <w:rPr>
                <w:rFonts w:eastAsia="Arial"/>
                <w:b/>
                <w:color w:val="000000"/>
                <w:sz w:val="28"/>
              </w:rPr>
              <w:t>Príjmy kapitol na rok 2020</w:t>
            </w:r>
          </w:p>
        </w:tc>
      </w:tr>
      <w:tr w:rsidR="00271D78" w:rsidTr="00A727A6">
        <w:trPr>
          <w:trHeight w:hRule="exact" w:val="240"/>
        </w:trPr>
        <w:tc>
          <w:tcPr>
            <w:tcW w:w="5000" w:type="pct"/>
            <w:gridSpan w:val="5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271D78" w:rsidRPr="00B6291E" w:rsidRDefault="00271D78" w:rsidP="00A727A6">
            <w:pPr>
              <w:jc w:val="center"/>
            </w:pPr>
            <w:r>
              <w:rPr>
                <w:rFonts w:eastAsia="Arial"/>
                <w:color w:val="000000"/>
                <w:sz w:val="16"/>
              </w:rPr>
              <w:t>(</w:t>
            </w:r>
            <w:r w:rsidRPr="00B6291E">
              <w:rPr>
                <w:rFonts w:eastAsia="Arial"/>
                <w:color w:val="000000"/>
                <w:sz w:val="16"/>
              </w:rPr>
              <w:t>v eurách)</w:t>
            </w:r>
          </w:p>
        </w:tc>
      </w:tr>
      <w:tr w:rsidR="00271D78" w:rsidTr="00A727A6">
        <w:trPr>
          <w:trHeight w:hRule="exact" w:val="380"/>
        </w:trPr>
        <w:tc>
          <w:tcPr>
            <w:tcW w:w="2423" w:type="pct"/>
          </w:tcPr>
          <w:p w:rsidR="00271D78" w:rsidRPr="00B6291E" w:rsidRDefault="00271D78" w:rsidP="00A727A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</w:tcPr>
          <w:p w:rsidR="00271D78" w:rsidRPr="00B6291E" w:rsidRDefault="00271D78" w:rsidP="00A727A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</w:tcPr>
          <w:p w:rsidR="00271D78" w:rsidRPr="00B6291E" w:rsidRDefault="00271D78" w:rsidP="00A727A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271D78" w:rsidRPr="00B6291E" w:rsidRDefault="00271D78" w:rsidP="00A727A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</w:tcPr>
          <w:p w:rsidR="00271D78" w:rsidRPr="00B6291E" w:rsidRDefault="00271D78" w:rsidP="00A727A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271D78" w:rsidTr="00A727A6">
        <w:trPr>
          <w:trHeight w:hRule="exact" w:val="600"/>
        </w:trPr>
        <w:tc>
          <w:tcPr>
            <w:tcW w:w="242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271D78" w:rsidRPr="00B6291E" w:rsidRDefault="00271D78" w:rsidP="00A727A6">
            <w:pPr>
              <w:jc w:val="center"/>
            </w:pPr>
            <w:r w:rsidRPr="00B6291E">
              <w:rPr>
                <w:rFonts w:eastAsia="Arial"/>
                <w:b/>
                <w:color w:val="000000"/>
                <w:sz w:val="16"/>
              </w:rPr>
              <w:t>Kapitola</w:t>
            </w:r>
          </w:p>
        </w:tc>
        <w:tc>
          <w:tcPr>
            <w:tcW w:w="90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271D78" w:rsidRPr="00B6291E" w:rsidRDefault="00271D78" w:rsidP="00A727A6">
            <w:pPr>
              <w:jc w:val="center"/>
            </w:pPr>
            <w:r w:rsidRPr="00B6291E">
              <w:rPr>
                <w:rFonts w:eastAsia="Arial"/>
                <w:b/>
                <w:color w:val="000000"/>
                <w:sz w:val="16"/>
              </w:rPr>
              <w:t>Príjmy spolu</w:t>
            </w:r>
          </w:p>
        </w:tc>
        <w:tc>
          <w:tcPr>
            <w:tcW w:w="910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271D78" w:rsidRPr="00B6291E" w:rsidRDefault="00271D78" w:rsidP="00A727A6">
            <w:pPr>
              <w:jc w:val="center"/>
            </w:pPr>
            <w:r w:rsidRPr="00B6291E">
              <w:rPr>
                <w:rFonts w:eastAsia="Arial"/>
                <w:b/>
                <w:color w:val="000000"/>
                <w:sz w:val="16"/>
              </w:rPr>
              <w:t>Záväzný</w:t>
            </w:r>
            <w:r w:rsidRPr="00B6291E">
              <w:rPr>
                <w:rFonts w:eastAsia="Arial"/>
                <w:b/>
                <w:color w:val="000000"/>
                <w:sz w:val="16"/>
              </w:rPr>
              <w:br/>
              <w:t>ukazovateľ</w:t>
            </w:r>
          </w:p>
        </w:tc>
        <w:tc>
          <w:tcPr>
            <w:tcW w:w="759" w:type="pct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271D78" w:rsidRPr="00B6291E" w:rsidRDefault="00271D78" w:rsidP="00A727A6">
            <w:pPr>
              <w:jc w:val="center"/>
            </w:pPr>
            <w:r w:rsidRPr="00B6291E">
              <w:rPr>
                <w:rFonts w:eastAsia="Arial"/>
                <w:b/>
                <w:color w:val="000000"/>
                <w:sz w:val="16"/>
              </w:rPr>
              <w:t>Prostriedky z</w:t>
            </w:r>
            <w:r w:rsidRPr="00B6291E">
              <w:rPr>
                <w:rFonts w:eastAsia="Arial"/>
                <w:b/>
                <w:color w:val="000000"/>
                <w:sz w:val="16"/>
              </w:rPr>
              <w:br/>
              <w:t>rozpočtu EÚ</w:t>
            </w:r>
          </w:p>
        </w:tc>
      </w:tr>
      <w:tr w:rsidR="00271D78" w:rsidTr="00A727A6">
        <w:trPr>
          <w:trHeight w:hRule="exact" w:val="280"/>
        </w:trPr>
        <w:tc>
          <w:tcPr>
            <w:tcW w:w="2423" w:type="pct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B6291E" w:rsidRDefault="00271D78" w:rsidP="00A727A6">
            <w:pPr>
              <w:jc w:val="center"/>
            </w:pPr>
            <w:r w:rsidRPr="00B6291E">
              <w:rPr>
                <w:rFonts w:eastAsia="Arial"/>
                <w:b/>
                <w:color w:val="000000"/>
                <w:sz w:val="14"/>
              </w:rPr>
              <w:t>a</w:t>
            </w:r>
          </w:p>
        </w:tc>
        <w:tc>
          <w:tcPr>
            <w:tcW w:w="908" w:type="pct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B6291E" w:rsidRDefault="00271D78" w:rsidP="00A727A6">
            <w:pPr>
              <w:jc w:val="center"/>
            </w:pPr>
            <w:r w:rsidRPr="00B6291E">
              <w:rPr>
                <w:rFonts w:eastAsia="Arial"/>
                <w:b/>
                <w:color w:val="000000"/>
                <w:sz w:val="14"/>
              </w:rPr>
              <w:t>1</w:t>
            </w:r>
          </w:p>
        </w:tc>
        <w:tc>
          <w:tcPr>
            <w:tcW w:w="910" w:type="pct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B6291E" w:rsidRDefault="00271D78" w:rsidP="00A727A6">
            <w:pPr>
              <w:jc w:val="center"/>
            </w:pPr>
            <w:r w:rsidRPr="00B6291E">
              <w:rPr>
                <w:rFonts w:eastAsia="Arial"/>
                <w:b/>
                <w:color w:val="000000"/>
                <w:sz w:val="14"/>
              </w:rPr>
              <w:t>2</w:t>
            </w:r>
          </w:p>
        </w:tc>
        <w:tc>
          <w:tcPr>
            <w:tcW w:w="759" w:type="pct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D78" w:rsidRPr="00B6291E" w:rsidRDefault="00271D78" w:rsidP="00A727A6">
            <w:pPr>
              <w:jc w:val="center"/>
            </w:pPr>
            <w:r w:rsidRPr="00B6291E">
              <w:rPr>
                <w:rFonts w:eastAsia="Arial"/>
                <w:b/>
                <w:color w:val="000000"/>
                <w:sz w:val="14"/>
              </w:rPr>
              <w:t>3</w:t>
            </w: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Kancelária Národnej rady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732 413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732 413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Kancelária prezidenta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15 000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Úrad vlády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9 880 634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600 000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9 280 634</w:t>
            </w: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>
              <w:rPr>
                <w:rFonts w:eastAsia="Arial"/>
                <w:color w:val="000000"/>
                <w:sz w:val="16"/>
              </w:rPr>
              <w:t>Ministerstvo investícií, regionálneho rozvoja a informatizácie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Kancelária Ústavného súdu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12 100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12 000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Generálna prokuratúra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220 000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220 000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Najvyšší kontrolný úrad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Slovenská informačná služba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130 000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130 000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1 800 000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1 800 000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obrany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4 701 125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4 654 505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vnútra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113 200 593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52 623 340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58 556 733</w:t>
            </w: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spravodlivosti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23 280 742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17 280 742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financií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133 473 254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30 468 477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103 004 777</w:t>
            </w: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338 806 964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350 000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338 449 964</w:t>
            </w: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107 027 452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499 068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106 528 384</w:t>
            </w: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zdravotníctva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40 466 590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40 466 590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206 757 442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14 740 500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191 901 642</w:t>
            </w: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kultúry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1 431 132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1 431 132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hospodárstva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143 171 477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80 218 764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62 952 713</w:t>
            </w: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710 730 553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9 558 772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701 171 781</w:t>
            </w: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Ministerstvo dopravy a výstavby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120 996 830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15 054 479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105 842 351</w:t>
            </w: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200 000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200 000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Štatistický úrad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120 000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120 000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Úrad pre verejné obstarávanie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1 000 000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1 000 000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230 000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230 000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Úrad jadrového dozoru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8 869 000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8 869 000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3 310 000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3 310 000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660 000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660 000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Protimonopolný úrad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200 000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200 000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Národný bezpečnostný úrad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16 900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14 900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907 844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907 844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F02E7E">
              <w:rPr>
                <w:rFonts w:eastAsia="Arial"/>
                <w:color w:val="000000"/>
                <w:sz w:val="16"/>
              </w:rPr>
              <w:t>12 393 576 757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Slovenská akadémia vied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492 000</w:t>
            </w: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color w:val="000000"/>
                <w:sz w:val="16"/>
              </w:rPr>
              <w:t>492 000</w:t>
            </w: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color w:val="000000"/>
                <w:sz w:val="16"/>
              </w:rPr>
              <w:t>Kancelária Súdnej rady SR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  <w:tc>
          <w:tcPr>
            <w:tcW w:w="910" w:type="pct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  <w:tc>
          <w:tcPr>
            <w:tcW w:w="75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</w:p>
        </w:tc>
      </w:tr>
      <w:tr w:rsidR="00271D78" w:rsidTr="00A727A6">
        <w:trPr>
          <w:trHeight w:hRule="exact" w:val="300"/>
        </w:trPr>
        <w:tc>
          <w:tcPr>
            <w:tcW w:w="2423" w:type="pct"/>
            <w:tcBorders>
              <w:top w:val="single" w:sz="1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r w:rsidRPr="00B6291E">
              <w:rPr>
                <w:rFonts w:eastAsia="Arial"/>
                <w:b/>
                <w:color w:val="000000"/>
                <w:sz w:val="16"/>
              </w:rPr>
              <w:t>Spolu</w:t>
            </w:r>
          </w:p>
        </w:tc>
        <w:tc>
          <w:tcPr>
            <w:tcW w:w="908" w:type="pct"/>
            <w:tcBorders>
              <w:top w:val="single" w:sz="10" w:space="0" w:color="333333"/>
              <w:left w:val="single" w:sz="10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F02E7E">
              <w:rPr>
                <w:rFonts w:eastAsia="Arial"/>
                <w:b/>
                <w:color w:val="000000"/>
                <w:sz w:val="16"/>
              </w:rPr>
              <w:t>14 366 446 802</w:t>
            </w:r>
          </w:p>
        </w:tc>
        <w:tc>
          <w:tcPr>
            <w:tcW w:w="910" w:type="pct"/>
            <w:tcBorders>
              <w:top w:val="single" w:sz="10" w:space="0" w:color="333333"/>
              <w:left w:val="single" w:sz="10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b/>
                <w:color w:val="000000"/>
                <w:sz w:val="16"/>
              </w:rPr>
              <w:t>286 884 526</w:t>
            </w:r>
          </w:p>
        </w:tc>
        <w:tc>
          <w:tcPr>
            <w:tcW w:w="759" w:type="pct"/>
            <w:gridSpan w:val="2"/>
            <w:tcBorders>
              <w:top w:val="single" w:sz="1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71D78" w:rsidRPr="00B6291E" w:rsidRDefault="00271D78" w:rsidP="00A727A6">
            <w:pPr>
              <w:jc w:val="right"/>
            </w:pPr>
            <w:r w:rsidRPr="00B6291E">
              <w:rPr>
                <w:rFonts w:eastAsia="Arial"/>
                <w:b/>
                <w:color w:val="000000"/>
                <w:sz w:val="16"/>
              </w:rPr>
              <w:t>1 677 688 979</w:t>
            </w:r>
          </w:p>
        </w:tc>
      </w:tr>
    </w:tbl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“. </w:t>
      </w:r>
    </w:p>
    <w:p w:rsidR="00271D78" w:rsidRDefault="00271D78" w:rsidP="00271D78">
      <w:pPr>
        <w:pStyle w:val="Zkladntext"/>
        <w:tabs>
          <w:tab w:val="left" w:pos="7938"/>
        </w:tabs>
        <w:jc w:val="both"/>
        <w:rPr>
          <w:szCs w:val="24"/>
        </w:rPr>
      </w:pPr>
    </w:p>
    <w:p w:rsidR="00271D78" w:rsidRPr="00257AB1" w:rsidRDefault="00271D78" w:rsidP="00271D78">
      <w:pPr>
        <w:pStyle w:val="Zkladntext"/>
        <w:tabs>
          <w:tab w:val="left" w:pos="7938"/>
        </w:tabs>
        <w:jc w:val="both"/>
        <w:rPr>
          <w:szCs w:val="24"/>
        </w:rPr>
      </w:pPr>
      <w:r>
        <w:rPr>
          <w:szCs w:val="24"/>
        </w:rPr>
        <w:t>6</w:t>
      </w:r>
      <w:r w:rsidRPr="00257AB1">
        <w:rPr>
          <w:szCs w:val="24"/>
        </w:rPr>
        <w:t>.</w:t>
      </w:r>
      <w:r>
        <w:rPr>
          <w:szCs w:val="24"/>
        </w:rPr>
        <w:t xml:space="preserve"> </w:t>
      </w:r>
      <w:r w:rsidRPr="00F02E7E">
        <w:rPr>
          <w:szCs w:val="24"/>
        </w:rPr>
        <w:t>V prílohe č. 3</w:t>
      </w:r>
      <w:r w:rsidRPr="005B4589">
        <w:rPr>
          <w:szCs w:val="24"/>
        </w:rPr>
        <w:t xml:space="preserve"> </w:t>
      </w:r>
      <w:r>
        <w:rPr>
          <w:szCs w:val="24"/>
        </w:rPr>
        <w:t xml:space="preserve">v riadku „Všeobecná pokladničná správa“ v prvom stĺpci a štvrtom stĺpci </w:t>
      </w:r>
      <w:r w:rsidRPr="005B4589">
        <w:rPr>
          <w:szCs w:val="24"/>
        </w:rPr>
        <w:t xml:space="preserve">sa </w:t>
      </w:r>
      <w:r>
        <w:rPr>
          <w:szCs w:val="24"/>
        </w:rPr>
        <w:t>číslo</w:t>
      </w:r>
      <w:r w:rsidRPr="005B4589">
        <w:rPr>
          <w:szCs w:val="24"/>
        </w:rPr>
        <w:t xml:space="preserve"> „3 283 476 916“ nahrádza </w:t>
      </w:r>
      <w:r>
        <w:rPr>
          <w:szCs w:val="24"/>
        </w:rPr>
        <w:t>číslom</w:t>
      </w:r>
      <w:r w:rsidRPr="005B4589">
        <w:rPr>
          <w:szCs w:val="24"/>
        </w:rPr>
        <w:t xml:space="preserve"> „</w:t>
      </w:r>
      <w:r>
        <w:rPr>
          <w:szCs w:val="24"/>
        </w:rPr>
        <w:t>11 041 679 450</w:t>
      </w:r>
      <w:r w:rsidRPr="005B4589">
        <w:rPr>
          <w:szCs w:val="24"/>
        </w:rPr>
        <w:t>“</w:t>
      </w:r>
      <w:r>
        <w:rPr>
          <w:szCs w:val="24"/>
        </w:rPr>
        <w:t xml:space="preserve"> a v poslednom riadku „Spolu“ v prvom stĺpci sa číslo </w:t>
      </w:r>
      <w:r w:rsidRPr="005B4589">
        <w:rPr>
          <w:szCs w:val="24"/>
        </w:rPr>
        <w:t xml:space="preserve">„18 560 877 994“ nahrádza </w:t>
      </w:r>
      <w:r>
        <w:rPr>
          <w:szCs w:val="24"/>
        </w:rPr>
        <w:t>číslom „26 319 080 528“ a vo štvrtom stĺpci sa</w:t>
      </w:r>
      <w:r w:rsidRPr="005B4589">
        <w:rPr>
          <w:szCs w:val="24"/>
        </w:rPr>
        <w:t> </w:t>
      </w:r>
      <w:r>
        <w:rPr>
          <w:szCs w:val="24"/>
        </w:rPr>
        <w:t>číslo</w:t>
      </w:r>
      <w:r w:rsidRPr="005B4589">
        <w:rPr>
          <w:szCs w:val="24"/>
        </w:rPr>
        <w:t xml:space="preserve"> „16 880 892 475“ nahrádza </w:t>
      </w:r>
      <w:r>
        <w:rPr>
          <w:szCs w:val="24"/>
        </w:rPr>
        <w:t>číslom</w:t>
      </w:r>
      <w:r w:rsidRPr="005B4589">
        <w:rPr>
          <w:szCs w:val="24"/>
        </w:rPr>
        <w:t xml:space="preserve"> „</w:t>
      </w:r>
      <w:r>
        <w:rPr>
          <w:szCs w:val="24"/>
        </w:rPr>
        <w:t>24 639 095 009</w:t>
      </w:r>
      <w:r w:rsidRPr="005B4589">
        <w:rPr>
          <w:szCs w:val="24"/>
        </w:rPr>
        <w:t xml:space="preserve">“. </w:t>
      </w: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  <w:r>
        <w:rPr>
          <w:szCs w:val="24"/>
        </w:rPr>
        <w:t>7</w:t>
      </w:r>
      <w:r w:rsidRPr="00257AB1">
        <w:rPr>
          <w:szCs w:val="24"/>
        </w:rPr>
        <w:t xml:space="preserve">. </w:t>
      </w:r>
      <w:r w:rsidRPr="00F02E7E">
        <w:rPr>
          <w:szCs w:val="24"/>
        </w:rPr>
        <w:t>V prílohe č. 4</w:t>
      </w:r>
      <w:r w:rsidRPr="00257AB1">
        <w:rPr>
          <w:szCs w:val="24"/>
        </w:rPr>
        <w:t xml:space="preserve"> </w:t>
      </w:r>
      <w:r>
        <w:rPr>
          <w:szCs w:val="24"/>
        </w:rPr>
        <w:t xml:space="preserve">v časti 48 – Všeobecná pokladničná správa v riadku „Výdavky spolu za kapitolu“ sa číslo </w:t>
      </w:r>
      <w:r w:rsidRPr="00133D9D">
        <w:rPr>
          <w:szCs w:val="24"/>
        </w:rPr>
        <w:t>„3</w:t>
      </w:r>
      <w:r>
        <w:rPr>
          <w:szCs w:val="24"/>
        </w:rPr>
        <w:t> 283 476 916</w:t>
      </w:r>
      <w:r w:rsidRPr="00133D9D">
        <w:rPr>
          <w:szCs w:val="24"/>
        </w:rPr>
        <w:t xml:space="preserve">“ nahrádza </w:t>
      </w:r>
      <w:r>
        <w:rPr>
          <w:szCs w:val="24"/>
        </w:rPr>
        <w:t>číslom</w:t>
      </w:r>
      <w:r w:rsidRPr="00133D9D">
        <w:rPr>
          <w:szCs w:val="24"/>
        </w:rPr>
        <w:t xml:space="preserve"> „</w:t>
      </w:r>
      <w:r>
        <w:rPr>
          <w:szCs w:val="24"/>
        </w:rPr>
        <w:t>11 041 679 450</w:t>
      </w:r>
      <w:r w:rsidRPr="00133D9D">
        <w:rPr>
          <w:szCs w:val="24"/>
        </w:rPr>
        <w:t>“</w:t>
      </w:r>
      <w:r>
        <w:rPr>
          <w:szCs w:val="24"/>
        </w:rPr>
        <w:t xml:space="preserve">. </w:t>
      </w:r>
    </w:p>
    <w:p w:rsidR="00271D78" w:rsidRPr="00257AB1" w:rsidRDefault="00271D78" w:rsidP="00271D78">
      <w:pPr>
        <w:pStyle w:val="Zkladntext"/>
        <w:tabs>
          <w:tab w:val="left" w:pos="7938"/>
        </w:tabs>
        <w:ind w:right="-157"/>
        <w:jc w:val="both"/>
        <w:rPr>
          <w:szCs w:val="24"/>
        </w:rPr>
      </w:pPr>
    </w:p>
    <w:p w:rsidR="00271D78" w:rsidRDefault="00271D78" w:rsidP="00271D78"/>
    <w:p w:rsidR="00271D78" w:rsidRPr="00C364FF" w:rsidRDefault="00271D78" w:rsidP="00271D78">
      <w:pPr>
        <w:pStyle w:val="Default"/>
        <w:jc w:val="center"/>
      </w:pPr>
      <w:r w:rsidRPr="00C364FF">
        <w:rPr>
          <w:b/>
          <w:bCs/>
        </w:rPr>
        <w:t>Čl. II</w:t>
      </w:r>
    </w:p>
    <w:p w:rsidR="00271D78" w:rsidRPr="00C364FF" w:rsidRDefault="00271D78" w:rsidP="00271D78">
      <w:pPr>
        <w:ind w:hanging="284"/>
      </w:pPr>
      <w:r w:rsidRPr="00C364FF">
        <w:t xml:space="preserve">     Tento zákon nadobúda účinnosť dňom vyhlásenia.</w:t>
      </w:r>
    </w:p>
    <w:p w:rsidR="00271D78" w:rsidRPr="00257AB1" w:rsidRDefault="00271D78" w:rsidP="00CE27A1">
      <w:pPr>
        <w:pStyle w:val="Zkladntext"/>
        <w:spacing w:line="240" w:lineRule="atLeast"/>
        <w:ind w:right="-157"/>
        <w:outlineLvl w:val="0"/>
        <w:rPr>
          <w:szCs w:val="24"/>
        </w:rPr>
      </w:pPr>
    </w:p>
    <w:p w:rsidR="00E04FDB" w:rsidRPr="00137D8A" w:rsidRDefault="00E04FDB" w:rsidP="00A14F64">
      <w:pPr>
        <w:pStyle w:val="Zkladntext"/>
        <w:tabs>
          <w:tab w:val="left" w:pos="0"/>
        </w:tabs>
        <w:spacing w:line="360" w:lineRule="atLeast"/>
        <w:jc w:val="both"/>
        <w:rPr>
          <w:szCs w:val="24"/>
        </w:rPr>
      </w:pPr>
    </w:p>
    <w:sectPr w:rsidR="00E04FDB" w:rsidRPr="00137D8A" w:rsidSect="0075621D">
      <w:footerReference w:type="default" r:id="rId8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57" w:rsidRDefault="00C20357">
      <w:r>
        <w:separator/>
      </w:r>
    </w:p>
  </w:endnote>
  <w:endnote w:type="continuationSeparator" w:id="0">
    <w:p w:rsidR="00C20357" w:rsidRDefault="00C2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5621D">
      <w:rPr>
        <w:noProof/>
      </w:rPr>
      <w:t>4</w:t>
    </w:r>
    <w:r>
      <w:fldChar w:fldCharType="end"/>
    </w:r>
  </w:p>
  <w:p w:rsidR="008B6DF7" w:rsidRDefault="008B6D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57" w:rsidRDefault="00C20357">
      <w:r>
        <w:separator/>
      </w:r>
    </w:p>
  </w:footnote>
  <w:footnote w:type="continuationSeparator" w:id="0">
    <w:p w:rsidR="00C20357" w:rsidRDefault="00C20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7540BCE2"/>
    <w:lvl w:ilvl="0" w:tplc="6442975A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FBF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6CF2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E75EE"/>
    <w:rsid w:val="000E7CD5"/>
    <w:rsid w:val="000F0C7A"/>
    <w:rsid w:val="000F3F63"/>
    <w:rsid w:val="001028AB"/>
    <w:rsid w:val="00104052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63DAB"/>
    <w:rsid w:val="0016421E"/>
    <w:rsid w:val="00164EDC"/>
    <w:rsid w:val="0016540E"/>
    <w:rsid w:val="001674D9"/>
    <w:rsid w:val="00176F9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5E2F"/>
    <w:rsid w:val="001B7443"/>
    <w:rsid w:val="001C45BC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1D78"/>
    <w:rsid w:val="002735E7"/>
    <w:rsid w:val="002738F9"/>
    <w:rsid w:val="00273FD0"/>
    <w:rsid w:val="00275120"/>
    <w:rsid w:val="002767D0"/>
    <w:rsid w:val="00276CA0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705B9"/>
    <w:rsid w:val="00375F97"/>
    <w:rsid w:val="003764EB"/>
    <w:rsid w:val="00387599"/>
    <w:rsid w:val="00387A32"/>
    <w:rsid w:val="00391287"/>
    <w:rsid w:val="0039352C"/>
    <w:rsid w:val="003946E7"/>
    <w:rsid w:val="003976A9"/>
    <w:rsid w:val="003A11CD"/>
    <w:rsid w:val="003A2AC1"/>
    <w:rsid w:val="003A3EC0"/>
    <w:rsid w:val="003A41E1"/>
    <w:rsid w:val="003B1264"/>
    <w:rsid w:val="003B1808"/>
    <w:rsid w:val="003C5952"/>
    <w:rsid w:val="003D21AA"/>
    <w:rsid w:val="003D633B"/>
    <w:rsid w:val="003E50D6"/>
    <w:rsid w:val="003E7B4F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039"/>
    <w:rsid w:val="004A1B78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E29"/>
    <w:rsid w:val="005104B7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4DD3"/>
    <w:rsid w:val="00567A78"/>
    <w:rsid w:val="00571075"/>
    <w:rsid w:val="00571C03"/>
    <w:rsid w:val="00574573"/>
    <w:rsid w:val="00577AD6"/>
    <w:rsid w:val="00584A27"/>
    <w:rsid w:val="005907B3"/>
    <w:rsid w:val="00590B9E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E93"/>
    <w:rsid w:val="005D1EEA"/>
    <w:rsid w:val="005D31A6"/>
    <w:rsid w:val="005D5BDD"/>
    <w:rsid w:val="005D61F8"/>
    <w:rsid w:val="005E3FC6"/>
    <w:rsid w:val="005E7833"/>
    <w:rsid w:val="005F1676"/>
    <w:rsid w:val="005F3817"/>
    <w:rsid w:val="005F6029"/>
    <w:rsid w:val="00610343"/>
    <w:rsid w:val="00612478"/>
    <w:rsid w:val="006128EF"/>
    <w:rsid w:val="006129F4"/>
    <w:rsid w:val="006150E3"/>
    <w:rsid w:val="0061663F"/>
    <w:rsid w:val="00620396"/>
    <w:rsid w:val="00622B3C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47E3"/>
    <w:rsid w:val="0068493D"/>
    <w:rsid w:val="00684F16"/>
    <w:rsid w:val="00686615"/>
    <w:rsid w:val="00687F4A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5621D"/>
    <w:rsid w:val="007626D7"/>
    <w:rsid w:val="00764D74"/>
    <w:rsid w:val="007668D1"/>
    <w:rsid w:val="00776C9A"/>
    <w:rsid w:val="00790EAE"/>
    <w:rsid w:val="0079162E"/>
    <w:rsid w:val="00792550"/>
    <w:rsid w:val="007935D7"/>
    <w:rsid w:val="00794799"/>
    <w:rsid w:val="0079644F"/>
    <w:rsid w:val="00797BD0"/>
    <w:rsid w:val="007A0F5E"/>
    <w:rsid w:val="007A5546"/>
    <w:rsid w:val="007B5B85"/>
    <w:rsid w:val="007B5F59"/>
    <w:rsid w:val="007B6E1C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4239"/>
    <w:rsid w:val="009368EB"/>
    <w:rsid w:val="0094177A"/>
    <w:rsid w:val="0094567F"/>
    <w:rsid w:val="0095095A"/>
    <w:rsid w:val="00950A6C"/>
    <w:rsid w:val="00950E81"/>
    <w:rsid w:val="00951848"/>
    <w:rsid w:val="009534A4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7316"/>
    <w:rsid w:val="009F7B9B"/>
    <w:rsid w:val="00A024FA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C24"/>
    <w:rsid w:val="00A41344"/>
    <w:rsid w:val="00A45FC7"/>
    <w:rsid w:val="00A52B5D"/>
    <w:rsid w:val="00A534DF"/>
    <w:rsid w:val="00A562CE"/>
    <w:rsid w:val="00A634FD"/>
    <w:rsid w:val="00A7037C"/>
    <w:rsid w:val="00A7657F"/>
    <w:rsid w:val="00A8086A"/>
    <w:rsid w:val="00A82C45"/>
    <w:rsid w:val="00A83DA4"/>
    <w:rsid w:val="00A84C5E"/>
    <w:rsid w:val="00A8586E"/>
    <w:rsid w:val="00A85A3A"/>
    <w:rsid w:val="00A95F21"/>
    <w:rsid w:val="00AA471B"/>
    <w:rsid w:val="00AB2103"/>
    <w:rsid w:val="00AB3D23"/>
    <w:rsid w:val="00AB5210"/>
    <w:rsid w:val="00AB60CF"/>
    <w:rsid w:val="00AB6BB9"/>
    <w:rsid w:val="00AC74EC"/>
    <w:rsid w:val="00AD02CC"/>
    <w:rsid w:val="00AD0714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753B"/>
    <w:rsid w:val="00B10983"/>
    <w:rsid w:val="00B111C1"/>
    <w:rsid w:val="00B12F46"/>
    <w:rsid w:val="00B20394"/>
    <w:rsid w:val="00B209C5"/>
    <w:rsid w:val="00B219F9"/>
    <w:rsid w:val="00B2262F"/>
    <w:rsid w:val="00B2341F"/>
    <w:rsid w:val="00B30EF8"/>
    <w:rsid w:val="00B32B7E"/>
    <w:rsid w:val="00B34F84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5D28"/>
    <w:rsid w:val="00B94632"/>
    <w:rsid w:val="00BA0D80"/>
    <w:rsid w:val="00BA4EE0"/>
    <w:rsid w:val="00BB3873"/>
    <w:rsid w:val="00BB4196"/>
    <w:rsid w:val="00BC0A00"/>
    <w:rsid w:val="00BC6BD3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6837"/>
    <w:rsid w:val="00BF6A97"/>
    <w:rsid w:val="00BF7EEC"/>
    <w:rsid w:val="00C00E20"/>
    <w:rsid w:val="00C0233C"/>
    <w:rsid w:val="00C02A76"/>
    <w:rsid w:val="00C04628"/>
    <w:rsid w:val="00C04D16"/>
    <w:rsid w:val="00C11980"/>
    <w:rsid w:val="00C138C9"/>
    <w:rsid w:val="00C20357"/>
    <w:rsid w:val="00C21385"/>
    <w:rsid w:val="00C3114D"/>
    <w:rsid w:val="00C42CEF"/>
    <w:rsid w:val="00C4417A"/>
    <w:rsid w:val="00C44C91"/>
    <w:rsid w:val="00C603CA"/>
    <w:rsid w:val="00C60F29"/>
    <w:rsid w:val="00C65098"/>
    <w:rsid w:val="00C70626"/>
    <w:rsid w:val="00C7124A"/>
    <w:rsid w:val="00C75D9B"/>
    <w:rsid w:val="00C77A45"/>
    <w:rsid w:val="00C800FB"/>
    <w:rsid w:val="00C80DC6"/>
    <w:rsid w:val="00C82CDA"/>
    <w:rsid w:val="00C8347E"/>
    <w:rsid w:val="00C83FEB"/>
    <w:rsid w:val="00C879E2"/>
    <w:rsid w:val="00C9264B"/>
    <w:rsid w:val="00CA093D"/>
    <w:rsid w:val="00CA45E2"/>
    <w:rsid w:val="00CB0A72"/>
    <w:rsid w:val="00CB4646"/>
    <w:rsid w:val="00CB63B5"/>
    <w:rsid w:val="00CB7DCF"/>
    <w:rsid w:val="00CC1706"/>
    <w:rsid w:val="00CC784F"/>
    <w:rsid w:val="00CD3AD2"/>
    <w:rsid w:val="00CD5423"/>
    <w:rsid w:val="00CE10BC"/>
    <w:rsid w:val="00CE27A1"/>
    <w:rsid w:val="00CE2D68"/>
    <w:rsid w:val="00CE4141"/>
    <w:rsid w:val="00CE6359"/>
    <w:rsid w:val="00CE6A5C"/>
    <w:rsid w:val="00CE6EAD"/>
    <w:rsid w:val="00CE7253"/>
    <w:rsid w:val="00CF065B"/>
    <w:rsid w:val="00CF1EC7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43E7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427F7"/>
    <w:rsid w:val="00D50D41"/>
    <w:rsid w:val="00D642D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C0062"/>
    <w:rsid w:val="00DC0F19"/>
    <w:rsid w:val="00DC59D7"/>
    <w:rsid w:val="00DC5CB0"/>
    <w:rsid w:val="00DC69AE"/>
    <w:rsid w:val="00DD3225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3F35"/>
    <w:rsid w:val="00E04FDB"/>
    <w:rsid w:val="00E06388"/>
    <w:rsid w:val="00E06B6B"/>
    <w:rsid w:val="00E1155D"/>
    <w:rsid w:val="00E14472"/>
    <w:rsid w:val="00E172D4"/>
    <w:rsid w:val="00E22904"/>
    <w:rsid w:val="00E258DE"/>
    <w:rsid w:val="00E26D17"/>
    <w:rsid w:val="00E312B1"/>
    <w:rsid w:val="00E33B2A"/>
    <w:rsid w:val="00E3523E"/>
    <w:rsid w:val="00E40F94"/>
    <w:rsid w:val="00E415C2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3703"/>
    <w:rsid w:val="00E73865"/>
    <w:rsid w:val="00E76C61"/>
    <w:rsid w:val="00E77AB0"/>
    <w:rsid w:val="00E833A1"/>
    <w:rsid w:val="00E85A06"/>
    <w:rsid w:val="00E96136"/>
    <w:rsid w:val="00EA02E7"/>
    <w:rsid w:val="00EA17DE"/>
    <w:rsid w:val="00EA18FA"/>
    <w:rsid w:val="00EA23EC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8A2"/>
    <w:rsid w:val="00F31035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76AC"/>
    <w:rsid w:val="00FA7840"/>
    <w:rsid w:val="00FB1139"/>
    <w:rsid w:val="00FB4CBB"/>
    <w:rsid w:val="00FB5AC3"/>
    <w:rsid w:val="00FB64E6"/>
    <w:rsid w:val="00FC582E"/>
    <w:rsid w:val="00FC7ECF"/>
    <w:rsid w:val="00FD0CA1"/>
    <w:rsid w:val="00FD4F3D"/>
    <w:rsid w:val="00FE660C"/>
    <w:rsid w:val="00FF005B"/>
    <w:rsid w:val="00FF0AB8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  <w:style w:type="paragraph" w:customStyle="1" w:styleId="Default">
    <w:name w:val="Default"/>
    <w:rsid w:val="00CE27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MPTYCELLSTYLE">
    <w:name w:val="EMPTY_CELL_STYLE"/>
    <w:qFormat/>
    <w:rsid w:val="00271D78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B9FBA-8324-4E87-9522-533620F5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Sulakova Iveta</cp:lastModifiedBy>
  <cp:revision>7</cp:revision>
  <cp:lastPrinted>2019-10-09T17:49:00Z</cp:lastPrinted>
  <dcterms:created xsi:type="dcterms:W3CDTF">2019-10-11T08:43:00Z</dcterms:created>
  <dcterms:modified xsi:type="dcterms:W3CDTF">2020-07-07T18:45:00Z</dcterms:modified>
</cp:coreProperties>
</file>