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aps/>
          <w:color w:val="000000"/>
          <w:spacing w:val="30"/>
          <w:sz w:val="24"/>
          <w:szCs w:val="24"/>
          <w:lang w:val="sk-SK"/>
        </w:rPr>
        <w:t>Doložka</w:t>
      </w:r>
    </w:p>
    <w:p w:rsidR="00605F63" w:rsidRPr="00764085" w:rsidRDefault="00605F63" w:rsidP="00605F63">
      <w:pPr>
        <w:pStyle w:val="Vchodzie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vybraných vplyvov</w:t>
      </w:r>
    </w:p>
    <w:p w:rsidR="00605F63" w:rsidRPr="00764085" w:rsidRDefault="00605F63" w:rsidP="00605F63">
      <w:pPr>
        <w:pStyle w:val="Vchodzie"/>
        <w:spacing w:after="0" w:line="200" w:lineRule="atLeast"/>
        <w:rPr>
          <w:rFonts w:cs="Times New Roman"/>
          <w:szCs w:val="24"/>
          <w:lang w:val="sk-SK"/>
        </w:rPr>
      </w:pPr>
    </w:p>
    <w:p w:rsidR="00605F63" w:rsidRDefault="00605F63" w:rsidP="00605F63">
      <w:pPr>
        <w:jc w:val="both"/>
        <w:rPr>
          <w:rFonts w:cs="Times New Roman"/>
        </w:rPr>
      </w:pPr>
      <w:r w:rsidRPr="00D72A53">
        <w:rPr>
          <w:rFonts w:cs="Times New Roman"/>
          <w:b/>
          <w:color w:val="000000"/>
        </w:rPr>
        <w:t xml:space="preserve">A.1. Názov materiálu: </w:t>
      </w:r>
      <w:r w:rsidRPr="00D72A53">
        <w:rPr>
          <w:rFonts w:eastAsia="Times New Roman" w:cs="Times New Roman"/>
          <w:kern w:val="0"/>
          <w:lang w:eastAsia="en-US" w:bidi="ar-SA"/>
        </w:rPr>
        <w:t xml:space="preserve">Návrh zákona, </w:t>
      </w:r>
      <w:r w:rsidRPr="00D72A53">
        <w:rPr>
          <w:rFonts w:cs="Times New Roman"/>
        </w:rPr>
        <w:t>ktorým sa mení zákon č. 461/2003 Z. z. o sociálnom poistení v znení neskorších predpi</w:t>
      </w:r>
      <w:r w:rsidR="00E457A9">
        <w:rPr>
          <w:rFonts w:cs="Times New Roman"/>
        </w:rPr>
        <w:t>sov.</w:t>
      </w:r>
    </w:p>
    <w:p w:rsidR="00D72A53" w:rsidRDefault="00D72A53" w:rsidP="00605F63">
      <w:pPr>
        <w:jc w:val="both"/>
        <w:rPr>
          <w:rFonts w:cs="Times New Roman"/>
          <w:b/>
          <w:color w:val="000000"/>
        </w:rPr>
      </w:pP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1192"/>
        <w:gridCol w:w="1181"/>
        <w:gridCol w:w="1196"/>
      </w:tblGrid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Pozitívne</w:t>
            </w:r>
          </w:p>
        </w:tc>
        <w:tc>
          <w:tcPr>
            <w:tcW w:w="1181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Žiadne</w:t>
            </w:r>
          </w:p>
        </w:tc>
        <w:tc>
          <w:tcPr>
            <w:tcW w:w="119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Negatívne</w:t>
            </w: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Cs w:val="24"/>
                <w:lang w:val="sk-SK"/>
              </w:rPr>
              <w:t xml:space="preserve">       </w:t>
            </w:r>
            <w:r w:rsidR="00303D97">
              <w:rPr>
                <w:rFonts w:ascii="Times New Roman" w:hAnsi="Times New Roman" w:cs="Times New Roman"/>
                <w:szCs w:val="24"/>
                <w:lang w:val="sk-SK"/>
              </w:rPr>
              <w:t>X</w:t>
            </w:r>
            <w:r w:rsidR="00B97BCB">
              <w:rPr>
                <w:rFonts w:ascii="Times New Roman" w:hAnsi="Times New Roman" w:cs="Times New Roman"/>
                <w:szCs w:val="24"/>
                <w:lang w:val="sk-SK"/>
              </w:rPr>
              <w:t>*</w:t>
            </w:r>
          </w:p>
        </w:tc>
      </w:tr>
      <w:tr w:rsidR="00605F63" w:rsidRPr="00FD0B88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vAlign w:val="center"/>
          </w:tcPr>
          <w:p w:rsidR="00605F63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  <w:r w:rsidR="00B97BCB">
              <w:rPr>
                <w:rFonts w:ascii="Times New Roman" w:hAnsi="Times New Roman" w:cs="Times New Roman"/>
                <w:szCs w:val="24"/>
                <w:lang w:val="sk-SK"/>
              </w:rPr>
              <w:t>*</w:t>
            </w: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1192" w:type="dxa"/>
            <w:vAlign w:val="center"/>
          </w:tcPr>
          <w:p w:rsidR="00605F63" w:rsidRPr="00000576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  <w:r w:rsidR="00366F5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*</w:t>
            </w: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– sociálnu </w:t>
            </w:r>
            <w:proofErr w:type="spellStart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exklúziu</w:t>
            </w:r>
            <w:proofErr w:type="spellEnd"/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,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192" w:type="dxa"/>
            <w:vAlign w:val="center"/>
          </w:tcPr>
          <w:p w:rsidR="00605F63" w:rsidRPr="005E55F5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6. Vplyvy na služby pre občana z toho</w:t>
            </w:r>
          </w:p>
          <w:p w:rsidR="00605F63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služieb verejnej správy na občana</w:t>
            </w:r>
          </w:p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- vplyvy na procesy služieb vo verejnej správe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  <w:p w:rsidR="00605F63" w:rsidRPr="00FD0B88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  <w:tr w:rsidR="00605F63" w:rsidRPr="00764085" w:rsidTr="009A4C3D">
        <w:tc>
          <w:tcPr>
            <w:tcW w:w="5526" w:type="dxa"/>
            <w:vAlign w:val="center"/>
          </w:tcPr>
          <w:p w:rsidR="00605F63" w:rsidRPr="00764085" w:rsidRDefault="00605F63" w:rsidP="009A4C3D">
            <w:pPr>
              <w:pStyle w:val="Vchodzie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7. Vplyv na manželstvo, rodičovstvo a rodinu</w:t>
            </w:r>
          </w:p>
        </w:tc>
        <w:tc>
          <w:tcPr>
            <w:tcW w:w="1192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vAlign w:val="center"/>
          </w:tcPr>
          <w:p w:rsidR="00605F63" w:rsidRPr="00FD0B88" w:rsidRDefault="00303D97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FD0B88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vAlign w:val="center"/>
          </w:tcPr>
          <w:p w:rsidR="00605F63" w:rsidRPr="00000576" w:rsidRDefault="00605F63" w:rsidP="009A4C3D">
            <w:pPr>
              <w:pStyle w:val="Vchodzie"/>
              <w:spacing w:after="0"/>
              <w:jc w:val="center"/>
              <w:rPr>
                <w:rFonts w:ascii="Times New Roman" w:hAnsi="Times New Roman" w:cs="Times New Roman"/>
                <w:szCs w:val="24"/>
                <w:lang w:val="sk-SK"/>
              </w:rPr>
            </w:pPr>
          </w:p>
        </w:tc>
      </w:tr>
    </w:tbl>
    <w:p w:rsidR="00605F63" w:rsidRPr="00366F5B" w:rsidRDefault="00366F5B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366F5B">
        <w:rPr>
          <w:rFonts w:ascii="Times New Roman" w:hAnsi="Times New Roman" w:cs="Times New Roman"/>
          <w:sz w:val="24"/>
          <w:szCs w:val="24"/>
          <w:lang w:val="sk-SK"/>
        </w:rPr>
        <w:t>*Uvedené vplyvy sú bližšie špecifikované v časti A.3. Poznámky</w:t>
      </w:r>
    </w:p>
    <w:p w:rsidR="00366F5B" w:rsidRPr="00764085" w:rsidRDefault="00366F5B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303D97" w:rsidRDefault="00605F63" w:rsidP="00605F63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A.3. Poznámky</w:t>
      </w:r>
    </w:p>
    <w:p w:rsidR="00B97BCB" w:rsidRDefault="00B97BCB" w:rsidP="00605F63">
      <w:pPr>
        <w:pStyle w:val="Vchodzie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B97BCB">
        <w:rPr>
          <w:rFonts w:ascii="Times New Roman" w:hAnsi="Times New Roman" w:cs="Times New Roman"/>
          <w:color w:val="000000"/>
          <w:sz w:val="24"/>
          <w:szCs w:val="24"/>
          <w:u w:val="single"/>
          <w:lang w:val="sk-SK"/>
        </w:rPr>
        <w:t xml:space="preserve">Vplyvy na rozpočet verejnej </w:t>
      </w:r>
      <w:bookmarkStart w:id="0" w:name="_GoBack"/>
      <w:bookmarkEnd w:id="0"/>
      <w:r w:rsidRPr="00B97BCB">
        <w:rPr>
          <w:rFonts w:ascii="Times New Roman" w:hAnsi="Times New Roman" w:cs="Times New Roman"/>
          <w:color w:val="000000"/>
          <w:sz w:val="24"/>
          <w:szCs w:val="24"/>
          <w:u w:val="single"/>
          <w:lang w:val="sk-SK"/>
        </w:rPr>
        <w:t>správy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- </w:t>
      </w:r>
      <w:r w:rsidR="00303D97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>Zníženie dôchodkového veku vybraným ročníkom</w:t>
      </w:r>
      <w:r w:rsidR="007C0E3A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poistencov</w:t>
      </w:r>
      <w:r w:rsidR="00303D97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>, ktor</w:t>
      </w:r>
      <w:r w:rsidR="007C0E3A">
        <w:rPr>
          <w:rFonts w:ascii="Times New Roman" w:hAnsi="Times New Roman" w:cs="Times New Roman"/>
          <w:color w:val="000000"/>
          <w:sz w:val="24"/>
          <w:szCs w:val="24"/>
          <w:lang w:val="sk-SK"/>
        </w:rPr>
        <w:t>í</w:t>
      </w:r>
      <w:r w:rsidR="00303D97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vychovali aspoň jedno dieťa zakladá neg</w:t>
      </w:r>
      <w:r w:rsidR="003C78D9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>atívne vplyvy na rozpočet verejnej správy</w:t>
      </w:r>
      <w:r w:rsidR="00C65678">
        <w:rPr>
          <w:rFonts w:ascii="Times New Roman" w:hAnsi="Times New Roman" w:cs="Times New Roman"/>
          <w:color w:val="000000"/>
          <w:sz w:val="24"/>
          <w:szCs w:val="24"/>
          <w:lang w:val="sk-SK"/>
        </w:rPr>
        <w:t>, čo súvisí s dlhšou výplatnou fázou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dôchodku v porovnaní so súčasným právnym stavom.</w:t>
      </w:r>
      <w:r w:rsidR="003C78D9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Celkový negatívny vplyv uvedeného návrhu zákona sa odhaduje v</w:t>
      </w:r>
      <w:r w:rsidR="008B7FE6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 rokoch </w:t>
      </w:r>
      <w:r w:rsidR="002A33BC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2020 až </w:t>
      </w:r>
      <w:r w:rsidR="008B7FE6">
        <w:rPr>
          <w:rFonts w:ascii="Times New Roman" w:hAnsi="Times New Roman" w:cs="Times New Roman"/>
          <w:color w:val="000000"/>
          <w:sz w:val="24"/>
          <w:szCs w:val="24"/>
          <w:lang w:val="sk-SK"/>
        </w:rPr>
        <w:t>2025 na úrovni približne 13</w:t>
      </w:r>
      <w:r w:rsidR="003C78D9" w:rsidRPr="003C78D9">
        <w:rPr>
          <w:rFonts w:ascii="Times New Roman" w:hAnsi="Times New Roman" w:cs="Times New Roman"/>
          <w:color w:val="000000"/>
          <w:sz w:val="24"/>
          <w:szCs w:val="24"/>
          <w:lang w:val="sk-SK"/>
        </w:rPr>
        <w:t>0 mil. eur ročne.</w:t>
      </w:r>
      <w:r w:rsidR="003C78D9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 xml:space="preserve"> </w:t>
      </w:r>
    </w:p>
    <w:p w:rsidR="00303D97" w:rsidRPr="00B97BCB" w:rsidRDefault="00B97BCB" w:rsidP="00605F63">
      <w:pPr>
        <w:pStyle w:val="Vchodzie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B97BCB">
        <w:rPr>
          <w:rFonts w:ascii="Times New Roman" w:hAnsi="Times New Roman" w:cs="Times New Roman"/>
          <w:color w:val="000000"/>
          <w:sz w:val="24"/>
          <w:szCs w:val="24"/>
          <w:u w:val="single"/>
          <w:lang w:val="sk-SK"/>
        </w:rPr>
        <w:t>Sociálne vplyvy: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Poistencom sa vplyvom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zníženia dôchodkového veku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predĺži výp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latná fáza ich dôchodku, nakoľko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do dôchodku budú môcť odchádzať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skôr.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Na druhej strane 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nižší dôchodkový vek bude znamenať kratšie obdobie dôchodkového poistenia, ktoré sa zohľadní vo výpočte dôchodku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>. To z</w:t>
      </w:r>
      <w:r>
        <w:rPr>
          <w:rFonts w:ascii="Times New Roman" w:hAnsi="Times New Roman" w:cs="Times New Roman"/>
          <w:color w:val="000000"/>
          <w:sz w:val="24"/>
          <w:szCs w:val="24"/>
          <w:lang w:val="sk-SK"/>
        </w:rPr>
        <w:t>namená, že dôchodcovia budú</w:t>
      </w:r>
      <w:r w:rsidRPr="00B97BCB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poberať dôchodok dlhšie, ale v nižšej výške. </w:t>
      </w:r>
    </w:p>
    <w:p w:rsidR="00605F63" w:rsidRDefault="00605F63" w:rsidP="00605F63">
      <w:pPr>
        <w:pStyle w:val="Vchodzie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A.4. Alternatívne riešenia</w:t>
      </w: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605F63" w:rsidRPr="00764085" w:rsidRDefault="00605F63" w:rsidP="00605F63">
      <w:pPr>
        <w:pStyle w:val="Vchodzie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Bezpredmetné  </w:t>
      </w:r>
    </w:p>
    <w:p w:rsidR="00FE6009" w:rsidRDefault="00605F63" w:rsidP="00FE6009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b/>
        </w:rPr>
        <w:t xml:space="preserve">A.5. </w:t>
      </w:r>
      <w:r w:rsidRPr="00764085">
        <w:rPr>
          <w:b/>
        </w:rPr>
        <w:tab/>
        <w:t>Stanovisko gestorov</w:t>
      </w:r>
    </w:p>
    <w:p w:rsidR="00C65678" w:rsidRDefault="00C65678" w:rsidP="00C65678">
      <w:pPr>
        <w:pStyle w:val="Normlnywebov"/>
        <w:spacing w:before="0" w:after="0"/>
        <w:ind w:left="567" w:hanging="567"/>
        <w:jc w:val="both"/>
        <w:rPr>
          <w:b/>
        </w:rPr>
      </w:pPr>
      <w:r w:rsidRPr="00764085">
        <w:rPr>
          <w:color w:val="000000"/>
        </w:rPr>
        <w:t>Bezpredmetné </w:t>
      </w:r>
    </w:p>
    <w:sectPr w:rsidR="00C6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2328B"/>
    <w:multiLevelType w:val="hybridMultilevel"/>
    <w:tmpl w:val="94D05A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EB"/>
    <w:rsid w:val="00064CEB"/>
    <w:rsid w:val="001662F7"/>
    <w:rsid w:val="002A33BC"/>
    <w:rsid w:val="00303D97"/>
    <w:rsid w:val="0033526B"/>
    <w:rsid w:val="00366F5B"/>
    <w:rsid w:val="003C78D9"/>
    <w:rsid w:val="00605F63"/>
    <w:rsid w:val="007C0E3A"/>
    <w:rsid w:val="008B7FE6"/>
    <w:rsid w:val="00993C43"/>
    <w:rsid w:val="00B97BCB"/>
    <w:rsid w:val="00C65678"/>
    <w:rsid w:val="00D71D5C"/>
    <w:rsid w:val="00D72A53"/>
    <w:rsid w:val="00E457A9"/>
    <w:rsid w:val="00EE482F"/>
    <w:rsid w:val="00FD0B88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F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605F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605F63"/>
    <w:pPr>
      <w:ind w:left="720"/>
      <w:contextualSpacing/>
    </w:pPr>
    <w:rPr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FE6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600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600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600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00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00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05F6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605F6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customStyle="1" w:styleId="Vchodzie">
    <w:name w:val="Vchodzie"/>
    <w:rsid w:val="00605F63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605F63"/>
    <w:pPr>
      <w:ind w:left="720"/>
      <w:contextualSpacing/>
    </w:pPr>
    <w:rPr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FE60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E6009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E6009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60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6009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009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00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Petrík, Simona (asistent)</dc:creator>
  <cp:lastModifiedBy>Hatala Martin</cp:lastModifiedBy>
  <cp:revision>5</cp:revision>
  <dcterms:created xsi:type="dcterms:W3CDTF">2020-06-18T11:52:00Z</dcterms:created>
  <dcterms:modified xsi:type="dcterms:W3CDTF">2020-06-18T14:49:00Z</dcterms:modified>
</cp:coreProperties>
</file>