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6F" w:rsidRDefault="001F2A6F" w:rsidP="001F2A6F">
      <w:pPr>
        <w:widowControl w:val="0"/>
        <w:pBdr>
          <w:bottom w:val="single" w:sz="12" w:space="1" w:color="000000"/>
        </w:pBdr>
        <w:jc w:val="center"/>
      </w:pPr>
      <w:r>
        <w:rPr>
          <w:b/>
          <w:bCs/>
          <w:sz w:val="28"/>
          <w:szCs w:val="28"/>
        </w:rPr>
        <w:t>NÁRODNÁ RADA SLOVENSKEJ REPUBLIKY</w:t>
      </w:r>
    </w:p>
    <w:p w:rsidR="001F2A6F" w:rsidRDefault="001F2A6F" w:rsidP="001F2A6F">
      <w:pPr>
        <w:widowControl w:val="0"/>
        <w:jc w:val="center"/>
        <w:rPr>
          <w:sz w:val="28"/>
          <w:szCs w:val="28"/>
          <w:lang w:val="en-US"/>
        </w:rPr>
      </w:pPr>
    </w:p>
    <w:p w:rsidR="001F2A6F" w:rsidRDefault="001F2A6F" w:rsidP="001F2A6F">
      <w:pPr>
        <w:widowControl w:val="0"/>
        <w:spacing w:before="120"/>
        <w:jc w:val="center"/>
        <w:rPr>
          <w:highlight w:val="yellow"/>
          <w:lang w:val="en-US"/>
        </w:rPr>
      </w:pPr>
      <w:r>
        <w:rPr>
          <w:spacing w:val="20"/>
          <w:lang w:val="en-US"/>
        </w:rPr>
        <w:t xml:space="preserve">VIII.  </w:t>
      </w:r>
      <w:proofErr w:type="spellStart"/>
      <w:r>
        <w:rPr>
          <w:spacing w:val="20"/>
          <w:lang w:val="en-US"/>
        </w:rPr>
        <w:t>volebné</w:t>
      </w:r>
      <w:proofErr w:type="spellEnd"/>
      <w:r>
        <w:rPr>
          <w:spacing w:val="20"/>
          <w:lang w:val="en-US"/>
        </w:rPr>
        <w:t xml:space="preserve"> </w:t>
      </w:r>
      <w:proofErr w:type="spellStart"/>
      <w:r>
        <w:rPr>
          <w:spacing w:val="20"/>
          <w:lang w:val="en-US"/>
        </w:rPr>
        <w:t>obdobie</w:t>
      </w:r>
      <w:proofErr w:type="spellEnd"/>
    </w:p>
    <w:p w:rsidR="001F2A6F" w:rsidRDefault="001F2A6F" w:rsidP="001F2A6F">
      <w:pPr>
        <w:pStyle w:val="Zkladntext"/>
        <w:jc w:val="center"/>
        <w:rPr>
          <w:bCs/>
          <w:iCs/>
        </w:rPr>
      </w:pPr>
    </w:p>
    <w:p w:rsidR="001F2A6F" w:rsidRDefault="001F2A6F" w:rsidP="001F2A6F">
      <w:pPr>
        <w:pStyle w:val="Zkladntext"/>
        <w:jc w:val="center"/>
        <w:rPr>
          <w:bCs/>
          <w:iCs/>
        </w:rPr>
      </w:pPr>
    </w:p>
    <w:p w:rsidR="001F2A6F" w:rsidRDefault="001F2A6F" w:rsidP="001F2A6F">
      <w:pPr>
        <w:pStyle w:val="Zkladntext"/>
        <w:jc w:val="center"/>
        <w:rPr>
          <w:bCs/>
          <w:iCs/>
        </w:rPr>
      </w:pPr>
      <w:r>
        <w:rPr>
          <w:bCs/>
          <w:iCs/>
        </w:rPr>
        <w:t>Návrh</w:t>
      </w:r>
    </w:p>
    <w:p w:rsidR="001F2A6F" w:rsidRDefault="001F2A6F" w:rsidP="001F2A6F">
      <w:pPr>
        <w:pStyle w:val="Zkladntext"/>
        <w:jc w:val="center"/>
        <w:rPr>
          <w:bCs/>
          <w:iCs/>
        </w:rPr>
      </w:pPr>
    </w:p>
    <w:p w:rsidR="001F2A6F" w:rsidRDefault="001F2A6F" w:rsidP="001F2A6F">
      <w:pPr>
        <w:pStyle w:val="Zkladntext"/>
        <w:jc w:val="center"/>
        <w:rPr>
          <w:b/>
          <w:bCs/>
          <w:i/>
          <w:iCs/>
        </w:rPr>
      </w:pPr>
    </w:p>
    <w:p w:rsidR="001F2A6F" w:rsidRDefault="001F2A6F" w:rsidP="001F2A6F">
      <w:pPr>
        <w:pStyle w:val="Zkladntext"/>
        <w:jc w:val="center"/>
        <w:rPr>
          <w:b/>
          <w:bCs/>
          <w:iCs/>
        </w:rPr>
      </w:pPr>
      <w:r>
        <w:rPr>
          <w:b/>
          <w:bCs/>
          <w:iCs/>
        </w:rPr>
        <w:t>ZÁKON</w:t>
      </w:r>
    </w:p>
    <w:p w:rsidR="001F2A6F" w:rsidRDefault="001F2A6F" w:rsidP="001F2A6F">
      <w:pPr>
        <w:pStyle w:val="Zkladntext"/>
        <w:jc w:val="center"/>
        <w:rPr>
          <w:b/>
          <w:bCs/>
          <w:iCs/>
        </w:rPr>
      </w:pPr>
    </w:p>
    <w:p w:rsidR="001F2A6F" w:rsidRDefault="001F2A6F" w:rsidP="001F2A6F">
      <w:pPr>
        <w:pStyle w:val="Zkladntext"/>
        <w:jc w:val="center"/>
        <w:rPr>
          <w:bCs/>
          <w:iCs/>
        </w:rPr>
      </w:pPr>
      <w:r>
        <w:rPr>
          <w:bCs/>
          <w:iCs/>
        </w:rPr>
        <w:t>z ........... 2020,</w:t>
      </w:r>
    </w:p>
    <w:p w:rsidR="001F2A6F" w:rsidRDefault="001F2A6F" w:rsidP="001F2A6F">
      <w:pPr>
        <w:pStyle w:val="Zkladntext"/>
        <w:jc w:val="center"/>
        <w:rPr>
          <w:b/>
          <w:bCs/>
          <w:iCs/>
        </w:rPr>
      </w:pPr>
    </w:p>
    <w:p w:rsidR="001F2A6F" w:rsidRDefault="001F2A6F" w:rsidP="001F2A6F">
      <w:pPr>
        <w:pStyle w:val="Zkladntext"/>
        <w:jc w:val="center"/>
        <w:rPr>
          <w:b/>
          <w:bCs/>
          <w:iCs/>
        </w:rPr>
      </w:pPr>
    </w:p>
    <w:p w:rsidR="001F2A6F" w:rsidRDefault="001F2A6F" w:rsidP="001F2A6F">
      <w:pPr>
        <w:pStyle w:val="Zkladntext"/>
        <w:jc w:val="center"/>
      </w:pPr>
      <w:r>
        <w:rPr>
          <w:rStyle w:val="awspan"/>
          <w:b/>
          <w:bCs/>
          <w:color w:val="000000"/>
        </w:rPr>
        <w:t xml:space="preserve">ktorým sa mení a dopĺňa zákon č. 309/2009 Z. z. o podpore obnoviteľných zdrojov energie a vysoko účinnej kombinovanej výroby a o zmene a doplnení niektorých zákonov v znení neskorších predpisov </w:t>
      </w:r>
    </w:p>
    <w:p w:rsidR="001F2A6F" w:rsidRDefault="001F2A6F" w:rsidP="001F2A6F">
      <w:pPr>
        <w:pStyle w:val="Zkladntext"/>
        <w:ind w:left="374" w:hanging="374"/>
        <w:jc w:val="center"/>
      </w:pPr>
    </w:p>
    <w:p w:rsidR="001F2A6F" w:rsidRDefault="001F2A6F" w:rsidP="001F2A6F">
      <w:pPr>
        <w:ind w:firstLine="708"/>
      </w:pPr>
      <w:r>
        <w:t>Národná rada Slovenskej republiky sa uzniesla na tomto zákone:</w:t>
      </w:r>
    </w:p>
    <w:p w:rsidR="001F2A6F" w:rsidRDefault="001F2A6F" w:rsidP="001F2A6F">
      <w:pPr>
        <w:jc w:val="center"/>
        <w:rPr>
          <w:b/>
          <w:bCs/>
        </w:rPr>
      </w:pPr>
    </w:p>
    <w:p w:rsidR="001F2A6F" w:rsidRDefault="001F2A6F" w:rsidP="001F2A6F">
      <w:pPr>
        <w:jc w:val="center"/>
        <w:rPr>
          <w:bCs/>
        </w:rPr>
      </w:pPr>
      <w:r>
        <w:rPr>
          <w:b/>
          <w:bCs/>
        </w:rPr>
        <w:t>Čl. I</w:t>
      </w:r>
    </w:p>
    <w:p w:rsidR="001F2A6F" w:rsidRDefault="001F2A6F" w:rsidP="001F2A6F">
      <w:pPr>
        <w:pStyle w:val="Zkladntext"/>
        <w:ind w:left="374" w:hanging="374"/>
      </w:pPr>
    </w:p>
    <w:p w:rsidR="001F2A6F" w:rsidRDefault="001F2A6F" w:rsidP="001F2A6F">
      <w:pPr>
        <w:ind w:firstLine="709"/>
        <w:jc w:val="both"/>
      </w:pPr>
      <w:r>
        <w:t xml:space="preserve">Zákon č. 309/2009 Z. z. o podpore obnoviteľných zdrojov energie a vysoko účinnej kombinovanej výroby a o zmene a doplnení niektorých zákonov v znení zákona č. 492/2010 Z. z., zákona č. 558/2010 Z. z., zákona č. 136/2011 Z. z., zákona č. 189/2012 Z. z., zákona č. 250/2012 Z. z., zákona č. 251/2012 Z. z., zákona č. 373/2012 Z. z., zákona č. 30/2013 Z. z., zákona č. 218/2013 Z. z., zákona č. 382/2013 Z. z., zákona č. 321/2014 Z. z., zákona č. 173/2015 Z. z., zákona č. 181/2017 Z. z., </w:t>
      </w:r>
      <w:r>
        <w:rPr>
          <w:strike/>
        </w:rPr>
        <w:t>a</w:t>
      </w:r>
      <w:r>
        <w:t> zákona č. 268/2017 Z. z., zákona č. 309/2018 Z. z., zákona č. 377/2018 Z. z. a zákona č. 362/2019 Z. z. sa mení a dopĺňa takto:</w:t>
      </w:r>
    </w:p>
    <w:p w:rsidR="001F2A6F" w:rsidRDefault="001F2A6F" w:rsidP="001F2A6F">
      <w:pPr>
        <w:ind w:firstLine="708"/>
        <w:jc w:val="both"/>
      </w:pPr>
    </w:p>
    <w:p w:rsidR="001F2A6F" w:rsidRDefault="001F2A6F" w:rsidP="001F2A6F">
      <w:pPr>
        <w:ind w:firstLine="708"/>
        <w:jc w:val="both"/>
      </w:pPr>
    </w:p>
    <w:p w:rsidR="001F2A6F" w:rsidRDefault="001F2A6F" w:rsidP="001F2A6F">
      <w:pPr>
        <w:pStyle w:val="Odsekzoznamu"/>
        <w:numPr>
          <w:ilvl w:val="0"/>
          <w:numId w:val="1"/>
        </w:numPr>
        <w:spacing w:after="0" w:line="240" w:lineRule="auto"/>
        <w:ind w:left="709" w:hanging="806"/>
        <w:jc w:val="both"/>
      </w:pPr>
      <w:r>
        <w:rPr>
          <w:rFonts w:ascii="Times New Roman" w:hAnsi="Times New Roman" w:cs="Times New Roman"/>
          <w:sz w:val="24"/>
          <w:szCs w:val="24"/>
        </w:rPr>
        <w:t>V § 3b odseky 5 a 6 znejú:</w:t>
      </w: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Výrobca elektriny s právom na podporu si nemôže pre zariadenie na výrobu elektriny uplatniť právo na podporu podľa § 3 ods. 1 písm. c) alebo písm. e) počas obdobia omeškania:</w:t>
      </w:r>
    </w:p>
    <w:p w:rsidR="001F2A6F" w:rsidRDefault="001F2A6F" w:rsidP="001F2A6F">
      <w:pPr>
        <w:pStyle w:val="Odsekzoznamu"/>
        <w:numPr>
          <w:ilvl w:val="1"/>
          <w:numId w:val="2"/>
        </w:numPr>
        <w:spacing w:after="0" w:line="240" w:lineRule="auto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s úhradou daňového nedoplatku na dani okrem úroku z omeškania, úroku a pokuty, počnúc dňom márneho uplynutia lehoty určenej vo výzve na zaplatenie daňového nedoplatku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9d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ak nedošlo k výzve počnúc dňom márneho uplynutia lehoty určenej  v rozhodnutí správcu dane alebo lehoty podľa osobitného predpisu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9e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2A6F" w:rsidRDefault="001F2A6F" w:rsidP="001F2A6F">
      <w:pPr>
        <w:pStyle w:val="Odsekzoznamu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úhradou nedoplatku na poistnom na zdravotné poistenie, počnúc dňom právoplatnosti a vykonateľnosti výkazu nedoplatkov podľa osobitného predpisu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9f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2A6F" w:rsidRDefault="001F2A6F" w:rsidP="001F2A6F">
      <w:pPr>
        <w:pStyle w:val="Odsekzoznamu"/>
        <w:numPr>
          <w:ilvl w:val="1"/>
          <w:numId w:val="2"/>
        </w:numPr>
        <w:spacing w:after="0" w:line="240" w:lineRule="auto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s úhradou dlžnej sumy na poistnom na sociálne poistenie a dlžnej sumy na príspevku na starobné dôchodkové sporenie, počnúc dňom márneho uplynutia lehoty určenej v  rozhodnutí, ktorým boli predpísané sociálnou poisťovňou podľa osobitného predpisu.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9g)</w:t>
      </w: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(6) Úrad pre reguláciu sieťových odvetví (ďalej len „úrad“) na svojom webovom sídle zverejňuje a aktualizuje vždy k poslednému dňu mesiaca zoznam výrobcov elektriny a ich zariadení s uvedením obdobia, počas ktorého si dotknutí výrobcovia elektriny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 právom na podporu nemôžu uplatniť právo na podporu podľa odseku 5. O zaradení zariadenia na výrobu elektriny do zoznamu podľa predchádzajúcej vety úrad informuje </w:t>
      </w:r>
      <w:proofErr w:type="spellStart"/>
      <w:r>
        <w:rPr>
          <w:rFonts w:ascii="Times New Roman" w:hAnsi="Times New Roman" w:cs="Times New Roman"/>
          <w:sz w:val="24"/>
          <w:szCs w:val="24"/>
        </w:rPr>
        <w:t>zúčtovateľa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podpory a dotknutého výrobcu elektriny s právom na podporu bez zbytočného odkladu, najneskôr do 10 dní od zaradenia do zoznamu.“.</w:t>
      </w:r>
    </w:p>
    <w:p w:rsidR="001F2A6F" w:rsidRDefault="001F2A6F" w:rsidP="001F2A6F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Poznámky pod čiarou k odkazom 9d až 9g znejú:</w:t>
      </w:r>
    </w:p>
    <w:p w:rsidR="001F2A6F" w:rsidRDefault="001F2A6F" w:rsidP="001F2A6F">
      <w:pPr>
        <w:pStyle w:val="Odsekzoznamu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„9d) § 80 zákona č. 563/2009 Z. z. o správe daní</w:t>
      </w:r>
      <w:r w:rsidR="00345B32">
        <w:rPr>
          <w:rFonts w:ascii="Times New Roman" w:hAnsi="Times New Roman" w:cs="Times New Roman"/>
          <w:sz w:val="24"/>
          <w:szCs w:val="24"/>
        </w:rPr>
        <w:t xml:space="preserve"> (daňový poriadok) a o zmene a </w:t>
      </w:r>
      <w:r>
        <w:rPr>
          <w:rFonts w:ascii="Times New Roman" w:hAnsi="Times New Roman" w:cs="Times New Roman"/>
          <w:sz w:val="24"/>
          <w:szCs w:val="24"/>
        </w:rPr>
        <w:t>doplnení niektorých zákonov v znení neskorších predpisov.</w:t>
      </w:r>
    </w:p>
    <w:p w:rsidR="001F2A6F" w:rsidRDefault="001F2A6F" w:rsidP="001F2A6F">
      <w:pPr>
        <w:pStyle w:val="Odsekzoznamu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9e) Zákon č. 563/2009 Z. z. o správe daní (daňový </w:t>
      </w:r>
      <w:r w:rsidR="00345B32">
        <w:rPr>
          <w:rFonts w:ascii="Times New Roman" w:hAnsi="Times New Roman" w:cs="Times New Roman"/>
          <w:sz w:val="24"/>
          <w:szCs w:val="24"/>
        </w:rPr>
        <w:t xml:space="preserve">poriadok) a o zmene a doplnení </w:t>
      </w:r>
      <w:r>
        <w:rPr>
          <w:rFonts w:ascii="Times New Roman" w:hAnsi="Times New Roman" w:cs="Times New Roman"/>
          <w:sz w:val="24"/>
          <w:szCs w:val="24"/>
        </w:rPr>
        <w:t>niektorých zákonov v znení neskorších predpisov.</w:t>
      </w:r>
    </w:p>
    <w:p w:rsidR="00345B32" w:rsidRDefault="001F2A6F" w:rsidP="001F2A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 373/2012 Z. z. o núdzových zásobách ropy </w:t>
      </w:r>
      <w:r w:rsidR="00345B32">
        <w:rPr>
          <w:rFonts w:ascii="Times New Roman" w:hAnsi="Times New Roman" w:cs="Times New Roman"/>
          <w:sz w:val="24"/>
          <w:szCs w:val="24"/>
        </w:rPr>
        <w:t xml:space="preserve">a ropných výrobkov a o riešení </w:t>
      </w:r>
      <w:r>
        <w:rPr>
          <w:rFonts w:ascii="Times New Roman" w:hAnsi="Times New Roman" w:cs="Times New Roman"/>
          <w:sz w:val="24"/>
          <w:szCs w:val="24"/>
        </w:rPr>
        <w:t>stavu ropnej núdze a o doplnení zákona č. 309/2009</w:t>
      </w:r>
      <w:r w:rsidR="00345B32">
        <w:rPr>
          <w:rFonts w:ascii="Times New Roman" w:hAnsi="Times New Roman" w:cs="Times New Roman"/>
          <w:sz w:val="24"/>
          <w:szCs w:val="24"/>
        </w:rPr>
        <w:t xml:space="preserve"> Z. z. o podpore obnoviteľných </w:t>
      </w:r>
      <w:r>
        <w:rPr>
          <w:rFonts w:ascii="Times New Roman" w:hAnsi="Times New Roman" w:cs="Times New Roman"/>
          <w:sz w:val="24"/>
          <w:szCs w:val="24"/>
        </w:rPr>
        <w:t>zdrojov energie a vysoko účinnej kombinovan</w:t>
      </w:r>
      <w:r w:rsidR="00345B32">
        <w:rPr>
          <w:rFonts w:ascii="Times New Roman" w:hAnsi="Times New Roman" w:cs="Times New Roman"/>
          <w:sz w:val="24"/>
          <w:szCs w:val="24"/>
        </w:rPr>
        <w:t xml:space="preserve">ej výroby a o zmene a doplnení </w:t>
      </w:r>
      <w:r>
        <w:rPr>
          <w:rFonts w:ascii="Times New Roman" w:hAnsi="Times New Roman" w:cs="Times New Roman"/>
          <w:sz w:val="24"/>
          <w:szCs w:val="24"/>
        </w:rPr>
        <w:t>niektorých zákonov</w:t>
      </w:r>
      <w:r w:rsidR="00345B3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Zákon č. 595/2003 Z. z. o dani z príjmov</w:t>
      </w:r>
      <w:r w:rsidR="00345B3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Zákon č. 98/2004 Z. z. o spotrebnej dani z minerá</w:t>
      </w:r>
      <w:r w:rsidR="00345B32">
        <w:rPr>
          <w:rFonts w:ascii="Times New Roman" w:hAnsi="Times New Roman" w:cs="Times New Roman"/>
          <w:sz w:val="24"/>
          <w:szCs w:val="24"/>
        </w:rPr>
        <w:t>lneho oleja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Zákon č. 106/2004 Z. z. o spotrebnej dani z tabakový</w:t>
      </w:r>
      <w:r w:rsidR="00345B32">
        <w:rPr>
          <w:rFonts w:ascii="Times New Roman" w:hAnsi="Times New Roman" w:cs="Times New Roman"/>
          <w:sz w:val="24"/>
          <w:szCs w:val="24"/>
        </w:rPr>
        <w:t>ch výrobkov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Zákon č. 222/2004 Z. z. o dani z pridanej hodnoty</w:t>
      </w:r>
      <w:r w:rsidR="00345B3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Zákon č. 582/2004 Z. z. o miestnych daniach a </w:t>
      </w:r>
      <w:r w:rsidR="00345B32">
        <w:rPr>
          <w:rFonts w:ascii="Times New Roman" w:hAnsi="Times New Roman" w:cs="Times New Roman"/>
          <w:sz w:val="24"/>
          <w:szCs w:val="24"/>
        </w:rPr>
        <w:t xml:space="preserve">miestnom poplatku za komunálne </w:t>
      </w:r>
      <w:r>
        <w:rPr>
          <w:rFonts w:ascii="Times New Roman" w:hAnsi="Times New Roman" w:cs="Times New Roman"/>
          <w:sz w:val="24"/>
          <w:szCs w:val="24"/>
        </w:rPr>
        <w:t>odpady a drobné stavebné odpady</w:t>
      </w:r>
      <w:r w:rsidR="00345B32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Zákon č. 609/2007 Z. z. o spotrebnej dani z elektr</w:t>
      </w:r>
      <w:r w:rsidR="00345B32">
        <w:rPr>
          <w:rFonts w:ascii="Times New Roman" w:hAnsi="Times New Roman" w:cs="Times New Roman"/>
          <w:sz w:val="24"/>
          <w:szCs w:val="24"/>
        </w:rPr>
        <w:t xml:space="preserve">iny, uhlia a zemného plynu a o </w:t>
      </w:r>
      <w:r>
        <w:rPr>
          <w:rFonts w:ascii="Times New Roman" w:hAnsi="Times New Roman" w:cs="Times New Roman"/>
          <w:sz w:val="24"/>
          <w:szCs w:val="24"/>
        </w:rPr>
        <w:t>zmene a doplnení zákona č. 98/2004 Z. z. o spotreb</w:t>
      </w:r>
      <w:r w:rsidR="00345B32">
        <w:rPr>
          <w:rFonts w:ascii="Times New Roman" w:hAnsi="Times New Roman" w:cs="Times New Roman"/>
          <w:sz w:val="24"/>
          <w:szCs w:val="24"/>
        </w:rPr>
        <w:t>nej dani z minerálneho oleja v znení neskorších predpisov.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2A6F" w:rsidRDefault="001F2A6F" w:rsidP="001F2A6F">
      <w:pPr>
        <w:pStyle w:val="Odsekzoznamu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Zákon č. 530/2011 Z. z. o spotrebnej dani z alkoholick</w:t>
      </w:r>
      <w:r w:rsidR="00345B32">
        <w:rPr>
          <w:rFonts w:ascii="Times New Roman" w:hAnsi="Times New Roman" w:cs="Times New Roman"/>
          <w:sz w:val="24"/>
          <w:szCs w:val="24"/>
        </w:rPr>
        <w:t>ých nápojov v znení neskorších predpisov.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Zákon č. 361/2014 Z. z. o dani z motorových vozidiel a o zmene a doplnení niektorých </w:t>
      </w:r>
      <w:r>
        <w:rPr>
          <w:rFonts w:ascii="Times New Roman" w:hAnsi="Times New Roman" w:cs="Times New Roman"/>
          <w:sz w:val="24"/>
          <w:szCs w:val="24"/>
        </w:rPr>
        <w:tab/>
        <w:t xml:space="preserve">zákonov v </w:t>
      </w:r>
      <w:r w:rsidR="00345B32">
        <w:rPr>
          <w:rFonts w:ascii="Times New Roman" w:hAnsi="Times New Roman" w:cs="Times New Roman"/>
          <w:sz w:val="24"/>
          <w:szCs w:val="24"/>
        </w:rPr>
        <w:t>znení zákona č. 253/2015 Z. z.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Zákon č. 447/2015 Z. z. o miestnom poplatku </w:t>
      </w:r>
      <w:r w:rsidR="00345B32">
        <w:rPr>
          <w:rFonts w:ascii="Times New Roman" w:hAnsi="Times New Roman" w:cs="Times New Roman"/>
          <w:sz w:val="24"/>
          <w:szCs w:val="24"/>
        </w:rPr>
        <w:t>za rozvoj a o zmene a doplnení niektorých zákonov.</w:t>
      </w:r>
      <w:r w:rsidR="0034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Zákon č. 213/2018 Z. z. o dani z poistenia a o zmene a doplnení niektorých zákonov.</w:t>
      </w:r>
    </w:p>
    <w:p w:rsidR="001F2A6F" w:rsidRDefault="001F2A6F" w:rsidP="001F2A6F">
      <w:pPr>
        <w:pStyle w:val="Odsekzoznamu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9f) § 17a zákona č. 580/2004 Z. z. o zdravotnom poiste</w:t>
      </w:r>
      <w:r w:rsidR="00345B32">
        <w:rPr>
          <w:rFonts w:ascii="Times New Roman" w:hAnsi="Times New Roman" w:cs="Times New Roman"/>
          <w:sz w:val="24"/>
          <w:szCs w:val="24"/>
        </w:rPr>
        <w:t xml:space="preserve">ní a o zmene a doplnení zákona </w:t>
      </w:r>
      <w:r>
        <w:rPr>
          <w:rFonts w:ascii="Times New Roman" w:hAnsi="Times New Roman" w:cs="Times New Roman"/>
          <w:sz w:val="24"/>
          <w:szCs w:val="24"/>
        </w:rPr>
        <w:t>č. 95/2002 Z. z. o poisťovníctve a o zmene a dopln</w:t>
      </w:r>
      <w:r w:rsidR="00345B32">
        <w:rPr>
          <w:rFonts w:ascii="Times New Roman" w:hAnsi="Times New Roman" w:cs="Times New Roman"/>
          <w:sz w:val="24"/>
          <w:szCs w:val="24"/>
        </w:rPr>
        <w:t xml:space="preserve">ení niektorých zákonov v znení </w:t>
      </w:r>
      <w:r>
        <w:rPr>
          <w:rFonts w:ascii="Times New Roman" w:hAnsi="Times New Roman" w:cs="Times New Roman"/>
          <w:sz w:val="24"/>
          <w:szCs w:val="24"/>
        </w:rPr>
        <w:t>neskorších predpisov.</w:t>
      </w:r>
    </w:p>
    <w:p w:rsidR="001F2A6F" w:rsidRDefault="001F2A6F" w:rsidP="001F2A6F">
      <w:pPr>
        <w:pStyle w:val="Odsekzoznamu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9g) § 144 a 152a zákona č. 461/2003 Z. z. o sociáln</w:t>
      </w:r>
      <w:r w:rsidR="00345B32">
        <w:rPr>
          <w:rFonts w:ascii="Times New Roman" w:hAnsi="Times New Roman" w:cs="Times New Roman"/>
          <w:sz w:val="24"/>
          <w:szCs w:val="24"/>
        </w:rPr>
        <w:t xml:space="preserve">om poistení v znení neskorších </w:t>
      </w:r>
      <w:r>
        <w:rPr>
          <w:rFonts w:ascii="Times New Roman" w:hAnsi="Times New Roman" w:cs="Times New Roman"/>
          <w:sz w:val="24"/>
          <w:szCs w:val="24"/>
        </w:rPr>
        <w:t>predpisov.“.</w:t>
      </w:r>
    </w:p>
    <w:p w:rsidR="001F2A6F" w:rsidRDefault="001F2A6F" w:rsidP="001F2A6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numPr>
          <w:ilvl w:val="0"/>
          <w:numId w:val="1"/>
        </w:numPr>
        <w:spacing w:after="0" w:line="240" w:lineRule="auto"/>
        <w:ind w:left="709" w:hanging="80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 § 3b sa vypúšťa odsek 7. </w:t>
      </w: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numPr>
          <w:ilvl w:val="0"/>
          <w:numId w:val="1"/>
        </w:numPr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18j sa vkladá § 18k, ktoré vrátane nadpisu znie:</w:t>
      </w:r>
    </w:p>
    <w:p w:rsidR="001F2A6F" w:rsidRDefault="001F2A6F" w:rsidP="001F2A6F">
      <w:pPr>
        <w:jc w:val="both"/>
      </w:pPr>
    </w:p>
    <w:p w:rsidR="001F2A6F" w:rsidRDefault="001F2A6F" w:rsidP="001F2A6F">
      <w:pPr>
        <w:pStyle w:val="Odsekzoznamu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18k</w:t>
      </w:r>
    </w:p>
    <w:p w:rsidR="001F2A6F" w:rsidRDefault="001F2A6F" w:rsidP="001F2A6F">
      <w:pPr>
        <w:pStyle w:val="Odsekzoznamu"/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sz w:val="24"/>
          <w:szCs w:val="24"/>
        </w:rPr>
        <w:t>Prechodné ustanovenia k úpravám účinným od 1. októbra 2020</w:t>
      </w: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Podpora podľa § 3 ods. 1 písm. c) alebo e) poskytnutá podľa zákona účinného do 1. októbra 2020, sa považuje za podporu poskytnutú podľa tohto zákona. Podpora poskytnutá podľa prvej vety sa nevracia. </w:t>
      </w:r>
    </w:p>
    <w:p w:rsidR="00345B32" w:rsidRDefault="00345B32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(2) Pre poskytnutie podpory na zariadenie výrobcu elektriny, ktorému právo na podporu podľa § 3 ods. 1 písm. c) alebo písm. e) vzniklo pred účinnosťou tohto zákona, a ktorý ku dňu účinnosti tohto zákona už nie je v omeškaní s úhradou nedoplatkov alebo dlžných súm podľa § 3b ods. 5 v znení účinnom do 1. októbra 2020, sa použijú ustanovenia tohto zákona. Podporu podľa prvej vety poskytne </w:t>
      </w:r>
      <w:proofErr w:type="spellStart"/>
      <w:r>
        <w:rPr>
          <w:rFonts w:ascii="Times New Roman" w:hAnsi="Times New Roman" w:cs="Times New Roman"/>
          <w:sz w:val="24"/>
          <w:szCs w:val="24"/>
        </w:rPr>
        <w:t>zúčtovateľ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30 dní odo dňa účinnosti tohto zákona.</w:t>
      </w:r>
    </w:p>
    <w:p w:rsidR="00345B32" w:rsidRDefault="00345B32" w:rsidP="001F2A6F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1F2A6F" w:rsidP="001F2A6F">
      <w:pPr>
        <w:pStyle w:val="Odsekzoznamu"/>
        <w:spacing w:after="0" w:line="240" w:lineRule="auto"/>
        <w:ind w:left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(3) Úrad zverejní zoznam podľa § 3b ods. 6 najneskôr do 30 dní od účinnosti tohto zákona.“. </w:t>
      </w:r>
    </w:p>
    <w:p w:rsidR="001F2A6F" w:rsidRDefault="001F2A6F" w:rsidP="001F2A6F">
      <w:pPr>
        <w:pStyle w:val="Odsekzoznamu"/>
        <w:spacing w:after="0" w:line="240" w:lineRule="auto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1F2A6F" w:rsidRDefault="001F2A6F" w:rsidP="001F2A6F">
      <w:pPr>
        <w:jc w:val="center"/>
        <w:rPr>
          <w:b/>
          <w:bCs/>
          <w:highlight w:val="yellow"/>
        </w:rPr>
      </w:pPr>
      <w:r>
        <w:rPr>
          <w:b/>
          <w:bCs/>
        </w:rPr>
        <w:t>Čl. II</w:t>
      </w:r>
    </w:p>
    <w:p w:rsidR="001F2A6F" w:rsidRDefault="001F2A6F" w:rsidP="001F2A6F">
      <w:pPr>
        <w:jc w:val="center"/>
      </w:pPr>
    </w:p>
    <w:p w:rsidR="001F2A6F" w:rsidRDefault="001F2A6F" w:rsidP="001F2A6F">
      <w:pPr>
        <w:ind w:firstLine="708"/>
        <w:jc w:val="both"/>
      </w:pPr>
      <w:r>
        <w:t>Tento zákon nadobúda účinnosť 1. októbra 2020.</w:t>
      </w:r>
    </w:p>
    <w:p w:rsidR="001F2A6F" w:rsidRDefault="001F2A6F" w:rsidP="001F2A6F">
      <w:pPr>
        <w:ind w:firstLine="708"/>
        <w:jc w:val="both"/>
      </w:pPr>
    </w:p>
    <w:p w:rsidR="00D71592" w:rsidRDefault="00D71592"/>
    <w:sectPr w:rsidR="00D7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FEA"/>
    <w:multiLevelType w:val="multilevel"/>
    <w:tmpl w:val="7EBC88E4"/>
    <w:lvl w:ilvl="0">
      <w:start w:val="1"/>
      <w:numFmt w:val="decimal"/>
      <w:lvlText w:val="%1."/>
      <w:lvlJc w:val="left"/>
      <w:pPr>
        <w:ind w:left="806" w:hanging="360"/>
      </w:pPr>
    </w:lvl>
    <w:lvl w:ilvl="1">
      <w:start w:val="1"/>
      <w:numFmt w:val="lowerLetter"/>
      <w:lvlText w:val="%2)"/>
      <w:lvlJc w:val="left"/>
      <w:pPr>
        <w:ind w:left="1871" w:hanging="705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54B0D5A"/>
    <w:multiLevelType w:val="multilevel"/>
    <w:tmpl w:val="DC7C35C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6F"/>
    <w:rsid w:val="001F2A6F"/>
    <w:rsid w:val="00345B32"/>
    <w:rsid w:val="00D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D4E6"/>
  <w15:chartTrackingRefBased/>
  <w15:docId w15:val="{7647D4A0-B555-4E56-A716-6A8F7D6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character" w:customStyle="1" w:styleId="ZkladntextChar1">
    <w:name w:val="Základný text Char1"/>
    <w:basedOn w:val="Predvolenpsmoodseku"/>
    <w:uiPriority w:val="99"/>
    <w:semiHidden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klub OĽANO</cp:lastModifiedBy>
  <cp:revision>2</cp:revision>
  <dcterms:created xsi:type="dcterms:W3CDTF">2020-06-19T08:24:00Z</dcterms:created>
  <dcterms:modified xsi:type="dcterms:W3CDTF">2020-06-19T08:24:00Z</dcterms:modified>
</cp:coreProperties>
</file>