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FB" w:rsidRDefault="00A31C7F">
      <w:pPr>
        <w:ind w:right="-432"/>
        <w:jc w:val="center"/>
      </w:pPr>
      <w:r>
        <w:rPr>
          <w:b/>
        </w:rPr>
        <w:t>Dôvodová správa</w:t>
      </w:r>
    </w:p>
    <w:p w:rsidR="003450FB" w:rsidRDefault="003450FB">
      <w:pPr>
        <w:ind w:right="-432"/>
        <w:rPr>
          <w:b/>
        </w:rPr>
      </w:pPr>
    </w:p>
    <w:p w:rsidR="003450FB" w:rsidRDefault="00A31C7F">
      <w:pPr>
        <w:ind w:right="-432"/>
        <w:rPr>
          <w:b/>
        </w:rPr>
      </w:pPr>
      <w:r>
        <w:rPr>
          <w:b/>
        </w:rPr>
        <w:t>A. Všeobecná časť</w:t>
      </w:r>
    </w:p>
    <w:p w:rsidR="003450FB" w:rsidRDefault="003450FB">
      <w:pPr>
        <w:ind w:right="-432" w:firstLine="708"/>
        <w:jc w:val="both"/>
      </w:pPr>
    </w:p>
    <w:p w:rsidR="003450FB" w:rsidRDefault="00A31C7F">
      <w:pPr>
        <w:spacing w:line="312" w:lineRule="auto"/>
        <w:ind w:firstLine="708"/>
        <w:jc w:val="both"/>
      </w:pPr>
      <w:r>
        <w:t xml:space="preserve">Predložený návrh zákona, </w:t>
      </w:r>
      <w:r>
        <w:rPr>
          <w:color w:val="000000"/>
        </w:rPr>
        <w:t>ktorým sa mení a dopĺňa zákon č. 576/2004 Z. z. o zdravotnej starostlivosti, službách súvisiacich s poskytovaním zdravotnej starostlivosti a o zmene a doplnení niektorých zákonov v znení neskorších predpisov a ktorým sa menia a dopĺňajú niektoré zákony (ďa</w:t>
      </w:r>
      <w:r>
        <w:rPr>
          <w:color w:val="000000"/>
        </w:rPr>
        <w:t xml:space="preserve">lej len „návrh zákona“) </w:t>
      </w:r>
      <w:r>
        <w:t xml:space="preserve">predkladajú na rokovanie Národnej rady Slovenskej republiky poslanci Národnej rady Slovenskej republiky </w:t>
      </w:r>
      <w:r>
        <w:rPr>
          <w:rFonts w:ascii="Times" w:eastAsia="Times" w:hAnsi="Times" w:cs="Times"/>
        </w:rPr>
        <w:t xml:space="preserve">Anna Záborská, </w:t>
      </w:r>
      <w:r>
        <w:rPr>
          <w:rFonts w:ascii="Times" w:eastAsia="Times" w:hAnsi="Times" w:cs="Times"/>
          <w:highlight w:val="white"/>
        </w:rPr>
        <w:t xml:space="preserve">Lucia Drábiková, Katarína Hatráková, Peter Kremský, Milan Kuriak, Radovan Marcinčin, Marcel Mihalik, </w:t>
      </w:r>
      <w:r>
        <w:rPr>
          <w:rFonts w:ascii="Times" w:eastAsia="Times" w:hAnsi="Times" w:cs="Times"/>
        </w:rPr>
        <w:t>Ján Szőllős,</w:t>
      </w:r>
      <w:r>
        <w:rPr>
          <w:rFonts w:ascii="Times" w:eastAsia="Times" w:hAnsi="Times" w:cs="Times"/>
          <w:highlight w:val="white"/>
        </w:rPr>
        <w:t xml:space="preserve"> Marek Šefčík, Michal Šipoš, Richard Vašečka, Milan Vetrák, Peter Vons</w:t>
      </w:r>
      <w:r>
        <w:t>.</w:t>
      </w:r>
    </w:p>
    <w:p w:rsidR="003450FB" w:rsidRDefault="003450FB">
      <w:pPr>
        <w:spacing w:line="312" w:lineRule="auto"/>
        <w:ind w:firstLine="708"/>
        <w:jc w:val="both"/>
      </w:pPr>
    </w:p>
    <w:p w:rsidR="003450FB" w:rsidRDefault="00A31C7F">
      <w:pPr>
        <w:spacing w:line="312" w:lineRule="auto"/>
        <w:ind w:firstLine="708"/>
        <w:jc w:val="both"/>
      </w:pPr>
      <w:r>
        <w:t xml:space="preserve">Diskusia o podpore tehotných žien a matiek sa vedie už dlho, ale dodnes sa jej venovala v zákonodarstve iba nedostatočná pozornosť. Cieľom navrhovanej úpravy je vytvorenie podporných </w:t>
      </w:r>
      <w:r>
        <w:t xml:space="preserve">opatrení pre ženu, ktorá zvažuje podanie žiadosti o umelé ukončenie tehotenstva. Úprava má dať žene reálnu možnosť rozhodnúť sa po zvážení všetkých dostupných informácií a možností ako zodpovedne nasmerovať svoj život.      </w:t>
      </w:r>
    </w:p>
    <w:p w:rsidR="003450FB" w:rsidRDefault="003450FB">
      <w:pPr>
        <w:spacing w:line="312" w:lineRule="auto"/>
        <w:ind w:firstLine="708"/>
        <w:jc w:val="both"/>
      </w:pPr>
    </w:p>
    <w:p w:rsidR="003450FB" w:rsidRDefault="00A31C7F">
      <w:pPr>
        <w:spacing w:line="312" w:lineRule="auto"/>
        <w:ind w:firstLine="708"/>
        <w:jc w:val="both"/>
      </w:pPr>
      <w:r>
        <w:t>Návrh zákona je v súlade s Úst</w:t>
      </w:r>
      <w:r>
        <w:t xml:space="preserve">avou Slovenskej republiky, ústavnými zákonmi, nálezmi Ústavného súdu Slovenskej republiky, ako aj s medzinárodnými zmluvami a inými medzinárodnými dokumentami, ktorými je Slovenská republika viazaná, ako aj s právom Európskej únie. </w:t>
      </w:r>
    </w:p>
    <w:p w:rsidR="003450FB" w:rsidRDefault="003450FB">
      <w:pPr>
        <w:spacing w:line="312" w:lineRule="auto"/>
        <w:ind w:firstLine="708"/>
        <w:jc w:val="both"/>
      </w:pPr>
    </w:p>
    <w:p w:rsidR="003450FB" w:rsidRDefault="00A31C7F">
      <w:pPr>
        <w:spacing w:line="312" w:lineRule="auto"/>
        <w:ind w:firstLine="708"/>
        <w:jc w:val="both"/>
      </w:pPr>
      <w:r>
        <w:t xml:space="preserve">Návrh zákona bude mať </w:t>
      </w:r>
      <w:r>
        <w:t>negatívny vplyv na verejné financie. Návrh zákona nebude mať vplyv na podnikateľské prostredie, životné prostredie a informatizáciu spoločnosti. Návrh zákona bude mať pozitívny sociálny vplyv. Návrh zákona bude mať pozitívny vplyv na manželstvo, rodičovstv</w:t>
      </w:r>
      <w:r>
        <w:t>o a rodinu.</w:t>
      </w:r>
    </w:p>
    <w:p w:rsidR="003450FB" w:rsidRDefault="003450FB">
      <w:pPr>
        <w:ind w:right="-18" w:firstLine="708"/>
        <w:jc w:val="both"/>
        <w:rPr>
          <w:sz w:val="22"/>
          <w:szCs w:val="22"/>
        </w:rPr>
      </w:pPr>
    </w:p>
    <w:p w:rsidR="003450FB" w:rsidRDefault="003450FB">
      <w:pPr>
        <w:ind w:right="-18" w:firstLine="708"/>
        <w:jc w:val="both"/>
        <w:rPr>
          <w:sz w:val="22"/>
          <w:szCs w:val="22"/>
        </w:rPr>
        <w:sectPr w:rsidR="003450FB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406"/>
          </w:cols>
        </w:sectPr>
      </w:pPr>
    </w:p>
    <w:p w:rsidR="003450FB" w:rsidRDefault="00A31C7F">
      <w:pPr>
        <w:ind w:right="-432"/>
        <w:rPr>
          <w:b/>
        </w:rPr>
      </w:pPr>
      <w:r>
        <w:rPr>
          <w:b/>
        </w:rPr>
        <w:lastRenderedPageBreak/>
        <w:t>B. Osobitná časť</w:t>
      </w:r>
    </w:p>
    <w:p w:rsidR="003450FB" w:rsidRDefault="00A31C7F">
      <w:pPr>
        <w:spacing w:line="312" w:lineRule="auto"/>
        <w:jc w:val="both"/>
      </w:pPr>
      <w:r>
        <w:t>K čl. I:</w:t>
      </w:r>
    </w:p>
    <w:p w:rsidR="003450FB" w:rsidRDefault="00A31C7F">
      <w:pPr>
        <w:spacing w:line="312" w:lineRule="auto"/>
        <w:jc w:val="both"/>
      </w:pPr>
      <w:r>
        <w:t>K bodu 1:</w:t>
      </w:r>
    </w:p>
    <w:p w:rsidR="003450FB" w:rsidRDefault="00A31C7F">
      <w:pPr>
        <w:spacing w:line="312" w:lineRule="auto"/>
        <w:jc w:val="both"/>
      </w:pPr>
      <w:r>
        <w:t>Legislatívno-technická zmena súvisiaca s úpravou v čl. II.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bodom 2 a 3:</w:t>
      </w:r>
    </w:p>
    <w:p w:rsidR="003450FB" w:rsidRDefault="00A31C7F">
      <w:pPr>
        <w:spacing w:line="312" w:lineRule="auto"/>
        <w:jc w:val="both"/>
      </w:pPr>
      <w:r>
        <w:t>Návrh zmeny prináša dlhšiu lehotu pre ženu, aby mohla pokojne a bez časového tlaku si premyslieť svoje rozhodnutie umelo ukončiť tehotenstvo. Upravuje sa tiež začiatok plynutia lehoty, ktorý je viazaný na splnenie zákonných podmienok na umelé ukončenie teh</w:t>
      </w:r>
      <w:r>
        <w:t>otenstva.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 bodu 4:</w:t>
      </w:r>
    </w:p>
    <w:p w:rsidR="003450FB" w:rsidRDefault="00A31C7F">
      <w:pPr>
        <w:spacing w:line="312" w:lineRule="auto"/>
        <w:jc w:val="both"/>
      </w:pPr>
      <w:r>
        <w:t>Vložením nových odsekov 5 až 8 sa upravujú nové podrobnosti smerujúce k tomu, aby  informovaný súhlas, ktorý podpisuje žena, bol obrazom reálneho poučenia a informovania ženy pred svojim rozhodnutím. Kvalita písomných informácií a hlav</w:t>
      </w:r>
      <w:r>
        <w:t>ne ich aktuálnosť, majú klásť dôraz na zodpovednosť lekára pri poučovaní ženy. Z informovaného súhlasu sa nemá stať „nevyhnutná“ formalita alebo prekážka na ceste k umelému ukončeniu tehotenstva. Žena má dostať aktuálne a podrobné informácie o sociálnej po</w:t>
      </w:r>
      <w:r>
        <w:t xml:space="preserve">litike štátu.    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 bodu 5:</w:t>
      </w:r>
    </w:p>
    <w:p w:rsidR="003450FB" w:rsidRDefault="00A31C7F">
      <w:pPr>
        <w:spacing w:line="312" w:lineRule="auto"/>
        <w:jc w:val="both"/>
      </w:pPr>
      <w:r>
        <w:t>Legislatívno-technická zmena súvisiaca s úpravou v bode 6.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bodu 6:</w:t>
      </w:r>
    </w:p>
    <w:p w:rsidR="003450FB" w:rsidRDefault="00A31C7F">
      <w:pPr>
        <w:spacing w:line="312" w:lineRule="auto"/>
        <w:jc w:val="both"/>
      </w:pPr>
      <w:r>
        <w:t>Navrhuje sa rozšírenie úpravy informácií, zverejňovaných na webovom sídle ministerstva zdravotníctva o nové informácie, ktoré majú byť podľa navrhovaného § 6b ods. 5 poskytované tehotným ženám.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bodu 7:</w:t>
      </w:r>
    </w:p>
    <w:p w:rsidR="003450FB" w:rsidRDefault="00A31C7F">
      <w:pPr>
        <w:spacing w:line="312" w:lineRule="auto"/>
        <w:jc w:val="both"/>
      </w:pPr>
      <w:r>
        <w:t>Zavádza sa povinnosť ministerstva zdravotníctva kaž</w:t>
      </w:r>
      <w:r>
        <w:t xml:space="preserve">doročne zverejňovať správu o potratoch a o umelých ukončeniach tehotenstva. Rovnako sa zavádza povinnosť ministerstva ponúknuť vzdelávanie v danej oblasti.   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II:</w:t>
      </w:r>
    </w:p>
    <w:p w:rsidR="003450FB" w:rsidRDefault="00A31C7F">
      <w:pPr>
        <w:spacing w:line="312" w:lineRule="auto"/>
        <w:jc w:val="both"/>
      </w:pPr>
      <w:r>
        <w:t>K bodom 1 a 2:</w:t>
      </w:r>
    </w:p>
    <w:p w:rsidR="003450FB" w:rsidRDefault="00A31C7F">
      <w:pPr>
        <w:spacing w:line="312" w:lineRule="auto"/>
        <w:jc w:val="both"/>
      </w:pPr>
      <w:r>
        <w:t>Navrhuje sa upustiť od používania nepresného pojmu „umelé skončenie te</w:t>
      </w:r>
      <w:r>
        <w:t>hotenstva“ a zaviesť pojem „umelé skončenie tehotenstva“, ktorý svojim obsahom presne vyjadruje skutočnosť, ku ktorej daným výkonom dochádza – tehotenstvo nie je prerušené a neexistuje žiadna objektívna možnosť jeho pokračovania.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lastRenderedPageBreak/>
        <w:t>K bodu 3:</w:t>
      </w:r>
    </w:p>
    <w:p w:rsidR="003450FB" w:rsidRDefault="00A31C7F">
      <w:pPr>
        <w:spacing w:line="312" w:lineRule="auto"/>
        <w:jc w:val="both"/>
      </w:pPr>
      <w:r>
        <w:t>Zmenou sa má po</w:t>
      </w:r>
      <w:r>
        <w:t>dporiť informované rozhodnutie ženy v prípade, že sa má uskutočniť umelé ukončenie tehotenstva zo zdravotného dôvodu na strane ženy, alebo zdravého vývoj plodu, alebo geneticky chybného vývoj plodu. Ak lekár konštatuje existenciu niektorého z týchto dôvodo</w:t>
      </w:r>
      <w:r>
        <w:t>v musí mať žena k dispozícii dve nezávislé lekárske správy. Nezávislosť obsahu lekárskych správ sa má garantovať aj tým, že lekári, ktorí vystavia lekárske správy, nesmú byť v pracovnom alebo inom obdobnom pomere jedného a toho istého zdravotníckeho zariad</w:t>
      </w:r>
      <w:r>
        <w:t xml:space="preserve">enia. Ďalej sa žene zákonne garantuje, že aspoň jedna z dvoch lekárskych správ musí byť vyhotovená lekárom, ktorý  poskytuje zdravotnú starostlivosť v špecializačnom odbore gynekológia pôrodníctvo.     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bodu 4:</w:t>
      </w:r>
    </w:p>
    <w:p w:rsidR="003450FB" w:rsidRDefault="00A31C7F">
      <w:pPr>
        <w:spacing w:line="312" w:lineRule="auto"/>
        <w:jc w:val="both"/>
      </w:pPr>
      <w:r>
        <w:t>V navrhovanom § 6a sa v súlade s platným p</w:t>
      </w:r>
      <w:r>
        <w:t>rávnym stavom ustanovuje podmienka pre umelé ukončenie tehotenstva, ktorou je písomný informovaný súhlas po predchádzajúcom poučení, upravený v zákone č. 576/2004 Z.z. v znení neskorších predpisov.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bodu 5:</w:t>
      </w:r>
    </w:p>
    <w:p w:rsidR="003450FB" w:rsidRDefault="00A31C7F">
      <w:pPr>
        <w:spacing w:line="312" w:lineRule="auto"/>
        <w:jc w:val="both"/>
      </w:pPr>
      <w:r>
        <w:t xml:space="preserve">Legislatívno-technická úprava súvisiaca s doplneným § 6a. </w:t>
      </w: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bodu 6:</w:t>
      </w:r>
    </w:p>
    <w:p w:rsidR="003450FB" w:rsidRDefault="00A31C7F">
      <w:pPr>
        <w:spacing w:line="312" w:lineRule="auto"/>
        <w:jc w:val="both"/>
      </w:pPr>
      <w:r>
        <w:t>Legislatívno-technická úprava súvisiaca s novým znením § 1.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III:</w:t>
      </w:r>
    </w:p>
    <w:p w:rsidR="003450FB" w:rsidRDefault="00A31C7F">
      <w:pPr>
        <w:spacing w:line="312" w:lineRule="auto"/>
        <w:jc w:val="both"/>
      </w:pPr>
      <w:r>
        <w:t>Navrhovaným zákazom reklamy sa má zachovať autonómnosť a sloboda rozhodnutia sa ženy. Zákaz reklamy je hodnotovo príbuzný k už platnému zákazu reklamy, ktorá sa týka potreby alebo dostupnosti orgánov, tkanív a buniek (§ 7a platného zákona). V právno-kompar</w:t>
      </w:r>
      <w:r>
        <w:t xml:space="preserve">atistického hľadiska návrh zákona nepenalizuje propagáciu a reklamu normami trestného práva, tak ako je tomu napríklad v nemeckom trestnom práve: § 219a nemeckého Trestného zákona. 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IV:</w:t>
      </w:r>
    </w:p>
    <w:p w:rsidR="003450FB" w:rsidRDefault="00A31C7F">
      <w:pPr>
        <w:spacing w:line="312" w:lineRule="auto"/>
        <w:jc w:val="both"/>
      </w:pPr>
      <w:r>
        <w:t>V súvislosti so zavedením povinnosti dvoch nezávislých lekársk</w:t>
      </w:r>
      <w:r>
        <w:t>ych správ v prípadoch keď sa má uskutočniť umelé ukončenie tehotenstva zo zdravotného dôvodu na strane ženy, alebo zdravého vývoj plodu, alebo geneticky chybného vývoj plodu. Tieto lekárske správy majú byť plne hradené z verejného zdravotného poistenia.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V:</w:t>
      </w:r>
    </w:p>
    <w:p w:rsidR="003450FB" w:rsidRDefault="00A31C7F">
      <w:pPr>
        <w:spacing w:line="312" w:lineRule="auto"/>
        <w:jc w:val="both"/>
      </w:pPr>
      <w:bookmarkStart w:id="0" w:name="_gjdgxs" w:colFirst="0" w:colLast="0"/>
      <w:bookmarkEnd w:id="0"/>
      <w:r>
        <w:lastRenderedPageBreak/>
        <w:t xml:space="preserve">V nadväznosti na zmenu podľa novelizačného článku III (zmena v zákone o reklame), je potrebné zmenou v Etickom kódexe zdravotníckeho pracovníka zabezpečiť nerozpornosť právneho poriadku. 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VI:</w:t>
      </w:r>
    </w:p>
    <w:p w:rsidR="003450FB" w:rsidRDefault="00A31C7F">
      <w:pPr>
        <w:spacing w:line="312" w:lineRule="auto"/>
        <w:jc w:val="both"/>
      </w:pPr>
      <w:r>
        <w:t>K bodom 1 až 4:</w:t>
      </w:r>
    </w:p>
    <w:p w:rsidR="003450FB" w:rsidRDefault="00A31C7F">
      <w:pPr>
        <w:spacing w:line="312" w:lineRule="auto"/>
        <w:jc w:val="both"/>
      </w:pPr>
      <w:r>
        <w:t>Navrhovaná zmena je jedna z kľú</w:t>
      </w:r>
      <w:r>
        <w:t xml:space="preserve">čových zmien, ktorá potvrdzuje ambíciu návrhu zákona na vytvorenie podporných opatrení pre ženu, ktorá zvažuje podanie žiadosti o umelé ukončenie tehotenstva. </w:t>
      </w:r>
    </w:p>
    <w:p w:rsidR="003450FB" w:rsidRDefault="00A31C7F">
      <w:pPr>
        <w:spacing w:line="312" w:lineRule="auto"/>
        <w:jc w:val="both"/>
      </w:pPr>
      <w:r>
        <w:t>Na tehotné matky sa dnes vzťahuje zákon o sociálnych službách len čiastočne, ak sú vystavené nás</w:t>
      </w:r>
      <w:r>
        <w:t>iliu alebo strate bývania. Samotný fakt, že sú tehotné a z toho dôvodu sú narušené ich sociálne alebo rodinné väzby, zákon neupravuje. Môže ísť napríklad o mladé ženy – študentky, ktoré potrebujú dočasné bývanie, aby utajili svoje tehotenstvo. Zavádza sa p</w:t>
      </w:r>
      <w:r>
        <w:t>reto pravidlo, že zariadenie núdzového bývania budú môcť využívať aj tehotné matky, a to po dobu tehotenstva a troch rokov od pôrodu, ak sa o dieťa osobne starajú.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VII:</w:t>
      </w:r>
    </w:p>
    <w:p w:rsidR="003450FB" w:rsidRDefault="00A31C7F">
      <w:pPr>
        <w:spacing w:line="312" w:lineRule="auto"/>
        <w:jc w:val="both"/>
      </w:pPr>
      <w:r>
        <w:t>V hlásení o spontánnom potrate a umelom ukončení tehotenstva sa budú zisťovať ď</w:t>
      </w:r>
      <w:r>
        <w:t>alšie údaje, ktorých cieľom je získať podrobnejšie informácie o matkách, ktoré potratili alebo podstúpili umelý potrat, ktoré môžu pomôcť k zlepšeniu zdravotnej starostlivosti, informovanosti, prevencie a sociálnej pomoci.</w:t>
      </w:r>
    </w:p>
    <w:p w:rsidR="003450FB" w:rsidRDefault="00A31C7F">
      <w:pPr>
        <w:spacing w:line="312" w:lineRule="auto"/>
        <w:jc w:val="both"/>
      </w:pPr>
      <w:r>
        <w:t>Rodinný stav a situácia v domácno</w:t>
      </w:r>
      <w:r>
        <w:t xml:space="preserve">sti: V aktuálnom formulári „Žiadosť o umelé prerušenie tehotenstva a hlásenie potratu“ sa ako jedna z možností rodinného stavu uvádza aj 5 – registrované partnerstvo. Slovenská republika však neuznáva registrované partnerstvá, a tento pojem je potenciálne </w:t>
      </w:r>
      <w:r>
        <w:t xml:space="preserve">zmätočný, keďže niektorí ľudia si ho môžu zameniť s inštitútmi domácnosť, alebo blízke osoby podľa §§ 115 až 117 Občianskeho zákonníka. Údaj o registrovanom partnerstve by sa nemal zhromažďovať. </w:t>
      </w:r>
    </w:p>
    <w:p w:rsidR="003450FB" w:rsidRDefault="00A31C7F">
      <w:pPr>
        <w:spacing w:line="312" w:lineRule="auto"/>
        <w:jc w:val="both"/>
      </w:pPr>
      <w:r>
        <w:t>Príslušnej kolónke Rodinný stav a situácia v domácnosti vo f</w:t>
      </w:r>
      <w:r>
        <w:t xml:space="preserve">ormulári žiadosti o UPT by sa potom nachádzali najmä nasledovné možnosti: </w:t>
      </w:r>
    </w:p>
    <w:p w:rsidR="003450FB" w:rsidRDefault="00A31C7F">
      <w:pPr>
        <w:spacing w:line="312" w:lineRule="auto"/>
        <w:jc w:val="both"/>
      </w:pPr>
      <w:r>
        <w:t xml:space="preserve">1 – slobodná, žijúca osamelo, </w:t>
      </w:r>
    </w:p>
    <w:p w:rsidR="003450FB" w:rsidRDefault="00A31C7F">
      <w:pPr>
        <w:spacing w:line="312" w:lineRule="auto"/>
        <w:jc w:val="both"/>
      </w:pPr>
      <w:r>
        <w:t xml:space="preserve">2 – slobodná, žijúca s partnerom, </w:t>
      </w:r>
    </w:p>
    <w:p w:rsidR="003450FB" w:rsidRDefault="00A31C7F">
      <w:pPr>
        <w:spacing w:line="312" w:lineRule="auto"/>
        <w:jc w:val="both"/>
      </w:pPr>
      <w:r>
        <w:t xml:space="preserve">3 – slobodná, žijúca s inými osobami v spoločnej domácnosti, </w:t>
      </w:r>
    </w:p>
    <w:p w:rsidR="003450FB" w:rsidRDefault="00A31C7F">
      <w:pPr>
        <w:spacing w:line="312" w:lineRule="auto"/>
        <w:jc w:val="both"/>
      </w:pPr>
      <w:r>
        <w:t xml:space="preserve">4 – vydatá, </w:t>
      </w:r>
    </w:p>
    <w:p w:rsidR="003450FB" w:rsidRDefault="00A31C7F">
      <w:pPr>
        <w:spacing w:line="312" w:lineRule="auto"/>
        <w:jc w:val="both"/>
      </w:pPr>
      <w:r>
        <w:t xml:space="preserve">5 – rozvedená, </w:t>
      </w:r>
    </w:p>
    <w:p w:rsidR="003450FB" w:rsidRDefault="00A31C7F">
      <w:pPr>
        <w:spacing w:line="312" w:lineRule="auto"/>
        <w:jc w:val="both"/>
      </w:pPr>
      <w:r>
        <w:t xml:space="preserve">6 – vdova. </w:t>
      </w:r>
    </w:p>
    <w:p w:rsidR="003450FB" w:rsidRDefault="00A31C7F">
      <w:pPr>
        <w:spacing w:line="312" w:lineRule="auto"/>
        <w:jc w:val="both"/>
      </w:pPr>
      <w:r>
        <w:t>Vnútromatern</w:t>
      </w:r>
      <w:r>
        <w:t xml:space="preserve">icová a iná antikoncepcia. Na účely štatistického zistenia tohto javu sa navrhuje v kolónke Používanie metód antikoncepcie v čase otehotnenia zisťovať najmä nasledovné údaje: </w:t>
      </w:r>
    </w:p>
    <w:p w:rsidR="003450FB" w:rsidRDefault="00A31C7F">
      <w:pPr>
        <w:spacing w:line="312" w:lineRule="auto"/>
        <w:jc w:val="both"/>
      </w:pPr>
      <w:r>
        <w:lastRenderedPageBreak/>
        <w:t xml:space="preserve">1 – žiadna metóda, </w:t>
      </w:r>
    </w:p>
    <w:p w:rsidR="003450FB" w:rsidRDefault="00A31C7F">
      <w:pPr>
        <w:spacing w:line="312" w:lineRule="auto"/>
        <w:jc w:val="both"/>
      </w:pPr>
      <w:r>
        <w:t xml:space="preserve">2 – vnútromaternicová antikoncepcia, </w:t>
      </w:r>
    </w:p>
    <w:p w:rsidR="003450FB" w:rsidRDefault="00A31C7F">
      <w:pPr>
        <w:spacing w:line="312" w:lineRule="auto"/>
        <w:jc w:val="both"/>
      </w:pPr>
      <w:r>
        <w:t xml:space="preserve">3 – kondóm, </w:t>
      </w:r>
    </w:p>
    <w:p w:rsidR="003450FB" w:rsidRDefault="00A31C7F">
      <w:pPr>
        <w:spacing w:line="312" w:lineRule="auto"/>
        <w:jc w:val="both"/>
      </w:pPr>
      <w:r>
        <w:t xml:space="preserve">4 – hormonálna antikoncepcia, </w:t>
      </w:r>
    </w:p>
    <w:p w:rsidR="003450FB" w:rsidRDefault="00A31C7F">
      <w:pPr>
        <w:spacing w:line="312" w:lineRule="auto"/>
        <w:jc w:val="both"/>
      </w:pPr>
      <w:r>
        <w:t xml:space="preserve">5 – postkoitálne prípravky, </w:t>
      </w:r>
    </w:p>
    <w:p w:rsidR="003450FB" w:rsidRDefault="00A31C7F">
      <w:pPr>
        <w:spacing w:line="312" w:lineRule="auto"/>
        <w:jc w:val="both"/>
      </w:pPr>
      <w:r>
        <w:t xml:space="preserve">6 – ženská sterilizácia, </w:t>
      </w:r>
    </w:p>
    <w:p w:rsidR="003450FB" w:rsidRDefault="00A31C7F">
      <w:pPr>
        <w:spacing w:line="312" w:lineRule="auto"/>
        <w:jc w:val="both"/>
      </w:pPr>
      <w:r>
        <w:t xml:space="preserve">7 – mužská sterilizácia, </w:t>
      </w:r>
    </w:p>
    <w:p w:rsidR="003450FB" w:rsidRDefault="00A31C7F">
      <w:pPr>
        <w:spacing w:line="312" w:lineRule="auto"/>
        <w:jc w:val="both"/>
      </w:pPr>
      <w:r>
        <w:t xml:space="preserve">8 – prirodzené metódy plánovania rodičovstva, </w:t>
      </w:r>
    </w:p>
    <w:p w:rsidR="003450FB" w:rsidRDefault="00A31C7F">
      <w:pPr>
        <w:spacing w:line="312" w:lineRule="auto"/>
        <w:jc w:val="both"/>
      </w:pPr>
      <w:r>
        <w:t xml:space="preserve">9 – prerušovaná súlož, </w:t>
      </w:r>
    </w:p>
    <w:p w:rsidR="003450FB" w:rsidRDefault="00A31C7F">
      <w:pPr>
        <w:spacing w:line="312" w:lineRule="auto"/>
        <w:jc w:val="both"/>
      </w:pPr>
      <w:r>
        <w:t>10 – iná metóda.</w:t>
      </w:r>
    </w:p>
    <w:p w:rsidR="003450FB" w:rsidRDefault="00A31C7F">
      <w:pPr>
        <w:spacing w:line="312" w:lineRule="auto"/>
        <w:jc w:val="both"/>
      </w:pPr>
      <w:r>
        <w:t>Príčiny pre umelé ukončenie tehotenstva (iné ako zdravot</w:t>
      </w:r>
      <w:r>
        <w:t>né) na Slovensku do veľkej miery zostávajú neznáme. Ich spoznanie umožní lepšie reagovať na skutočné potreby žien zvažujúcich umelé ukončenie tehotenstva. Preto navrhujeme, aby sa vo formulári žiadosti o umelé ukončenie tehotenstva v novovytvorenej časti Ú</w:t>
      </w:r>
      <w:r>
        <w:t xml:space="preserve">daje o iných ako zdravotných dôvodoch na vykonanie umelé ukončenie tehotenstva, zisťovali najmä nasledovné možné dôvody: </w:t>
      </w:r>
    </w:p>
    <w:p w:rsidR="003450FB" w:rsidRDefault="00A31C7F">
      <w:pPr>
        <w:spacing w:line="312" w:lineRule="auto"/>
        <w:jc w:val="both"/>
      </w:pPr>
      <w:r>
        <w:t>1 – hmotná núdza</w:t>
      </w:r>
    </w:p>
    <w:p w:rsidR="003450FB" w:rsidRDefault="00A31C7F">
      <w:pPr>
        <w:spacing w:line="312" w:lineRule="auto"/>
        <w:jc w:val="both"/>
      </w:pPr>
      <w:r>
        <w:t>2 – iná zlá ekonomická alebo sociálna situácia</w:t>
      </w:r>
    </w:p>
    <w:p w:rsidR="003450FB" w:rsidRDefault="00A31C7F">
      <w:pPr>
        <w:spacing w:line="312" w:lineRule="auto"/>
        <w:jc w:val="both"/>
      </w:pPr>
      <w:r>
        <w:t>3 – ohrozenie kariéry</w:t>
      </w:r>
    </w:p>
    <w:p w:rsidR="003450FB" w:rsidRDefault="00A31C7F">
      <w:pPr>
        <w:spacing w:line="312" w:lineRule="auto"/>
        <w:jc w:val="both"/>
      </w:pPr>
      <w:r>
        <w:t>4 – potreba pokračovať v štúdiu</w:t>
      </w:r>
    </w:p>
    <w:p w:rsidR="003450FB" w:rsidRDefault="00A31C7F">
      <w:pPr>
        <w:spacing w:line="312" w:lineRule="auto"/>
        <w:jc w:val="both"/>
      </w:pPr>
      <w:r>
        <w:t>5 – nepripraveno</w:t>
      </w:r>
      <w:r>
        <w:t>sť byť matkou</w:t>
      </w:r>
    </w:p>
    <w:p w:rsidR="003450FB" w:rsidRDefault="00A31C7F">
      <w:pPr>
        <w:spacing w:line="312" w:lineRule="auto"/>
        <w:jc w:val="both"/>
      </w:pPr>
      <w:r>
        <w:t xml:space="preserve">6 – želaný počet detí už bol dosiahnutý </w:t>
      </w:r>
    </w:p>
    <w:p w:rsidR="003450FB" w:rsidRDefault="00A31C7F">
      <w:pPr>
        <w:spacing w:line="312" w:lineRule="auto"/>
        <w:jc w:val="both"/>
      </w:pPr>
      <w:r>
        <w:t>7 – rozchod alebo iné problémy v partnerskom vzťahu</w:t>
      </w:r>
    </w:p>
    <w:p w:rsidR="003450FB" w:rsidRDefault="00A31C7F">
      <w:pPr>
        <w:spacing w:line="312" w:lineRule="auto"/>
      </w:pPr>
      <w:r>
        <w:t xml:space="preserve">8 – tehotenstvo je následkom trestného činu </w:t>
      </w:r>
    </w:p>
    <w:p w:rsidR="003450FB" w:rsidRDefault="00A31C7F">
      <w:pPr>
        <w:spacing w:line="312" w:lineRule="auto"/>
      </w:pPr>
      <w:r>
        <w:t>9 – odporúčanie zo strany iných ľudí</w:t>
      </w:r>
    </w:p>
    <w:p w:rsidR="003450FB" w:rsidRDefault="00A31C7F">
      <w:pPr>
        <w:spacing w:line="312" w:lineRule="auto"/>
      </w:pPr>
      <w:r>
        <w:t>10 – nátlak zo strany iných ľudí</w:t>
      </w:r>
    </w:p>
    <w:p w:rsidR="003450FB" w:rsidRDefault="00A31C7F">
      <w:pPr>
        <w:spacing w:line="312" w:lineRule="auto"/>
      </w:pPr>
      <w:r>
        <w:t>11 – narušenie psychickej rovnováh</w:t>
      </w:r>
      <w:r>
        <w:t>y</w:t>
      </w:r>
    </w:p>
    <w:p w:rsidR="003450FB" w:rsidRDefault="00A31C7F">
      <w:pPr>
        <w:spacing w:line="312" w:lineRule="auto"/>
      </w:pPr>
      <w:r>
        <w:t>12 – neželané pohlavie dieťaťa</w:t>
      </w:r>
    </w:p>
    <w:p w:rsidR="003450FB" w:rsidRDefault="00A31C7F">
      <w:pPr>
        <w:spacing w:line="312" w:lineRule="auto"/>
      </w:pPr>
      <w:r>
        <w:t>13 – strach z reakcie rodičov</w:t>
      </w:r>
    </w:p>
    <w:p w:rsidR="003450FB" w:rsidRDefault="00A31C7F">
      <w:pPr>
        <w:spacing w:line="312" w:lineRule="auto"/>
      </w:pPr>
      <w:r>
        <w:t>14 – strach z reakcie partnera/manžela</w:t>
      </w:r>
    </w:p>
    <w:p w:rsidR="003450FB" w:rsidRDefault="00A31C7F">
      <w:pPr>
        <w:spacing w:line="312" w:lineRule="auto"/>
      </w:pPr>
      <w:r>
        <w:t>15 – tehotenstvo je následok náhodnej známosti</w:t>
      </w:r>
    </w:p>
    <w:p w:rsidR="003450FB" w:rsidRDefault="00A31C7F">
      <w:pPr>
        <w:spacing w:line="312" w:lineRule="auto"/>
        <w:jc w:val="both"/>
      </w:pPr>
      <w:r>
        <w:t>16 – Iné. V prípade uvedenia iné popíšte slovami o aký dôvod sa jedná.</w:t>
      </w:r>
    </w:p>
    <w:p w:rsidR="003450FB" w:rsidRDefault="00A31C7F">
      <w:pPr>
        <w:spacing w:line="312" w:lineRule="auto"/>
        <w:jc w:val="both"/>
      </w:pPr>
      <w:bookmarkStart w:id="1" w:name="_30j0zll" w:colFirst="0" w:colLast="0"/>
      <w:bookmarkEnd w:id="1"/>
      <w:r>
        <w:t>V otázke anonymity takto získaných údajov je potrebné zdôrazniť, že Národné centrum zdravotníckych informácií bude pri štatistickom spracovávaní údaje anonymizovať a zber, spracovávanie a uchovávanie týchto údajov je chránené na základe zákona č. 18/2018 Z</w:t>
      </w:r>
      <w:r>
        <w:t>.z. o ochrane osobných údajov a o zmene a doplnení niektorých zákonov a Nariadenia Európskeho parlamentu a Rady (EÚ) 2016/679 z 27. apríla 2016 o ochrane fyzických osôb pri spracúvaní osobných údajov a o voľnom pohybe takýchto údajov, ktorým sa zrušuje sme</w:t>
      </w:r>
      <w:r>
        <w:t xml:space="preserve">rnica 95/46/ES (všeobecné nariadenie o ochrane údajov). Ďalšou garanciou anonymity sú platné ustanovenia novelizovaného zákona č. 153/2013 Z. z. o národnom zdravotníckom informačnom systéme a o </w:t>
      </w:r>
      <w:r>
        <w:lastRenderedPageBreak/>
        <w:t>zmene a doplnení niektorých zákonov ustanovenia, ktoré upravuj</w:t>
      </w:r>
      <w:r>
        <w:t>ú, že spracúvané osobné údaje a dôverné štatistické údaje zo zisťovaní udalostí charakterizujúcich zdravotný stav populácie sa poskytujú a sprístupňujú len v rozsahu zákona a poskytujú sa v anonymizovanej podobe ministerstvu zdravotníctva na účely výkonu š</w:t>
      </w:r>
      <w:r>
        <w:t xml:space="preserve">tátnej zdravotnej politiky (§ 10 ods. 4). 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VIII:</w:t>
      </w:r>
    </w:p>
    <w:p w:rsidR="003450FB" w:rsidRDefault="00A31C7F">
      <w:pPr>
        <w:spacing w:line="312" w:lineRule="auto"/>
        <w:jc w:val="both"/>
      </w:pPr>
      <w:r>
        <w:t>K bodom 1 až 8:</w:t>
      </w:r>
    </w:p>
    <w:p w:rsidR="003450FB" w:rsidRDefault="00A31C7F">
      <w:pPr>
        <w:spacing w:line="312" w:lineRule="auto"/>
        <w:jc w:val="both"/>
      </w:pPr>
      <w:r>
        <w:t>V predmetnom článku sa upravuje ďalšia kľúčová zmena, ktorá potvrdzuje ambíciu návrhu na vytvorenie podporných opatrení pre ženu, ktorá zvažuje podanie žiadosti o umelé prerušenie tehotenstva.</w:t>
      </w:r>
    </w:p>
    <w:p w:rsidR="003450FB" w:rsidRDefault="00A31C7F">
      <w:pPr>
        <w:spacing w:line="312" w:lineRule="auto"/>
        <w:jc w:val="both"/>
      </w:pPr>
      <w:r>
        <w:t>Suma príspevku pri narodení dieťaťa sa navrhuje rozdeliť na dve</w:t>
      </w:r>
      <w:r>
        <w:t xml:space="preserve"> časti. Prvá časť v výške 400 eur sa vyplatí matke už počas tehotenstva, a to po uplynutí dvanásteho týždňa tehotenstva (keď už nie je možné vykonať umelé ukončenie tehotenstva na žiadosť). Cieľom je, aby si matky, ktoré sú v zlej sociálnej a ekonomickej s</w:t>
      </w:r>
      <w:r>
        <w:t>ituácii, mohli finančne prilepšiť už počas tehotenstva. Táto možnosť im má pomôcť, aby nepodstúpili umelé ukončenie tehotenstva z dôvodu aktuálneho nedostatku finančných prostriedkov. Ak matka nevyužije možnosť požiadať o prvú časť príspevku, celá suma jej</w:t>
      </w:r>
      <w:r>
        <w:t xml:space="preserve"> bude vyplatená po narodení dieťaťa. Ak po prijatí prvej časti príspevku matka podstúpi umelé ukončenie tehotenstva, príspevok bude musieť vrátiť. V prípade, ak sa narodí dieťa, ktoré je ťažko poškodené, suma druhej časti príspevku pri narodení sa zvýši o </w:t>
      </w:r>
      <w:r>
        <w:t xml:space="preserve">sumu 3 170,14 </w:t>
      </w:r>
      <w:r>
        <w:t>‬eur, ako forma pomoci zo strany štátu na zvýšené výdavky súvisiace s narodením ťažko postihnutého dieťaťa.</w:t>
      </w:r>
    </w:p>
    <w:p w:rsidR="003450FB" w:rsidRDefault="00A31C7F">
      <w:pPr>
        <w:spacing w:line="312" w:lineRule="auto"/>
        <w:jc w:val="both"/>
      </w:pPr>
      <w:r>
        <w:t>Dôležitou zmenou je aj upustenie od pravidla, že dieťa sa po narodení musí dožiť aspoň 28 dní. Väčšina výdavkov súvisiacich s narodení</w:t>
      </w:r>
      <w:r>
        <w:t>m dieťaťa vznikne nezávisle od toho, či sa dieťa dožije alebo nedožije 28 dní. Zrušuje sa tiež pravidlo o znížení príspevku pri treťom a ďalšom dieťati.</w:t>
      </w:r>
    </w:p>
    <w:p w:rsidR="003450FB" w:rsidRDefault="00A31C7F">
      <w:pPr>
        <w:spacing w:line="312" w:lineRule="auto"/>
        <w:jc w:val="both"/>
      </w:pPr>
      <w:r>
        <w:t>Zároveň sa necháva na ďalšiu úpravu príspevok pri osvojení dieťaťa a to vzhľadom na ambíciu Ministerstv</w:t>
      </w:r>
      <w:r>
        <w:t>a práce, sociálnych vecí a rodiny Slovenskej republiky upraviť danú problematiku vládnym návrhom zákona.</w:t>
      </w:r>
    </w:p>
    <w:p w:rsidR="003450FB" w:rsidRDefault="003450FB">
      <w:pPr>
        <w:spacing w:line="312" w:lineRule="auto"/>
        <w:jc w:val="both"/>
      </w:pPr>
    </w:p>
    <w:p w:rsidR="003450FB" w:rsidRDefault="003450FB">
      <w:pPr>
        <w:spacing w:line="312" w:lineRule="auto"/>
        <w:jc w:val="both"/>
      </w:pPr>
    </w:p>
    <w:p w:rsidR="003450FB" w:rsidRDefault="00A31C7F">
      <w:pPr>
        <w:spacing w:line="312" w:lineRule="auto"/>
        <w:jc w:val="both"/>
      </w:pPr>
      <w:r>
        <w:t>K čl. IX:</w:t>
      </w:r>
    </w:p>
    <w:p w:rsidR="003450FB" w:rsidRDefault="00A31C7F">
      <w:pPr>
        <w:spacing w:line="312" w:lineRule="auto"/>
        <w:jc w:val="both"/>
      </w:pPr>
      <w:r>
        <w:t>Účinnosť sa navrhuje ustanoviť na 1. novembra 2020.</w:t>
      </w:r>
    </w:p>
    <w:p w:rsidR="003450FB" w:rsidRDefault="003450FB">
      <w:pPr>
        <w:ind w:right="-18"/>
        <w:jc w:val="both"/>
        <w:rPr>
          <w:sz w:val="22"/>
          <w:szCs w:val="22"/>
        </w:rPr>
        <w:sectPr w:rsidR="003450FB">
          <w:pgSz w:w="11906" w:h="16838"/>
          <w:pgMar w:top="1417" w:right="1417" w:bottom="1417" w:left="1417" w:header="708" w:footer="708" w:gutter="0"/>
          <w:cols w:space="708" w:equalWidth="0">
            <w:col w:w="9406"/>
          </w:cols>
        </w:sectPr>
      </w:pPr>
    </w:p>
    <w:p w:rsidR="003450FB" w:rsidRDefault="00A31C7F">
      <w:pPr>
        <w:ind w:right="-432"/>
        <w:jc w:val="center"/>
      </w:pPr>
      <w:r>
        <w:rPr>
          <w:b/>
        </w:rPr>
        <w:lastRenderedPageBreak/>
        <w:t>DOLOŽKA ZLUČITEĽNOSTI</w:t>
      </w:r>
    </w:p>
    <w:p w:rsidR="003450FB" w:rsidRDefault="00A31C7F">
      <w:pPr>
        <w:ind w:right="-432"/>
        <w:jc w:val="center"/>
      </w:pPr>
      <w:r>
        <w:rPr>
          <w:b/>
        </w:rPr>
        <w:t>návrhu ústavného zákona</w:t>
      </w:r>
      <w:r>
        <w:t xml:space="preserve"> </w:t>
      </w:r>
      <w:r>
        <w:rPr>
          <w:b/>
        </w:rPr>
        <w:t>s právom Európskej únie</w:t>
      </w:r>
    </w:p>
    <w:p w:rsidR="003450FB" w:rsidRDefault="00A31C7F">
      <w:pPr>
        <w:ind w:right="-432"/>
        <w:jc w:val="both"/>
      </w:pPr>
      <w:r>
        <w:t> </w:t>
      </w:r>
    </w:p>
    <w:p w:rsidR="003450FB" w:rsidRDefault="00A31C7F">
      <w:pPr>
        <w:ind w:right="-432"/>
        <w:jc w:val="both"/>
      </w:pPr>
      <w:r>
        <w:rPr>
          <w:b/>
        </w:rPr>
        <w:t>1. Navr</w:t>
      </w:r>
      <w:r>
        <w:rPr>
          <w:b/>
        </w:rPr>
        <w:t>hovateľ zákona:</w:t>
      </w:r>
      <w:r>
        <w:t xml:space="preserve"> poslanci Národnej rady Slovenskej republiky </w:t>
      </w:r>
    </w:p>
    <w:p w:rsidR="003450FB" w:rsidRDefault="00A31C7F">
      <w:pPr>
        <w:ind w:right="-432"/>
        <w:jc w:val="both"/>
      </w:pPr>
      <w:r>
        <w:rPr>
          <w:b/>
        </w:rPr>
        <w:t>2. Názov návrhu zákona:</w:t>
      </w:r>
      <w:r>
        <w:t xml:space="preserve"> návrh zákona, </w:t>
      </w:r>
      <w:r>
        <w:rPr>
          <w:color w:val="000000"/>
        </w:rPr>
        <w:t>ktorým sa mení a dopĺňa zákon č. 576/2004 Z. z. o zdravotnej starostlivosti, službách súvisiacich s poskytovaním zdravotnej starostlivosti a o zmene a doplne</w:t>
      </w:r>
      <w:r>
        <w:rPr>
          <w:color w:val="000000"/>
        </w:rPr>
        <w:t>ní niektorých zákonov v znení neskorších predpisov a ktorým sa menia a dopĺňajú niektoré zákony</w:t>
      </w:r>
    </w:p>
    <w:p w:rsidR="003450FB" w:rsidRDefault="00A31C7F">
      <w:pPr>
        <w:ind w:right="-432"/>
        <w:jc w:val="both"/>
        <w:rPr>
          <w:b/>
        </w:rPr>
      </w:pPr>
      <w:r>
        <w:rPr>
          <w:b/>
        </w:rPr>
        <w:tab/>
      </w:r>
    </w:p>
    <w:p w:rsidR="003450FB" w:rsidRDefault="00A31C7F">
      <w:pPr>
        <w:ind w:right="-432"/>
        <w:jc w:val="both"/>
        <w:rPr>
          <w:b/>
        </w:rPr>
      </w:pPr>
      <w:r>
        <w:rPr>
          <w:b/>
        </w:rPr>
        <w:t>3. Predmet návrhu zákona:</w:t>
      </w:r>
    </w:p>
    <w:p w:rsidR="003450FB" w:rsidRDefault="00A31C7F">
      <w:pPr>
        <w:jc w:val="both"/>
      </w:pPr>
      <w:r>
        <w:t>a)</w:t>
      </w:r>
      <w:r>
        <w:tab/>
        <w:t xml:space="preserve">nie je upravený v primárnom práve Európskej únie, a to </w:t>
      </w:r>
    </w:p>
    <w:p w:rsidR="003450FB" w:rsidRDefault="003450FB">
      <w:pPr>
        <w:ind w:right="-432"/>
        <w:jc w:val="both"/>
      </w:pPr>
    </w:p>
    <w:p w:rsidR="003450FB" w:rsidRDefault="00A31C7F">
      <w:pPr>
        <w:ind w:right="-432"/>
        <w:jc w:val="both"/>
      </w:pPr>
      <w:r>
        <w:t>b)</w:t>
      </w:r>
      <w:r>
        <w:tab/>
        <w:t>nie je upravený v sekundárnom práve Európskej únie,</w:t>
      </w:r>
    </w:p>
    <w:p w:rsidR="003450FB" w:rsidRDefault="003450FB">
      <w:pPr>
        <w:ind w:right="-432"/>
        <w:jc w:val="both"/>
      </w:pPr>
    </w:p>
    <w:p w:rsidR="003450FB" w:rsidRDefault="00A31C7F">
      <w:pPr>
        <w:ind w:right="-432"/>
        <w:jc w:val="both"/>
      </w:pPr>
      <w:r>
        <w:t>c)</w:t>
      </w:r>
      <w:r>
        <w:tab/>
      </w:r>
      <w:r>
        <w:t xml:space="preserve">nie je obsiahnutý v judikatúre Súdneho dvora Európskej únie. </w:t>
      </w:r>
    </w:p>
    <w:p w:rsidR="003450FB" w:rsidRDefault="003450FB">
      <w:pPr>
        <w:ind w:right="-432"/>
        <w:jc w:val="both"/>
      </w:pPr>
    </w:p>
    <w:p w:rsidR="003450FB" w:rsidRDefault="00A31C7F">
      <w:pPr>
        <w:tabs>
          <w:tab w:val="left" w:pos="284"/>
        </w:tabs>
        <w:ind w:right="-432"/>
        <w:jc w:val="both"/>
        <w:rPr>
          <w:b/>
          <w:i/>
        </w:rPr>
      </w:pPr>
      <w:r>
        <w:rPr>
          <w:b/>
        </w:rPr>
        <w:t>4.</w:t>
      </w:r>
      <w:r>
        <w:rPr>
          <w:b/>
        </w:rPr>
        <w:tab/>
        <w:t>Záväzky Slovenskej republiky vo vzťahu k Európskej únii:</w:t>
      </w:r>
    </w:p>
    <w:p w:rsidR="003450FB" w:rsidRDefault="00A31C7F">
      <w:pPr>
        <w:ind w:right="-432" w:firstLine="284"/>
        <w:jc w:val="both"/>
      </w:pPr>
      <w:r>
        <w:t>Bezpredmetné</w:t>
      </w:r>
    </w:p>
    <w:p w:rsidR="003450FB" w:rsidRDefault="003450FB">
      <w:pPr>
        <w:ind w:right="-432" w:firstLine="284"/>
        <w:jc w:val="both"/>
      </w:pPr>
    </w:p>
    <w:p w:rsidR="003450FB" w:rsidRDefault="00A31C7F">
      <w:pPr>
        <w:tabs>
          <w:tab w:val="left" w:pos="284"/>
        </w:tabs>
        <w:ind w:right="-432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Návrh zákona je zlučiteľný s právom Európskej únie</w:t>
      </w:r>
    </w:p>
    <w:p w:rsidR="003450FB" w:rsidRDefault="00A31C7F">
      <w:pPr>
        <w:ind w:right="-18" w:firstLine="270"/>
        <w:jc w:val="both"/>
      </w:pPr>
      <w:r>
        <w:t>Stupeň zlučiteľnosti - úplný </w:t>
      </w:r>
    </w:p>
    <w:p w:rsidR="003450FB" w:rsidRDefault="003450FB">
      <w:pPr>
        <w:ind w:right="-18" w:firstLine="270"/>
        <w:jc w:val="both"/>
        <w:rPr>
          <w:sz w:val="22"/>
          <w:szCs w:val="22"/>
        </w:rPr>
        <w:sectPr w:rsidR="003450FB">
          <w:pgSz w:w="11906" w:h="16838"/>
          <w:pgMar w:top="1417" w:right="1417" w:bottom="1417" w:left="1417" w:header="708" w:footer="708" w:gutter="0"/>
          <w:cols w:space="708" w:equalWidth="0">
            <w:col w:w="9406"/>
          </w:cols>
        </w:sectPr>
      </w:pPr>
    </w:p>
    <w:p w:rsidR="003450FB" w:rsidRDefault="00A31C7F">
      <w:pPr>
        <w:jc w:val="center"/>
      </w:pPr>
      <w:r>
        <w:rPr>
          <w:b/>
          <w:color w:val="000000"/>
        </w:rPr>
        <w:lastRenderedPageBreak/>
        <w:t>DOLOŽKA</w:t>
      </w:r>
    </w:p>
    <w:p w:rsidR="003450FB" w:rsidRDefault="00A31C7F">
      <w:pPr>
        <w:jc w:val="center"/>
        <w:rPr>
          <w:b/>
          <w:color w:val="000000"/>
        </w:rPr>
      </w:pPr>
      <w:r>
        <w:rPr>
          <w:b/>
          <w:color w:val="000000"/>
        </w:rPr>
        <w:t>vybraných vplyvov</w:t>
      </w:r>
    </w:p>
    <w:p w:rsidR="003450FB" w:rsidRDefault="003450FB">
      <w:pPr>
        <w:jc w:val="center"/>
        <w:rPr>
          <w:rFonts w:ascii="-webkit-standard" w:eastAsia="-webkit-standard" w:hAnsi="-webkit-standard" w:cs="-webkit-standard"/>
          <w:color w:val="000000"/>
        </w:rPr>
      </w:pPr>
    </w:p>
    <w:p w:rsidR="003450FB" w:rsidRDefault="00A31C7F">
      <w:pPr>
        <w:rPr>
          <w:color w:val="000000"/>
        </w:rPr>
      </w:pPr>
      <w:r>
        <w:rPr>
          <w:b/>
          <w:color w:val="000000"/>
        </w:rPr>
        <w:t xml:space="preserve">A.1. Názov materiálu: </w:t>
      </w:r>
      <w:r>
        <w:rPr>
          <w:color w:val="000000"/>
        </w:rPr>
        <w:t xml:space="preserve">návrh zákona, ktorým sa mení a dopĺňa zákon č. 576/2004 Z. z. o zdravotnej starostlivosti, službách súvisiacich s poskytovaním zdravotnej starostlivosti a o zmene a doplnení niektorých zákonov v znení neskorších predpisov a ktorým sa </w:t>
      </w:r>
      <w:r>
        <w:rPr>
          <w:color w:val="000000"/>
        </w:rPr>
        <w:t>menia a dopĺňajú niektoré zákony</w:t>
      </w:r>
    </w:p>
    <w:p w:rsidR="003450FB" w:rsidRDefault="003450FB">
      <w:pPr>
        <w:rPr>
          <w:rFonts w:ascii="-webkit-standard" w:eastAsia="-webkit-standard" w:hAnsi="-webkit-standard" w:cs="-webkit-standard"/>
          <w:color w:val="000000"/>
        </w:rPr>
      </w:pPr>
    </w:p>
    <w:p w:rsidR="003450FB" w:rsidRDefault="00A31C7F">
      <w:pPr>
        <w:rPr>
          <w:i/>
          <w:color w:val="000000"/>
        </w:rPr>
      </w:pPr>
      <w:r>
        <w:rPr>
          <w:b/>
          <w:color w:val="000000"/>
        </w:rPr>
        <w:t>Termín začatia a ukončenia PPK:</w:t>
      </w:r>
      <w:r>
        <w:rPr>
          <w:color w:val="000000"/>
        </w:rPr>
        <w:t xml:space="preserve"> </w:t>
      </w:r>
      <w:r>
        <w:rPr>
          <w:i/>
          <w:color w:val="000000"/>
        </w:rPr>
        <w:t>bezpredmetné</w:t>
      </w:r>
    </w:p>
    <w:p w:rsidR="003450FB" w:rsidRDefault="003450FB">
      <w:pPr>
        <w:rPr>
          <w:rFonts w:ascii="-webkit-standard" w:eastAsia="-webkit-standard" w:hAnsi="-webkit-standard" w:cs="-webkit-standard"/>
          <w:color w:val="000000"/>
        </w:rPr>
      </w:pPr>
    </w:p>
    <w:p w:rsidR="003450FB" w:rsidRDefault="00A31C7F">
      <w:pPr>
        <w:rPr>
          <w:b/>
          <w:color w:val="000000"/>
        </w:rPr>
      </w:pPr>
      <w:r>
        <w:rPr>
          <w:b/>
          <w:color w:val="000000"/>
        </w:rPr>
        <w:t>A.2. Vplyvy: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1440"/>
        <w:gridCol w:w="1440"/>
        <w:gridCol w:w="1417"/>
      </w:tblGrid>
      <w:tr w:rsidR="003450FB">
        <w:tc>
          <w:tcPr>
            <w:tcW w:w="4765" w:type="dxa"/>
          </w:tcPr>
          <w:p w:rsidR="003450FB" w:rsidRDefault="003450FB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Pozitívne</w:t>
            </w: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Žiadne</w:t>
            </w:r>
          </w:p>
        </w:tc>
        <w:tc>
          <w:tcPr>
            <w:tcW w:w="1417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Negatívne</w:t>
            </w: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color w:val="000000"/>
              </w:rPr>
            </w:pPr>
            <w:r>
              <w:rPr>
                <w:color w:val="000000"/>
              </w:rPr>
              <w:t>Vplyvy na rozpočet verejnej správy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color w:val="000000"/>
              </w:rPr>
            </w:pPr>
            <w:r>
              <w:rPr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color w:val="000000"/>
              </w:rPr>
            </w:pPr>
            <w:r>
              <w:rPr>
                <w:color w:val="000000"/>
              </w:rPr>
              <w:t>Sociálne vplyvy</w:t>
            </w: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/>
              <w:rPr>
                <w:color w:val="000000"/>
              </w:rPr>
            </w:pPr>
            <w:r>
              <w:rPr>
                <w:color w:val="000000"/>
              </w:rPr>
              <w:t>vplyvy na hospodárenie obyvateľstva,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/>
              <w:rPr>
                <w:color w:val="000000"/>
              </w:rPr>
            </w:pPr>
            <w:r>
              <w:rPr>
                <w:color w:val="000000"/>
              </w:rPr>
              <w:t>sociálnu exklúziu,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/>
              <w:rPr>
                <w:color w:val="000000"/>
              </w:rPr>
            </w:pPr>
            <w:r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rFonts w:ascii="-webkit-standard" w:eastAsia="-webkit-standard" w:hAnsi="-webkit-standard" w:cs="-webkit-standard"/>
                <w:color w:val="000000"/>
              </w:rPr>
            </w:pPr>
            <w:r>
              <w:rPr>
                <w:color w:val="000000"/>
              </w:rPr>
              <w:t>Vplyvy na životné prostredie</w:t>
            </w:r>
          </w:p>
          <w:p w:rsidR="003450FB" w:rsidRDefault="003450FB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rFonts w:ascii="-webkit-standard" w:eastAsia="-webkit-standard" w:hAnsi="-webkit-standard" w:cs="-webkit-standard"/>
                <w:color w:val="000000"/>
              </w:rPr>
            </w:pPr>
            <w:r>
              <w:rPr>
                <w:color w:val="000000"/>
              </w:rPr>
              <w:t>Vplyvy na informatizáciu spoločnosti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  <w:tr w:rsidR="003450FB">
        <w:tc>
          <w:tcPr>
            <w:tcW w:w="4765" w:type="dxa"/>
          </w:tcPr>
          <w:p w:rsidR="003450FB" w:rsidRDefault="00A31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/>
              <w:rPr>
                <w:color w:val="000000"/>
              </w:rPr>
            </w:pPr>
            <w:r>
              <w:rPr>
                <w:color w:val="000000"/>
              </w:rPr>
              <w:t>Vplyvy na manželstvo, rodičovstvo a rodinu</w:t>
            </w:r>
          </w:p>
        </w:tc>
        <w:tc>
          <w:tcPr>
            <w:tcW w:w="1440" w:type="dxa"/>
          </w:tcPr>
          <w:p w:rsidR="003450FB" w:rsidRDefault="00A31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40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450FB" w:rsidRDefault="003450FB">
            <w:pPr>
              <w:jc w:val="center"/>
              <w:rPr>
                <w:color w:val="000000"/>
              </w:rPr>
            </w:pPr>
          </w:p>
        </w:tc>
      </w:tr>
    </w:tbl>
    <w:p w:rsidR="003450FB" w:rsidRDefault="003450FB">
      <w:pPr>
        <w:rPr>
          <w:color w:val="000000"/>
        </w:rPr>
      </w:pPr>
    </w:p>
    <w:p w:rsidR="003450FB" w:rsidRDefault="00A31C7F">
      <w:pPr>
        <w:rPr>
          <w:rFonts w:ascii="-webkit-standard" w:eastAsia="-webkit-standard" w:hAnsi="-webkit-standard" w:cs="-webkit-standard"/>
          <w:color w:val="000000"/>
        </w:rPr>
      </w:pPr>
      <w:r>
        <w:rPr>
          <w:b/>
          <w:color w:val="000000"/>
        </w:rPr>
        <w:t>A.3. Poznámky</w:t>
      </w:r>
    </w:p>
    <w:p w:rsidR="00024781" w:rsidRPr="00024781" w:rsidRDefault="00024781" w:rsidP="00024781">
      <w:pPr>
        <w:rPr>
          <w:i/>
          <w:color w:val="000000"/>
        </w:rPr>
      </w:pPr>
      <w:r w:rsidRPr="00024781">
        <w:rPr>
          <w:i/>
          <w:color w:val="000000"/>
        </w:rPr>
        <w:t>Návrh zákona bude mať negatívny vplyv na verejné financie. Návrh zákona nebude mať vplyv na podnikateľské prostredie, životné prostredie a informatizáciu spoločnosti. Návrh zákona bude mať pozitívny sociálny vplyv. Návrh zákona bude mať pozitívny vplyv na manželstvo, rodičovstvo a rodinu.</w:t>
      </w:r>
    </w:p>
    <w:p w:rsidR="003450FB" w:rsidRDefault="003450FB">
      <w:pPr>
        <w:rPr>
          <w:rFonts w:ascii="-webkit-standard" w:eastAsia="-webkit-standard" w:hAnsi="-webkit-standard" w:cs="-webkit-standard"/>
          <w:color w:val="000000"/>
        </w:rPr>
      </w:pPr>
    </w:p>
    <w:p w:rsidR="003450FB" w:rsidRDefault="00A31C7F">
      <w:pPr>
        <w:rPr>
          <w:rFonts w:ascii="-webkit-standard" w:eastAsia="-webkit-standard" w:hAnsi="-webkit-standard" w:cs="-webkit-standard"/>
          <w:color w:val="000000"/>
        </w:rPr>
      </w:pPr>
      <w:r>
        <w:rPr>
          <w:b/>
          <w:color w:val="000000"/>
        </w:rPr>
        <w:t>A.4. Alternatívne riešenia</w:t>
      </w:r>
      <w:bookmarkStart w:id="2" w:name="_GoBack"/>
      <w:bookmarkEnd w:id="2"/>
    </w:p>
    <w:p w:rsidR="003450FB" w:rsidRDefault="00A31C7F">
      <w:pPr>
        <w:rPr>
          <w:i/>
          <w:color w:val="000000"/>
        </w:rPr>
      </w:pPr>
      <w:r>
        <w:rPr>
          <w:i/>
          <w:color w:val="000000"/>
        </w:rPr>
        <w:t xml:space="preserve">bezpredmetné </w:t>
      </w:r>
    </w:p>
    <w:p w:rsidR="003450FB" w:rsidRDefault="003450FB">
      <w:pPr>
        <w:rPr>
          <w:rFonts w:ascii="-webkit-standard" w:eastAsia="-webkit-standard" w:hAnsi="-webkit-standard" w:cs="-webkit-standard"/>
          <w:color w:val="000000"/>
        </w:rPr>
      </w:pPr>
    </w:p>
    <w:p w:rsidR="003450FB" w:rsidRDefault="00A31C7F">
      <w:pPr>
        <w:rPr>
          <w:rFonts w:ascii="-webkit-standard" w:eastAsia="-webkit-standard" w:hAnsi="-webkit-standard" w:cs="-webkit-standard"/>
          <w:color w:val="000000"/>
        </w:rPr>
      </w:pPr>
      <w:r>
        <w:rPr>
          <w:b/>
          <w:color w:val="000000"/>
        </w:rPr>
        <w:t>A.5. Stanovisko gestorov</w:t>
      </w:r>
    </w:p>
    <w:p w:rsidR="003450FB" w:rsidRDefault="00A31C7F">
      <w:pPr>
        <w:rPr>
          <w:rFonts w:ascii="-webkit-standard" w:eastAsia="-webkit-standard" w:hAnsi="-webkit-standard" w:cs="-webkit-standard"/>
          <w:color w:val="000000"/>
        </w:rPr>
      </w:pPr>
      <w:r>
        <w:rPr>
          <w:i/>
          <w:color w:val="000000"/>
        </w:rPr>
        <w:t>Návrh zákona bol zaslaný na vyjadrenie Ministerstvu financií SR a stanovisko tohto ministerstva tvorí súčasť predkladaného materiálu.</w:t>
      </w:r>
    </w:p>
    <w:p w:rsidR="003450FB" w:rsidRDefault="003450FB"/>
    <w:sectPr w:rsidR="003450FB">
      <w:pgSz w:w="11906" w:h="16838"/>
      <w:pgMar w:top="1417" w:right="1417" w:bottom="1417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7F" w:rsidRDefault="00A31C7F">
      <w:r>
        <w:separator/>
      </w:r>
    </w:p>
  </w:endnote>
  <w:endnote w:type="continuationSeparator" w:id="0">
    <w:p w:rsidR="00A31C7F" w:rsidRDefault="00A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-webkit-standar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FB" w:rsidRDefault="00A31C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24781">
      <w:rPr>
        <w:color w:val="000000"/>
      </w:rPr>
      <w:fldChar w:fldCharType="separate"/>
    </w:r>
    <w:r w:rsidR="00024781">
      <w:rPr>
        <w:noProof/>
        <w:color w:val="000000"/>
      </w:rPr>
      <w:t>1</w:t>
    </w:r>
    <w:r>
      <w:rPr>
        <w:color w:val="000000"/>
      </w:rPr>
      <w:fldChar w:fldCharType="end"/>
    </w:r>
  </w:p>
  <w:p w:rsidR="003450FB" w:rsidRDefault="003450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7F" w:rsidRDefault="00A31C7F">
      <w:r>
        <w:separator/>
      </w:r>
    </w:p>
  </w:footnote>
  <w:footnote w:type="continuationSeparator" w:id="0">
    <w:p w:rsidR="00A31C7F" w:rsidRDefault="00A3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54EC"/>
    <w:multiLevelType w:val="multilevel"/>
    <w:tmpl w:val="32A43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87DAE"/>
    <w:multiLevelType w:val="multilevel"/>
    <w:tmpl w:val="9D7884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FB"/>
    <w:rsid w:val="00024781"/>
    <w:rsid w:val="003450FB"/>
    <w:rsid w:val="00A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60A1-5372-4E41-9FD9-618A620B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OĽANO</dc:creator>
  <cp:lastModifiedBy>klub OĽANO</cp:lastModifiedBy>
  <cp:revision>2</cp:revision>
  <dcterms:created xsi:type="dcterms:W3CDTF">2020-06-19T12:33:00Z</dcterms:created>
  <dcterms:modified xsi:type="dcterms:W3CDTF">2020-06-19T12:33:00Z</dcterms:modified>
</cp:coreProperties>
</file>